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D1549" w14:textId="00B86BAF" w:rsidR="00137BB4" w:rsidRDefault="00C43FFE" w:rsidP="00E275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Hubungan antara </w:t>
      </w:r>
      <w:r w:rsidR="00137BB4" w:rsidRPr="00617383">
        <w:rPr>
          <w:rFonts w:ascii="Times New Roman" w:hAnsi="Times New Roman" w:cs="Times New Roman"/>
          <w:b/>
          <w:sz w:val="24"/>
          <w:szCs w:val="24"/>
        </w:rPr>
        <w:t xml:space="preserve">Firma Audit </w:t>
      </w:r>
      <w:r w:rsidR="004D7323">
        <w:rPr>
          <w:rFonts w:ascii="Times New Roman" w:hAnsi="Times New Roman" w:cs="Times New Roman"/>
          <w:b/>
          <w:sz w:val="24"/>
          <w:szCs w:val="24"/>
        </w:rPr>
        <w:t xml:space="preserve">Pakar Industri </w:t>
      </w:r>
      <w:r w:rsidR="00137BB4" w:rsidRPr="00617383">
        <w:rPr>
          <w:rFonts w:ascii="Times New Roman" w:hAnsi="Times New Roman" w:cs="Times New Roman"/>
          <w:b/>
          <w:sz w:val="24"/>
          <w:szCs w:val="24"/>
        </w:rPr>
        <w:t xml:space="preserve">dan Pendedahan </w:t>
      </w:r>
      <w:r w:rsidR="00CA3C5A" w:rsidRPr="00617383">
        <w:rPr>
          <w:rFonts w:ascii="Times New Roman" w:hAnsi="Times New Roman" w:cs="Times New Roman"/>
          <w:b/>
          <w:sz w:val="24"/>
          <w:szCs w:val="24"/>
        </w:rPr>
        <w:t xml:space="preserve">Urusniaga </w:t>
      </w:r>
      <w:r w:rsidR="00137BB4" w:rsidRPr="00617383">
        <w:rPr>
          <w:rFonts w:ascii="Times New Roman" w:hAnsi="Times New Roman" w:cs="Times New Roman"/>
          <w:b/>
          <w:sz w:val="24"/>
          <w:szCs w:val="24"/>
        </w:rPr>
        <w:t xml:space="preserve">Pihak </w:t>
      </w:r>
      <w:r w:rsidR="00BC061C">
        <w:rPr>
          <w:rFonts w:ascii="Times New Roman" w:hAnsi="Times New Roman" w:cs="Times New Roman"/>
          <w:b/>
          <w:sz w:val="24"/>
          <w:szCs w:val="24"/>
        </w:rPr>
        <w:t>B</w:t>
      </w:r>
      <w:r w:rsidR="00137BB4" w:rsidRPr="00617383">
        <w:rPr>
          <w:rFonts w:ascii="Times New Roman" w:hAnsi="Times New Roman" w:cs="Times New Roman"/>
          <w:b/>
          <w:sz w:val="24"/>
          <w:szCs w:val="24"/>
        </w:rPr>
        <w:t>erkaitan</w:t>
      </w:r>
      <w:r>
        <w:rPr>
          <w:rFonts w:ascii="Times New Roman" w:hAnsi="Times New Roman" w:cs="Times New Roman"/>
          <w:b/>
          <w:sz w:val="24"/>
          <w:szCs w:val="24"/>
        </w:rPr>
        <w:t xml:space="preserve"> di kalangan Syarikat Tersenarai di Malaysia</w:t>
      </w:r>
    </w:p>
    <w:p w14:paraId="4DD71488" w14:textId="77777777" w:rsidR="00BC061C" w:rsidRDefault="00BC061C" w:rsidP="00E275E2">
      <w:pPr>
        <w:spacing w:after="0" w:line="240" w:lineRule="auto"/>
        <w:jc w:val="center"/>
        <w:rPr>
          <w:rFonts w:ascii="Times New Roman" w:hAnsi="Times New Roman" w:cs="Times New Roman"/>
          <w:b/>
          <w:sz w:val="24"/>
          <w:szCs w:val="24"/>
        </w:rPr>
      </w:pPr>
    </w:p>
    <w:p w14:paraId="40106F35" w14:textId="34120DC3" w:rsidR="004A2B07" w:rsidRDefault="004A2B07" w:rsidP="00E275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Nur Hidayah Waad</w:t>
      </w:r>
    </w:p>
    <w:p w14:paraId="33A6C469" w14:textId="48F5E6D5" w:rsidR="004A2B07" w:rsidRDefault="004A2B07" w:rsidP="00E275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Hamezah Md Nor</w:t>
      </w:r>
    </w:p>
    <w:p w14:paraId="1CA551DF" w14:textId="34A3C27C" w:rsidR="004A2B07" w:rsidRDefault="004A2B07" w:rsidP="00E275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Mohd Mohid Rahmat</w:t>
      </w:r>
    </w:p>
    <w:p w14:paraId="0968E25F" w14:textId="4F3B79C6" w:rsidR="004A2B07" w:rsidRDefault="004A2B07" w:rsidP="00E275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Harlina Mohamed On</w:t>
      </w:r>
    </w:p>
    <w:p w14:paraId="37BB8F00" w14:textId="3169C652" w:rsidR="00BC061C" w:rsidRDefault="00BC061C" w:rsidP="00E275E2">
      <w:pPr>
        <w:spacing w:after="0" w:line="240" w:lineRule="auto"/>
        <w:jc w:val="center"/>
        <w:rPr>
          <w:rFonts w:ascii="Times New Roman" w:hAnsi="Times New Roman" w:cs="Times New Roman"/>
          <w:b/>
          <w:sz w:val="24"/>
          <w:szCs w:val="24"/>
        </w:rPr>
      </w:pPr>
    </w:p>
    <w:p w14:paraId="41EA1107" w14:textId="64E01B2E" w:rsidR="00BC061C" w:rsidRDefault="00BC061C" w:rsidP="0061738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Abstrak</w:t>
      </w:r>
    </w:p>
    <w:p w14:paraId="03D5660E" w14:textId="6F8A730B" w:rsidR="00E275E2" w:rsidRPr="00E275E2" w:rsidRDefault="0049473D" w:rsidP="00E275E2">
      <w:pPr>
        <w:spacing w:after="0" w:line="240" w:lineRule="auto"/>
        <w:jc w:val="both"/>
        <w:rPr>
          <w:rFonts w:ascii="Times New Roman" w:hAnsi="Times New Roman" w:cs="Times New Roman"/>
          <w:sz w:val="24"/>
          <w:szCs w:val="24"/>
        </w:rPr>
      </w:pPr>
      <w:r w:rsidRPr="00E275E2">
        <w:rPr>
          <w:rFonts w:ascii="Times New Roman" w:hAnsi="Times New Roman" w:cs="Times New Roman"/>
          <w:sz w:val="24"/>
          <w:szCs w:val="24"/>
        </w:rPr>
        <w:t xml:space="preserve">Kajian ini mengkaji hubungan antara </w:t>
      </w:r>
      <w:r w:rsidR="004D7323" w:rsidRPr="00E275E2">
        <w:rPr>
          <w:rFonts w:ascii="Times New Roman" w:hAnsi="Times New Roman" w:cs="Times New Roman"/>
          <w:sz w:val="24"/>
          <w:szCs w:val="24"/>
        </w:rPr>
        <w:t>f</w:t>
      </w:r>
      <w:r w:rsidR="00CB2DD8" w:rsidRPr="00E275E2">
        <w:rPr>
          <w:rFonts w:ascii="Times New Roman" w:hAnsi="Times New Roman" w:cs="Times New Roman"/>
          <w:sz w:val="24"/>
          <w:szCs w:val="24"/>
        </w:rPr>
        <w:t xml:space="preserve">irma audit pakar </w:t>
      </w:r>
      <w:r w:rsidR="004D7323" w:rsidRPr="00E275E2">
        <w:rPr>
          <w:rFonts w:ascii="Times New Roman" w:hAnsi="Times New Roman" w:cs="Times New Roman"/>
          <w:sz w:val="24"/>
          <w:szCs w:val="24"/>
        </w:rPr>
        <w:t>industri (FAPI</w:t>
      </w:r>
      <w:r w:rsidR="00CB2DD8" w:rsidRPr="00E275E2">
        <w:rPr>
          <w:rFonts w:ascii="Times New Roman" w:hAnsi="Times New Roman" w:cs="Times New Roman"/>
          <w:sz w:val="24"/>
          <w:szCs w:val="24"/>
        </w:rPr>
        <w:t>)</w:t>
      </w:r>
      <w:r w:rsidRPr="00E275E2">
        <w:rPr>
          <w:rFonts w:ascii="Times New Roman" w:hAnsi="Times New Roman" w:cs="Times New Roman"/>
          <w:sz w:val="24"/>
          <w:szCs w:val="24"/>
        </w:rPr>
        <w:t xml:space="preserve"> dan pendedahan urusniaga pihak berkaitan (UPB) yang </w:t>
      </w:r>
      <w:r w:rsidR="00367D3D" w:rsidRPr="00E275E2">
        <w:rPr>
          <w:rFonts w:ascii="Times New Roman" w:hAnsi="Times New Roman" w:cs="Times New Roman"/>
          <w:sz w:val="24"/>
          <w:szCs w:val="24"/>
        </w:rPr>
        <w:t xml:space="preserve">mana </w:t>
      </w:r>
      <w:r w:rsidRPr="00E275E2">
        <w:rPr>
          <w:rFonts w:ascii="Times New Roman" w:hAnsi="Times New Roman" w:cs="Times New Roman"/>
          <w:sz w:val="24"/>
          <w:szCs w:val="24"/>
        </w:rPr>
        <w:t xml:space="preserve">bukti empirikal </w:t>
      </w:r>
      <w:r w:rsidR="00367D3D" w:rsidRPr="00E275E2">
        <w:rPr>
          <w:rFonts w:ascii="Times New Roman" w:hAnsi="Times New Roman" w:cs="Times New Roman"/>
          <w:sz w:val="24"/>
          <w:szCs w:val="24"/>
        </w:rPr>
        <w:t xml:space="preserve">hubungan antara keduanya masih </w:t>
      </w:r>
      <w:r w:rsidR="00402F1E">
        <w:rPr>
          <w:rFonts w:ascii="Times New Roman" w:hAnsi="Times New Roman" w:cs="Times New Roman"/>
          <w:sz w:val="24"/>
          <w:szCs w:val="24"/>
        </w:rPr>
        <w:t>kurang</w:t>
      </w:r>
      <w:r w:rsidRPr="00E275E2">
        <w:rPr>
          <w:rFonts w:ascii="Times New Roman" w:hAnsi="Times New Roman" w:cs="Times New Roman"/>
          <w:sz w:val="24"/>
          <w:szCs w:val="24"/>
        </w:rPr>
        <w:t xml:space="preserve">.  </w:t>
      </w:r>
      <w:r w:rsidR="001612EA" w:rsidRPr="00E275E2">
        <w:rPr>
          <w:rFonts w:ascii="Times New Roman" w:hAnsi="Times New Roman" w:cs="Times New Roman"/>
          <w:sz w:val="24"/>
          <w:szCs w:val="24"/>
        </w:rPr>
        <w:t>UPB merupakan uruniaga yang sukar diaudit dan oleh itu j</w:t>
      </w:r>
      <w:r w:rsidR="00367D3D" w:rsidRPr="00E275E2">
        <w:rPr>
          <w:rFonts w:ascii="Times New Roman" w:hAnsi="Times New Roman" w:cs="Times New Roman"/>
          <w:sz w:val="24"/>
          <w:szCs w:val="24"/>
        </w:rPr>
        <w:t xml:space="preserve">uruaudit </w:t>
      </w:r>
      <w:r w:rsidR="00007176" w:rsidRPr="00E275E2">
        <w:rPr>
          <w:rFonts w:ascii="Times New Roman" w:hAnsi="Times New Roman" w:cs="Times New Roman"/>
          <w:sz w:val="24"/>
          <w:szCs w:val="24"/>
        </w:rPr>
        <w:t xml:space="preserve">yang mempunyai </w:t>
      </w:r>
      <w:r w:rsidR="00367D3D" w:rsidRPr="00E275E2">
        <w:rPr>
          <w:rFonts w:ascii="Times New Roman" w:hAnsi="Times New Roman" w:cs="Times New Roman"/>
          <w:sz w:val="24"/>
          <w:szCs w:val="24"/>
        </w:rPr>
        <w:t xml:space="preserve">kepakaran </w:t>
      </w:r>
      <w:r w:rsidR="00007176" w:rsidRPr="00E275E2">
        <w:rPr>
          <w:rFonts w:ascii="Times New Roman" w:hAnsi="Times New Roman" w:cs="Times New Roman"/>
          <w:sz w:val="24"/>
          <w:szCs w:val="24"/>
        </w:rPr>
        <w:t xml:space="preserve">industri diandaikan dapat </w:t>
      </w:r>
      <w:r w:rsidR="00402F1E">
        <w:rPr>
          <w:rFonts w:ascii="Times New Roman" w:hAnsi="Times New Roman" w:cs="Times New Roman"/>
          <w:sz w:val="24"/>
          <w:szCs w:val="24"/>
        </w:rPr>
        <w:t xml:space="preserve">mengesan dan </w:t>
      </w:r>
      <w:r w:rsidR="00007176" w:rsidRPr="00E275E2">
        <w:rPr>
          <w:rFonts w:ascii="Times New Roman" w:hAnsi="Times New Roman" w:cs="Times New Roman"/>
          <w:sz w:val="24"/>
          <w:szCs w:val="24"/>
        </w:rPr>
        <w:t xml:space="preserve">meningkatkan pendedahan </w:t>
      </w:r>
      <w:r w:rsidR="00367D3D" w:rsidRPr="00E275E2">
        <w:rPr>
          <w:rFonts w:ascii="Times New Roman" w:hAnsi="Times New Roman" w:cs="Times New Roman"/>
          <w:sz w:val="24"/>
          <w:szCs w:val="24"/>
        </w:rPr>
        <w:t>UPB</w:t>
      </w:r>
      <w:r w:rsidR="00007176" w:rsidRPr="00E275E2">
        <w:rPr>
          <w:rFonts w:ascii="Times New Roman" w:hAnsi="Times New Roman" w:cs="Times New Roman"/>
          <w:sz w:val="24"/>
          <w:szCs w:val="24"/>
        </w:rPr>
        <w:t xml:space="preserve">. </w:t>
      </w:r>
      <w:r w:rsidR="00367D3D" w:rsidRPr="00E275E2">
        <w:rPr>
          <w:rFonts w:ascii="Times New Roman" w:hAnsi="Times New Roman" w:cs="Times New Roman"/>
          <w:sz w:val="24"/>
          <w:szCs w:val="24"/>
        </w:rPr>
        <w:t xml:space="preserve">Sejumlah 646 buah syarikat tersenarai di Malaysia yang melibatkan sebanyak 3,230 pemerhatian dari tahun 2014 sehingga 2018 digunakan untuk menguji hipotesis kajian ini. </w:t>
      </w:r>
      <w:bookmarkStart w:id="0" w:name="_Hlk80480713"/>
      <w:r w:rsidR="004D7323" w:rsidRPr="00E275E2">
        <w:rPr>
          <w:rFonts w:ascii="Times New Roman" w:hAnsi="Times New Roman" w:cs="Times New Roman"/>
          <w:sz w:val="24"/>
          <w:szCs w:val="24"/>
        </w:rPr>
        <w:t>FAPI</w:t>
      </w:r>
      <w:r w:rsidR="00D34B37" w:rsidRPr="00E275E2">
        <w:rPr>
          <w:rFonts w:ascii="Times New Roman" w:hAnsi="Times New Roman" w:cs="Times New Roman"/>
          <w:sz w:val="24"/>
          <w:szCs w:val="24"/>
        </w:rPr>
        <w:t xml:space="preserve"> </w:t>
      </w:r>
      <w:r w:rsidR="009E2218" w:rsidRPr="00E275E2">
        <w:rPr>
          <w:rFonts w:ascii="Times New Roman" w:hAnsi="Times New Roman" w:cs="Times New Roman"/>
          <w:sz w:val="24"/>
          <w:szCs w:val="24"/>
        </w:rPr>
        <w:t xml:space="preserve">diukur </w:t>
      </w:r>
      <w:r w:rsidR="00EA1E4D" w:rsidRPr="00E275E2">
        <w:rPr>
          <w:rFonts w:ascii="Times New Roman" w:hAnsi="Times New Roman" w:cs="Times New Roman"/>
          <w:sz w:val="24"/>
          <w:szCs w:val="24"/>
        </w:rPr>
        <w:t xml:space="preserve">menggunakan nilai ambang </w:t>
      </w:r>
      <w:r w:rsidR="00374A0B" w:rsidRPr="00E275E2">
        <w:rPr>
          <w:rFonts w:ascii="Times New Roman" w:hAnsi="Times New Roman" w:cs="Times New Roman"/>
          <w:sz w:val="24"/>
          <w:szCs w:val="24"/>
        </w:rPr>
        <w:t xml:space="preserve">penguasan pasaran </w:t>
      </w:r>
      <w:r w:rsidR="00EA1E4D" w:rsidRPr="00E275E2">
        <w:rPr>
          <w:rFonts w:ascii="Times New Roman" w:hAnsi="Times New Roman" w:cs="Times New Roman"/>
          <w:sz w:val="24"/>
          <w:szCs w:val="24"/>
        </w:rPr>
        <w:t>yang berbeza</w:t>
      </w:r>
      <w:r w:rsidR="00D34B37" w:rsidRPr="00E275E2">
        <w:rPr>
          <w:rFonts w:ascii="Times New Roman" w:hAnsi="Times New Roman" w:cs="Times New Roman"/>
          <w:sz w:val="24"/>
          <w:szCs w:val="24"/>
        </w:rPr>
        <w:t xml:space="preserve"> </w:t>
      </w:r>
      <w:r w:rsidR="00587DB1" w:rsidRPr="00E275E2">
        <w:rPr>
          <w:rFonts w:ascii="Times New Roman" w:hAnsi="Times New Roman" w:cs="Times New Roman"/>
          <w:sz w:val="24"/>
          <w:szCs w:val="24"/>
        </w:rPr>
        <w:t>iaitu</w:t>
      </w:r>
      <w:r w:rsidR="00D34B37" w:rsidRPr="00E275E2">
        <w:rPr>
          <w:rFonts w:ascii="Times New Roman" w:hAnsi="Times New Roman" w:cs="Times New Roman"/>
          <w:sz w:val="24"/>
          <w:szCs w:val="24"/>
        </w:rPr>
        <w:t xml:space="preserve"> </w:t>
      </w:r>
      <w:r w:rsidR="004D7323" w:rsidRPr="00E275E2">
        <w:rPr>
          <w:rFonts w:ascii="Times New Roman" w:hAnsi="Times New Roman" w:cs="Times New Roman"/>
          <w:sz w:val="24"/>
          <w:szCs w:val="24"/>
        </w:rPr>
        <w:t>FAPI</w:t>
      </w:r>
      <w:r w:rsidR="00D34B37" w:rsidRPr="00E275E2">
        <w:rPr>
          <w:rFonts w:ascii="Times New Roman" w:hAnsi="Times New Roman" w:cs="Times New Roman"/>
          <w:sz w:val="24"/>
          <w:szCs w:val="24"/>
        </w:rPr>
        <w:t xml:space="preserve"> 10% dan </w:t>
      </w:r>
      <w:r w:rsidR="004D7323" w:rsidRPr="00E275E2">
        <w:rPr>
          <w:rFonts w:ascii="Times New Roman" w:hAnsi="Times New Roman" w:cs="Times New Roman"/>
          <w:sz w:val="24"/>
          <w:szCs w:val="24"/>
        </w:rPr>
        <w:t>FAPI</w:t>
      </w:r>
      <w:r w:rsidR="00D34B37" w:rsidRPr="00E275E2">
        <w:rPr>
          <w:rFonts w:ascii="Times New Roman" w:hAnsi="Times New Roman" w:cs="Times New Roman"/>
          <w:sz w:val="24"/>
          <w:szCs w:val="24"/>
        </w:rPr>
        <w:t xml:space="preserve"> 20%</w:t>
      </w:r>
      <w:bookmarkEnd w:id="0"/>
      <w:r w:rsidR="000B7CD5" w:rsidRPr="00E275E2">
        <w:rPr>
          <w:rFonts w:ascii="Times New Roman" w:hAnsi="Times New Roman" w:cs="Times New Roman"/>
          <w:sz w:val="24"/>
          <w:szCs w:val="24"/>
        </w:rPr>
        <w:t xml:space="preserve"> </w:t>
      </w:r>
      <w:r w:rsidR="009E2218" w:rsidRPr="00E275E2">
        <w:rPr>
          <w:rFonts w:ascii="Times New Roman" w:hAnsi="Times New Roman" w:cs="Times New Roman"/>
          <w:sz w:val="24"/>
          <w:szCs w:val="24"/>
        </w:rPr>
        <w:t>untuk me</w:t>
      </w:r>
      <w:r w:rsidR="00007176" w:rsidRPr="00E275E2">
        <w:rPr>
          <w:rFonts w:ascii="Times New Roman" w:hAnsi="Times New Roman" w:cs="Times New Roman"/>
          <w:sz w:val="24"/>
          <w:szCs w:val="24"/>
        </w:rPr>
        <w:t>ndapatkan</w:t>
      </w:r>
      <w:r w:rsidR="009E2218" w:rsidRPr="00E275E2">
        <w:rPr>
          <w:rFonts w:ascii="Times New Roman" w:hAnsi="Times New Roman" w:cs="Times New Roman"/>
          <w:sz w:val="24"/>
          <w:szCs w:val="24"/>
        </w:rPr>
        <w:t xml:space="preserve"> </w:t>
      </w:r>
      <w:r w:rsidR="00007176" w:rsidRPr="00E275E2">
        <w:rPr>
          <w:rFonts w:ascii="Times New Roman" w:hAnsi="Times New Roman" w:cs="Times New Roman"/>
          <w:sz w:val="24"/>
          <w:szCs w:val="24"/>
        </w:rPr>
        <w:t>hasil</w:t>
      </w:r>
      <w:r w:rsidR="009E2218" w:rsidRPr="00E275E2">
        <w:rPr>
          <w:rFonts w:ascii="Times New Roman" w:hAnsi="Times New Roman" w:cs="Times New Roman"/>
          <w:sz w:val="24"/>
          <w:szCs w:val="24"/>
        </w:rPr>
        <w:t xml:space="preserve"> kajian yang lebih mantap (</w:t>
      </w:r>
      <w:r w:rsidR="009E2218" w:rsidRPr="00E275E2">
        <w:rPr>
          <w:rFonts w:ascii="Times New Roman" w:hAnsi="Times New Roman" w:cs="Times New Roman"/>
          <w:i/>
          <w:sz w:val="24"/>
          <w:szCs w:val="24"/>
        </w:rPr>
        <w:t>robust</w:t>
      </w:r>
      <w:r w:rsidR="009E2218" w:rsidRPr="00E275E2">
        <w:rPr>
          <w:rFonts w:ascii="Times New Roman" w:hAnsi="Times New Roman" w:cs="Times New Roman"/>
          <w:sz w:val="24"/>
          <w:szCs w:val="24"/>
        </w:rPr>
        <w:t>)</w:t>
      </w:r>
      <w:r w:rsidR="00D34B37" w:rsidRPr="00E275E2">
        <w:rPr>
          <w:rFonts w:ascii="Times New Roman" w:hAnsi="Times New Roman" w:cs="Times New Roman"/>
          <w:sz w:val="24"/>
          <w:szCs w:val="24"/>
        </w:rPr>
        <w:t xml:space="preserve">. </w:t>
      </w:r>
      <w:r w:rsidR="00C6222A" w:rsidRPr="00E275E2">
        <w:rPr>
          <w:rFonts w:ascii="Times New Roman" w:hAnsi="Times New Roman" w:cs="Times New Roman"/>
          <w:sz w:val="24"/>
          <w:szCs w:val="24"/>
        </w:rPr>
        <w:t>K</w:t>
      </w:r>
      <w:r w:rsidR="00D34B37" w:rsidRPr="00E275E2">
        <w:rPr>
          <w:rFonts w:ascii="Times New Roman" w:hAnsi="Times New Roman" w:cs="Times New Roman"/>
          <w:sz w:val="24"/>
          <w:szCs w:val="24"/>
        </w:rPr>
        <w:t>aedah analisis kandungan</w:t>
      </w:r>
      <w:r w:rsidR="00C6222A" w:rsidRPr="00E275E2">
        <w:rPr>
          <w:rFonts w:ascii="Times New Roman" w:hAnsi="Times New Roman" w:cs="Times New Roman"/>
          <w:sz w:val="24"/>
          <w:szCs w:val="24"/>
        </w:rPr>
        <w:t xml:space="preserve"> digunakan untuk kutipan data UPB</w:t>
      </w:r>
      <w:r w:rsidR="00D34B37" w:rsidRPr="00E275E2">
        <w:rPr>
          <w:rFonts w:ascii="Times New Roman" w:hAnsi="Times New Roman" w:cs="Times New Roman"/>
          <w:sz w:val="24"/>
          <w:szCs w:val="24"/>
        </w:rPr>
        <w:t>.</w:t>
      </w:r>
      <w:r w:rsidR="00C6138E" w:rsidRPr="00E275E2">
        <w:rPr>
          <w:rFonts w:ascii="Times New Roman" w:hAnsi="Times New Roman" w:cs="Times New Roman"/>
          <w:sz w:val="24"/>
          <w:szCs w:val="24"/>
        </w:rPr>
        <w:t xml:space="preserve"> </w:t>
      </w:r>
      <w:r w:rsidR="00DA69A2" w:rsidRPr="00E275E2">
        <w:rPr>
          <w:rFonts w:ascii="Times New Roman" w:hAnsi="Times New Roman" w:cs="Times New Roman"/>
          <w:sz w:val="24"/>
          <w:szCs w:val="24"/>
        </w:rPr>
        <w:t xml:space="preserve">Berdasarkan ujian regresi, </w:t>
      </w:r>
      <w:bookmarkStart w:id="1" w:name="_Hlk81074536"/>
      <w:r w:rsidR="00DA69A2" w:rsidRPr="00E275E2">
        <w:rPr>
          <w:rFonts w:ascii="Times New Roman" w:hAnsi="Times New Roman" w:cs="Times New Roman"/>
          <w:sz w:val="24"/>
          <w:szCs w:val="24"/>
        </w:rPr>
        <w:t xml:space="preserve">hasil kajian mendapati hubungan antara </w:t>
      </w:r>
      <w:r w:rsidR="004D7323" w:rsidRPr="00E275E2">
        <w:rPr>
          <w:rFonts w:ascii="Times New Roman" w:hAnsi="Times New Roman" w:cs="Times New Roman"/>
          <w:sz w:val="24"/>
          <w:szCs w:val="24"/>
        </w:rPr>
        <w:t>FAPI</w:t>
      </w:r>
      <w:r w:rsidR="00DA69A2" w:rsidRPr="00E275E2">
        <w:rPr>
          <w:rFonts w:ascii="Times New Roman" w:hAnsi="Times New Roman" w:cs="Times New Roman"/>
          <w:sz w:val="24"/>
          <w:szCs w:val="24"/>
        </w:rPr>
        <w:t xml:space="preserve"> d</w:t>
      </w:r>
      <w:r w:rsidR="00C661E6" w:rsidRPr="00E275E2">
        <w:rPr>
          <w:rFonts w:ascii="Times New Roman" w:hAnsi="Times New Roman" w:cs="Times New Roman"/>
          <w:sz w:val="24"/>
          <w:szCs w:val="24"/>
        </w:rPr>
        <w:t>an</w:t>
      </w:r>
      <w:r w:rsidR="00DA69A2" w:rsidRPr="00E275E2">
        <w:rPr>
          <w:rFonts w:ascii="Times New Roman" w:hAnsi="Times New Roman" w:cs="Times New Roman"/>
          <w:sz w:val="24"/>
          <w:szCs w:val="24"/>
        </w:rPr>
        <w:t xml:space="preserve"> UPB adalah bergantung </w:t>
      </w:r>
      <w:r w:rsidR="000B7CD5" w:rsidRPr="00E275E2">
        <w:rPr>
          <w:rFonts w:ascii="Times New Roman" w:hAnsi="Times New Roman" w:cs="Times New Roman"/>
          <w:sz w:val="24"/>
          <w:szCs w:val="24"/>
        </w:rPr>
        <w:t>pada</w:t>
      </w:r>
      <w:r w:rsidR="00DA69A2" w:rsidRPr="00E275E2">
        <w:rPr>
          <w:rFonts w:ascii="Times New Roman" w:hAnsi="Times New Roman" w:cs="Times New Roman"/>
          <w:sz w:val="24"/>
          <w:szCs w:val="24"/>
        </w:rPr>
        <w:t xml:space="preserve"> </w:t>
      </w:r>
      <w:r w:rsidR="00EA1E4D" w:rsidRPr="00E275E2">
        <w:rPr>
          <w:rFonts w:ascii="Times New Roman" w:hAnsi="Times New Roman" w:cs="Times New Roman"/>
          <w:sz w:val="24"/>
          <w:szCs w:val="24"/>
        </w:rPr>
        <w:t>nilai ambang</w:t>
      </w:r>
      <w:r w:rsidR="00DA69A2" w:rsidRPr="00E275E2">
        <w:rPr>
          <w:rFonts w:ascii="Times New Roman" w:hAnsi="Times New Roman" w:cs="Times New Roman"/>
          <w:sz w:val="24"/>
          <w:szCs w:val="24"/>
        </w:rPr>
        <w:t xml:space="preserve"> </w:t>
      </w:r>
      <w:r w:rsidR="004D7323" w:rsidRPr="00E275E2">
        <w:rPr>
          <w:rFonts w:ascii="Times New Roman" w:hAnsi="Times New Roman" w:cs="Times New Roman"/>
          <w:sz w:val="24"/>
          <w:szCs w:val="24"/>
        </w:rPr>
        <w:t>FAPI</w:t>
      </w:r>
      <w:r w:rsidR="00DA69A2" w:rsidRPr="00E275E2">
        <w:rPr>
          <w:rFonts w:ascii="Times New Roman" w:hAnsi="Times New Roman" w:cs="Times New Roman"/>
          <w:sz w:val="24"/>
          <w:szCs w:val="24"/>
        </w:rPr>
        <w:t xml:space="preserve">. </w:t>
      </w:r>
      <w:r w:rsidR="00367D3D" w:rsidRPr="00E275E2">
        <w:rPr>
          <w:rFonts w:ascii="Times New Roman" w:hAnsi="Times New Roman" w:cs="Times New Roman"/>
          <w:sz w:val="24"/>
          <w:szCs w:val="24"/>
        </w:rPr>
        <w:t>Secara khususnya kajian ini mendapati n</w:t>
      </w:r>
      <w:r w:rsidR="00EA1E4D" w:rsidRPr="00E275E2">
        <w:rPr>
          <w:rFonts w:ascii="Times New Roman" w:hAnsi="Times New Roman" w:cs="Times New Roman"/>
          <w:sz w:val="24"/>
          <w:szCs w:val="24"/>
        </w:rPr>
        <w:t xml:space="preserve">ilai ambang </w:t>
      </w:r>
      <w:r w:rsidR="002123F5" w:rsidRPr="00E275E2">
        <w:rPr>
          <w:rFonts w:ascii="Times New Roman" w:hAnsi="Times New Roman" w:cs="Times New Roman"/>
          <w:sz w:val="24"/>
          <w:szCs w:val="24"/>
        </w:rPr>
        <w:t xml:space="preserve">penguasaan pasaran </w:t>
      </w:r>
      <w:r w:rsidR="00B53560" w:rsidRPr="00E275E2">
        <w:rPr>
          <w:rFonts w:ascii="Times New Roman" w:hAnsi="Times New Roman" w:cs="Times New Roman"/>
          <w:sz w:val="24"/>
          <w:szCs w:val="24"/>
        </w:rPr>
        <w:t>yang lebih tinggi (</w:t>
      </w:r>
      <w:r w:rsidR="004D7323" w:rsidRPr="00E275E2">
        <w:rPr>
          <w:rFonts w:ascii="Times New Roman" w:hAnsi="Times New Roman" w:cs="Times New Roman"/>
          <w:sz w:val="24"/>
          <w:szCs w:val="24"/>
        </w:rPr>
        <w:t>FAPI</w:t>
      </w:r>
      <w:r w:rsidR="00B53560" w:rsidRPr="00E275E2">
        <w:rPr>
          <w:rFonts w:ascii="Times New Roman" w:hAnsi="Times New Roman" w:cs="Times New Roman"/>
          <w:sz w:val="24"/>
          <w:szCs w:val="24"/>
        </w:rPr>
        <w:t xml:space="preserve"> 20%) berhubungan secara positif dengan pendedahan UPB. </w:t>
      </w:r>
      <w:bookmarkEnd w:id="1"/>
      <w:r w:rsidR="00C6138E" w:rsidRPr="00E275E2">
        <w:rPr>
          <w:rFonts w:ascii="Times New Roman" w:hAnsi="Times New Roman" w:cs="Times New Roman"/>
          <w:sz w:val="24"/>
          <w:szCs w:val="24"/>
        </w:rPr>
        <w:t>Hasil kajian ini dapat memberi</w:t>
      </w:r>
      <w:r w:rsidR="00F517C5">
        <w:rPr>
          <w:rFonts w:ascii="Times New Roman" w:hAnsi="Times New Roman" w:cs="Times New Roman"/>
          <w:sz w:val="24"/>
          <w:szCs w:val="24"/>
        </w:rPr>
        <w:t xml:space="preserve"> </w:t>
      </w:r>
      <w:r w:rsidR="00C6138E" w:rsidRPr="00E275E2">
        <w:rPr>
          <w:rFonts w:ascii="Times New Roman" w:hAnsi="Times New Roman" w:cs="Times New Roman"/>
          <w:sz w:val="24"/>
          <w:szCs w:val="24"/>
        </w:rPr>
        <w:t xml:space="preserve">bukti tambahan </w:t>
      </w:r>
      <w:r w:rsidR="000B7CD5" w:rsidRPr="00E275E2">
        <w:rPr>
          <w:rFonts w:ascii="Times New Roman" w:hAnsi="Times New Roman" w:cs="Times New Roman"/>
          <w:sz w:val="24"/>
          <w:szCs w:val="24"/>
        </w:rPr>
        <w:t xml:space="preserve">bahawa firma audit </w:t>
      </w:r>
      <w:r w:rsidR="00F24465" w:rsidRPr="00E275E2">
        <w:rPr>
          <w:rFonts w:ascii="Times New Roman" w:hAnsi="Times New Roman" w:cs="Times New Roman"/>
          <w:sz w:val="24"/>
          <w:szCs w:val="24"/>
        </w:rPr>
        <w:t>yang mempunyai ke</w:t>
      </w:r>
      <w:r w:rsidR="007B43BB" w:rsidRPr="00E275E2">
        <w:rPr>
          <w:rFonts w:ascii="Times New Roman" w:hAnsi="Times New Roman" w:cs="Times New Roman"/>
          <w:sz w:val="24"/>
          <w:szCs w:val="24"/>
        </w:rPr>
        <w:t>pakar</w:t>
      </w:r>
      <w:r w:rsidR="00F24465" w:rsidRPr="00E275E2">
        <w:rPr>
          <w:rFonts w:ascii="Times New Roman" w:hAnsi="Times New Roman" w:cs="Times New Roman"/>
          <w:sz w:val="24"/>
          <w:szCs w:val="24"/>
        </w:rPr>
        <w:t>an</w:t>
      </w:r>
      <w:r w:rsidR="007B43BB" w:rsidRPr="00E275E2">
        <w:rPr>
          <w:rFonts w:ascii="Times New Roman" w:hAnsi="Times New Roman" w:cs="Times New Roman"/>
          <w:sz w:val="24"/>
          <w:szCs w:val="24"/>
        </w:rPr>
        <w:t xml:space="preserve"> industri </w:t>
      </w:r>
      <w:r w:rsidR="00F24465" w:rsidRPr="00E275E2">
        <w:rPr>
          <w:rFonts w:ascii="Times New Roman" w:hAnsi="Times New Roman" w:cs="Times New Roman"/>
          <w:sz w:val="24"/>
          <w:szCs w:val="24"/>
        </w:rPr>
        <w:t xml:space="preserve">yang tinggi </w:t>
      </w:r>
      <w:r w:rsidR="000B7CD5" w:rsidRPr="00E275E2">
        <w:rPr>
          <w:rFonts w:ascii="Times New Roman" w:hAnsi="Times New Roman" w:cs="Times New Roman"/>
          <w:sz w:val="24"/>
          <w:szCs w:val="24"/>
        </w:rPr>
        <w:t>dapat memberikan perkhidmatan audit yang lebih berkua</w:t>
      </w:r>
      <w:r w:rsidR="00C661E6" w:rsidRPr="00E275E2">
        <w:rPr>
          <w:rFonts w:ascii="Times New Roman" w:hAnsi="Times New Roman" w:cs="Times New Roman"/>
          <w:sz w:val="24"/>
          <w:szCs w:val="24"/>
        </w:rPr>
        <w:t>li</w:t>
      </w:r>
      <w:r w:rsidR="000B7CD5" w:rsidRPr="00E275E2">
        <w:rPr>
          <w:rFonts w:ascii="Times New Roman" w:hAnsi="Times New Roman" w:cs="Times New Roman"/>
          <w:sz w:val="24"/>
          <w:szCs w:val="24"/>
        </w:rPr>
        <w:t>ti menerusi peningkatan pendedahan UPB</w:t>
      </w:r>
      <w:r w:rsidR="00BD09E4" w:rsidRPr="00E275E2">
        <w:rPr>
          <w:rFonts w:ascii="Times New Roman" w:hAnsi="Times New Roman" w:cs="Times New Roman"/>
          <w:sz w:val="24"/>
          <w:szCs w:val="24"/>
        </w:rPr>
        <w:t xml:space="preserve"> berb</w:t>
      </w:r>
      <w:r w:rsidR="000109CE" w:rsidRPr="00E275E2">
        <w:rPr>
          <w:rFonts w:ascii="Times New Roman" w:hAnsi="Times New Roman" w:cs="Times New Roman"/>
          <w:sz w:val="24"/>
          <w:szCs w:val="24"/>
        </w:rPr>
        <w:t>anding firma audit bukan pakar</w:t>
      </w:r>
      <w:r w:rsidR="000B7CD5" w:rsidRPr="00E275E2">
        <w:rPr>
          <w:rFonts w:ascii="Times New Roman" w:hAnsi="Times New Roman" w:cs="Times New Roman"/>
          <w:sz w:val="24"/>
          <w:szCs w:val="24"/>
        </w:rPr>
        <w:t>.</w:t>
      </w:r>
      <w:r w:rsidR="00E275E2" w:rsidRPr="00E275E2">
        <w:rPr>
          <w:rFonts w:ascii="Times New Roman" w:hAnsi="Times New Roman" w:cs="Times New Roman"/>
          <w:sz w:val="24"/>
          <w:szCs w:val="24"/>
        </w:rPr>
        <w:t xml:space="preserve"> Badan pengamal dan pengawalselia perakaunan boleh mempertimbangakan ciri kepakaran industri dalam mengawal selia syarikat-syarikat yang terbabit dalam mana-mana kontrak yang melibatkan pihak-pihak berkaitan.</w:t>
      </w:r>
    </w:p>
    <w:p w14:paraId="018E0ABC" w14:textId="2CB8DFE2" w:rsidR="00DA69A2" w:rsidRPr="00E275E2" w:rsidRDefault="00DA69A2" w:rsidP="00DA69A2">
      <w:pPr>
        <w:pStyle w:val="NoSpacing"/>
        <w:rPr>
          <w:rFonts w:cs="Times New Roman"/>
        </w:rPr>
      </w:pPr>
    </w:p>
    <w:p w14:paraId="3DDDCB23" w14:textId="00C6DDB4" w:rsidR="000109CE" w:rsidRDefault="000109CE" w:rsidP="00DA69A2">
      <w:pPr>
        <w:pStyle w:val="NoSpacing"/>
      </w:pPr>
    </w:p>
    <w:p w14:paraId="6833E9A7" w14:textId="22D1F417" w:rsidR="000109CE" w:rsidRPr="00C661E6" w:rsidRDefault="000109CE" w:rsidP="00DA69A2">
      <w:pPr>
        <w:pStyle w:val="NoSpacing"/>
      </w:pPr>
      <w:r>
        <w:t>Kata kunci: Firma audit</w:t>
      </w:r>
      <w:r w:rsidR="00CB2DD8">
        <w:t xml:space="preserve"> pakar</w:t>
      </w:r>
      <w:r>
        <w:t xml:space="preserve">; Kualiti audit; </w:t>
      </w:r>
      <w:r w:rsidR="0059142C">
        <w:t xml:space="preserve">Nilai ambang; </w:t>
      </w:r>
      <w:r>
        <w:t>Pengkhususan industri; Urusniaga pihak berkaitan</w:t>
      </w:r>
    </w:p>
    <w:p w14:paraId="413E7051" w14:textId="77777777" w:rsidR="00DA69A2" w:rsidRDefault="00DA69A2" w:rsidP="00DA69A2">
      <w:pPr>
        <w:pStyle w:val="NoSpacing"/>
      </w:pPr>
    </w:p>
    <w:p w14:paraId="59622D46" w14:textId="61FD9BC8" w:rsidR="00DA69A2" w:rsidRPr="00B53560" w:rsidRDefault="00B53560" w:rsidP="00B53560">
      <w:pPr>
        <w:spacing w:after="0" w:line="240" w:lineRule="auto"/>
        <w:jc w:val="center"/>
        <w:rPr>
          <w:rFonts w:ascii="Times New Roman" w:hAnsi="Times New Roman" w:cs="Times New Roman"/>
          <w:i/>
          <w:sz w:val="24"/>
          <w:szCs w:val="24"/>
        </w:rPr>
      </w:pPr>
      <w:r w:rsidRPr="00B53560">
        <w:rPr>
          <w:rFonts w:ascii="Times New Roman" w:hAnsi="Times New Roman" w:cs="Times New Roman"/>
          <w:i/>
          <w:sz w:val="24"/>
          <w:szCs w:val="24"/>
        </w:rPr>
        <w:t>Abstract</w:t>
      </w:r>
    </w:p>
    <w:p w14:paraId="75D0BDC6" w14:textId="0F047ADF" w:rsidR="00B53560" w:rsidRDefault="00B53560" w:rsidP="00F17528">
      <w:pPr>
        <w:spacing w:after="0" w:line="240" w:lineRule="auto"/>
        <w:jc w:val="both"/>
        <w:rPr>
          <w:rFonts w:ascii="Times New Roman" w:hAnsi="Times New Roman" w:cs="Times New Roman"/>
          <w:sz w:val="24"/>
          <w:szCs w:val="24"/>
        </w:rPr>
      </w:pPr>
    </w:p>
    <w:p w14:paraId="53DA09F8" w14:textId="172C3F15" w:rsidR="00967522" w:rsidRPr="0034503E" w:rsidRDefault="00967522" w:rsidP="0034503E">
      <w:pPr>
        <w:spacing w:after="0" w:line="240" w:lineRule="auto"/>
        <w:jc w:val="both"/>
        <w:rPr>
          <w:rFonts w:ascii="Times New Roman" w:hAnsi="Times New Roman" w:cs="Times New Roman"/>
          <w:i/>
          <w:sz w:val="24"/>
          <w:szCs w:val="24"/>
        </w:rPr>
      </w:pPr>
      <w:r w:rsidRPr="00967522">
        <w:rPr>
          <w:rFonts w:ascii="Times New Roman" w:hAnsi="Times New Roman" w:cs="Times New Roman"/>
          <w:i/>
          <w:sz w:val="24"/>
          <w:szCs w:val="24"/>
        </w:rPr>
        <w:t>This study examines the relationship between</w:t>
      </w:r>
      <w:r w:rsidR="007B43BB">
        <w:rPr>
          <w:rFonts w:ascii="Times New Roman" w:hAnsi="Times New Roman" w:cs="Times New Roman"/>
          <w:i/>
          <w:sz w:val="24"/>
          <w:szCs w:val="24"/>
        </w:rPr>
        <w:t xml:space="preserve"> industry </w:t>
      </w:r>
      <w:r w:rsidR="007A186E">
        <w:rPr>
          <w:rFonts w:ascii="Times New Roman" w:hAnsi="Times New Roman" w:cs="Times New Roman"/>
          <w:i/>
          <w:sz w:val="24"/>
          <w:szCs w:val="24"/>
        </w:rPr>
        <w:t xml:space="preserve">specialist </w:t>
      </w:r>
      <w:r w:rsidR="007B43BB">
        <w:rPr>
          <w:rFonts w:ascii="Times New Roman" w:hAnsi="Times New Roman" w:cs="Times New Roman"/>
          <w:i/>
          <w:sz w:val="24"/>
          <w:szCs w:val="24"/>
        </w:rPr>
        <w:t>audit firm</w:t>
      </w:r>
      <w:r w:rsidRPr="00967522">
        <w:rPr>
          <w:rFonts w:ascii="Times New Roman" w:hAnsi="Times New Roman" w:cs="Times New Roman"/>
          <w:i/>
          <w:sz w:val="24"/>
          <w:szCs w:val="24"/>
        </w:rPr>
        <w:t xml:space="preserve"> </w:t>
      </w:r>
      <w:r w:rsidR="007A186E">
        <w:rPr>
          <w:rFonts w:ascii="Times New Roman" w:hAnsi="Times New Roman" w:cs="Times New Roman"/>
          <w:i/>
          <w:sz w:val="24"/>
          <w:szCs w:val="24"/>
        </w:rPr>
        <w:t>(</w:t>
      </w:r>
      <w:r w:rsidR="007B43BB">
        <w:rPr>
          <w:rFonts w:ascii="Times New Roman" w:hAnsi="Times New Roman" w:cs="Times New Roman"/>
          <w:i/>
          <w:sz w:val="24"/>
          <w:szCs w:val="24"/>
        </w:rPr>
        <w:t>ISAF</w:t>
      </w:r>
      <w:r w:rsidRPr="00967522">
        <w:rPr>
          <w:rFonts w:ascii="Times New Roman" w:hAnsi="Times New Roman" w:cs="Times New Roman"/>
          <w:i/>
          <w:sz w:val="24"/>
          <w:szCs w:val="24"/>
        </w:rPr>
        <w:t>) and related party transaction disclosure (</w:t>
      </w:r>
      <w:r>
        <w:rPr>
          <w:rFonts w:ascii="Times New Roman" w:hAnsi="Times New Roman" w:cs="Times New Roman"/>
          <w:i/>
          <w:sz w:val="24"/>
          <w:szCs w:val="24"/>
        </w:rPr>
        <w:t>RPT</w:t>
      </w:r>
      <w:r w:rsidRPr="00967522">
        <w:rPr>
          <w:rFonts w:ascii="Times New Roman" w:hAnsi="Times New Roman" w:cs="Times New Roman"/>
          <w:i/>
          <w:sz w:val="24"/>
          <w:szCs w:val="24"/>
        </w:rPr>
        <w:t>)</w:t>
      </w:r>
      <w:r w:rsidR="000354DA">
        <w:rPr>
          <w:rFonts w:ascii="Times New Roman" w:hAnsi="Times New Roman" w:cs="Times New Roman"/>
          <w:i/>
          <w:sz w:val="24"/>
          <w:szCs w:val="24"/>
        </w:rPr>
        <w:t>,</w:t>
      </w:r>
      <w:r w:rsidRPr="00967522">
        <w:rPr>
          <w:rFonts w:ascii="Times New Roman" w:hAnsi="Times New Roman" w:cs="Times New Roman"/>
          <w:i/>
          <w:sz w:val="24"/>
          <w:szCs w:val="24"/>
        </w:rPr>
        <w:t xml:space="preserve"> for which empirical evidence of a relationship between the two is still lacking. RPT is the most difficult transactions to audit and therefore auditors with industry expertise are assumed to be able to </w:t>
      </w:r>
      <w:r w:rsidR="00402F1E">
        <w:rPr>
          <w:rFonts w:ascii="Times New Roman" w:hAnsi="Times New Roman" w:cs="Times New Roman"/>
          <w:i/>
          <w:sz w:val="24"/>
          <w:szCs w:val="24"/>
        </w:rPr>
        <w:t xml:space="preserve">detect and </w:t>
      </w:r>
      <w:r w:rsidRPr="00967522">
        <w:rPr>
          <w:rFonts w:ascii="Times New Roman" w:hAnsi="Times New Roman" w:cs="Times New Roman"/>
          <w:i/>
          <w:sz w:val="24"/>
          <w:szCs w:val="24"/>
        </w:rPr>
        <w:t xml:space="preserve">increase the disclosure of RPT. A total of 646 listed companies in Malaysia involving a total of 3,230 observations from 2014 to 2018 were used to test the hypotheses of this study. </w:t>
      </w:r>
      <w:r w:rsidR="007B43BB">
        <w:rPr>
          <w:rFonts w:ascii="Times New Roman" w:hAnsi="Times New Roman" w:cs="Times New Roman"/>
          <w:i/>
          <w:sz w:val="24"/>
          <w:szCs w:val="24"/>
        </w:rPr>
        <w:t>ISAF</w:t>
      </w:r>
      <w:r w:rsidRPr="001A249C">
        <w:rPr>
          <w:rFonts w:ascii="Times New Roman" w:hAnsi="Times New Roman" w:cs="Times New Roman"/>
          <w:i/>
          <w:sz w:val="24"/>
          <w:szCs w:val="24"/>
        </w:rPr>
        <w:t xml:space="preserve"> was measured at different </w:t>
      </w:r>
      <w:r w:rsidR="00374A0B">
        <w:rPr>
          <w:rFonts w:ascii="Times New Roman" w:hAnsi="Times New Roman" w:cs="Times New Roman"/>
          <w:i/>
          <w:sz w:val="24"/>
          <w:szCs w:val="24"/>
        </w:rPr>
        <w:t xml:space="preserve">market share </w:t>
      </w:r>
      <w:r w:rsidRPr="001A249C">
        <w:rPr>
          <w:rFonts w:ascii="Times New Roman" w:hAnsi="Times New Roman" w:cs="Times New Roman"/>
          <w:i/>
          <w:sz w:val="24"/>
          <w:szCs w:val="24"/>
        </w:rPr>
        <w:t>threshold</w:t>
      </w:r>
      <w:r w:rsidR="000E4964">
        <w:rPr>
          <w:rFonts w:ascii="Times New Roman" w:hAnsi="Times New Roman" w:cs="Times New Roman"/>
          <w:i/>
          <w:sz w:val="24"/>
          <w:szCs w:val="24"/>
        </w:rPr>
        <w:t xml:space="preserve">s </w:t>
      </w:r>
      <w:r w:rsidRPr="001A249C">
        <w:rPr>
          <w:rFonts w:ascii="Times New Roman" w:hAnsi="Times New Roman" w:cs="Times New Roman"/>
          <w:i/>
          <w:sz w:val="24"/>
          <w:szCs w:val="24"/>
        </w:rPr>
        <w:t xml:space="preserve">namely </w:t>
      </w:r>
      <w:r w:rsidR="007B43BB">
        <w:rPr>
          <w:rFonts w:ascii="Times New Roman" w:hAnsi="Times New Roman" w:cs="Times New Roman"/>
          <w:i/>
          <w:sz w:val="24"/>
          <w:szCs w:val="24"/>
        </w:rPr>
        <w:t>ISAF</w:t>
      </w:r>
      <w:r w:rsidRPr="001A249C">
        <w:rPr>
          <w:rFonts w:ascii="Times New Roman" w:hAnsi="Times New Roman" w:cs="Times New Roman"/>
          <w:i/>
          <w:sz w:val="24"/>
          <w:szCs w:val="24"/>
        </w:rPr>
        <w:t xml:space="preserve"> 10% and </w:t>
      </w:r>
      <w:r w:rsidR="007B43BB">
        <w:rPr>
          <w:rFonts w:ascii="Times New Roman" w:hAnsi="Times New Roman" w:cs="Times New Roman"/>
          <w:i/>
          <w:sz w:val="24"/>
          <w:szCs w:val="24"/>
        </w:rPr>
        <w:t>ISAF</w:t>
      </w:r>
      <w:r w:rsidRPr="001A249C">
        <w:rPr>
          <w:rFonts w:ascii="Times New Roman" w:hAnsi="Times New Roman" w:cs="Times New Roman"/>
          <w:i/>
          <w:sz w:val="24"/>
          <w:szCs w:val="24"/>
        </w:rPr>
        <w:t xml:space="preserve"> 20% to provide more robust results. </w:t>
      </w:r>
      <w:r>
        <w:rPr>
          <w:rFonts w:ascii="Times New Roman" w:hAnsi="Times New Roman" w:cs="Times New Roman"/>
          <w:i/>
          <w:sz w:val="24"/>
          <w:szCs w:val="24"/>
        </w:rPr>
        <w:t>C</w:t>
      </w:r>
      <w:r w:rsidRPr="001A249C">
        <w:rPr>
          <w:rFonts w:ascii="Times New Roman" w:hAnsi="Times New Roman" w:cs="Times New Roman"/>
          <w:i/>
          <w:sz w:val="24"/>
          <w:szCs w:val="24"/>
        </w:rPr>
        <w:t xml:space="preserve">ontent analysis method </w:t>
      </w:r>
      <w:r>
        <w:rPr>
          <w:rFonts w:ascii="Times New Roman" w:hAnsi="Times New Roman" w:cs="Times New Roman"/>
          <w:i/>
          <w:sz w:val="24"/>
          <w:szCs w:val="24"/>
        </w:rPr>
        <w:t>was</w:t>
      </w:r>
      <w:r w:rsidRPr="001A249C">
        <w:rPr>
          <w:rFonts w:ascii="Times New Roman" w:hAnsi="Times New Roman" w:cs="Times New Roman"/>
          <w:i/>
          <w:sz w:val="24"/>
          <w:szCs w:val="24"/>
        </w:rPr>
        <w:t xml:space="preserve"> used for RPT data collection. Based on regression test, the results of the study found that the relationship between </w:t>
      </w:r>
      <w:r w:rsidR="007B43BB">
        <w:rPr>
          <w:rFonts w:ascii="Times New Roman" w:hAnsi="Times New Roman" w:cs="Times New Roman"/>
          <w:i/>
          <w:sz w:val="24"/>
          <w:szCs w:val="24"/>
        </w:rPr>
        <w:t>ISAF</w:t>
      </w:r>
      <w:r w:rsidRPr="001A249C">
        <w:rPr>
          <w:rFonts w:ascii="Times New Roman" w:hAnsi="Times New Roman" w:cs="Times New Roman"/>
          <w:i/>
          <w:sz w:val="24"/>
          <w:szCs w:val="24"/>
        </w:rPr>
        <w:t xml:space="preserve"> and RPT is dependent on the threshold value of </w:t>
      </w:r>
      <w:r w:rsidR="007B43BB">
        <w:rPr>
          <w:rFonts w:ascii="Times New Roman" w:hAnsi="Times New Roman" w:cs="Times New Roman"/>
          <w:i/>
          <w:sz w:val="24"/>
          <w:szCs w:val="24"/>
        </w:rPr>
        <w:t>ISAF</w:t>
      </w:r>
      <w:r w:rsidRPr="001A249C">
        <w:rPr>
          <w:rFonts w:ascii="Times New Roman" w:hAnsi="Times New Roman" w:cs="Times New Roman"/>
          <w:i/>
          <w:sz w:val="24"/>
          <w:szCs w:val="24"/>
        </w:rPr>
        <w:t xml:space="preserve">. </w:t>
      </w:r>
      <w:r w:rsidR="002123F5">
        <w:rPr>
          <w:rFonts w:ascii="Times New Roman" w:hAnsi="Times New Roman" w:cs="Times New Roman"/>
          <w:i/>
          <w:sz w:val="24"/>
          <w:szCs w:val="24"/>
        </w:rPr>
        <w:t>Specifically, this study found that h</w:t>
      </w:r>
      <w:r w:rsidRPr="001A249C">
        <w:rPr>
          <w:rFonts w:ascii="Times New Roman" w:hAnsi="Times New Roman" w:cs="Times New Roman"/>
          <w:i/>
          <w:sz w:val="24"/>
          <w:szCs w:val="24"/>
        </w:rPr>
        <w:t xml:space="preserve">igher </w:t>
      </w:r>
      <w:r w:rsidR="002123F5">
        <w:rPr>
          <w:rFonts w:ascii="Times New Roman" w:hAnsi="Times New Roman" w:cs="Times New Roman"/>
          <w:i/>
          <w:sz w:val="24"/>
          <w:szCs w:val="24"/>
        </w:rPr>
        <w:t xml:space="preserve">market share </w:t>
      </w:r>
      <w:r w:rsidRPr="001A249C">
        <w:rPr>
          <w:rFonts w:ascii="Times New Roman" w:hAnsi="Times New Roman" w:cs="Times New Roman"/>
          <w:i/>
          <w:sz w:val="24"/>
          <w:szCs w:val="24"/>
        </w:rPr>
        <w:t>threshold (</w:t>
      </w:r>
      <w:r w:rsidR="007B43BB">
        <w:rPr>
          <w:rFonts w:ascii="Times New Roman" w:hAnsi="Times New Roman" w:cs="Times New Roman"/>
          <w:i/>
          <w:sz w:val="24"/>
          <w:szCs w:val="24"/>
        </w:rPr>
        <w:t>ISAF</w:t>
      </w:r>
      <w:r w:rsidRPr="001A249C">
        <w:rPr>
          <w:rFonts w:ascii="Times New Roman" w:hAnsi="Times New Roman" w:cs="Times New Roman"/>
          <w:i/>
          <w:sz w:val="24"/>
          <w:szCs w:val="24"/>
        </w:rPr>
        <w:t xml:space="preserve"> 20%) w</w:t>
      </w:r>
      <w:r w:rsidR="002123F5">
        <w:rPr>
          <w:rFonts w:ascii="Times New Roman" w:hAnsi="Times New Roman" w:cs="Times New Roman"/>
          <w:i/>
          <w:sz w:val="24"/>
          <w:szCs w:val="24"/>
        </w:rPr>
        <w:t>as</w:t>
      </w:r>
      <w:r w:rsidRPr="001A249C">
        <w:rPr>
          <w:rFonts w:ascii="Times New Roman" w:hAnsi="Times New Roman" w:cs="Times New Roman"/>
          <w:i/>
          <w:sz w:val="24"/>
          <w:szCs w:val="24"/>
        </w:rPr>
        <w:t xml:space="preserve"> positively related to RPT</w:t>
      </w:r>
      <w:r w:rsidR="002123F5">
        <w:rPr>
          <w:rFonts w:ascii="Times New Roman" w:hAnsi="Times New Roman" w:cs="Times New Roman"/>
          <w:i/>
          <w:sz w:val="24"/>
          <w:szCs w:val="24"/>
        </w:rPr>
        <w:t xml:space="preserve"> disclosure</w:t>
      </w:r>
      <w:r w:rsidRPr="001A249C">
        <w:rPr>
          <w:rFonts w:ascii="Times New Roman" w:hAnsi="Times New Roman" w:cs="Times New Roman"/>
          <w:i/>
          <w:sz w:val="24"/>
          <w:szCs w:val="24"/>
        </w:rPr>
        <w:t xml:space="preserve">. The results of this study can provide additional evidence that </w:t>
      </w:r>
      <w:r w:rsidR="00E275E2">
        <w:rPr>
          <w:rFonts w:ascii="Times New Roman" w:hAnsi="Times New Roman" w:cs="Times New Roman"/>
          <w:i/>
          <w:sz w:val="24"/>
          <w:szCs w:val="24"/>
        </w:rPr>
        <w:t xml:space="preserve">audit firm with high </w:t>
      </w:r>
      <w:r w:rsidR="007B43BB">
        <w:rPr>
          <w:rFonts w:ascii="Times New Roman" w:hAnsi="Times New Roman" w:cs="Times New Roman"/>
          <w:i/>
          <w:sz w:val="24"/>
          <w:szCs w:val="24"/>
        </w:rPr>
        <w:t xml:space="preserve">industry </w:t>
      </w:r>
      <w:r w:rsidR="00E275E2">
        <w:rPr>
          <w:rFonts w:ascii="Times New Roman" w:hAnsi="Times New Roman" w:cs="Times New Roman"/>
          <w:i/>
          <w:sz w:val="24"/>
          <w:szCs w:val="24"/>
        </w:rPr>
        <w:t>expertise are able to</w:t>
      </w:r>
      <w:r w:rsidRPr="00B53560">
        <w:rPr>
          <w:rFonts w:ascii="Times New Roman" w:hAnsi="Times New Roman" w:cs="Times New Roman"/>
          <w:i/>
          <w:sz w:val="24"/>
          <w:szCs w:val="24"/>
        </w:rPr>
        <w:t xml:space="preserve"> provide better quality audit services through increased of RPT disclosure</w:t>
      </w:r>
      <w:r>
        <w:rPr>
          <w:rFonts w:ascii="Times New Roman" w:hAnsi="Times New Roman" w:cs="Times New Roman"/>
          <w:i/>
          <w:sz w:val="24"/>
          <w:szCs w:val="24"/>
        </w:rPr>
        <w:t xml:space="preserve"> compared to non-specialist audit firm.</w:t>
      </w:r>
      <w:r w:rsidR="00E275E2">
        <w:rPr>
          <w:rFonts w:ascii="Times New Roman" w:hAnsi="Times New Roman" w:cs="Times New Roman"/>
          <w:i/>
          <w:sz w:val="24"/>
          <w:szCs w:val="24"/>
        </w:rPr>
        <w:t xml:space="preserve"> </w:t>
      </w:r>
      <w:r w:rsidR="00E275E2" w:rsidRPr="00E275E2">
        <w:rPr>
          <w:rFonts w:ascii="Times New Roman" w:hAnsi="Times New Roman" w:cs="Times New Roman"/>
          <w:i/>
          <w:sz w:val="24"/>
          <w:szCs w:val="24"/>
        </w:rPr>
        <w:t>Accounting practitioners and regulators may consider</w:t>
      </w:r>
      <w:r w:rsidR="00E275E2">
        <w:rPr>
          <w:rFonts w:ascii="Times New Roman" w:hAnsi="Times New Roman" w:cs="Times New Roman"/>
          <w:i/>
          <w:sz w:val="24"/>
          <w:szCs w:val="24"/>
        </w:rPr>
        <w:t xml:space="preserve"> </w:t>
      </w:r>
      <w:r w:rsidR="00E275E2" w:rsidRPr="00E275E2">
        <w:rPr>
          <w:rFonts w:ascii="Times New Roman" w:hAnsi="Times New Roman" w:cs="Times New Roman"/>
          <w:i/>
          <w:sz w:val="24"/>
          <w:szCs w:val="24"/>
        </w:rPr>
        <w:t>industry expertise</w:t>
      </w:r>
      <w:r w:rsidR="00E275E2">
        <w:rPr>
          <w:rFonts w:ascii="Times New Roman" w:hAnsi="Times New Roman" w:cs="Times New Roman"/>
          <w:i/>
          <w:sz w:val="24"/>
          <w:szCs w:val="24"/>
        </w:rPr>
        <w:t xml:space="preserve"> criteria</w:t>
      </w:r>
      <w:r w:rsidR="00E275E2" w:rsidRPr="00E275E2">
        <w:rPr>
          <w:rFonts w:ascii="Times New Roman" w:hAnsi="Times New Roman" w:cs="Times New Roman"/>
          <w:i/>
          <w:sz w:val="24"/>
          <w:szCs w:val="24"/>
        </w:rPr>
        <w:t xml:space="preserve"> in regulating companies involved in any contracts involving related parties.</w:t>
      </w:r>
    </w:p>
    <w:p w14:paraId="647904D7" w14:textId="77777777" w:rsidR="0092657A" w:rsidRDefault="0092657A" w:rsidP="00137BB4">
      <w:pPr>
        <w:spacing w:after="0" w:line="360" w:lineRule="auto"/>
        <w:jc w:val="both"/>
        <w:rPr>
          <w:rFonts w:ascii="Times New Roman" w:hAnsi="Times New Roman" w:cs="Times New Roman"/>
          <w:sz w:val="24"/>
          <w:szCs w:val="24"/>
        </w:rPr>
      </w:pPr>
    </w:p>
    <w:p w14:paraId="77D1F05C" w14:textId="73ACD1B2" w:rsidR="00111937" w:rsidRDefault="00D331D8" w:rsidP="00D331D8">
      <w:pPr>
        <w:spacing w:after="0" w:line="360" w:lineRule="auto"/>
        <w:jc w:val="center"/>
        <w:rPr>
          <w:rFonts w:ascii="Times New Roman" w:hAnsi="Times New Roman" w:cs="Times New Roman"/>
          <w:b/>
          <w:bCs/>
          <w:sz w:val="24"/>
          <w:szCs w:val="24"/>
        </w:rPr>
      </w:pPr>
      <w:r w:rsidRPr="00D331D8">
        <w:rPr>
          <w:rFonts w:ascii="Times New Roman" w:hAnsi="Times New Roman" w:cs="Times New Roman"/>
          <w:b/>
          <w:bCs/>
          <w:sz w:val="24"/>
          <w:szCs w:val="24"/>
        </w:rPr>
        <w:lastRenderedPageBreak/>
        <w:t>PENGENALAN</w:t>
      </w:r>
    </w:p>
    <w:p w14:paraId="47F5870F" w14:textId="77777777" w:rsidR="00D331D8" w:rsidRPr="00D331D8" w:rsidRDefault="00D331D8" w:rsidP="00D331D8">
      <w:pPr>
        <w:spacing w:after="0" w:line="360" w:lineRule="auto"/>
        <w:jc w:val="center"/>
        <w:rPr>
          <w:rFonts w:ascii="Times New Roman" w:hAnsi="Times New Roman" w:cs="Times New Roman"/>
          <w:b/>
          <w:bCs/>
          <w:sz w:val="24"/>
          <w:szCs w:val="24"/>
        </w:rPr>
      </w:pPr>
    </w:p>
    <w:p w14:paraId="4DD7E3D9" w14:textId="5510FF64" w:rsidR="00111937" w:rsidRDefault="00111937" w:rsidP="00976177">
      <w:pPr>
        <w:spacing w:after="0" w:line="240" w:lineRule="auto"/>
        <w:jc w:val="both"/>
        <w:rPr>
          <w:rFonts w:ascii="Times New Roman" w:hAnsi="Times New Roman" w:cs="Times New Roman"/>
          <w:sz w:val="24"/>
          <w:szCs w:val="24"/>
        </w:rPr>
      </w:pPr>
      <w:r w:rsidRPr="00111937">
        <w:rPr>
          <w:rFonts w:ascii="Times New Roman" w:hAnsi="Times New Roman" w:cs="Times New Roman"/>
          <w:sz w:val="24"/>
          <w:szCs w:val="24"/>
        </w:rPr>
        <w:t xml:space="preserve">Pendedahan </w:t>
      </w:r>
      <w:r>
        <w:rPr>
          <w:rFonts w:ascii="Times New Roman" w:hAnsi="Times New Roman" w:cs="Times New Roman"/>
          <w:sz w:val="24"/>
          <w:szCs w:val="24"/>
        </w:rPr>
        <w:t>urus niaga pihak berkaitan (</w:t>
      </w:r>
      <w:r w:rsidRPr="00111937">
        <w:rPr>
          <w:rFonts w:ascii="Times New Roman" w:hAnsi="Times New Roman" w:cs="Times New Roman"/>
          <w:sz w:val="24"/>
          <w:szCs w:val="24"/>
        </w:rPr>
        <w:t>UPB</w:t>
      </w:r>
      <w:r>
        <w:rPr>
          <w:rFonts w:ascii="Times New Roman" w:hAnsi="Times New Roman" w:cs="Times New Roman"/>
          <w:sz w:val="24"/>
          <w:szCs w:val="24"/>
        </w:rPr>
        <w:t>)</w:t>
      </w:r>
      <w:r w:rsidRPr="00111937">
        <w:rPr>
          <w:rFonts w:ascii="Times New Roman" w:hAnsi="Times New Roman" w:cs="Times New Roman"/>
          <w:sz w:val="24"/>
          <w:szCs w:val="24"/>
        </w:rPr>
        <w:t xml:space="preserve"> telah mendapat perhatian badan penggubal pi</w:t>
      </w:r>
      <w:r>
        <w:rPr>
          <w:rFonts w:ascii="Times New Roman" w:hAnsi="Times New Roman" w:cs="Times New Roman"/>
          <w:sz w:val="24"/>
          <w:szCs w:val="24"/>
        </w:rPr>
        <w:t>a</w:t>
      </w:r>
      <w:r w:rsidRPr="00111937">
        <w:rPr>
          <w:rFonts w:ascii="Times New Roman" w:hAnsi="Times New Roman" w:cs="Times New Roman"/>
          <w:sz w:val="24"/>
          <w:szCs w:val="24"/>
        </w:rPr>
        <w:t xml:space="preserve">waian perakaunan berikutan berlakunya banyak skandal perakaunan </w:t>
      </w:r>
      <w:r>
        <w:rPr>
          <w:rFonts w:ascii="Times New Roman" w:hAnsi="Times New Roman" w:cs="Times New Roman"/>
          <w:sz w:val="24"/>
          <w:szCs w:val="24"/>
        </w:rPr>
        <w:t>membabitkan</w:t>
      </w:r>
      <w:r w:rsidRPr="00111937">
        <w:rPr>
          <w:rFonts w:ascii="Times New Roman" w:hAnsi="Times New Roman" w:cs="Times New Roman"/>
          <w:sz w:val="24"/>
          <w:szCs w:val="24"/>
        </w:rPr>
        <w:t xml:space="preserve"> UPB.  Memandangkan UPB </w:t>
      </w:r>
      <w:r>
        <w:rPr>
          <w:rFonts w:ascii="Times New Roman" w:hAnsi="Times New Roman" w:cs="Times New Roman"/>
          <w:sz w:val="24"/>
          <w:szCs w:val="24"/>
        </w:rPr>
        <w:t xml:space="preserve">berpotensi digunakan untuk </w:t>
      </w:r>
      <w:r w:rsidRPr="00111937">
        <w:rPr>
          <w:rFonts w:ascii="Times New Roman" w:hAnsi="Times New Roman" w:cs="Times New Roman"/>
          <w:sz w:val="24"/>
          <w:szCs w:val="24"/>
        </w:rPr>
        <w:t xml:space="preserve">dua tujuan berbeza iaitu untuk kepentingan pihak dalaman syarikat yang oportunis </w:t>
      </w:r>
      <w:r>
        <w:rPr>
          <w:rFonts w:ascii="Times New Roman" w:hAnsi="Times New Roman" w:cs="Times New Roman"/>
          <w:sz w:val="24"/>
          <w:szCs w:val="24"/>
        </w:rPr>
        <w:t>(</w:t>
      </w:r>
      <w:bookmarkStart w:id="2" w:name="_Hlk81639804"/>
      <w:r w:rsidR="00120789">
        <w:rPr>
          <w:rFonts w:ascii="Times New Roman" w:hAnsi="Times New Roman" w:cs="Times New Roman"/>
          <w:sz w:val="24"/>
          <w:szCs w:val="24"/>
        </w:rPr>
        <w:t xml:space="preserve">Rahmat, Ali &amp; Mohd Salleh 2021; </w:t>
      </w:r>
      <w:r w:rsidR="00F15CF3" w:rsidRPr="00F15CF3">
        <w:rPr>
          <w:rFonts w:ascii="Times New Roman" w:hAnsi="Times New Roman" w:cs="Times New Roman"/>
          <w:sz w:val="24"/>
          <w:szCs w:val="24"/>
        </w:rPr>
        <w:t>Agnihotria &amp; Bhattacharya 20</w:t>
      </w:r>
      <w:bookmarkEnd w:id="2"/>
      <w:r w:rsidR="000B17D8">
        <w:rPr>
          <w:rFonts w:ascii="Times New Roman" w:hAnsi="Times New Roman" w:cs="Times New Roman"/>
          <w:sz w:val="24"/>
          <w:szCs w:val="24"/>
        </w:rPr>
        <w:t>19</w:t>
      </w:r>
      <w:r w:rsidR="00120789">
        <w:rPr>
          <w:rFonts w:ascii="Times New Roman" w:hAnsi="Times New Roman" w:cs="Times New Roman"/>
          <w:sz w:val="24"/>
          <w:szCs w:val="24"/>
        </w:rPr>
        <w:t xml:space="preserve">; </w:t>
      </w:r>
      <w:r w:rsidR="008D1879">
        <w:rPr>
          <w:rFonts w:ascii="Times New Roman" w:hAnsi="Times New Roman" w:cs="Times New Roman"/>
          <w:sz w:val="24"/>
          <w:szCs w:val="24"/>
        </w:rPr>
        <w:t>Ko</w:t>
      </w:r>
      <w:r w:rsidR="00EF6E89">
        <w:rPr>
          <w:rFonts w:ascii="Times New Roman" w:hAnsi="Times New Roman" w:cs="Times New Roman"/>
          <w:sz w:val="24"/>
          <w:szCs w:val="24"/>
        </w:rPr>
        <w:t>h</w:t>
      </w:r>
      <w:r w:rsidR="008D1879">
        <w:rPr>
          <w:rFonts w:ascii="Times New Roman" w:hAnsi="Times New Roman" w:cs="Times New Roman"/>
          <w:sz w:val="24"/>
          <w:szCs w:val="24"/>
        </w:rPr>
        <w:t>lbec</w:t>
      </w:r>
      <w:r w:rsidR="00120789">
        <w:rPr>
          <w:rFonts w:ascii="Times New Roman" w:hAnsi="Times New Roman" w:cs="Times New Roman"/>
          <w:sz w:val="24"/>
          <w:szCs w:val="24"/>
        </w:rPr>
        <w:t>k</w:t>
      </w:r>
      <w:r w:rsidR="008D1879">
        <w:rPr>
          <w:rFonts w:ascii="Times New Roman" w:hAnsi="Times New Roman" w:cs="Times New Roman"/>
          <w:sz w:val="24"/>
          <w:szCs w:val="24"/>
        </w:rPr>
        <w:t xml:space="preserve"> &amp; Mayhew 2010</w:t>
      </w:r>
      <w:r>
        <w:rPr>
          <w:rFonts w:ascii="Times New Roman" w:hAnsi="Times New Roman" w:cs="Times New Roman"/>
          <w:sz w:val="24"/>
          <w:szCs w:val="24"/>
        </w:rPr>
        <w:t xml:space="preserve">) </w:t>
      </w:r>
      <w:r w:rsidRPr="00111937">
        <w:rPr>
          <w:rFonts w:ascii="Times New Roman" w:hAnsi="Times New Roman" w:cs="Times New Roman"/>
          <w:sz w:val="24"/>
          <w:szCs w:val="24"/>
        </w:rPr>
        <w:t>atau untuk tujuan perniagaan yang sah</w:t>
      </w:r>
      <w:r>
        <w:rPr>
          <w:rFonts w:ascii="Times New Roman" w:hAnsi="Times New Roman" w:cs="Times New Roman"/>
          <w:sz w:val="24"/>
          <w:szCs w:val="24"/>
        </w:rPr>
        <w:t xml:space="preserve"> (</w:t>
      </w:r>
      <w:r w:rsidR="0034503E">
        <w:rPr>
          <w:rFonts w:ascii="Times New Roman" w:hAnsi="Times New Roman" w:cs="Times New Roman"/>
          <w:sz w:val="24"/>
          <w:szCs w:val="24"/>
        </w:rPr>
        <w:t xml:space="preserve">Md. Nor &amp; Ku Ismail 2017; </w:t>
      </w:r>
      <w:r w:rsidR="00120789">
        <w:rPr>
          <w:rFonts w:ascii="Times New Roman" w:hAnsi="Times New Roman" w:cs="Times New Roman"/>
          <w:sz w:val="24"/>
          <w:szCs w:val="24"/>
        </w:rPr>
        <w:t>Ryngaert &amp; Thomas 2012</w:t>
      </w:r>
      <w:r>
        <w:rPr>
          <w:rFonts w:ascii="Times New Roman" w:hAnsi="Times New Roman" w:cs="Times New Roman"/>
          <w:sz w:val="24"/>
          <w:szCs w:val="24"/>
        </w:rPr>
        <w:t>)</w:t>
      </w:r>
      <w:r w:rsidRPr="00111937">
        <w:rPr>
          <w:rFonts w:ascii="Times New Roman" w:hAnsi="Times New Roman" w:cs="Times New Roman"/>
          <w:sz w:val="24"/>
          <w:szCs w:val="24"/>
        </w:rPr>
        <w:t xml:space="preserve">, maka </w:t>
      </w:r>
      <w:r w:rsidR="0056563F" w:rsidRPr="0056563F">
        <w:rPr>
          <w:rFonts w:ascii="Times New Roman" w:hAnsi="Times New Roman" w:cs="Times New Roman"/>
          <w:i/>
          <w:sz w:val="24"/>
          <w:szCs w:val="24"/>
        </w:rPr>
        <w:t>Malaysian Financial Reporting Standards</w:t>
      </w:r>
      <w:r w:rsidR="0056563F">
        <w:rPr>
          <w:rFonts w:ascii="Times New Roman" w:hAnsi="Times New Roman" w:cs="Times New Roman"/>
          <w:sz w:val="24"/>
          <w:szCs w:val="24"/>
        </w:rPr>
        <w:t xml:space="preserve"> (</w:t>
      </w:r>
      <w:r w:rsidR="0056563F" w:rsidRPr="00111937">
        <w:rPr>
          <w:rFonts w:ascii="Times New Roman" w:hAnsi="Times New Roman" w:cs="Times New Roman"/>
          <w:sz w:val="24"/>
          <w:szCs w:val="24"/>
        </w:rPr>
        <w:t>MFRS</w:t>
      </w:r>
      <w:r w:rsidR="0056563F">
        <w:rPr>
          <w:rFonts w:ascii="Times New Roman" w:hAnsi="Times New Roman" w:cs="Times New Roman"/>
          <w:sz w:val="24"/>
          <w:szCs w:val="24"/>
        </w:rPr>
        <w:t>)</w:t>
      </w:r>
      <w:r w:rsidR="0056563F" w:rsidRPr="00111937">
        <w:rPr>
          <w:rFonts w:ascii="Times New Roman" w:hAnsi="Times New Roman" w:cs="Times New Roman"/>
          <w:sz w:val="24"/>
          <w:szCs w:val="24"/>
        </w:rPr>
        <w:t xml:space="preserve"> </w:t>
      </w:r>
      <w:r w:rsidR="0056563F" w:rsidRPr="00CE2B33">
        <w:rPr>
          <w:rFonts w:ascii="Times New Roman" w:hAnsi="Times New Roman" w:cs="Times New Roman"/>
          <w:i/>
          <w:sz w:val="24"/>
          <w:szCs w:val="24"/>
        </w:rPr>
        <w:t>124</w:t>
      </w:r>
      <w:r w:rsidR="00CE2B33">
        <w:rPr>
          <w:rFonts w:ascii="Times New Roman" w:hAnsi="Times New Roman" w:cs="Times New Roman"/>
          <w:sz w:val="24"/>
          <w:szCs w:val="24"/>
        </w:rPr>
        <w:t xml:space="preserve"> </w:t>
      </w:r>
      <w:r w:rsidR="00CE2B33" w:rsidRPr="00CE2B33">
        <w:rPr>
          <w:rFonts w:ascii="Times New Roman" w:hAnsi="Times New Roman" w:cs="Times New Roman"/>
          <w:i/>
          <w:sz w:val="24"/>
          <w:szCs w:val="24"/>
        </w:rPr>
        <w:t>Related Part</w:t>
      </w:r>
      <w:r w:rsidR="00CE2B33">
        <w:rPr>
          <w:rFonts w:ascii="Times New Roman" w:hAnsi="Times New Roman" w:cs="Times New Roman"/>
          <w:i/>
          <w:sz w:val="24"/>
          <w:szCs w:val="24"/>
        </w:rPr>
        <w:t>y</w:t>
      </w:r>
      <w:r w:rsidR="00CE2B33" w:rsidRPr="00CE2B33">
        <w:rPr>
          <w:rFonts w:ascii="Times New Roman" w:hAnsi="Times New Roman" w:cs="Times New Roman"/>
          <w:i/>
          <w:sz w:val="24"/>
          <w:szCs w:val="24"/>
        </w:rPr>
        <w:t xml:space="preserve"> Disclosures</w:t>
      </w:r>
      <w:r w:rsidR="00CE2B33">
        <w:rPr>
          <w:rFonts w:ascii="Times New Roman" w:hAnsi="Times New Roman" w:cs="Times New Roman"/>
          <w:sz w:val="24"/>
          <w:szCs w:val="24"/>
        </w:rPr>
        <w:t xml:space="preserve"> </w:t>
      </w:r>
      <w:r w:rsidR="001A1091">
        <w:rPr>
          <w:rFonts w:ascii="Times New Roman" w:hAnsi="Times New Roman" w:cs="Times New Roman"/>
          <w:sz w:val="24"/>
          <w:szCs w:val="24"/>
        </w:rPr>
        <w:t xml:space="preserve">telah </w:t>
      </w:r>
      <w:r w:rsidR="00CE2B33">
        <w:rPr>
          <w:rFonts w:ascii="Times New Roman" w:hAnsi="Times New Roman" w:cs="Times New Roman"/>
          <w:sz w:val="24"/>
          <w:szCs w:val="24"/>
        </w:rPr>
        <w:t xml:space="preserve">diterbitkan dalam tahun 2011 </w:t>
      </w:r>
      <w:r w:rsidR="0092288D">
        <w:rPr>
          <w:rFonts w:ascii="Times New Roman" w:hAnsi="Times New Roman" w:cs="Times New Roman"/>
          <w:sz w:val="24"/>
          <w:szCs w:val="24"/>
        </w:rPr>
        <w:t>untuk memastikan urus niaga ini dilaporkan dengan sewajarnya. MFRS 124 antara lain mengkehendaki p</w:t>
      </w:r>
      <w:r w:rsidRPr="00111937">
        <w:rPr>
          <w:rFonts w:ascii="Times New Roman" w:hAnsi="Times New Roman" w:cs="Times New Roman"/>
          <w:sz w:val="24"/>
          <w:szCs w:val="24"/>
        </w:rPr>
        <w:t>enyata kewangan</w:t>
      </w:r>
      <w:r w:rsidR="001A1091">
        <w:rPr>
          <w:rFonts w:ascii="Times New Roman" w:hAnsi="Times New Roman" w:cs="Times New Roman"/>
          <w:sz w:val="24"/>
          <w:szCs w:val="24"/>
        </w:rPr>
        <w:t xml:space="preserve"> </w:t>
      </w:r>
      <w:r w:rsidRPr="00111937">
        <w:rPr>
          <w:rFonts w:ascii="Times New Roman" w:hAnsi="Times New Roman" w:cs="Times New Roman"/>
          <w:sz w:val="24"/>
          <w:szCs w:val="24"/>
        </w:rPr>
        <w:t>syarikat mengandungi</w:t>
      </w:r>
      <w:r w:rsidR="001A1091">
        <w:rPr>
          <w:rFonts w:ascii="Times New Roman" w:hAnsi="Times New Roman" w:cs="Times New Roman"/>
          <w:sz w:val="24"/>
          <w:szCs w:val="24"/>
        </w:rPr>
        <w:t xml:space="preserve"> </w:t>
      </w:r>
      <w:r w:rsidRPr="00111937">
        <w:rPr>
          <w:rFonts w:ascii="Times New Roman" w:hAnsi="Times New Roman" w:cs="Times New Roman"/>
          <w:sz w:val="24"/>
          <w:szCs w:val="24"/>
        </w:rPr>
        <w:t>pendedahan berkaitan sifat hubungan, penerangan urus niaga, amaun yang terlibat serta komitmen untuk membolehkan pengguna memberi perhatian sewajarnya terhadap kemungkinan kedudukan kewangan dan keuntungan atau kerugian syarikat dipengaruhi oleh kewujudan UPB. Menurut Kholbeck dan Mayhew (2010)</w:t>
      </w:r>
      <w:r>
        <w:rPr>
          <w:rFonts w:ascii="Times New Roman" w:hAnsi="Times New Roman" w:cs="Times New Roman"/>
          <w:sz w:val="24"/>
          <w:szCs w:val="24"/>
        </w:rPr>
        <w:t>,</w:t>
      </w:r>
      <w:r w:rsidRPr="00111937">
        <w:rPr>
          <w:rFonts w:ascii="Times New Roman" w:hAnsi="Times New Roman" w:cs="Times New Roman"/>
          <w:sz w:val="24"/>
          <w:szCs w:val="24"/>
        </w:rPr>
        <w:t xml:space="preserve"> pendedahan </w:t>
      </w:r>
      <w:r>
        <w:rPr>
          <w:rFonts w:ascii="Times New Roman" w:hAnsi="Times New Roman" w:cs="Times New Roman"/>
          <w:sz w:val="24"/>
          <w:szCs w:val="24"/>
        </w:rPr>
        <w:t>UPB</w:t>
      </w:r>
      <w:r w:rsidRPr="00111937">
        <w:rPr>
          <w:rFonts w:ascii="Times New Roman" w:hAnsi="Times New Roman" w:cs="Times New Roman"/>
          <w:sz w:val="24"/>
          <w:szCs w:val="24"/>
        </w:rPr>
        <w:t xml:space="preserve"> </w:t>
      </w:r>
      <w:r>
        <w:rPr>
          <w:rFonts w:ascii="Times New Roman" w:hAnsi="Times New Roman" w:cs="Times New Roman"/>
          <w:sz w:val="24"/>
          <w:szCs w:val="24"/>
        </w:rPr>
        <w:t xml:space="preserve">dapat </w:t>
      </w:r>
      <w:r w:rsidRPr="00111937">
        <w:rPr>
          <w:rFonts w:ascii="Times New Roman" w:hAnsi="Times New Roman" w:cs="Times New Roman"/>
          <w:sz w:val="24"/>
          <w:szCs w:val="24"/>
        </w:rPr>
        <w:t>membantu pe</w:t>
      </w:r>
      <w:r w:rsidR="006928AF">
        <w:rPr>
          <w:rFonts w:ascii="Times New Roman" w:hAnsi="Times New Roman" w:cs="Times New Roman"/>
          <w:sz w:val="24"/>
          <w:szCs w:val="24"/>
        </w:rPr>
        <w:t>ngguna penyata kewangan</w:t>
      </w:r>
      <w:r w:rsidRPr="00111937">
        <w:rPr>
          <w:rFonts w:ascii="Times New Roman" w:hAnsi="Times New Roman" w:cs="Times New Roman"/>
          <w:sz w:val="24"/>
          <w:szCs w:val="24"/>
        </w:rPr>
        <w:t xml:space="preserve"> sama ada untuk mendisiplinkan syarikat atau sebagai langkah berjaga-jaga terhadap kesan UPB. </w:t>
      </w:r>
      <w:r w:rsidR="00CE2B33">
        <w:rPr>
          <w:rFonts w:ascii="Times New Roman" w:hAnsi="Times New Roman" w:cs="Times New Roman"/>
          <w:sz w:val="24"/>
          <w:szCs w:val="24"/>
        </w:rPr>
        <w:t xml:space="preserve">Namun, pelaporan UPB </w:t>
      </w:r>
      <w:r w:rsidR="006928AF">
        <w:rPr>
          <w:rFonts w:ascii="Times New Roman" w:hAnsi="Times New Roman" w:cs="Times New Roman"/>
          <w:sz w:val="24"/>
          <w:szCs w:val="24"/>
        </w:rPr>
        <w:t>di kalangan</w:t>
      </w:r>
      <w:r w:rsidR="00BE44FB">
        <w:rPr>
          <w:rFonts w:ascii="Times New Roman" w:hAnsi="Times New Roman" w:cs="Times New Roman"/>
          <w:sz w:val="24"/>
          <w:szCs w:val="24"/>
        </w:rPr>
        <w:t xml:space="preserve"> syarikat di Malaysia </w:t>
      </w:r>
      <w:r w:rsidR="00CE2B33">
        <w:rPr>
          <w:rFonts w:ascii="Times New Roman" w:hAnsi="Times New Roman" w:cs="Times New Roman"/>
          <w:sz w:val="24"/>
          <w:szCs w:val="24"/>
        </w:rPr>
        <w:t xml:space="preserve">masih </w:t>
      </w:r>
      <w:r w:rsidR="00BE44FB">
        <w:rPr>
          <w:rFonts w:ascii="Times New Roman" w:hAnsi="Times New Roman" w:cs="Times New Roman"/>
          <w:sz w:val="24"/>
          <w:szCs w:val="24"/>
        </w:rPr>
        <w:t xml:space="preserve">belum menyeluruh. </w:t>
      </w:r>
      <w:r>
        <w:rPr>
          <w:rFonts w:ascii="Times New Roman" w:hAnsi="Times New Roman" w:cs="Times New Roman"/>
          <w:sz w:val="24"/>
          <w:szCs w:val="24"/>
        </w:rPr>
        <w:t>B</w:t>
      </w:r>
      <w:r w:rsidRPr="00111937">
        <w:rPr>
          <w:rFonts w:ascii="Times New Roman" w:hAnsi="Times New Roman" w:cs="Times New Roman"/>
          <w:sz w:val="24"/>
          <w:szCs w:val="24"/>
        </w:rPr>
        <w:t>erdasarkan Laporan Tadbir Urus Korporat Malaysia-Asean 2014 sehingga 201</w:t>
      </w:r>
      <w:r w:rsidR="006E7855">
        <w:rPr>
          <w:rFonts w:ascii="Times New Roman" w:hAnsi="Times New Roman" w:cs="Times New Roman"/>
          <w:sz w:val="24"/>
          <w:szCs w:val="24"/>
        </w:rPr>
        <w:t>7</w:t>
      </w:r>
      <w:r w:rsidRPr="00111937">
        <w:rPr>
          <w:rFonts w:ascii="Times New Roman" w:hAnsi="Times New Roman" w:cs="Times New Roman"/>
          <w:sz w:val="24"/>
          <w:szCs w:val="24"/>
        </w:rPr>
        <w:t xml:space="preserve">, bilangan syarikat yang </w:t>
      </w:r>
      <w:r w:rsidR="006E7855">
        <w:rPr>
          <w:rFonts w:ascii="Times New Roman" w:hAnsi="Times New Roman" w:cs="Times New Roman"/>
          <w:sz w:val="24"/>
          <w:szCs w:val="24"/>
        </w:rPr>
        <w:t xml:space="preserve">melaporkan polisi pendedahan UPB yang adil dan dilaksanakan </w:t>
      </w:r>
      <w:r w:rsidR="00402F1E">
        <w:rPr>
          <w:rFonts w:ascii="Times New Roman" w:hAnsi="Times New Roman" w:cs="Times New Roman"/>
          <w:sz w:val="24"/>
          <w:szCs w:val="24"/>
        </w:rPr>
        <w:t>‘</w:t>
      </w:r>
      <w:r w:rsidR="006E7855" w:rsidRPr="00D31F42">
        <w:rPr>
          <w:rFonts w:ascii="Times New Roman" w:hAnsi="Times New Roman" w:cs="Times New Roman"/>
          <w:i/>
          <w:sz w:val="24"/>
          <w:szCs w:val="24"/>
        </w:rPr>
        <w:t>at arm’s length</w:t>
      </w:r>
      <w:r w:rsidR="00402F1E">
        <w:rPr>
          <w:rFonts w:ascii="Times New Roman" w:hAnsi="Times New Roman" w:cs="Times New Roman"/>
          <w:sz w:val="24"/>
          <w:szCs w:val="24"/>
        </w:rPr>
        <w:t>’</w:t>
      </w:r>
      <w:r w:rsidR="006E7855">
        <w:rPr>
          <w:rFonts w:ascii="Times New Roman" w:hAnsi="Times New Roman" w:cs="Times New Roman"/>
          <w:sz w:val="24"/>
          <w:szCs w:val="24"/>
        </w:rPr>
        <w:t xml:space="preserve"> semakin menurun dari 34% </w:t>
      </w:r>
      <w:r w:rsidRPr="00111937">
        <w:rPr>
          <w:rFonts w:ascii="Times New Roman" w:hAnsi="Times New Roman" w:cs="Times New Roman"/>
          <w:sz w:val="24"/>
          <w:szCs w:val="24"/>
        </w:rPr>
        <w:t xml:space="preserve">dalam tahun 2014 kepada </w:t>
      </w:r>
      <w:r w:rsidR="006E7855">
        <w:rPr>
          <w:rFonts w:ascii="Times New Roman" w:hAnsi="Times New Roman" w:cs="Times New Roman"/>
          <w:sz w:val="24"/>
          <w:szCs w:val="24"/>
        </w:rPr>
        <w:t>16</w:t>
      </w:r>
      <w:r w:rsidRPr="00111937">
        <w:rPr>
          <w:rFonts w:ascii="Times New Roman" w:hAnsi="Times New Roman" w:cs="Times New Roman"/>
          <w:sz w:val="24"/>
          <w:szCs w:val="24"/>
        </w:rPr>
        <w:t xml:space="preserve">% dalam tahun 2017. </w:t>
      </w:r>
      <w:r>
        <w:rPr>
          <w:rFonts w:ascii="Times New Roman" w:hAnsi="Times New Roman" w:cs="Times New Roman"/>
          <w:sz w:val="24"/>
          <w:szCs w:val="24"/>
        </w:rPr>
        <w:t xml:space="preserve">Laporan tersebut juga menunjukkan </w:t>
      </w:r>
      <w:r w:rsidR="006E7855">
        <w:rPr>
          <w:rFonts w:ascii="Times New Roman" w:hAnsi="Times New Roman" w:cs="Times New Roman"/>
          <w:sz w:val="24"/>
          <w:szCs w:val="24"/>
        </w:rPr>
        <w:t xml:space="preserve">dalam tahun 2017, </w:t>
      </w:r>
      <w:r>
        <w:rPr>
          <w:rFonts w:ascii="Times New Roman" w:hAnsi="Times New Roman" w:cs="Times New Roman"/>
          <w:sz w:val="24"/>
          <w:szCs w:val="24"/>
        </w:rPr>
        <w:t>hanya 43% syarikat yang mendedahkan nama, hubungan, sifat</w:t>
      </w:r>
      <w:r w:rsidR="006E7855">
        <w:rPr>
          <w:rFonts w:ascii="Times New Roman" w:hAnsi="Times New Roman" w:cs="Times New Roman"/>
          <w:sz w:val="24"/>
          <w:szCs w:val="24"/>
        </w:rPr>
        <w:t xml:space="preserve"> </w:t>
      </w:r>
      <w:r w:rsidR="00D31F42">
        <w:rPr>
          <w:rFonts w:ascii="Times New Roman" w:hAnsi="Times New Roman" w:cs="Times New Roman"/>
          <w:sz w:val="24"/>
          <w:szCs w:val="24"/>
        </w:rPr>
        <w:t xml:space="preserve">dan </w:t>
      </w:r>
      <w:r w:rsidR="006E7855">
        <w:rPr>
          <w:rFonts w:ascii="Times New Roman" w:hAnsi="Times New Roman" w:cs="Times New Roman"/>
          <w:sz w:val="24"/>
          <w:szCs w:val="24"/>
        </w:rPr>
        <w:t xml:space="preserve">nilai UPB. </w:t>
      </w:r>
      <w:r w:rsidRPr="00111937">
        <w:rPr>
          <w:rFonts w:ascii="Times New Roman" w:hAnsi="Times New Roman" w:cs="Times New Roman"/>
          <w:sz w:val="24"/>
          <w:szCs w:val="24"/>
        </w:rPr>
        <w:t xml:space="preserve"> </w:t>
      </w:r>
      <w:r w:rsidR="006E7855">
        <w:rPr>
          <w:rFonts w:ascii="Times New Roman" w:hAnsi="Times New Roman" w:cs="Times New Roman"/>
          <w:sz w:val="24"/>
          <w:szCs w:val="24"/>
        </w:rPr>
        <w:t xml:space="preserve">Ini memberi isyarat bahawa pengguna penyata kewangan terutamanya pemegang saham minoriti di Malaysia berkemungkinan terdedah dengan risiko penyalahgunaan UPB jika </w:t>
      </w:r>
      <w:r w:rsidR="00844AC7">
        <w:rPr>
          <w:rFonts w:ascii="Times New Roman" w:hAnsi="Times New Roman" w:cs="Times New Roman"/>
          <w:sz w:val="24"/>
          <w:szCs w:val="24"/>
        </w:rPr>
        <w:t>tiada pendedahan secukupnya.</w:t>
      </w:r>
    </w:p>
    <w:p w14:paraId="6CC62F26" w14:textId="77777777" w:rsidR="00976177" w:rsidRDefault="00976177" w:rsidP="00976177">
      <w:pPr>
        <w:spacing w:after="0" w:line="240" w:lineRule="auto"/>
        <w:jc w:val="both"/>
        <w:rPr>
          <w:rFonts w:ascii="Times New Roman" w:hAnsi="Times New Roman" w:cs="Times New Roman"/>
          <w:sz w:val="24"/>
          <w:szCs w:val="24"/>
        </w:rPr>
      </w:pPr>
    </w:p>
    <w:p w14:paraId="152B5ECA" w14:textId="1CB1FB5E" w:rsidR="00900247" w:rsidRDefault="00111937" w:rsidP="00D331D8">
      <w:pPr>
        <w:spacing w:after="0" w:line="240" w:lineRule="auto"/>
        <w:ind w:firstLine="720"/>
        <w:jc w:val="both"/>
        <w:rPr>
          <w:rFonts w:ascii="Times New Roman" w:hAnsi="Times New Roman" w:cs="Times New Roman"/>
          <w:sz w:val="24"/>
          <w:szCs w:val="24"/>
        </w:rPr>
      </w:pPr>
      <w:r w:rsidRPr="00111937">
        <w:rPr>
          <w:rFonts w:ascii="Times New Roman" w:hAnsi="Times New Roman" w:cs="Times New Roman"/>
          <w:sz w:val="24"/>
          <w:szCs w:val="24"/>
        </w:rPr>
        <w:t xml:space="preserve">Badan </w:t>
      </w:r>
      <w:r w:rsidR="006E7855">
        <w:rPr>
          <w:rFonts w:ascii="Times New Roman" w:hAnsi="Times New Roman" w:cs="Times New Roman"/>
          <w:sz w:val="24"/>
          <w:szCs w:val="24"/>
        </w:rPr>
        <w:t>profesional</w:t>
      </w:r>
      <w:r w:rsidR="006A3C53">
        <w:rPr>
          <w:rFonts w:ascii="Times New Roman" w:hAnsi="Times New Roman" w:cs="Times New Roman"/>
          <w:sz w:val="24"/>
          <w:szCs w:val="24"/>
        </w:rPr>
        <w:t xml:space="preserve"> </w:t>
      </w:r>
      <w:r w:rsidRPr="00111937">
        <w:rPr>
          <w:rFonts w:ascii="Times New Roman" w:hAnsi="Times New Roman" w:cs="Times New Roman"/>
          <w:sz w:val="24"/>
          <w:szCs w:val="24"/>
        </w:rPr>
        <w:t>perakaunan</w:t>
      </w:r>
      <w:r w:rsidR="006E7855">
        <w:rPr>
          <w:rFonts w:ascii="Times New Roman" w:hAnsi="Times New Roman" w:cs="Times New Roman"/>
          <w:sz w:val="24"/>
          <w:szCs w:val="24"/>
        </w:rPr>
        <w:t xml:space="preserve"> </w:t>
      </w:r>
      <w:r w:rsidRPr="00111937">
        <w:rPr>
          <w:rFonts w:ascii="Times New Roman" w:hAnsi="Times New Roman" w:cs="Times New Roman"/>
          <w:sz w:val="24"/>
          <w:szCs w:val="24"/>
        </w:rPr>
        <w:t xml:space="preserve">telah lama </w:t>
      </w:r>
      <w:r w:rsidR="00D31F42">
        <w:rPr>
          <w:rFonts w:ascii="Times New Roman" w:hAnsi="Times New Roman" w:cs="Times New Roman"/>
          <w:sz w:val="24"/>
          <w:szCs w:val="24"/>
        </w:rPr>
        <w:t>berp</w:t>
      </w:r>
      <w:r w:rsidR="00AE6544">
        <w:rPr>
          <w:rFonts w:ascii="Times New Roman" w:hAnsi="Times New Roman" w:cs="Times New Roman"/>
          <w:sz w:val="24"/>
          <w:szCs w:val="24"/>
        </w:rPr>
        <w:t>andangan</w:t>
      </w:r>
      <w:r w:rsidRPr="00111937">
        <w:rPr>
          <w:rFonts w:ascii="Times New Roman" w:hAnsi="Times New Roman" w:cs="Times New Roman"/>
          <w:sz w:val="24"/>
          <w:szCs w:val="24"/>
        </w:rPr>
        <w:t xml:space="preserve"> bahawa </w:t>
      </w:r>
      <w:r w:rsidR="00D331D8">
        <w:rPr>
          <w:rFonts w:ascii="Times New Roman" w:hAnsi="Times New Roman" w:cs="Times New Roman"/>
          <w:sz w:val="24"/>
          <w:szCs w:val="24"/>
        </w:rPr>
        <w:t xml:space="preserve">firma audit pakar </w:t>
      </w:r>
      <w:r w:rsidR="00CE5889">
        <w:rPr>
          <w:rFonts w:ascii="Times New Roman" w:hAnsi="Times New Roman" w:cs="Times New Roman"/>
          <w:sz w:val="24"/>
          <w:szCs w:val="24"/>
        </w:rPr>
        <w:t>industri (</w:t>
      </w:r>
      <w:r w:rsidR="004D7323">
        <w:rPr>
          <w:rFonts w:ascii="Times New Roman" w:hAnsi="Times New Roman" w:cs="Times New Roman"/>
          <w:sz w:val="24"/>
          <w:szCs w:val="24"/>
        </w:rPr>
        <w:t>FAPI</w:t>
      </w:r>
      <w:r w:rsidR="006E7855">
        <w:rPr>
          <w:rFonts w:ascii="Times New Roman" w:hAnsi="Times New Roman" w:cs="Times New Roman"/>
          <w:sz w:val="24"/>
          <w:szCs w:val="24"/>
        </w:rPr>
        <w:t xml:space="preserve">) iaitu firma audit yang mempunyai pengetahuan dan kepakaran dalam industri </w:t>
      </w:r>
      <w:r w:rsidR="006A3C53">
        <w:rPr>
          <w:rFonts w:ascii="Times New Roman" w:hAnsi="Times New Roman" w:cs="Times New Roman"/>
          <w:sz w:val="24"/>
          <w:szCs w:val="24"/>
        </w:rPr>
        <w:t xml:space="preserve">tertentu </w:t>
      </w:r>
      <w:r w:rsidRPr="00111937">
        <w:rPr>
          <w:rFonts w:ascii="Times New Roman" w:hAnsi="Times New Roman" w:cs="Times New Roman"/>
          <w:sz w:val="24"/>
          <w:szCs w:val="24"/>
        </w:rPr>
        <w:t xml:space="preserve">dapat </w:t>
      </w:r>
      <w:r w:rsidR="006A3C53" w:rsidRPr="00624147">
        <w:rPr>
          <w:rFonts w:ascii="Times New Roman" w:hAnsi="Times New Roman" w:cs="Times New Roman"/>
          <w:sz w:val="24"/>
          <w:szCs w:val="24"/>
        </w:rPr>
        <w:t xml:space="preserve">memberi perkhidmatan audit </w:t>
      </w:r>
      <w:r w:rsidR="006A3C53">
        <w:rPr>
          <w:rFonts w:ascii="Times New Roman" w:hAnsi="Times New Roman" w:cs="Times New Roman"/>
          <w:sz w:val="24"/>
          <w:szCs w:val="24"/>
        </w:rPr>
        <w:t xml:space="preserve">yang lebih </w:t>
      </w:r>
      <w:r w:rsidR="006A3C53" w:rsidRPr="00624147">
        <w:rPr>
          <w:rFonts w:ascii="Times New Roman" w:hAnsi="Times New Roman" w:cs="Times New Roman"/>
          <w:sz w:val="24"/>
          <w:szCs w:val="24"/>
        </w:rPr>
        <w:t xml:space="preserve">berkualiti berbanding </w:t>
      </w:r>
      <w:r w:rsidR="006A3C53">
        <w:rPr>
          <w:rFonts w:ascii="Times New Roman" w:hAnsi="Times New Roman" w:cs="Times New Roman"/>
          <w:sz w:val="24"/>
          <w:szCs w:val="24"/>
        </w:rPr>
        <w:t>firma audit</w:t>
      </w:r>
      <w:r w:rsidR="006A3C53" w:rsidRPr="00624147">
        <w:rPr>
          <w:rFonts w:ascii="Times New Roman" w:hAnsi="Times New Roman" w:cs="Times New Roman"/>
          <w:sz w:val="24"/>
          <w:szCs w:val="24"/>
        </w:rPr>
        <w:t xml:space="preserve"> bukan pakar</w:t>
      </w:r>
      <w:r w:rsidR="00D236D3">
        <w:rPr>
          <w:rFonts w:ascii="Times New Roman" w:hAnsi="Times New Roman" w:cs="Times New Roman"/>
          <w:sz w:val="24"/>
          <w:szCs w:val="24"/>
        </w:rPr>
        <w:t xml:space="preserve"> (ICAEW 2010).</w:t>
      </w:r>
      <w:r w:rsidR="0034503E">
        <w:rPr>
          <w:rFonts w:ascii="Times New Roman" w:hAnsi="Times New Roman" w:cs="Times New Roman"/>
          <w:sz w:val="24"/>
          <w:szCs w:val="24"/>
        </w:rPr>
        <w:t xml:space="preserve"> </w:t>
      </w:r>
      <w:r w:rsidR="00D31F42">
        <w:rPr>
          <w:rFonts w:ascii="Times New Roman" w:hAnsi="Times New Roman" w:cs="Times New Roman"/>
          <w:sz w:val="24"/>
          <w:szCs w:val="24"/>
        </w:rPr>
        <w:t>P</w:t>
      </w:r>
      <w:r w:rsidR="00AE6544">
        <w:rPr>
          <w:rFonts w:ascii="Times New Roman" w:hAnsi="Times New Roman" w:cs="Times New Roman"/>
          <w:sz w:val="24"/>
          <w:szCs w:val="24"/>
        </w:rPr>
        <w:t>andangan</w:t>
      </w:r>
      <w:r w:rsidR="006A3C53">
        <w:rPr>
          <w:rFonts w:ascii="Times New Roman" w:hAnsi="Times New Roman" w:cs="Times New Roman"/>
          <w:sz w:val="24"/>
          <w:szCs w:val="24"/>
        </w:rPr>
        <w:t xml:space="preserve"> tersebut </w:t>
      </w:r>
      <w:r w:rsidRPr="00111937">
        <w:rPr>
          <w:rFonts w:ascii="Times New Roman" w:hAnsi="Times New Roman" w:cs="Times New Roman"/>
          <w:sz w:val="24"/>
          <w:szCs w:val="24"/>
        </w:rPr>
        <w:t xml:space="preserve">telah dibuktikan oleh kajian </w:t>
      </w:r>
      <w:r w:rsidR="00516D5A">
        <w:rPr>
          <w:rFonts w:ascii="Times New Roman" w:hAnsi="Times New Roman" w:cs="Times New Roman"/>
          <w:sz w:val="24"/>
          <w:szCs w:val="24"/>
        </w:rPr>
        <w:t>yang dijalankan oleh</w:t>
      </w:r>
      <w:r w:rsidR="006A3C53">
        <w:rPr>
          <w:rFonts w:ascii="Times New Roman" w:hAnsi="Times New Roman" w:cs="Times New Roman"/>
          <w:sz w:val="24"/>
          <w:szCs w:val="24"/>
        </w:rPr>
        <w:t xml:space="preserve"> </w:t>
      </w:r>
      <w:bookmarkStart w:id="3" w:name="_Hlk81121510"/>
      <w:r w:rsidR="0025766A">
        <w:rPr>
          <w:rFonts w:ascii="Times New Roman" w:hAnsi="Times New Roman" w:cs="Times New Roman"/>
          <w:sz w:val="24"/>
          <w:szCs w:val="24"/>
        </w:rPr>
        <w:t xml:space="preserve">Mohd </w:t>
      </w:r>
      <w:r w:rsidR="0025766A" w:rsidRPr="0025766A">
        <w:rPr>
          <w:rFonts w:ascii="Times New Roman" w:hAnsi="Times New Roman" w:cs="Times New Roman"/>
          <w:sz w:val="24"/>
          <w:szCs w:val="24"/>
        </w:rPr>
        <w:t xml:space="preserve">Kharuddin, Basioudis dan Al Farooque (2021), </w:t>
      </w:r>
      <w:r w:rsidR="0034503E">
        <w:rPr>
          <w:rFonts w:ascii="Times New Roman" w:hAnsi="Times New Roman" w:cs="Times New Roman"/>
          <w:sz w:val="24"/>
          <w:szCs w:val="24"/>
        </w:rPr>
        <w:t xml:space="preserve">Gul, Fung dan Jaggi (2009), </w:t>
      </w:r>
      <w:r w:rsidR="006A3C53" w:rsidRPr="00624147">
        <w:rPr>
          <w:rFonts w:ascii="Times New Roman" w:hAnsi="Times New Roman" w:cs="Times New Roman"/>
          <w:sz w:val="24"/>
          <w:szCs w:val="24"/>
        </w:rPr>
        <w:t xml:space="preserve">Dunn </w:t>
      </w:r>
      <w:r w:rsidR="006A3C53">
        <w:rPr>
          <w:rFonts w:ascii="Times New Roman" w:hAnsi="Times New Roman" w:cs="Times New Roman"/>
          <w:sz w:val="24"/>
          <w:szCs w:val="24"/>
        </w:rPr>
        <w:t>dan</w:t>
      </w:r>
      <w:r w:rsidR="006A3C53" w:rsidRPr="00624147">
        <w:rPr>
          <w:rFonts w:ascii="Times New Roman" w:hAnsi="Times New Roman" w:cs="Times New Roman"/>
          <w:sz w:val="24"/>
          <w:szCs w:val="24"/>
        </w:rPr>
        <w:t xml:space="preserve"> Mayhew </w:t>
      </w:r>
      <w:r w:rsidR="006A3C53">
        <w:rPr>
          <w:rFonts w:ascii="Times New Roman" w:hAnsi="Times New Roman" w:cs="Times New Roman"/>
          <w:sz w:val="24"/>
          <w:szCs w:val="24"/>
        </w:rPr>
        <w:t>(</w:t>
      </w:r>
      <w:r w:rsidR="006A3C53" w:rsidRPr="00624147">
        <w:rPr>
          <w:rFonts w:ascii="Times New Roman" w:hAnsi="Times New Roman" w:cs="Times New Roman"/>
          <w:sz w:val="24"/>
          <w:szCs w:val="24"/>
        </w:rPr>
        <w:t>2004</w:t>
      </w:r>
      <w:r w:rsidR="006A3C53">
        <w:rPr>
          <w:rFonts w:ascii="Times New Roman" w:hAnsi="Times New Roman" w:cs="Times New Roman"/>
          <w:sz w:val="24"/>
          <w:szCs w:val="24"/>
        </w:rPr>
        <w:t>)</w:t>
      </w:r>
      <w:r w:rsidR="006A3C53" w:rsidRPr="00624147">
        <w:rPr>
          <w:rFonts w:ascii="Times New Roman" w:hAnsi="Times New Roman" w:cs="Times New Roman"/>
          <w:sz w:val="24"/>
          <w:szCs w:val="24"/>
        </w:rPr>
        <w:t xml:space="preserve">, Balsam, Krishnan </w:t>
      </w:r>
      <w:r w:rsidR="006A3C53">
        <w:rPr>
          <w:rFonts w:ascii="Times New Roman" w:hAnsi="Times New Roman" w:cs="Times New Roman"/>
          <w:sz w:val="24"/>
          <w:szCs w:val="24"/>
        </w:rPr>
        <w:t>dan</w:t>
      </w:r>
      <w:r w:rsidR="006A3C53" w:rsidRPr="00624147">
        <w:rPr>
          <w:rFonts w:ascii="Times New Roman" w:hAnsi="Times New Roman" w:cs="Times New Roman"/>
          <w:sz w:val="24"/>
          <w:szCs w:val="24"/>
        </w:rPr>
        <w:t xml:space="preserve"> Yang</w:t>
      </w:r>
      <w:r w:rsidR="006A3C53">
        <w:rPr>
          <w:rFonts w:ascii="Times New Roman" w:hAnsi="Times New Roman" w:cs="Times New Roman"/>
          <w:sz w:val="24"/>
          <w:szCs w:val="24"/>
        </w:rPr>
        <w:t xml:space="preserve"> (</w:t>
      </w:r>
      <w:r w:rsidR="006A3C53" w:rsidRPr="00624147">
        <w:rPr>
          <w:rFonts w:ascii="Times New Roman" w:hAnsi="Times New Roman" w:cs="Times New Roman"/>
          <w:sz w:val="24"/>
          <w:szCs w:val="24"/>
        </w:rPr>
        <w:t>2003</w:t>
      </w:r>
      <w:r w:rsidR="006A3C53">
        <w:rPr>
          <w:rFonts w:ascii="Times New Roman" w:hAnsi="Times New Roman" w:cs="Times New Roman"/>
          <w:sz w:val="24"/>
          <w:szCs w:val="24"/>
        </w:rPr>
        <w:t xml:space="preserve">) </w:t>
      </w:r>
      <w:r w:rsidR="00D236D3">
        <w:rPr>
          <w:rFonts w:ascii="Times New Roman" w:hAnsi="Times New Roman" w:cs="Times New Roman"/>
          <w:sz w:val="24"/>
          <w:szCs w:val="24"/>
        </w:rPr>
        <w:t>serta</w:t>
      </w:r>
      <w:r w:rsidR="006A3C53">
        <w:rPr>
          <w:rFonts w:ascii="Times New Roman" w:hAnsi="Times New Roman" w:cs="Times New Roman"/>
          <w:sz w:val="24"/>
          <w:szCs w:val="24"/>
        </w:rPr>
        <w:t xml:space="preserve"> Krishnan (2003</w:t>
      </w:r>
      <w:r w:rsidR="006A3C53" w:rsidRPr="00624147">
        <w:rPr>
          <w:rFonts w:ascii="Times New Roman" w:hAnsi="Times New Roman" w:cs="Times New Roman"/>
          <w:sz w:val="24"/>
          <w:szCs w:val="24"/>
        </w:rPr>
        <w:t>)</w:t>
      </w:r>
      <w:bookmarkEnd w:id="3"/>
      <w:r w:rsidR="006A3C53" w:rsidRPr="00624147">
        <w:rPr>
          <w:rFonts w:ascii="Times New Roman" w:hAnsi="Times New Roman" w:cs="Times New Roman"/>
          <w:sz w:val="24"/>
          <w:szCs w:val="24"/>
        </w:rPr>
        <w:t xml:space="preserve">.  </w:t>
      </w:r>
      <w:r w:rsidR="00677569">
        <w:rPr>
          <w:rFonts w:ascii="Times New Roman" w:hAnsi="Times New Roman" w:cs="Times New Roman"/>
          <w:sz w:val="24"/>
          <w:szCs w:val="24"/>
        </w:rPr>
        <w:t xml:space="preserve">Syarikat melihat </w:t>
      </w:r>
      <w:r w:rsidR="00516D5A">
        <w:rPr>
          <w:rFonts w:ascii="Times New Roman" w:hAnsi="Times New Roman" w:cs="Times New Roman"/>
          <w:sz w:val="24"/>
          <w:szCs w:val="24"/>
        </w:rPr>
        <w:t xml:space="preserve">pemilihan </w:t>
      </w:r>
      <w:r w:rsidR="004D7323">
        <w:rPr>
          <w:rFonts w:ascii="Times New Roman" w:hAnsi="Times New Roman" w:cs="Times New Roman"/>
          <w:sz w:val="24"/>
          <w:szCs w:val="24"/>
        </w:rPr>
        <w:t>FAPI</w:t>
      </w:r>
      <w:r w:rsidR="006A3C53">
        <w:rPr>
          <w:rFonts w:ascii="Times New Roman" w:hAnsi="Times New Roman" w:cs="Times New Roman"/>
          <w:sz w:val="24"/>
          <w:szCs w:val="24"/>
        </w:rPr>
        <w:t xml:space="preserve"> </w:t>
      </w:r>
      <w:r w:rsidR="0034503E">
        <w:rPr>
          <w:rFonts w:ascii="Times New Roman" w:hAnsi="Times New Roman" w:cs="Times New Roman"/>
          <w:sz w:val="24"/>
          <w:szCs w:val="24"/>
        </w:rPr>
        <w:t xml:space="preserve">sebagai satu </w:t>
      </w:r>
      <w:r w:rsidR="00516D5A">
        <w:rPr>
          <w:rFonts w:ascii="Times New Roman" w:hAnsi="Times New Roman" w:cs="Times New Roman"/>
          <w:sz w:val="24"/>
          <w:szCs w:val="24"/>
        </w:rPr>
        <w:t>strategi pendedahan</w:t>
      </w:r>
      <w:r w:rsidR="0034503E">
        <w:rPr>
          <w:rFonts w:ascii="Times New Roman" w:hAnsi="Times New Roman" w:cs="Times New Roman"/>
          <w:sz w:val="24"/>
          <w:szCs w:val="24"/>
        </w:rPr>
        <w:t xml:space="preserve"> </w:t>
      </w:r>
      <w:r w:rsidR="0030791F">
        <w:rPr>
          <w:rFonts w:ascii="Times New Roman" w:hAnsi="Times New Roman" w:cs="Times New Roman"/>
          <w:sz w:val="24"/>
          <w:szCs w:val="24"/>
        </w:rPr>
        <w:t xml:space="preserve">yang membolehkan syarikat </w:t>
      </w:r>
      <w:r w:rsidR="00174CA6" w:rsidRPr="00174CA6">
        <w:rPr>
          <w:rFonts w:ascii="Times New Roman" w:hAnsi="Times New Roman" w:cs="Times New Roman"/>
          <w:sz w:val="24"/>
          <w:szCs w:val="24"/>
        </w:rPr>
        <w:t xml:space="preserve">(1) </w:t>
      </w:r>
      <w:r w:rsidR="002D1F37">
        <w:rPr>
          <w:rFonts w:ascii="Times New Roman" w:hAnsi="Times New Roman" w:cs="Times New Roman"/>
          <w:sz w:val="24"/>
          <w:szCs w:val="24"/>
        </w:rPr>
        <w:t xml:space="preserve">memperoleh </w:t>
      </w:r>
      <w:r w:rsidR="00174CA6" w:rsidRPr="00174CA6">
        <w:rPr>
          <w:rFonts w:ascii="Times New Roman" w:hAnsi="Times New Roman" w:cs="Times New Roman"/>
          <w:sz w:val="24"/>
          <w:szCs w:val="24"/>
        </w:rPr>
        <w:t>manfaat nilai tambah</w:t>
      </w:r>
      <w:r w:rsidR="002D1F37">
        <w:rPr>
          <w:rFonts w:ascii="Times New Roman" w:hAnsi="Times New Roman" w:cs="Times New Roman"/>
          <w:sz w:val="24"/>
          <w:szCs w:val="24"/>
        </w:rPr>
        <w:t xml:space="preserve"> </w:t>
      </w:r>
      <w:r w:rsidR="00986005">
        <w:rPr>
          <w:rFonts w:ascii="Times New Roman" w:hAnsi="Times New Roman" w:cs="Times New Roman"/>
          <w:sz w:val="24"/>
          <w:szCs w:val="24"/>
        </w:rPr>
        <w:t>termasuk</w:t>
      </w:r>
      <w:r w:rsidR="00174CA6" w:rsidRPr="00174CA6">
        <w:rPr>
          <w:rFonts w:ascii="Times New Roman" w:hAnsi="Times New Roman" w:cs="Times New Roman"/>
          <w:sz w:val="24"/>
          <w:szCs w:val="24"/>
        </w:rPr>
        <w:t xml:space="preserve"> yuran </w:t>
      </w:r>
      <w:r w:rsidR="002D1F37">
        <w:rPr>
          <w:rFonts w:ascii="Times New Roman" w:hAnsi="Times New Roman" w:cs="Times New Roman"/>
          <w:sz w:val="24"/>
          <w:szCs w:val="24"/>
        </w:rPr>
        <w:t xml:space="preserve">audit </w:t>
      </w:r>
      <w:r w:rsidR="00174CA6" w:rsidRPr="00174CA6">
        <w:rPr>
          <w:rFonts w:ascii="Times New Roman" w:hAnsi="Times New Roman" w:cs="Times New Roman"/>
          <w:sz w:val="24"/>
          <w:szCs w:val="24"/>
        </w:rPr>
        <w:t>yang</w:t>
      </w:r>
      <w:r w:rsidR="002D1F37">
        <w:rPr>
          <w:rFonts w:ascii="Times New Roman" w:hAnsi="Times New Roman" w:cs="Times New Roman"/>
          <w:sz w:val="24"/>
          <w:szCs w:val="24"/>
        </w:rPr>
        <w:t xml:space="preserve"> </w:t>
      </w:r>
      <w:r w:rsidR="00174CA6" w:rsidRPr="00174CA6">
        <w:rPr>
          <w:rFonts w:ascii="Times New Roman" w:hAnsi="Times New Roman" w:cs="Times New Roman"/>
          <w:sz w:val="24"/>
          <w:szCs w:val="24"/>
        </w:rPr>
        <w:t>rendah,</w:t>
      </w:r>
      <w:r w:rsidR="002D1F37">
        <w:rPr>
          <w:rFonts w:ascii="Times New Roman" w:hAnsi="Times New Roman" w:cs="Times New Roman"/>
          <w:sz w:val="24"/>
          <w:szCs w:val="24"/>
        </w:rPr>
        <w:t xml:space="preserve"> kualiti audit </w:t>
      </w:r>
      <w:r w:rsidR="00986005">
        <w:rPr>
          <w:rFonts w:ascii="Times New Roman" w:hAnsi="Times New Roman" w:cs="Times New Roman"/>
          <w:sz w:val="24"/>
          <w:szCs w:val="24"/>
        </w:rPr>
        <w:t>yang dipertingkatkan serta</w:t>
      </w:r>
      <w:r w:rsidR="002D1F37">
        <w:rPr>
          <w:rFonts w:ascii="Times New Roman" w:hAnsi="Times New Roman" w:cs="Times New Roman"/>
          <w:sz w:val="24"/>
          <w:szCs w:val="24"/>
        </w:rPr>
        <w:t xml:space="preserve"> nasihat pendedahan, </w:t>
      </w:r>
      <w:r w:rsidR="00174CA6" w:rsidRPr="00174CA6">
        <w:rPr>
          <w:rFonts w:ascii="Times New Roman" w:hAnsi="Times New Roman" w:cs="Times New Roman"/>
          <w:sz w:val="24"/>
          <w:szCs w:val="24"/>
        </w:rPr>
        <w:t>dan (2) sebagai mekanisme isyarat kepada pelabur bahawa</w:t>
      </w:r>
      <w:r w:rsidR="002D1F37">
        <w:rPr>
          <w:rFonts w:ascii="Times New Roman" w:hAnsi="Times New Roman" w:cs="Times New Roman"/>
          <w:sz w:val="24"/>
          <w:szCs w:val="24"/>
        </w:rPr>
        <w:t xml:space="preserve"> syarikat </w:t>
      </w:r>
      <w:r w:rsidR="00174CA6" w:rsidRPr="00174CA6">
        <w:rPr>
          <w:rFonts w:ascii="Times New Roman" w:hAnsi="Times New Roman" w:cs="Times New Roman"/>
          <w:sz w:val="24"/>
          <w:szCs w:val="24"/>
        </w:rPr>
        <w:t>berhasrat untuk me</w:t>
      </w:r>
      <w:r w:rsidR="00986005">
        <w:rPr>
          <w:rFonts w:ascii="Times New Roman" w:hAnsi="Times New Roman" w:cs="Times New Roman"/>
          <w:sz w:val="24"/>
          <w:szCs w:val="24"/>
        </w:rPr>
        <w:t>nyediakan</w:t>
      </w:r>
      <w:r w:rsidR="00174CA6" w:rsidRPr="00174CA6">
        <w:rPr>
          <w:rFonts w:ascii="Times New Roman" w:hAnsi="Times New Roman" w:cs="Times New Roman"/>
          <w:sz w:val="24"/>
          <w:szCs w:val="24"/>
        </w:rPr>
        <w:t xml:space="preserve"> pendedahan yang </w:t>
      </w:r>
      <w:r w:rsidR="002D1F37">
        <w:rPr>
          <w:rFonts w:ascii="Times New Roman" w:hAnsi="Times New Roman" w:cs="Times New Roman"/>
          <w:sz w:val="24"/>
          <w:szCs w:val="24"/>
        </w:rPr>
        <w:t>berkualiti (Dunn &amp; Mayhew 2004)</w:t>
      </w:r>
      <w:r w:rsidR="00174CA6" w:rsidRPr="00174CA6">
        <w:rPr>
          <w:rFonts w:ascii="Times New Roman" w:hAnsi="Times New Roman" w:cs="Times New Roman"/>
          <w:sz w:val="24"/>
          <w:szCs w:val="24"/>
        </w:rPr>
        <w:t>.</w:t>
      </w:r>
      <w:r w:rsidR="002D1F37">
        <w:rPr>
          <w:rFonts w:ascii="Times New Roman" w:hAnsi="Times New Roman" w:cs="Times New Roman"/>
          <w:sz w:val="24"/>
          <w:szCs w:val="24"/>
        </w:rPr>
        <w:t xml:space="preserve"> </w:t>
      </w:r>
      <w:r w:rsidR="0030791F">
        <w:rPr>
          <w:rFonts w:ascii="Times New Roman" w:hAnsi="Times New Roman" w:cs="Times New Roman"/>
          <w:sz w:val="24"/>
          <w:szCs w:val="24"/>
        </w:rPr>
        <w:t xml:space="preserve">Bagi firma audit pula, </w:t>
      </w:r>
      <w:r w:rsidR="00CE5889">
        <w:rPr>
          <w:rFonts w:ascii="Times New Roman" w:hAnsi="Times New Roman" w:cs="Times New Roman"/>
          <w:sz w:val="24"/>
          <w:szCs w:val="24"/>
        </w:rPr>
        <w:t xml:space="preserve">kepakaran </w:t>
      </w:r>
      <w:r w:rsidR="0030791F">
        <w:rPr>
          <w:rFonts w:ascii="Times New Roman" w:hAnsi="Times New Roman" w:cs="Times New Roman"/>
          <w:sz w:val="24"/>
          <w:szCs w:val="24"/>
        </w:rPr>
        <w:t xml:space="preserve">industri dianggap sebagai strategi pembezaan dengan firma audit yang lain dari segi perkhidmatan audit yang ditawarkan. Firma audit </w:t>
      </w:r>
      <w:r w:rsidR="00844AC7">
        <w:rPr>
          <w:rFonts w:ascii="Times New Roman" w:hAnsi="Times New Roman" w:cs="Times New Roman"/>
          <w:sz w:val="24"/>
          <w:szCs w:val="24"/>
        </w:rPr>
        <w:t>yang mempunyai ke</w:t>
      </w:r>
      <w:r w:rsidR="0030791F">
        <w:rPr>
          <w:rFonts w:ascii="Times New Roman" w:hAnsi="Times New Roman" w:cs="Times New Roman"/>
          <w:sz w:val="24"/>
          <w:szCs w:val="24"/>
        </w:rPr>
        <w:t>pakar</w:t>
      </w:r>
      <w:r w:rsidR="00844AC7">
        <w:rPr>
          <w:rFonts w:ascii="Times New Roman" w:hAnsi="Times New Roman" w:cs="Times New Roman"/>
          <w:sz w:val="24"/>
          <w:szCs w:val="24"/>
        </w:rPr>
        <w:t>an industri</w:t>
      </w:r>
      <w:r w:rsidR="0030791F">
        <w:rPr>
          <w:rFonts w:ascii="Times New Roman" w:hAnsi="Times New Roman" w:cs="Times New Roman"/>
          <w:sz w:val="24"/>
          <w:szCs w:val="24"/>
        </w:rPr>
        <w:t xml:space="preserve"> juga </w:t>
      </w:r>
      <w:bookmarkStart w:id="4" w:name="_Hlk81465480"/>
      <w:r w:rsidR="008E198F">
        <w:rPr>
          <w:rFonts w:ascii="Times New Roman" w:hAnsi="Times New Roman" w:cs="Times New Roman"/>
          <w:sz w:val="24"/>
          <w:szCs w:val="24"/>
        </w:rPr>
        <w:t xml:space="preserve">didapati </w:t>
      </w:r>
      <w:r w:rsidR="0030791F">
        <w:rPr>
          <w:rFonts w:ascii="Times New Roman" w:hAnsi="Times New Roman" w:cs="Times New Roman"/>
          <w:sz w:val="24"/>
          <w:szCs w:val="24"/>
        </w:rPr>
        <w:t>mempunyai insentif yang lebih untuk membetulkan kesilapan atau melaporkan salah</w:t>
      </w:r>
      <w:r w:rsidR="00F1779B">
        <w:rPr>
          <w:rFonts w:ascii="Times New Roman" w:hAnsi="Times New Roman" w:cs="Times New Roman"/>
          <w:sz w:val="24"/>
          <w:szCs w:val="24"/>
        </w:rPr>
        <w:t xml:space="preserve"> nyata bagi </w:t>
      </w:r>
      <w:r w:rsidR="00402F1E">
        <w:rPr>
          <w:rFonts w:ascii="Times New Roman" w:hAnsi="Times New Roman" w:cs="Times New Roman"/>
          <w:sz w:val="24"/>
          <w:szCs w:val="24"/>
        </w:rPr>
        <w:t>menjaga reputasi</w:t>
      </w:r>
      <w:r w:rsidR="00F1779B">
        <w:rPr>
          <w:rFonts w:ascii="Times New Roman" w:hAnsi="Times New Roman" w:cs="Times New Roman"/>
          <w:sz w:val="24"/>
          <w:szCs w:val="24"/>
        </w:rPr>
        <w:t xml:space="preserve"> (Dunn &amp; Mayhew 2004). </w:t>
      </w:r>
      <w:bookmarkEnd w:id="4"/>
      <w:r w:rsidR="00D31F42">
        <w:rPr>
          <w:rFonts w:ascii="Times New Roman" w:hAnsi="Times New Roman" w:cs="Times New Roman"/>
          <w:sz w:val="24"/>
          <w:szCs w:val="24"/>
        </w:rPr>
        <w:t>Namun, s</w:t>
      </w:r>
      <w:r w:rsidR="006A3C53">
        <w:rPr>
          <w:rFonts w:ascii="Times New Roman" w:hAnsi="Times New Roman" w:cs="Times New Roman"/>
          <w:sz w:val="24"/>
          <w:szCs w:val="24"/>
        </w:rPr>
        <w:t xml:space="preserve">ejauhmana </w:t>
      </w:r>
      <w:r w:rsidR="004D7323">
        <w:rPr>
          <w:rFonts w:ascii="Times New Roman" w:hAnsi="Times New Roman" w:cs="Times New Roman"/>
          <w:sz w:val="24"/>
          <w:szCs w:val="24"/>
        </w:rPr>
        <w:t>FAPI</w:t>
      </w:r>
      <w:r w:rsidR="006A3C53">
        <w:rPr>
          <w:rFonts w:ascii="Times New Roman" w:hAnsi="Times New Roman" w:cs="Times New Roman"/>
          <w:sz w:val="24"/>
          <w:szCs w:val="24"/>
        </w:rPr>
        <w:t xml:space="preserve"> dapat meningkatkan pendedahan UPB di Malaysia masih tidak jelas.</w:t>
      </w:r>
      <w:r w:rsidR="006D57E1">
        <w:rPr>
          <w:rFonts w:ascii="Times New Roman" w:hAnsi="Times New Roman" w:cs="Times New Roman"/>
          <w:sz w:val="24"/>
          <w:szCs w:val="24"/>
        </w:rPr>
        <w:t xml:space="preserve"> Oleh itu</w:t>
      </w:r>
      <w:r w:rsidR="00976177">
        <w:rPr>
          <w:rFonts w:ascii="Times New Roman" w:hAnsi="Times New Roman" w:cs="Times New Roman"/>
          <w:sz w:val="24"/>
          <w:szCs w:val="24"/>
        </w:rPr>
        <w:t>,</w:t>
      </w:r>
      <w:r w:rsidR="006D57E1">
        <w:rPr>
          <w:rFonts w:ascii="Times New Roman" w:hAnsi="Times New Roman" w:cs="Times New Roman"/>
          <w:sz w:val="24"/>
          <w:szCs w:val="24"/>
        </w:rPr>
        <w:t xml:space="preserve"> kajian ini </w:t>
      </w:r>
      <w:r w:rsidR="00BD4932">
        <w:rPr>
          <w:rFonts w:ascii="Times New Roman" w:hAnsi="Times New Roman" w:cs="Times New Roman"/>
          <w:sz w:val="24"/>
          <w:szCs w:val="24"/>
        </w:rPr>
        <w:t xml:space="preserve">dijalankan </w:t>
      </w:r>
      <w:r w:rsidR="006D57E1">
        <w:rPr>
          <w:rFonts w:ascii="Times New Roman" w:hAnsi="Times New Roman" w:cs="Times New Roman"/>
          <w:sz w:val="24"/>
          <w:szCs w:val="24"/>
        </w:rPr>
        <w:t>untuk mengkaji hubungan</w:t>
      </w:r>
      <w:r w:rsidR="0004242F">
        <w:rPr>
          <w:rFonts w:ascii="Times New Roman" w:hAnsi="Times New Roman" w:cs="Times New Roman"/>
          <w:sz w:val="24"/>
          <w:szCs w:val="24"/>
        </w:rPr>
        <w:t xml:space="preserve"> antara</w:t>
      </w:r>
      <w:r w:rsidR="006D57E1">
        <w:rPr>
          <w:rFonts w:ascii="Times New Roman" w:hAnsi="Times New Roman" w:cs="Times New Roman"/>
          <w:sz w:val="24"/>
          <w:szCs w:val="24"/>
        </w:rPr>
        <w:t xml:space="preserve"> </w:t>
      </w:r>
      <w:r w:rsidR="004D7323">
        <w:rPr>
          <w:rFonts w:ascii="Times New Roman" w:hAnsi="Times New Roman" w:cs="Times New Roman"/>
          <w:sz w:val="24"/>
          <w:szCs w:val="24"/>
        </w:rPr>
        <w:t>FAPI</w:t>
      </w:r>
      <w:r w:rsidR="006D57E1">
        <w:rPr>
          <w:rFonts w:ascii="Times New Roman" w:hAnsi="Times New Roman" w:cs="Times New Roman"/>
          <w:sz w:val="24"/>
          <w:szCs w:val="24"/>
        </w:rPr>
        <w:t xml:space="preserve"> dan UPB</w:t>
      </w:r>
      <w:r w:rsidR="00670760">
        <w:rPr>
          <w:rFonts w:ascii="Times New Roman" w:hAnsi="Times New Roman" w:cs="Times New Roman"/>
          <w:sz w:val="24"/>
          <w:szCs w:val="24"/>
        </w:rPr>
        <w:t xml:space="preserve"> di kalangan syarikat tersenarai di Malaysia</w:t>
      </w:r>
      <w:r w:rsidR="00BD4932">
        <w:rPr>
          <w:rFonts w:ascii="Times New Roman" w:hAnsi="Times New Roman" w:cs="Times New Roman"/>
          <w:sz w:val="24"/>
          <w:szCs w:val="24"/>
        </w:rPr>
        <w:t>.</w:t>
      </w:r>
      <w:r w:rsidR="000B2542">
        <w:rPr>
          <w:rFonts w:ascii="Times New Roman" w:hAnsi="Times New Roman" w:cs="Times New Roman"/>
          <w:sz w:val="24"/>
          <w:szCs w:val="24"/>
        </w:rPr>
        <w:t xml:space="preserve"> </w:t>
      </w:r>
    </w:p>
    <w:p w14:paraId="1644AD31" w14:textId="63B4DC68" w:rsidR="00900247" w:rsidRDefault="00900247" w:rsidP="00976177">
      <w:pPr>
        <w:spacing w:after="0" w:line="240" w:lineRule="auto"/>
        <w:jc w:val="both"/>
        <w:rPr>
          <w:rFonts w:ascii="Times New Roman" w:hAnsi="Times New Roman" w:cs="Times New Roman"/>
          <w:sz w:val="24"/>
          <w:szCs w:val="24"/>
        </w:rPr>
      </w:pPr>
    </w:p>
    <w:p w14:paraId="6A5D7D28" w14:textId="762A3560" w:rsidR="00C510C8" w:rsidRDefault="00E46694" w:rsidP="00D331D8">
      <w:pPr>
        <w:pStyle w:val="Default"/>
        <w:ind w:firstLine="720"/>
        <w:jc w:val="both"/>
        <w:rPr>
          <w:color w:val="auto"/>
        </w:rPr>
      </w:pPr>
      <w:r>
        <w:t>Selain itu, p</w:t>
      </w:r>
      <w:r w:rsidR="00900247" w:rsidRPr="00A938D6">
        <w:t xml:space="preserve">enelitian terhadap kajian lepas mendapati pengkaji berbeza pandangan mengenai </w:t>
      </w:r>
      <w:r w:rsidR="00B20012" w:rsidRPr="00A938D6">
        <w:t xml:space="preserve">nilai ambang </w:t>
      </w:r>
      <w:r w:rsidR="00900247" w:rsidRPr="00A938D6">
        <w:t xml:space="preserve">pengukuran </w:t>
      </w:r>
      <w:r w:rsidR="004D7323">
        <w:t>FAPI</w:t>
      </w:r>
      <w:r w:rsidR="00900247" w:rsidRPr="00A938D6">
        <w:t xml:space="preserve"> kerana pembolehubah ini tidak boleh diperhatikan (</w:t>
      </w:r>
      <w:r w:rsidR="00900247" w:rsidRPr="00A938D6">
        <w:rPr>
          <w:i/>
        </w:rPr>
        <w:t>unobservable</w:t>
      </w:r>
      <w:r w:rsidR="00900247" w:rsidRPr="00A938D6">
        <w:t>) (</w:t>
      </w:r>
      <w:r w:rsidR="00900247" w:rsidRPr="00A938D6">
        <w:rPr>
          <w:rFonts w:eastAsia="Times New Roman"/>
          <w:lang w:eastAsia="en-MY"/>
        </w:rPr>
        <w:t xml:space="preserve">Eshleman &amp; Guo 2020, </w:t>
      </w:r>
      <w:r w:rsidR="00900247" w:rsidRPr="00A938D6">
        <w:t xml:space="preserve">Balsam et al. 2003). Kajian oleh </w:t>
      </w:r>
      <w:bookmarkStart w:id="5" w:name="_Hlk81121681"/>
      <w:r w:rsidR="0034503E" w:rsidRPr="00A938D6">
        <w:t>Gaver dan Utke (2019</w:t>
      </w:r>
      <w:bookmarkEnd w:id="5"/>
      <w:r w:rsidR="0034503E" w:rsidRPr="00A938D6">
        <w:t>)</w:t>
      </w:r>
      <w:r w:rsidR="0034503E">
        <w:t xml:space="preserve">, </w:t>
      </w:r>
      <w:bookmarkStart w:id="6" w:name="_Hlk81121734"/>
      <w:r w:rsidR="0034503E" w:rsidRPr="00A938D6">
        <w:t>Ferguson dan Stokes (2002</w:t>
      </w:r>
      <w:r w:rsidR="0034503E">
        <w:t xml:space="preserve">) serta </w:t>
      </w:r>
      <w:r w:rsidR="00900247" w:rsidRPr="00A938D6">
        <w:t>Craswell et al. (1995)</w:t>
      </w:r>
      <w:r w:rsidR="0034503E">
        <w:t xml:space="preserve"> </w:t>
      </w:r>
      <w:r w:rsidR="00900247" w:rsidRPr="00A938D6">
        <w:t xml:space="preserve">contohnya menggunakan nilai ambang 10% pasaran audit, manakala </w:t>
      </w:r>
      <w:r w:rsidR="0034503E" w:rsidRPr="00A938D6">
        <w:t>Reichelt dan Wang (2010)</w:t>
      </w:r>
      <w:r w:rsidR="0034503E">
        <w:t>,</w:t>
      </w:r>
      <w:r w:rsidR="00A879C3">
        <w:t xml:space="preserve"> </w:t>
      </w:r>
      <w:r w:rsidR="00A879C3" w:rsidRPr="0053177D">
        <w:rPr>
          <w:color w:val="auto"/>
        </w:rPr>
        <w:t>Rahmat</w:t>
      </w:r>
      <w:r w:rsidR="0034503E" w:rsidRPr="0053177D">
        <w:rPr>
          <w:color w:val="auto"/>
        </w:rPr>
        <w:t xml:space="preserve"> dan </w:t>
      </w:r>
      <w:r w:rsidR="00104CF2">
        <w:rPr>
          <w:color w:val="auto"/>
        </w:rPr>
        <w:t xml:space="preserve">Mohd </w:t>
      </w:r>
      <w:r w:rsidR="00A879C3" w:rsidRPr="0053177D">
        <w:rPr>
          <w:color w:val="auto"/>
        </w:rPr>
        <w:t>Iskandar</w:t>
      </w:r>
      <w:r w:rsidR="0034503E" w:rsidRPr="0053177D">
        <w:rPr>
          <w:color w:val="auto"/>
        </w:rPr>
        <w:t xml:space="preserve"> </w:t>
      </w:r>
      <w:r w:rsidR="0034503E" w:rsidRPr="00A938D6">
        <w:t>(2004)</w:t>
      </w:r>
      <w:r w:rsidR="0034503E">
        <w:t xml:space="preserve"> </w:t>
      </w:r>
      <w:bookmarkEnd w:id="6"/>
      <w:r w:rsidR="0034503E">
        <w:t xml:space="preserve">serta </w:t>
      </w:r>
      <w:r w:rsidR="00900247" w:rsidRPr="00A938D6">
        <w:t>Ferguson</w:t>
      </w:r>
      <w:r w:rsidR="00ED68B7">
        <w:t xml:space="preserve">, Francis dan Stokes </w:t>
      </w:r>
      <w:r w:rsidR="00900247" w:rsidRPr="00A938D6">
        <w:t>(2003),</w:t>
      </w:r>
      <w:r w:rsidR="0034503E">
        <w:t xml:space="preserve"> </w:t>
      </w:r>
      <w:r w:rsidR="00900247" w:rsidRPr="00A938D6">
        <w:t xml:space="preserve">menggunakan nilai ambang 20%. </w:t>
      </w:r>
      <w:r w:rsidR="00A938D6" w:rsidRPr="00A938D6">
        <w:lastRenderedPageBreak/>
        <w:t>Sehubungan dengan itu, k</w:t>
      </w:r>
      <w:r w:rsidR="00900247" w:rsidRPr="00A938D6">
        <w:t xml:space="preserve">ajian ini mengambil kira kedua-dua nilai ambang </w:t>
      </w:r>
      <w:r w:rsidR="004D7323">
        <w:t>FAPI</w:t>
      </w:r>
      <w:r w:rsidR="00900247" w:rsidRPr="00A938D6">
        <w:t xml:space="preserve"> 10% dan </w:t>
      </w:r>
      <w:r w:rsidR="004D7323">
        <w:t>FAPI</w:t>
      </w:r>
      <w:r w:rsidR="00900247" w:rsidRPr="00A938D6">
        <w:t xml:space="preserve"> 20% untuk melihat adakah nilai ambang </w:t>
      </w:r>
      <w:r w:rsidR="004D7323">
        <w:t>FAPI</w:t>
      </w:r>
      <w:r w:rsidR="00900247" w:rsidRPr="00A938D6">
        <w:t xml:space="preserve"> yang berbeza memberi kesan berbeza terhadap pendedahan UPB. Memandangkan UPB merupakan antara urus niaga yang sukar diaudit</w:t>
      </w:r>
      <w:r w:rsidR="0034503E">
        <w:t xml:space="preserve"> (AICPA 2010) terutamanya dalam </w:t>
      </w:r>
      <w:r w:rsidR="0034503E" w:rsidRPr="0049471E">
        <w:rPr>
          <w:color w:val="auto"/>
        </w:rPr>
        <w:t>pengenalpastian hubungan dan urus niaga pihak berkaitan (ICAEW 2010)</w:t>
      </w:r>
      <w:r w:rsidR="0034503E">
        <w:rPr>
          <w:color w:val="auto"/>
        </w:rPr>
        <w:t xml:space="preserve">, </w:t>
      </w:r>
      <w:r w:rsidR="00900247" w:rsidRPr="00A938D6">
        <w:t xml:space="preserve">maka kami </w:t>
      </w:r>
      <w:r w:rsidR="0034503E">
        <w:t>menjangkakan</w:t>
      </w:r>
      <w:r w:rsidR="002071FB">
        <w:t xml:space="preserve"> </w:t>
      </w:r>
      <w:r w:rsidR="004D7323">
        <w:t>FAPI</w:t>
      </w:r>
      <w:r w:rsidR="002071FB">
        <w:t xml:space="preserve"> pada nilai ambang yang lebih tinggi da</w:t>
      </w:r>
      <w:r w:rsidR="00900247" w:rsidRPr="00A938D6">
        <w:t>pat memberikan perkhidmatan audit yang lebih berkualiti</w:t>
      </w:r>
      <w:r w:rsidR="00A938D6" w:rsidRPr="00A938D6">
        <w:t xml:space="preserve"> dan seterusnya membantu meningkatkan pendedahan UPB</w:t>
      </w:r>
      <w:r w:rsidR="00900247" w:rsidRPr="00A938D6">
        <w:t>.</w:t>
      </w:r>
    </w:p>
    <w:p w14:paraId="48C5EED3" w14:textId="77777777" w:rsidR="00677569" w:rsidRPr="00677569" w:rsidRDefault="00677569" w:rsidP="00677569">
      <w:pPr>
        <w:pStyle w:val="Default"/>
        <w:jc w:val="both"/>
        <w:rPr>
          <w:color w:val="auto"/>
        </w:rPr>
      </w:pPr>
    </w:p>
    <w:p w14:paraId="2BFBCF78" w14:textId="5A48388E" w:rsidR="00C510C8" w:rsidRDefault="00C510C8" w:rsidP="00D331D8">
      <w:pPr>
        <w:pStyle w:val="Default"/>
        <w:ind w:firstLine="720"/>
        <w:jc w:val="both"/>
      </w:pPr>
      <w:r w:rsidRPr="00E4313D">
        <w:t>Kajian ini menggunakan data syarikat tersenarai di Bursa Malaysia dari tahun 2014 sehingga 2018. Syarikat-syarikat di Malaysia cenderung menjalankan UPB kerana kebanyakan syarikat di Malaysia mempunyai pemilikan tertumpu yang tinggi di mana, peratusan pegangan ekuiti di</w:t>
      </w:r>
      <w:r>
        <w:t xml:space="preserve">kuasai oleh </w:t>
      </w:r>
      <w:r w:rsidRPr="00E4313D">
        <w:t>ahli keluarga atau kerajaan (Claessens</w:t>
      </w:r>
      <w:r w:rsidR="005329B3">
        <w:t xml:space="preserve">, Djankov &amp; Lang </w:t>
      </w:r>
      <w:r w:rsidRPr="00E4313D">
        <w:t>2002). Penguatkuasaan peraturan yang lemah dan perlindungan pemegang saham minoriti yang rendah di Malaysia juga memberi peluang kepada pemegang saham pengawal (</w:t>
      </w:r>
      <w:r w:rsidRPr="00E4313D">
        <w:rPr>
          <w:i/>
          <w:iCs/>
        </w:rPr>
        <w:t>controlling shareholders</w:t>
      </w:r>
      <w:r w:rsidRPr="00E4313D">
        <w:t>) untuk mengambil alih kekayaan pemegang saham minoriti menerusi UPB (Munir et al. 2013).</w:t>
      </w:r>
    </w:p>
    <w:p w14:paraId="5DCEBDE8" w14:textId="5F586850" w:rsidR="00E04692" w:rsidRDefault="00E04692" w:rsidP="00C510C8">
      <w:pPr>
        <w:pStyle w:val="Default"/>
        <w:jc w:val="both"/>
      </w:pPr>
    </w:p>
    <w:p w14:paraId="4D738074" w14:textId="0D326AC4" w:rsidR="00A938D6" w:rsidRDefault="00E04692" w:rsidP="00D331D8">
      <w:pPr>
        <w:spacing w:after="0" w:line="240" w:lineRule="auto"/>
        <w:ind w:firstLine="720"/>
        <w:jc w:val="both"/>
        <w:rPr>
          <w:rFonts w:ascii="Times New Roman" w:hAnsi="Times New Roman" w:cs="Times New Roman"/>
          <w:sz w:val="24"/>
          <w:szCs w:val="24"/>
        </w:rPr>
      </w:pPr>
      <w:r w:rsidRPr="0034503E">
        <w:rPr>
          <w:rFonts w:ascii="Times New Roman" w:hAnsi="Times New Roman" w:cs="Times New Roman"/>
          <w:sz w:val="24"/>
          <w:szCs w:val="24"/>
        </w:rPr>
        <w:t xml:space="preserve">Hasil kajian mendapati hubungan antara </w:t>
      </w:r>
      <w:r w:rsidR="004D7323">
        <w:rPr>
          <w:rFonts w:ascii="Times New Roman" w:hAnsi="Times New Roman" w:cs="Times New Roman"/>
          <w:sz w:val="24"/>
          <w:szCs w:val="24"/>
        </w:rPr>
        <w:t>FAPI</w:t>
      </w:r>
      <w:r w:rsidRPr="0034503E">
        <w:rPr>
          <w:rFonts w:ascii="Times New Roman" w:hAnsi="Times New Roman" w:cs="Times New Roman"/>
          <w:sz w:val="24"/>
          <w:szCs w:val="24"/>
        </w:rPr>
        <w:t xml:space="preserve"> dan UPB adalah bergantung pada nilai ambang </w:t>
      </w:r>
      <w:r w:rsidR="00293C72" w:rsidRPr="0034503E">
        <w:rPr>
          <w:rFonts w:ascii="Times New Roman" w:hAnsi="Times New Roman" w:cs="Times New Roman"/>
          <w:sz w:val="24"/>
          <w:szCs w:val="24"/>
        </w:rPr>
        <w:t xml:space="preserve">pengukuran </w:t>
      </w:r>
      <w:r w:rsidR="004D7323">
        <w:rPr>
          <w:rFonts w:ascii="Times New Roman" w:hAnsi="Times New Roman" w:cs="Times New Roman"/>
          <w:sz w:val="24"/>
          <w:szCs w:val="24"/>
        </w:rPr>
        <w:t>FAPI</w:t>
      </w:r>
      <w:r w:rsidRPr="0034503E">
        <w:rPr>
          <w:rFonts w:ascii="Times New Roman" w:hAnsi="Times New Roman" w:cs="Times New Roman"/>
          <w:sz w:val="24"/>
          <w:szCs w:val="24"/>
        </w:rPr>
        <w:t xml:space="preserve">. Secara khususnya kajian ini mendapati </w:t>
      </w:r>
      <w:r w:rsidR="00293C72" w:rsidRPr="0034503E">
        <w:rPr>
          <w:rFonts w:ascii="Times New Roman" w:hAnsi="Times New Roman" w:cs="Times New Roman"/>
          <w:sz w:val="24"/>
          <w:szCs w:val="24"/>
        </w:rPr>
        <w:t xml:space="preserve">pada </w:t>
      </w:r>
      <w:r w:rsidRPr="0034503E">
        <w:rPr>
          <w:rFonts w:ascii="Times New Roman" w:hAnsi="Times New Roman" w:cs="Times New Roman"/>
          <w:sz w:val="24"/>
          <w:szCs w:val="24"/>
        </w:rPr>
        <w:t xml:space="preserve">nilai ambang </w:t>
      </w:r>
      <w:r w:rsidR="004D7323">
        <w:rPr>
          <w:rFonts w:ascii="Times New Roman" w:hAnsi="Times New Roman" w:cs="Times New Roman"/>
          <w:sz w:val="24"/>
          <w:szCs w:val="24"/>
        </w:rPr>
        <w:t>FAPI</w:t>
      </w:r>
      <w:r w:rsidRPr="0034503E">
        <w:rPr>
          <w:rFonts w:ascii="Times New Roman" w:hAnsi="Times New Roman" w:cs="Times New Roman"/>
          <w:sz w:val="24"/>
          <w:szCs w:val="24"/>
        </w:rPr>
        <w:t xml:space="preserve"> </w:t>
      </w:r>
      <w:r w:rsidR="00293C72" w:rsidRPr="0034503E">
        <w:rPr>
          <w:rFonts w:ascii="Times New Roman" w:hAnsi="Times New Roman" w:cs="Times New Roman"/>
          <w:sz w:val="24"/>
          <w:szCs w:val="24"/>
        </w:rPr>
        <w:t xml:space="preserve">10%, hubungan antara </w:t>
      </w:r>
      <w:r w:rsidR="004D7323">
        <w:rPr>
          <w:rFonts w:ascii="Times New Roman" w:hAnsi="Times New Roman" w:cs="Times New Roman"/>
          <w:sz w:val="24"/>
          <w:szCs w:val="24"/>
        </w:rPr>
        <w:t>FAPI</w:t>
      </w:r>
      <w:r w:rsidR="00293C72" w:rsidRPr="0034503E">
        <w:rPr>
          <w:rFonts w:ascii="Times New Roman" w:hAnsi="Times New Roman" w:cs="Times New Roman"/>
          <w:sz w:val="24"/>
          <w:szCs w:val="24"/>
        </w:rPr>
        <w:t xml:space="preserve"> dan UPB adalah tidak signifikan.  Sebaliknya, apabila </w:t>
      </w:r>
      <w:r w:rsidR="004D7323">
        <w:rPr>
          <w:rFonts w:ascii="Times New Roman" w:hAnsi="Times New Roman" w:cs="Times New Roman"/>
          <w:sz w:val="24"/>
          <w:szCs w:val="24"/>
        </w:rPr>
        <w:t>FAPI</w:t>
      </w:r>
      <w:r w:rsidR="00293C72" w:rsidRPr="0034503E">
        <w:rPr>
          <w:rFonts w:ascii="Times New Roman" w:hAnsi="Times New Roman" w:cs="Times New Roman"/>
          <w:sz w:val="24"/>
          <w:szCs w:val="24"/>
        </w:rPr>
        <w:t xml:space="preserve"> diukur pada nilai ambang 20%, kajian ini mendapati wujud hubungan yang positif antara kedua pembolehubah tersebut. Keputusan kajian ini memberi penjelasan bahawa dalam konteks pengauditan UPB, firma audit mestilah mempunyai tahap </w:t>
      </w:r>
      <w:r w:rsidRPr="0034503E">
        <w:rPr>
          <w:rFonts w:ascii="Times New Roman" w:hAnsi="Times New Roman" w:cs="Times New Roman"/>
          <w:sz w:val="24"/>
          <w:szCs w:val="24"/>
        </w:rPr>
        <w:t xml:space="preserve">pengetahuan dan kepakaran </w:t>
      </w:r>
      <w:r w:rsidR="00293C72" w:rsidRPr="0034503E">
        <w:rPr>
          <w:rFonts w:ascii="Times New Roman" w:hAnsi="Times New Roman" w:cs="Times New Roman"/>
          <w:sz w:val="24"/>
          <w:szCs w:val="24"/>
        </w:rPr>
        <w:t xml:space="preserve">yang </w:t>
      </w:r>
      <w:r w:rsidR="005503BC">
        <w:rPr>
          <w:rFonts w:ascii="Times New Roman" w:hAnsi="Times New Roman" w:cs="Times New Roman"/>
          <w:sz w:val="24"/>
          <w:szCs w:val="24"/>
        </w:rPr>
        <w:t>lebih</w:t>
      </w:r>
      <w:r w:rsidR="00293C72" w:rsidRPr="0034503E">
        <w:rPr>
          <w:rFonts w:ascii="Times New Roman" w:hAnsi="Times New Roman" w:cs="Times New Roman"/>
          <w:sz w:val="24"/>
          <w:szCs w:val="24"/>
        </w:rPr>
        <w:t xml:space="preserve"> tinggi berbanding dengan pengauditan urus niaga lain</w:t>
      </w:r>
      <w:r w:rsidR="005503BC">
        <w:rPr>
          <w:rFonts w:ascii="Times New Roman" w:hAnsi="Times New Roman" w:cs="Times New Roman"/>
          <w:sz w:val="24"/>
          <w:szCs w:val="24"/>
        </w:rPr>
        <w:t>. Sifat UPB yang pelbagai dan kompleks memerlukan firma audit mempunyai k</w:t>
      </w:r>
      <w:r w:rsidR="00A938D6" w:rsidRPr="0034503E">
        <w:rPr>
          <w:rFonts w:ascii="Times New Roman" w:hAnsi="Times New Roman" w:cs="Times New Roman"/>
          <w:sz w:val="24"/>
          <w:szCs w:val="24"/>
        </w:rPr>
        <w:t>epakaran mengenai operasi dan industri pelanggan (</w:t>
      </w:r>
      <w:r w:rsidR="00677569" w:rsidRPr="0034503E">
        <w:rPr>
          <w:rFonts w:ascii="Times New Roman" w:hAnsi="Times New Roman" w:cs="Times New Roman"/>
          <w:sz w:val="24"/>
          <w:szCs w:val="24"/>
        </w:rPr>
        <w:t>Elder</w:t>
      </w:r>
      <w:r w:rsidR="00401760">
        <w:rPr>
          <w:rFonts w:ascii="Times New Roman" w:hAnsi="Times New Roman" w:cs="Times New Roman"/>
          <w:sz w:val="24"/>
          <w:szCs w:val="24"/>
        </w:rPr>
        <w:t xml:space="preserve">, Lowensohn &amp; Reck </w:t>
      </w:r>
      <w:r w:rsidR="00677569" w:rsidRPr="0034503E">
        <w:rPr>
          <w:rFonts w:ascii="Times New Roman" w:hAnsi="Times New Roman" w:cs="Times New Roman"/>
          <w:sz w:val="24"/>
          <w:szCs w:val="24"/>
        </w:rPr>
        <w:t>2015</w:t>
      </w:r>
      <w:r w:rsidR="00677569">
        <w:rPr>
          <w:rFonts w:ascii="Times New Roman" w:hAnsi="Times New Roman" w:cs="Times New Roman"/>
          <w:sz w:val="24"/>
          <w:szCs w:val="24"/>
        </w:rPr>
        <w:t xml:space="preserve">; </w:t>
      </w:r>
      <w:r w:rsidR="00F772E2" w:rsidRPr="0034503E">
        <w:rPr>
          <w:rFonts w:ascii="Times New Roman" w:hAnsi="Times New Roman" w:cs="Times New Roman"/>
          <w:sz w:val="24"/>
          <w:szCs w:val="24"/>
        </w:rPr>
        <w:t>Cahan</w:t>
      </w:r>
      <w:r w:rsidR="00EB40D2">
        <w:rPr>
          <w:rFonts w:ascii="Times New Roman" w:hAnsi="Times New Roman" w:cs="Times New Roman"/>
          <w:sz w:val="24"/>
          <w:szCs w:val="24"/>
        </w:rPr>
        <w:t>, Jeter &amp; Naiker</w:t>
      </w:r>
      <w:r w:rsidR="00F772E2" w:rsidRPr="0034503E">
        <w:rPr>
          <w:rFonts w:ascii="Times New Roman" w:hAnsi="Times New Roman" w:cs="Times New Roman"/>
          <w:sz w:val="24"/>
          <w:szCs w:val="24"/>
        </w:rPr>
        <w:t xml:space="preserve"> 2011</w:t>
      </w:r>
      <w:r w:rsidR="00F772E2">
        <w:rPr>
          <w:rFonts w:ascii="Times New Roman" w:hAnsi="Times New Roman" w:cs="Times New Roman"/>
          <w:sz w:val="24"/>
          <w:szCs w:val="24"/>
        </w:rPr>
        <w:t xml:space="preserve">; </w:t>
      </w:r>
      <w:r w:rsidR="00A938D6" w:rsidRPr="0034503E">
        <w:rPr>
          <w:rFonts w:ascii="Times New Roman" w:hAnsi="Times New Roman" w:cs="Times New Roman"/>
          <w:sz w:val="24"/>
          <w:szCs w:val="24"/>
        </w:rPr>
        <w:t>Reichelt &amp; Wang 2010)</w:t>
      </w:r>
      <w:r w:rsidR="00B752DA">
        <w:rPr>
          <w:rFonts w:ascii="Times New Roman" w:hAnsi="Times New Roman" w:cs="Times New Roman"/>
          <w:sz w:val="24"/>
          <w:szCs w:val="24"/>
        </w:rPr>
        <w:t>,</w:t>
      </w:r>
      <w:r w:rsidR="00A938D6" w:rsidRPr="0034503E">
        <w:rPr>
          <w:rFonts w:ascii="Times New Roman" w:hAnsi="Times New Roman" w:cs="Times New Roman"/>
          <w:sz w:val="24"/>
          <w:szCs w:val="24"/>
        </w:rPr>
        <w:t xml:space="preserve"> termasuklah pemahaman piawaian perakaunan umum dan khusus berkaitan industri (Cahan</w:t>
      </w:r>
      <w:r w:rsidR="00EB40D2">
        <w:rPr>
          <w:rFonts w:ascii="Times New Roman" w:hAnsi="Times New Roman" w:cs="Times New Roman"/>
          <w:sz w:val="24"/>
          <w:szCs w:val="24"/>
        </w:rPr>
        <w:t xml:space="preserve"> et al. </w:t>
      </w:r>
      <w:r w:rsidR="00A938D6" w:rsidRPr="0034503E">
        <w:rPr>
          <w:rFonts w:ascii="Times New Roman" w:hAnsi="Times New Roman" w:cs="Times New Roman"/>
          <w:sz w:val="24"/>
          <w:szCs w:val="24"/>
        </w:rPr>
        <w:t>2011)</w:t>
      </w:r>
      <w:r w:rsidR="005503BC">
        <w:rPr>
          <w:rFonts w:ascii="Times New Roman" w:hAnsi="Times New Roman" w:cs="Times New Roman"/>
          <w:sz w:val="24"/>
          <w:szCs w:val="24"/>
        </w:rPr>
        <w:t xml:space="preserve">.  Kepakaran tersebut </w:t>
      </w:r>
      <w:r w:rsidR="00A938D6" w:rsidRPr="0034503E">
        <w:rPr>
          <w:rFonts w:ascii="Times New Roman" w:hAnsi="Times New Roman" w:cs="Times New Roman"/>
          <w:sz w:val="24"/>
          <w:szCs w:val="24"/>
        </w:rPr>
        <w:t>membolehkan firma audit lebih cekap dalam mengesan UPB dan dapat mendisiplinkan syarikat untuk membuat pendedahan (Yuan</w:t>
      </w:r>
      <w:r w:rsidR="00401760">
        <w:rPr>
          <w:rFonts w:ascii="Times New Roman" w:hAnsi="Times New Roman" w:cs="Times New Roman"/>
          <w:sz w:val="24"/>
          <w:szCs w:val="24"/>
        </w:rPr>
        <w:t xml:space="preserve">, Cheng &amp; Ye </w:t>
      </w:r>
      <w:r w:rsidR="00A938D6" w:rsidRPr="0034503E">
        <w:rPr>
          <w:rFonts w:ascii="Times New Roman" w:hAnsi="Times New Roman" w:cs="Times New Roman"/>
          <w:sz w:val="24"/>
          <w:szCs w:val="24"/>
        </w:rPr>
        <w:t>2016) berkaitan UPB sebagaimana yang dikehendaki oleh kerangka pelaporan kewangan.</w:t>
      </w:r>
      <w:r w:rsidR="008A08BF">
        <w:rPr>
          <w:rFonts w:ascii="Times New Roman" w:hAnsi="Times New Roman" w:cs="Times New Roman"/>
          <w:sz w:val="24"/>
          <w:szCs w:val="24"/>
        </w:rPr>
        <w:t xml:space="preserve"> </w:t>
      </w:r>
    </w:p>
    <w:p w14:paraId="2F8B9ED4" w14:textId="77777777" w:rsidR="00D331D8" w:rsidRPr="006A4F14" w:rsidRDefault="00D331D8" w:rsidP="00A938D6">
      <w:pPr>
        <w:spacing w:after="0" w:line="240" w:lineRule="auto"/>
        <w:jc w:val="both"/>
        <w:rPr>
          <w:rFonts w:ascii="Times New Roman" w:hAnsi="Times New Roman" w:cs="Times New Roman"/>
          <w:sz w:val="24"/>
          <w:szCs w:val="24"/>
        </w:rPr>
      </w:pPr>
    </w:p>
    <w:p w14:paraId="1615DCD5" w14:textId="3ADF248D" w:rsidR="00E83177" w:rsidRDefault="00F772E2" w:rsidP="00D331D8">
      <w:pPr>
        <w:pStyle w:val="Default"/>
        <w:ind w:firstLine="720"/>
        <w:jc w:val="both"/>
        <w:rPr>
          <w:color w:val="auto"/>
        </w:rPr>
      </w:pPr>
      <w:r>
        <w:rPr>
          <w:color w:val="auto"/>
        </w:rPr>
        <w:t>Kajian i</w:t>
      </w:r>
      <w:r w:rsidR="00A74B57">
        <w:rPr>
          <w:color w:val="auto"/>
        </w:rPr>
        <w:t xml:space="preserve">ni </w:t>
      </w:r>
      <w:r>
        <w:rPr>
          <w:color w:val="auto"/>
        </w:rPr>
        <w:t xml:space="preserve">memberi sumbangan </w:t>
      </w:r>
      <w:r w:rsidR="00A74B57">
        <w:rPr>
          <w:color w:val="auto"/>
        </w:rPr>
        <w:t xml:space="preserve">kepada </w:t>
      </w:r>
      <w:r w:rsidR="00E46694">
        <w:rPr>
          <w:color w:val="auto"/>
        </w:rPr>
        <w:t>bidang ilmu</w:t>
      </w:r>
      <w:r>
        <w:rPr>
          <w:color w:val="auto"/>
        </w:rPr>
        <w:t xml:space="preserve"> dan praktikal.  Dari aspek </w:t>
      </w:r>
      <w:r w:rsidR="00E46694">
        <w:rPr>
          <w:color w:val="auto"/>
        </w:rPr>
        <w:t>bidang ilmu</w:t>
      </w:r>
      <w:r>
        <w:rPr>
          <w:color w:val="auto"/>
        </w:rPr>
        <w:t xml:space="preserve">, kajian ini dapat mengurangkan jurang dalam literatur dengan memberikan bukti empirikal hubungan antara </w:t>
      </w:r>
      <w:r w:rsidR="004D7323">
        <w:rPr>
          <w:color w:val="auto"/>
        </w:rPr>
        <w:t>FAPI</w:t>
      </w:r>
      <w:r>
        <w:rPr>
          <w:color w:val="auto"/>
        </w:rPr>
        <w:t xml:space="preserve"> dan UPB.</w:t>
      </w:r>
      <w:r w:rsidR="008A08BF">
        <w:rPr>
          <w:color w:val="auto"/>
        </w:rPr>
        <w:t xml:space="preserve"> Walaupun kebanyakan kajian terdahulu</w:t>
      </w:r>
      <w:r>
        <w:rPr>
          <w:color w:val="auto"/>
        </w:rPr>
        <w:t xml:space="preserve"> </w:t>
      </w:r>
      <w:r w:rsidR="008A08BF">
        <w:rPr>
          <w:color w:val="auto"/>
        </w:rPr>
        <w:t xml:space="preserve">(seperti </w:t>
      </w:r>
      <w:r w:rsidR="008A08BF">
        <w:t xml:space="preserve">Gul et al. 2009, </w:t>
      </w:r>
      <w:r w:rsidR="008A08BF" w:rsidRPr="00624147">
        <w:t xml:space="preserve">Dunn </w:t>
      </w:r>
      <w:r w:rsidR="00402F1E">
        <w:t xml:space="preserve">dan </w:t>
      </w:r>
      <w:r w:rsidR="008A08BF" w:rsidRPr="00624147">
        <w:t>Mayhew 2004, Balsam</w:t>
      </w:r>
      <w:r w:rsidR="008A08BF">
        <w:t xml:space="preserve"> et al. </w:t>
      </w:r>
      <w:r w:rsidR="008A08BF" w:rsidRPr="00624147">
        <w:t>2003</w:t>
      </w:r>
      <w:r w:rsidR="008A08BF">
        <w:t>; Krishnan 2003</w:t>
      </w:r>
      <w:r w:rsidR="008A08BF">
        <w:rPr>
          <w:color w:val="auto"/>
        </w:rPr>
        <w:t xml:space="preserve">) mendapati </w:t>
      </w:r>
      <w:r w:rsidR="004D7323">
        <w:rPr>
          <w:color w:val="auto"/>
        </w:rPr>
        <w:t>FAPI</w:t>
      </w:r>
      <w:r w:rsidR="008A08BF">
        <w:rPr>
          <w:color w:val="auto"/>
        </w:rPr>
        <w:t xml:space="preserve"> meningkatkan kualiti pelaporan kewangan secara umumnya, namun kajian yang melihat peranan </w:t>
      </w:r>
      <w:r w:rsidR="004D7323">
        <w:rPr>
          <w:color w:val="auto"/>
        </w:rPr>
        <w:t>FAPI</w:t>
      </w:r>
      <w:r w:rsidR="008A08BF">
        <w:rPr>
          <w:color w:val="auto"/>
        </w:rPr>
        <w:t xml:space="preserve"> terhadap pendedahan UPB secara khusus</w:t>
      </w:r>
      <w:r w:rsidR="00402F1E">
        <w:rPr>
          <w:color w:val="auto"/>
        </w:rPr>
        <w:t xml:space="preserve"> masih kurang</w:t>
      </w:r>
      <w:r w:rsidR="008A08BF">
        <w:rPr>
          <w:color w:val="auto"/>
        </w:rPr>
        <w:t xml:space="preserve">. </w:t>
      </w:r>
      <w:r w:rsidR="00733091">
        <w:rPr>
          <w:color w:val="auto"/>
        </w:rPr>
        <w:t xml:space="preserve">Tidak seperti kajian </w:t>
      </w:r>
      <w:r w:rsidR="00733091" w:rsidRPr="00A938D6">
        <w:t>Gaver dan Utke (2019</w:t>
      </w:r>
      <w:r w:rsidR="00733091">
        <w:t xml:space="preserve">), </w:t>
      </w:r>
      <w:r w:rsidR="00A879C3" w:rsidRPr="00A938D6">
        <w:t>Reichelt dan Wang (2010)</w:t>
      </w:r>
      <w:r w:rsidR="00A879C3">
        <w:t xml:space="preserve">, Rahmat dan Iskandar (2004) serta </w:t>
      </w:r>
      <w:r w:rsidR="00733091" w:rsidRPr="00A938D6">
        <w:t>Ferguson dan Stokes (2002</w:t>
      </w:r>
      <w:r w:rsidR="00733091">
        <w:t xml:space="preserve">) yang mengunakan pengukuran </w:t>
      </w:r>
      <w:r w:rsidR="004D7323">
        <w:t>FAPI</w:t>
      </w:r>
      <w:r w:rsidR="00733091">
        <w:t xml:space="preserve"> pada nilai ambang 10% atau 20% sahaja, kajian ini sebaliknya menguji sama ada nilai ambang </w:t>
      </w:r>
      <w:r w:rsidR="004D7323">
        <w:t>FAPI</w:t>
      </w:r>
      <w:r w:rsidR="00733091">
        <w:t xml:space="preserve"> yang berbeza memberi kesan berbeza terhadap pendedahan UPB. Kajian ini juga </w:t>
      </w:r>
      <w:r>
        <w:rPr>
          <w:color w:val="auto"/>
        </w:rPr>
        <w:t xml:space="preserve">dapat mengembangkan lagi konsep </w:t>
      </w:r>
      <w:r w:rsidR="00D54C22">
        <w:rPr>
          <w:color w:val="auto"/>
        </w:rPr>
        <w:t>teori agensi</w:t>
      </w:r>
      <w:r>
        <w:rPr>
          <w:color w:val="auto"/>
        </w:rPr>
        <w:t xml:space="preserve"> </w:t>
      </w:r>
      <w:r w:rsidR="00F27361">
        <w:rPr>
          <w:color w:val="auto"/>
        </w:rPr>
        <w:t xml:space="preserve">dengan memberi penerangan mengenai pentingnya firma audit </w:t>
      </w:r>
      <w:r w:rsidR="009D1CFE">
        <w:rPr>
          <w:color w:val="auto"/>
        </w:rPr>
        <w:t xml:space="preserve">sebagai mekanisme kawalan untuk </w:t>
      </w:r>
      <w:r w:rsidR="00F27361">
        <w:rPr>
          <w:color w:val="auto"/>
        </w:rPr>
        <w:t xml:space="preserve">mempunyai kepakaran industri </w:t>
      </w:r>
      <w:r w:rsidR="009D1CFE">
        <w:rPr>
          <w:color w:val="auto"/>
        </w:rPr>
        <w:t>bagi</w:t>
      </w:r>
      <w:r w:rsidR="00F27361">
        <w:rPr>
          <w:color w:val="auto"/>
        </w:rPr>
        <w:t xml:space="preserve"> memantau UPB dan pendedahannya. Sumbangan kajian ini dianggap kritikal memandangkan struktur pemilikan syarikat di Malaysia secara majoritinya dimiliki oleh keluarga dan dikawal oleh pemegang saham pengawal</w:t>
      </w:r>
      <w:r w:rsidR="00733091">
        <w:rPr>
          <w:color w:val="auto"/>
        </w:rPr>
        <w:t xml:space="preserve">.  Pemilikan dominan </w:t>
      </w:r>
      <w:r w:rsidR="00F27361">
        <w:rPr>
          <w:color w:val="auto"/>
        </w:rPr>
        <w:t>ini menyediakan ruang yang cukup kondusif kepada pihak berkaitan untuk mengeksploitasi UPB.</w:t>
      </w:r>
      <w:r w:rsidR="002E4039">
        <w:rPr>
          <w:color w:val="auto"/>
        </w:rPr>
        <w:t xml:space="preserve"> </w:t>
      </w:r>
      <w:r w:rsidR="005C724B">
        <w:rPr>
          <w:color w:val="auto"/>
        </w:rPr>
        <w:t xml:space="preserve">Dari aspek praktikal pula, </w:t>
      </w:r>
      <w:r w:rsidR="000D51D0">
        <w:rPr>
          <w:color w:val="auto"/>
        </w:rPr>
        <w:t>dapat</w:t>
      </w:r>
      <w:r w:rsidR="00402F1E">
        <w:rPr>
          <w:color w:val="auto"/>
        </w:rPr>
        <w:t>an</w:t>
      </w:r>
      <w:r w:rsidR="000D51D0">
        <w:rPr>
          <w:color w:val="auto"/>
        </w:rPr>
        <w:t xml:space="preserve"> </w:t>
      </w:r>
      <w:r w:rsidR="005C724B">
        <w:rPr>
          <w:color w:val="auto"/>
        </w:rPr>
        <w:t>kajian ini</w:t>
      </w:r>
      <w:r w:rsidR="005202B9">
        <w:rPr>
          <w:color w:val="auto"/>
        </w:rPr>
        <w:t xml:space="preserve"> memberi input kepada </w:t>
      </w:r>
      <w:r w:rsidR="000D51D0">
        <w:rPr>
          <w:color w:val="auto"/>
        </w:rPr>
        <w:t>pembuat polisi dan pengawal selia dalam meningkatkan pi</w:t>
      </w:r>
      <w:r w:rsidR="00402F1E">
        <w:rPr>
          <w:color w:val="auto"/>
        </w:rPr>
        <w:t>a</w:t>
      </w:r>
      <w:r w:rsidR="000D51D0">
        <w:rPr>
          <w:color w:val="auto"/>
        </w:rPr>
        <w:t>waian pendedah</w:t>
      </w:r>
      <w:r w:rsidR="00ED3B76">
        <w:rPr>
          <w:color w:val="auto"/>
        </w:rPr>
        <w:t>a</w:t>
      </w:r>
      <w:r w:rsidR="000D51D0">
        <w:rPr>
          <w:color w:val="auto"/>
        </w:rPr>
        <w:t xml:space="preserve">n UPB sedia ada sebagai langkah utama untuk memastikan UPB dilaporkan dengan sewajarnya.  </w:t>
      </w:r>
      <w:r w:rsidR="000D51D0">
        <w:rPr>
          <w:color w:val="auto"/>
        </w:rPr>
        <w:lastRenderedPageBreak/>
        <w:t>Selain itu</w:t>
      </w:r>
      <w:r w:rsidR="00ED3B76">
        <w:rPr>
          <w:color w:val="auto"/>
        </w:rPr>
        <w:t>,</w:t>
      </w:r>
      <w:r w:rsidR="000D51D0">
        <w:rPr>
          <w:color w:val="auto"/>
        </w:rPr>
        <w:t xml:space="preserve"> hasil kajian mencadangkan kepada syarikat mengenai kepentingan </w:t>
      </w:r>
      <w:r w:rsidR="0027056F">
        <w:rPr>
          <w:color w:val="auto"/>
        </w:rPr>
        <w:t>untuk melantik</w:t>
      </w:r>
      <w:r w:rsidR="000D51D0">
        <w:rPr>
          <w:color w:val="auto"/>
        </w:rPr>
        <w:t xml:space="preserve"> firma audit yang mempunyai kepakaran industri bagi membantu </w:t>
      </w:r>
      <w:r w:rsidR="00ED3B76">
        <w:rPr>
          <w:color w:val="auto"/>
        </w:rPr>
        <w:t>l</w:t>
      </w:r>
      <w:r w:rsidR="000D51D0">
        <w:rPr>
          <w:color w:val="auto"/>
        </w:rPr>
        <w:t>embaga pengarah mem</w:t>
      </w:r>
      <w:r w:rsidR="00ED3B76">
        <w:rPr>
          <w:color w:val="auto"/>
        </w:rPr>
        <w:t>a</w:t>
      </w:r>
      <w:r w:rsidR="000D51D0">
        <w:rPr>
          <w:color w:val="auto"/>
        </w:rPr>
        <w:t>ntau proses pelaporan kewangan dengan lebih efektif.</w:t>
      </w:r>
    </w:p>
    <w:p w14:paraId="2455B6C2" w14:textId="77777777" w:rsidR="00570CB6" w:rsidRPr="004A6E66" w:rsidRDefault="00570CB6" w:rsidP="004A6E66">
      <w:pPr>
        <w:spacing w:after="0" w:line="360" w:lineRule="auto"/>
        <w:jc w:val="both"/>
        <w:rPr>
          <w:rFonts w:ascii="Times New Roman" w:hAnsi="Times New Roman" w:cs="Times New Roman"/>
          <w:sz w:val="24"/>
          <w:szCs w:val="24"/>
        </w:rPr>
      </w:pPr>
    </w:p>
    <w:p w14:paraId="7BDD5B06" w14:textId="49AB55D5" w:rsidR="00EA1E4D" w:rsidRDefault="004A6E66" w:rsidP="00D331D8">
      <w:pPr>
        <w:spacing w:after="0" w:line="240" w:lineRule="auto"/>
        <w:ind w:firstLine="720"/>
        <w:jc w:val="both"/>
        <w:rPr>
          <w:rFonts w:ascii="Times New Roman" w:hAnsi="Times New Roman" w:cs="Times New Roman"/>
          <w:sz w:val="24"/>
          <w:szCs w:val="24"/>
        </w:rPr>
      </w:pPr>
      <w:r w:rsidRPr="004A6E66">
        <w:rPr>
          <w:rFonts w:ascii="Times New Roman" w:hAnsi="Times New Roman" w:cs="Times New Roman"/>
          <w:sz w:val="24"/>
          <w:szCs w:val="24"/>
        </w:rPr>
        <w:t xml:space="preserve">Makalah ini disusun seperti berikut. Bahagian seterusnya memberikan penerangan ringkas mengenai </w:t>
      </w:r>
      <w:r w:rsidR="00A879C3">
        <w:rPr>
          <w:rFonts w:ascii="Times New Roman" w:hAnsi="Times New Roman" w:cs="Times New Roman"/>
          <w:sz w:val="24"/>
          <w:szCs w:val="24"/>
        </w:rPr>
        <w:t xml:space="preserve">teori, </w:t>
      </w:r>
      <w:r w:rsidRPr="004A6E66">
        <w:rPr>
          <w:rFonts w:ascii="Times New Roman" w:hAnsi="Times New Roman" w:cs="Times New Roman"/>
          <w:sz w:val="24"/>
          <w:szCs w:val="24"/>
        </w:rPr>
        <w:t>tinjauan literatur dan pe</w:t>
      </w:r>
      <w:r w:rsidR="00A879C3">
        <w:rPr>
          <w:rFonts w:ascii="Times New Roman" w:hAnsi="Times New Roman" w:cs="Times New Roman"/>
          <w:sz w:val="24"/>
          <w:szCs w:val="24"/>
        </w:rPr>
        <w:t>mbentukan</w:t>
      </w:r>
      <w:r w:rsidRPr="004A6E66">
        <w:rPr>
          <w:rFonts w:ascii="Times New Roman" w:hAnsi="Times New Roman" w:cs="Times New Roman"/>
          <w:sz w:val="24"/>
          <w:szCs w:val="24"/>
        </w:rPr>
        <w:t xml:space="preserve"> hipotesis. </w:t>
      </w:r>
      <w:r w:rsidR="00A879C3">
        <w:rPr>
          <w:rFonts w:ascii="Times New Roman" w:hAnsi="Times New Roman" w:cs="Times New Roman"/>
          <w:sz w:val="24"/>
          <w:szCs w:val="24"/>
        </w:rPr>
        <w:t xml:space="preserve">Ini diikuti dengan perbincangan terperinci </w:t>
      </w:r>
      <w:r w:rsidRPr="004A6E66">
        <w:rPr>
          <w:rFonts w:ascii="Times New Roman" w:hAnsi="Times New Roman" w:cs="Times New Roman"/>
          <w:sz w:val="24"/>
          <w:szCs w:val="24"/>
        </w:rPr>
        <w:t>mengenai</w:t>
      </w:r>
      <w:r w:rsidR="00ED3B76">
        <w:rPr>
          <w:rFonts w:ascii="Times New Roman" w:hAnsi="Times New Roman" w:cs="Times New Roman"/>
          <w:sz w:val="24"/>
          <w:szCs w:val="24"/>
        </w:rPr>
        <w:t xml:space="preserve"> </w:t>
      </w:r>
      <w:r w:rsidRPr="004A6E66">
        <w:rPr>
          <w:rFonts w:ascii="Times New Roman" w:hAnsi="Times New Roman" w:cs="Times New Roman"/>
          <w:sz w:val="24"/>
          <w:szCs w:val="24"/>
        </w:rPr>
        <w:t xml:space="preserve">metodologi </w:t>
      </w:r>
      <w:r w:rsidR="00A879C3">
        <w:rPr>
          <w:rFonts w:ascii="Times New Roman" w:hAnsi="Times New Roman" w:cs="Times New Roman"/>
          <w:sz w:val="24"/>
          <w:szCs w:val="24"/>
        </w:rPr>
        <w:t>dan hasil kajian</w:t>
      </w:r>
      <w:r w:rsidRPr="004A6E66">
        <w:rPr>
          <w:rFonts w:ascii="Times New Roman" w:hAnsi="Times New Roman" w:cs="Times New Roman"/>
          <w:sz w:val="24"/>
          <w:szCs w:val="24"/>
        </w:rPr>
        <w:t>. Perbincangan dan kesimpulan dibentangkan</w:t>
      </w:r>
      <w:r w:rsidR="00276D47">
        <w:rPr>
          <w:rFonts w:ascii="Times New Roman" w:hAnsi="Times New Roman" w:cs="Times New Roman"/>
          <w:sz w:val="24"/>
          <w:szCs w:val="24"/>
        </w:rPr>
        <w:t xml:space="preserve"> </w:t>
      </w:r>
      <w:r w:rsidRPr="004A6E66">
        <w:rPr>
          <w:rFonts w:ascii="Times New Roman" w:hAnsi="Times New Roman" w:cs="Times New Roman"/>
          <w:sz w:val="24"/>
          <w:szCs w:val="24"/>
        </w:rPr>
        <w:t>di bahagian akhir.</w:t>
      </w:r>
    </w:p>
    <w:p w14:paraId="415AAF85" w14:textId="77777777" w:rsidR="00ED3B76" w:rsidRDefault="00ED3B76" w:rsidP="00ED3B76">
      <w:pPr>
        <w:pStyle w:val="Default"/>
        <w:spacing w:line="360" w:lineRule="auto"/>
        <w:jc w:val="both"/>
      </w:pPr>
    </w:p>
    <w:p w14:paraId="33073744" w14:textId="7EC7F070" w:rsidR="00213D87" w:rsidRDefault="00D331D8" w:rsidP="00D331D8">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TEORI, </w:t>
      </w:r>
      <w:r w:rsidRPr="00213D87">
        <w:rPr>
          <w:rFonts w:ascii="Times New Roman" w:hAnsi="Times New Roman" w:cs="Times New Roman"/>
          <w:b/>
          <w:color w:val="000000" w:themeColor="text1"/>
          <w:sz w:val="24"/>
          <w:szCs w:val="24"/>
        </w:rPr>
        <w:t xml:space="preserve">KAJIAN LITERATUR </w:t>
      </w:r>
      <w:r>
        <w:rPr>
          <w:rFonts w:ascii="Times New Roman" w:hAnsi="Times New Roman" w:cs="Times New Roman"/>
          <w:b/>
          <w:color w:val="000000" w:themeColor="text1"/>
          <w:sz w:val="24"/>
          <w:szCs w:val="24"/>
        </w:rPr>
        <w:t>DAN PEMBENTUKAN HIPOTESIS</w:t>
      </w:r>
    </w:p>
    <w:p w14:paraId="17189D5F" w14:textId="77777777" w:rsidR="00D331D8" w:rsidRDefault="00D331D8" w:rsidP="00ED3B76">
      <w:pPr>
        <w:spacing w:after="0" w:line="360" w:lineRule="auto"/>
        <w:jc w:val="both"/>
        <w:rPr>
          <w:rFonts w:ascii="Times New Roman" w:hAnsi="Times New Roman" w:cs="Times New Roman"/>
          <w:b/>
          <w:color w:val="000000" w:themeColor="text1"/>
          <w:sz w:val="24"/>
          <w:szCs w:val="24"/>
        </w:rPr>
      </w:pPr>
    </w:p>
    <w:p w14:paraId="2CC6F4B8" w14:textId="575FF3CB" w:rsidR="003F31E3" w:rsidRDefault="00D54C22" w:rsidP="00ED3B76">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Teori agensi</w:t>
      </w:r>
    </w:p>
    <w:p w14:paraId="37DAE6B1" w14:textId="659251AC" w:rsidR="000B53BF" w:rsidRDefault="00D54C22" w:rsidP="000B53BF">
      <w:pPr>
        <w:spacing w:after="0" w:line="240" w:lineRule="auto"/>
        <w:jc w:val="both"/>
        <w:rPr>
          <w:rFonts w:ascii="Times New Roman" w:hAnsi="Times New Roman" w:cs="Times New Roman"/>
          <w:noProof/>
          <w:sz w:val="24"/>
          <w:szCs w:val="24"/>
          <w:lang w:val="ms-MY"/>
        </w:rPr>
      </w:pPr>
      <w:r>
        <w:rPr>
          <w:rFonts w:ascii="Times New Roman" w:hAnsi="Times New Roman" w:cs="Times New Roman"/>
          <w:noProof/>
          <w:sz w:val="24"/>
          <w:szCs w:val="24"/>
          <w:lang w:val="ms-MY"/>
        </w:rPr>
        <w:t>Teori agensi</w:t>
      </w:r>
      <w:r w:rsidR="000B53BF" w:rsidRPr="00EC2700">
        <w:rPr>
          <w:rFonts w:ascii="Times New Roman" w:hAnsi="Times New Roman" w:cs="Times New Roman"/>
          <w:noProof/>
          <w:sz w:val="24"/>
          <w:szCs w:val="24"/>
          <w:lang w:val="ms-MY"/>
        </w:rPr>
        <w:t xml:space="preserve"> </w:t>
      </w:r>
      <w:r w:rsidR="000B53BF">
        <w:rPr>
          <w:rFonts w:ascii="Times New Roman" w:hAnsi="Times New Roman" w:cs="Times New Roman"/>
          <w:noProof/>
          <w:sz w:val="24"/>
          <w:szCs w:val="24"/>
          <w:lang w:val="ms-MY"/>
        </w:rPr>
        <w:t xml:space="preserve">menerangkan hubungan </w:t>
      </w:r>
      <w:r w:rsidR="000B53BF" w:rsidRPr="00EC2700">
        <w:rPr>
          <w:rFonts w:ascii="Times New Roman" w:hAnsi="Times New Roman" w:cs="Times New Roman"/>
          <w:noProof/>
          <w:sz w:val="24"/>
          <w:szCs w:val="24"/>
          <w:lang w:val="ms-MY"/>
        </w:rPr>
        <w:t xml:space="preserve">kontrak antara prinsipal dan </w:t>
      </w:r>
      <w:r>
        <w:rPr>
          <w:rFonts w:ascii="Times New Roman" w:hAnsi="Times New Roman" w:cs="Times New Roman"/>
          <w:noProof/>
          <w:sz w:val="24"/>
          <w:szCs w:val="24"/>
          <w:lang w:val="ms-MY"/>
        </w:rPr>
        <w:t>ejen</w:t>
      </w:r>
      <w:r w:rsidR="000B53BF" w:rsidRPr="00EC2700">
        <w:rPr>
          <w:rFonts w:ascii="Times New Roman" w:hAnsi="Times New Roman" w:cs="Times New Roman"/>
          <w:noProof/>
          <w:sz w:val="24"/>
          <w:szCs w:val="24"/>
          <w:lang w:val="ms-MY"/>
        </w:rPr>
        <w:t xml:space="preserve"> (Jensen &amp; Meckling 1976)</w:t>
      </w:r>
      <w:r w:rsidR="000125D5">
        <w:rPr>
          <w:rFonts w:ascii="Times New Roman" w:hAnsi="Times New Roman" w:cs="Times New Roman"/>
          <w:noProof/>
          <w:sz w:val="24"/>
          <w:szCs w:val="24"/>
          <w:lang w:val="ms-MY"/>
        </w:rPr>
        <w:t xml:space="preserve"> di mana </w:t>
      </w:r>
      <w:r w:rsidR="000B53BF" w:rsidRPr="00EC2700">
        <w:rPr>
          <w:rFonts w:ascii="Times New Roman" w:hAnsi="Times New Roman" w:cs="Times New Roman"/>
          <w:noProof/>
          <w:sz w:val="24"/>
          <w:szCs w:val="24"/>
          <w:lang w:val="ms-MY"/>
        </w:rPr>
        <w:t xml:space="preserve">satu atau sekumpulan individu (prinsipal) </w:t>
      </w:r>
      <w:r w:rsidR="006632C2">
        <w:rPr>
          <w:rFonts w:ascii="Times New Roman" w:hAnsi="Times New Roman" w:cs="Times New Roman"/>
          <w:noProof/>
          <w:sz w:val="24"/>
          <w:szCs w:val="24"/>
          <w:lang w:val="ms-MY"/>
        </w:rPr>
        <w:t>melantik</w:t>
      </w:r>
      <w:r w:rsidR="000125D5">
        <w:rPr>
          <w:rFonts w:ascii="Times New Roman" w:hAnsi="Times New Roman" w:cs="Times New Roman"/>
          <w:noProof/>
          <w:sz w:val="24"/>
          <w:szCs w:val="24"/>
          <w:lang w:val="ms-MY"/>
        </w:rPr>
        <w:t xml:space="preserve"> </w:t>
      </w:r>
      <w:r w:rsidR="000B53BF" w:rsidRPr="00EC2700">
        <w:rPr>
          <w:rFonts w:ascii="Times New Roman" w:hAnsi="Times New Roman" w:cs="Times New Roman"/>
          <w:noProof/>
          <w:sz w:val="24"/>
          <w:szCs w:val="24"/>
          <w:lang w:val="ms-MY"/>
        </w:rPr>
        <w:t>individu yang lain (</w:t>
      </w:r>
      <w:r>
        <w:rPr>
          <w:rFonts w:ascii="Times New Roman" w:hAnsi="Times New Roman" w:cs="Times New Roman"/>
          <w:noProof/>
          <w:sz w:val="24"/>
          <w:szCs w:val="24"/>
          <w:lang w:val="ms-MY"/>
        </w:rPr>
        <w:t>ejen</w:t>
      </w:r>
      <w:r w:rsidR="000B53BF" w:rsidRPr="00EC2700">
        <w:rPr>
          <w:rFonts w:ascii="Times New Roman" w:hAnsi="Times New Roman" w:cs="Times New Roman"/>
          <w:noProof/>
          <w:sz w:val="24"/>
          <w:szCs w:val="24"/>
          <w:lang w:val="ms-MY"/>
        </w:rPr>
        <w:t xml:space="preserve">) </w:t>
      </w:r>
      <w:r w:rsidR="006632C2">
        <w:rPr>
          <w:rFonts w:ascii="Times New Roman" w:hAnsi="Times New Roman" w:cs="Times New Roman"/>
          <w:noProof/>
          <w:sz w:val="24"/>
          <w:szCs w:val="24"/>
          <w:lang w:val="ms-MY"/>
        </w:rPr>
        <w:t>untuk</w:t>
      </w:r>
      <w:r w:rsidR="000B53BF" w:rsidRPr="00EC2700">
        <w:rPr>
          <w:rFonts w:ascii="Times New Roman" w:hAnsi="Times New Roman" w:cs="Times New Roman"/>
          <w:noProof/>
          <w:sz w:val="24"/>
          <w:szCs w:val="24"/>
          <w:lang w:val="ms-MY"/>
        </w:rPr>
        <w:t xml:space="preserve"> menguruskan sumber dan menjalankan kerja bagi pihak prinsipal (Jensen &amp; Meckling 1976</w:t>
      </w:r>
      <w:r w:rsidR="000B53BF">
        <w:rPr>
          <w:rFonts w:ascii="Times New Roman" w:hAnsi="Times New Roman" w:cs="Times New Roman"/>
          <w:noProof/>
          <w:sz w:val="24"/>
          <w:szCs w:val="24"/>
          <w:lang w:val="ms-MY"/>
        </w:rPr>
        <w:t xml:space="preserve">; Ross 1973). Namun, </w:t>
      </w:r>
      <w:r w:rsidR="000B53BF" w:rsidRPr="00EC7018">
        <w:rPr>
          <w:rFonts w:ascii="Times New Roman" w:hAnsi="Times New Roman" w:cs="Times New Roman"/>
          <w:noProof/>
          <w:sz w:val="24"/>
          <w:szCs w:val="24"/>
          <w:lang w:val="ms-MY"/>
        </w:rPr>
        <w:t>apabila se</w:t>
      </w:r>
      <w:r>
        <w:rPr>
          <w:rFonts w:ascii="Times New Roman" w:hAnsi="Times New Roman" w:cs="Times New Roman"/>
          <w:noProof/>
          <w:sz w:val="24"/>
          <w:szCs w:val="24"/>
          <w:lang w:val="ms-MY"/>
        </w:rPr>
        <w:t>sebuah</w:t>
      </w:r>
      <w:r w:rsidR="000B53BF" w:rsidRPr="00EC7018">
        <w:rPr>
          <w:rFonts w:ascii="Times New Roman" w:hAnsi="Times New Roman" w:cs="Times New Roman"/>
          <w:noProof/>
          <w:sz w:val="24"/>
          <w:szCs w:val="24"/>
          <w:lang w:val="ms-MY"/>
        </w:rPr>
        <w:t xml:space="preserve"> organisasi diuruskan oleh satu atau sekumpulan individu yang bukan pemilik sebenar, maka berkemungkinan </w:t>
      </w:r>
      <w:r w:rsidR="006632C2">
        <w:rPr>
          <w:rFonts w:ascii="Times New Roman" w:hAnsi="Times New Roman" w:cs="Times New Roman"/>
          <w:noProof/>
          <w:sz w:val="24"/>
          <w:szCs w:val="24"/>
          <w:lang w:val="ms-MY"/>
        </w:rPr>
        <w:t>ejen</w:t>
      </w:r>
      <w:r w:rsidR="000B53BF" w:rsidRPr="00EC7018">
        <w:rPr>
          <w:rFonts w:ascii="Times New Roman" w:hAnsi="Times New Roman" w:cs="Times New Roman"/>
          <w:noProof/>
          <w:sz w:val="24"/>
          <w:szCs w:val="24"/>
          <w:lang w:val="ms-MY"/>
        </w:rPr>
        <w:t xml:space="preserve"> tidak bekerja untuk kepentingan pemiliknya. </w:t>
      </w:r>
      <w:r w:rsidRPr="00EC2700">
        <w:rPr>
          <w:rFonts w:ascii="Times New Roman" w:hAnsi="Times New Roman" w:cs="Times New Roman"/>
          <w:noProof/>
          <w:sz w:val="24"/>
          <w:szCs w:val="24"/>
          <w:lang w:val="ms-MY"/>
        </w:rPr>
        <w:t>Hal ini mewujudkan konflik</w:t>
      </w:r>
      <w:r w:rsidR="000125D5">
        <w:rPr>
          <w:rFonts w:ascii="Times New Roman" w:hAnsi="Times New Roman" w:cs="Times New Roman"/>
          <w:noProof/>
          <w:sz w:val="24"/>
          <w:szCs w:val="24"/>
          <w:lang w:val="ms-MY"/>
        </w:rPr>
        <w:t xml:space="preserve"> </w:t>
      </w:r>
      <w:r w:rsidRPr="00EC2700">
        <w:rPr>
          <w:rFonts w:ascii="Times New Roman" w:hAnsi="Times New Roman" w:cs="Times New Roman"/>
          <w:noProof/>
          <w:sz w:val="24"/>
          <w:szCs w:val="24"/>
          <w:lang w:val="ms-MY"/>
        </w:rPr>
        <w:t xml:space="preserve">antara prinsipal dan </w:t>
      </w:r>
      <w:r>
        <w:rPr>
          <w:rFonts w:ascii="Times New Roman" w:hAnsi="Times New Roman" w:cs="Times New Roman"/>
          <w:noProof/>
          <w:sz w:val="24"/>
          <w:szCs w:val="24"/>
          <w:lang w:val="ms-MY"/>
        </w:rPr>
        <w:t>ejen</w:t>
      </w:r>
      <w:r w:rsidRPr="00EC2700">
        <w:rPr>
          <w:rFonts w:ascii="Times New Roman" w:hAnsi="Times New Roman" w:cs="Times New Roman"/>
          <w:noProof/>
          <w:sz w:val="24"/>
          <w:szCs w:val="24"/>
          <w:lang w:val="ms-MY"/>
        </w:rPr>
        <w:t xml:space="preserve"> kerana pihak-pihak yang bekerjasama mempunyai matlamat </w:t>
      </w:r>
      <w:r>
        <w:rPr>
          <w:rFonts w:ascii="Times New Roman" w:hAnsi="Times New Roman" w:cs="Times New Roman"/>
          <w:noProof/>
          <w:sz w:val="24"/>
          <w:szCs w:val="24"/>
          <w:lang w:val="ms-MY"/>
        </w:rPr>
        <w:t>yang berbeza (Jensen &amp; Meckling 1976; Ross</w:t>
      </w:r>
      <w:r w:rsidRPr="00EC2700">
        <w:rPr>
          <w:rFonts w:ascii="Times New Roman" w:hAnsi="Times New Roman" w:cs="Times New Roman"/>
          <w:noProof/>
          <w:sz w:val="24"/>
          <w:szCs w:val="24"/>
          <w:lang w:val="ms-MY"/>
        </w:rPr>
        <w:t xml:space="preserve"> 1973). </w:t>
      </w:r>
      <w:r w:rsidR="004B7AD9">
        <w:rPr>
          <w:rFonts w:ascii="Times New Roman" w:hAnsi="Times New Roman" w:cs="Times New Roman"/>
          <w:noProof/>
          <w:sz w:val="24"/>
          <w:szCs w:val="24"/>
          <w:lang w:val="ms-MY"/>
        </w:rPr>
        <w:t xml:space="preserve">Konflik </w:t>
      </w:r>
      <w:r w:rsidR="00F313B0">
        <w:rPr>
          <w:rFonts w:ascii="Times New Roman" w:hAnsi="Times New Roman" w:cs="Times New Roman"/>
          <w:noProof/>
          <w:sz w:val="24"/>
          <w:szCs w:val="24"/>
          <w:lang w:val="ms-MY"/>
        </w:rPr>
        <w:t xml:space="preserve">kepentingan </w:t>
      </w:r>
      <w:r w:rsidR="004B7AD9">
        <w:rPr>
          <w:rFonts w:ascii="Times New Roman" w:hAnsi="Times New Roman" w:cs="Times New Roman"/>
          <w:noProof/>
          <w:sz w:val="24"/>
          <w:szCs w:val="24"/>
          <w:lang w:val="ms-MY"/>
        </w:rPr>
        <w:t xml:space="preserve">ini </w:t>
      </w:r>
      <w:r w:rsidR="00F313B0">
        <w:rPr>
          <w:rFonts w:ascii="Times New Roman" w:hAnsi="Times New Roman" w:cs="Times New Roman"/>
          <w:noProof/>
          <w:sz w:val="24"/>
          <w:szCs w:val="24"/>
          <w:lang w:val="ms-MY"/>
        </w:rPr>
        <w:t>semakin meningkat apabila ejen mempunyai lebih maklumat mengenai operasi syarikat berbanding prinsipal.</w:t>
      </w:r>
      <w:r w:rsidR="000125D5">
        <w:rPr>
          <w:rFonts w:ascii="Times New Roman" w:hAnsi="Times New Roman" w:cs="Times New Roman"/>
          <w:noProof/>
          <w:sz w:val="24"/>
          <w:szCs w:val="24"/>
          <w:lang w:val="ms-MY"/>
        </w:rPr>
        <w:t xml:space="preserve"> </w:t>
      </w:r>
      <w:r w:rsidR="00F313B0">
        <w:rPr>
          <w:rFonts w:ascii="Times New Roman" w:hAnsi="Times New Roman" w:cs="Times New Roman"/>
          <w:noProof/>
          <w:sz w:val="24"/>
          <w:szCs w:val="24"/>
          <w:lang w:val="ms-MY"/>
        </w:rPr>
        <w:t xml:space="preserve">Kewujudan jurang maklumat ini mendorong berlakunya tingkah laku oportunis di kalangan ejen. </w:t>
      </w:r>
      <w:r>
        <w:rPr>
          <w:rFonts w:ascii="Times New Roman" w:hAnsi="Times New Roman" w:cs="Times New Roman"/>
          <w:noProof/>
          <w:sz w:val="24"/>
          <w:szCs w:val="24"/>
          <w:lang w:val="ms-MY"/>
        </w:rPr>
        <w:t>Skandal perakaunan melibatkan syarikat-syarikat besar seperti Enron, WorldCom dan Satyam serta dapatan dari kajian lepas (</w:t>
      </w:r>
      <w:r w:rsidR="00A879C3">
        <w:rPr>
          <w:rFonts w:ascii="Times New Roman" w:hAnsi="Times New Roman" w:cs="Times New Roman"/>
          <w:noProof/>
          <w:sz w:val="24"/>
          <w:szCs w:val="24"/>
          <w:lang w:val="ms-MY"/>
        </w:rPr>
        <w:t>Rahmat</w:t>
      </w:r>
      <w:r>
        <w:rPr>
          <w:rFonts w:ascii="Times New Roman" w:hAnsi="Times New Roman" w:cs="Times New Roman"/>
          <w:noProof/>
          <w:sz w:val="24"/>
          <w:szCs w:val="24"/>
          <w:lang w:val="ms-MY"/>
        </w:rPr>
        <w:t xml:space="preserve"> et al. 2021; Kohlbeck &amp; Mayhew 2010) me</w:t>
      </w:r>
      <w:r w:rsidR="004B7AD9">
        <w:rPr>
          <w:rFonts w:ascii="Times New Roman" w:hAnsi="Times New Roman" w:cs="Times New Roman"/>
          <w:noProof/>
          <w:sz w:val="24"/>
          <w:szCs w:val="24"/>
          <w:lang w:val="ms-MY"/>
        </w:rPr>
        <w:t>mbuktikan bahawa</w:t>
      </w:r>
      <w:r>
        <w:rPr>
          <w:rFonts w:ascii="Times New Roman" w:hAnsi="Times New Roman" w:cs="Times New Roman"/>
          <w:noProof/>
          <w:sz w:val="24"/>
          <w:szCs w:val="24"/>
          <w:lang w:val="ms-MY"/>
        </w:rPr>
        <w:t xml:space="preserve"> UPB </w:t>
      </w:r>
      <w:r w:rsidR="004B7AD9">
        <w:rPr>
          <w:rFonts w:ascii="Times New Roman" w:hAnsi="Times New Roman" w:cs="Times New Roman"/>
          <w:noProof/>
          <w:sz w:val="24"/>
          <w:szCs w:val="24"/>
          <w:lang w:val="ms-MY"/>
        </w:rPr>
        <w:t xml:space="preserve">antara urus niaga popular yang </w:t>
      </w:r>
      <w:r>
        <w:rPr>
          <w:rFonts w:ascii="Times New Roman" w:hAnsi="Times New Roman" w:cs="Times New Roman"/>
          <w:noProof/>
          <w:sz w:val="24"/>
          <w:szCs w:val="24"/>
          <w:lang w:val="ms-MY"/>
        </w:rPr>
        <w:t>sering digunakan oleh ejen untu</w:t>
      </w:r>
      <w:r w:rsidR="004B7AD9">
        <w:rPr>
          <w:rFonts w:ascii="Times New Roman" w:hAnsi="Times New Roman" w:cs="Times New Roman"/>
          <w:noProof/>
          <w:sz w:val="24"/>
          <w:szCs w:val="24"/>
          <w:lang w:val="ms-MY"/>
        </w:rPr>
        <w:t>k</w:t>
      </w:r>
      <w:r>
        <w:rPr>
          <w:rFonts w:ascii="Times New Roman" w:hAnsi="Times New Roman" w:cs="Times New Roman"/>
          <w:noProof/>
          <w:sz w:val="24"/>
          <w:szCs w:val="24"/>
          <w:lang w:val="ms-MY"/>
        </w:rPr>
        <w:t xml:space="preserve"> memaksimumkan kepentingan diri dengan mengorbankan kepentingan prinsipal. </w:t>
      </w:r>
    </w:p>
    <w:p w14:paraId="116FB3BB" w14:textId="77777777" w:rsidR="00D54C22" w:rsidRDefault="00D54C22" w:rsidP="00D54C22">
      <w:pPr>
        <w:spacing w:after="0" w:line="240" w:lineRule="auto"/>
        <w:jc w:val="both"/>
        <w:rPr>
          <w:rFonts w:ascii="Times New Roman" w:hAnsi="Times New Roman" w:cs="Times New Roman"/>
          <w:noProof/>
          <w:sz w:val="24"/>
          <w:szCs w:val="24"/>
          <w:lang w:val="ms-MY"/>
        </w:rPr>
      </w:pPr>
    </w:p>
    <w:p w14:paraId="051B0850" w14:textId="01C5A4DE" w:rsidR="004B7AD9" w:rsidRDefault="004B7AD9" w:rsidP="00D331D8">
      <w:pPr>
        <w:spacing w:after="0" w:line="240" w:lineRule="auto"/>
        <w:ind w:firstLine="720"/>
        <w:jc w:val="both"/>
        <w:rPr>
          <w:rFonts w:ascii="Times New Roman" w:hAnsi="Times New Roman" w:cs="Times New Roman"/>
          <w:noProof/>
          <w:sz w:val="24"/>
          <w:szCs w:val="24"/>
          <w:lang w:val="ms-MY"/>
        </w:rPr>
      </w:pPr>
      <w:r>
        <w:rPr>
          <w:rFonts w:ascii="Times New Roman" w:hAnsi="Times New Roman" w:cs="Times New Roman"/>
          <w:noProof/>
          <w:sz w:val="24"/>
          <w:szCs w:val="24"/>
          <w:lang w:val="ms-MY"/>
        </w:rPr>
        <w:t xml:space="preserve">Pendedahan UPB dalam pelaporan kewangan sebagaimana yang dikehendaki oleh MFRS 124 dan Keperluan Penyenaraian Bursa Malaysia, boleh bertindak sebagai mekanisme untuk menjelaskan kepada prinsipal terutamanya pemegang saham mengenai sifat </w:t>
      </w:r>
      <w:r w:rsidRPr="00111937">
        <w:rPr>
          <w:rFonts w:ascii="Times New Roman" w:hAnsi="Times New Roman" w:cs="Times New Roman"/>
          <w:sz w:val="24"/>
          <w:szCs w:val="24"/>
        </w:rPr>
        <w:t xml:space="preserve">hubungan, </w:t>
      </w:r>
      <w:r>
        <w:rPr>
          <w:rFonts w:ascii="Times New Roman" w:hAnsi="Times New Roman" w:cs="Times New Roman"/>
          <w:sz w:val="24"/>
          <w:szCs w:val="24"/>
        </w:rPr>
        <w:t>jenis</w:t>
      </w:r>
      <w:r w:rsidRPr="00111937">
        <w:rPr>
          <w:rFonts w:ascii="Times New Roman" w:hAnsi="Times New Roman" w:cs="Times New Roman"/>
          <w:sz w:val="24"/>
          <w:szCs w:val="24"/>
        </w:rPr>
        <w:t xml:space="preserve"> urus niaga</w:t>
      </w:r>
      <w:r>
        <w:rPr>
          <w:rFonts w:ascii="Times New Roman" w:hAnsi="Times New Roman" w:cs="Times New Roman"/>
          <w:sz w:val="24"/>
          <w:szCs w:val="24"/>
        </w:rPr>
        <w:t xml:space="preserve"> dan </w:t>
      </w:r>
      <w:r w:rsidRPr="00111937">
        <w:rPr>
          <w:rFonts w:ascii="Times New Roman" w:hAnsi="Times New Roman" w:cs="Times New Roman"/>
          <w:sz w:val="24"/>
          <w:szCs w:val="24"/>
        </w:rPr>
        <w:t>amaun</w:t>
      </w:r>
      <w:r>
        <w:rPr>
          <w:rFonts w:ascii="Times New Roman" w:hAnsi="Times New Roman" w:cs="Times New Roman"/>
          <w:sz w:val="24"/>
          <w:szCs w:val="24"/>
        </w:rPr>
        <w:t xml:space="preserve"> yang terlibat.</w:t>
      </w:r>
      <w:r w:rsidR="00F313B0">
        <w:rPr>
          <w:rFonts w:ascii="Times New Roman" w:hAnsi="Times New Roman" w:cs="Times New Roman"/>
          <w:sz w:val="24"/>
          <w:szCs w:val="24"/>
        </w:rPr>
        <w:t xml:space="preserve"> </w:t>
      </w:r>
      <w:r w:rsidR="006632C2">
        <w:rPr>
          <w:rFonts w:ascii="Times New Roman" w:hAnsi="Times New Roman" w:cs="Times New Roman"/>
          <w:sz w:val="24"/>
          <w:szCs w:val="24"/>
        </w:rPr>
        <w:t>Peranan untuk memastikan syarikat membuat pendedahan sewajarnya dipertanggungjawabkan kepada firma audit.  Oleh itu t</w:t>
      </w:r>
      <w:r w:rsidR="00B57CF3">
        <w:rPr>
          <w:rFonts w:ascii="Times New Roman" w:hAnsi="Times New Roman" w:cs="Times New Roman"/>
          <w:sz w:val="24"/>
          <w:szCs w:val="24"/>
        </w:rPr>
        <w:t>eo</w:t>
      </w:r>
      <w:r w:rsidR="00D54C22">
        <w:rPr>
          <w:rFonts w:ascii="Times New Roman" w:hAnsi="Times New Roman" w:cs="Times New Roman"/>
          <w:noProof/>
          <w:sz w:val="24"/>
          <w:szCs w:val="24"/>
          <w:lang w:val="ms-MY"/>
        </w:rPr>
        <w:t>ri agensi</w:t>
      </w:r>
      <w:r w:rsidR="00D54C22" w:rsidRPr="00D54C22">
        <w:rPr>
          <w:rFonts w:ascii="Times New Roman" w:hAnsi="Times New Roman" w:cs="Times New Roman"/>
          <w:noProof/>
          <w:sz w:val="24"/>
          <w:szCs w:val="24"/>
          <w:lang w:val="ms-MY"/>
        </w:rPr>
        <w:t xml:space="preserve"> menekankan kepentingan pemantauan </w:t>
      </w:r>
      <w:r w:rsidR="00D54C22">
        <w:rPr>
          <w:rFonts w:ascii="Times New Roman" w:hAnsi="Times New Roman" w:cs="Times New Roman"/>
          <w:noProof/>
          <w:sz w:val="24"/>
          <w:szCs w:val="24"/>
          <w:lang w:val="ms-MY"/>
        </w:rPr>
        <w:t xml:space="preserve">oleh </w:t>
      </w:r>
      <w:r w:rsidR="006632C2">
        <w:rPr>
          <w:rFonts w:ascii="Times New Roman" w:hAnsi="Times New Roman" w:cs="Times New Roman"/>
          <w:noProof/>
          <w:sz w:val="24"/>
          <w:szCs w:val="24"/>
          <w:lang w:val="ms-MY"/>
        </w:rPr>
        <w:t>firma audit</w:t>
      </w:r>
      <w:r w:rsidR="00D54C22" w:rsidRPr="00D54C22">
        <w:rPr>
          <w:rFonts w:ascii="Times New Roman" w:hAnsi="Times New Roman" w:cs="Times New Roman"/>
          <w:noProof/>
          <w:sz w:val="24"/>
          <w:szCs w:val="24"/>
          <w:lang w:val="ms-MY"/>
        </w:rPr>
        <w:t xml:space="preserve"> dalam menyelesaikan</w:t>
      </w:r>
      <w:r w:rsidR="00D54C22">
        <w:rPr>
          <w:rFonts w:ascii="Times New Roman" w:hAnsi="Times New Roman" w:cs="Times New Roman"/>
          <w:noProof/>
          <w:sz w:val="24"/>
          <w:szCs w:val="24"/>
          <w:lang w:val="ms-MY"/>
        </w:rPr>
        <w:t xml:space="preserve"> </w:t>
      </w:r>
      <w:r w:rsidR="00D54C22" w:rsidRPr="00D54C22">
        <w:rPr>
          <w:rFonts w:ascii="Times New Roman" w:hAnsi="Times New Roman" w:cs="Times New Roman"/>
          <w:noProof/>
          <w:sz w:val="24"/>
          <w:szCs w:val="24"/>
          <w:lang w:val="ms-MY"/>
        </w:rPr>
        <w:t>konflik antara ejen dan prinsipal</w:t>
      </w:r>
      <w:r w:rsidR="00B57CF3">
        <w:rPr>
          <w:rFonts w:ascii="Times New Roman" w:hAnsi="Times New Roman" w:cs="Times New Roman"/>
          <w:noProof/>
          <w:sz w:val="24"/>
          <w:szCs w:val="24"/>
          <w:lang w:val="ms-MY"/>
        </w:rPr>
        <w:t xml:space="preserve"> termasuklah merapatkan jurang ketidakseimbangan maklumat.</w:t>
      </w:r>
      <w:r w:rsidR="00D331D8">
        <w:rPr>
          <w:rFonts w:ascii="Times New Roman" w:hAnsi="Times New Roman" w:cs="Times New Roman"/>
          <w:noProof/>
          <w:sz w:val="24"/>
          <w:szCs w:val="24"/>
          <w:lang w:val="ms-MY"/>
        </w:rPr>
        <w:t xml:space="preserve"> </w:t>
      </w:r>
      <w:r w:rsidR="00B57CF3">
        <w:rPr>
          <w:rFonts w:ascii="Times New Roman" w:hAnsi="Times New Roman" w:cs="Times New Roman"/>
          <w:noProof/>
          <w:sz w:val="24"/>
          <w:szCs w:val="24"/>
          <w:lang w:val="ms-MY"/>
        </w:rPr>
        <w:t>Sebagai badan bebas, f</w:t>
      </w:r>
      <w:r w:rsidR="00B57CF3" w:rsidRPr="00F17528">
        <w:rPr>
          <w:rFonts w:ascii="Times New Roman" w:hAnsi="Times New Roman" w:cs="Times New Roman"/>
          <w:sz w:val="24"/>
          <w:szCs w:val="24"/>
        </w:rPr>
        <w:t xml:space="preserve">irma audit luaran bertanggungjawab untuk memberi </w:t>
      </w:r>
      <w:bookmarkStart w:id="7" w:name="_Hlk81462641"/>
      <w:r w:rsidR="00B57CF3" w:rsidRPr="00F17528">
        <w:rPr>
          <w:rFonts w:ascii="Times New Roman" w:hAnsi="Times New Roman" w:cs="Times New Roman"/>
          <w:sz w:val="24"/>
          <w:szCs w:val="24"/>
        </w:rPr>
        <w:t xml:space="preserve">jaminan yang munasabah bahawa penyata kewangan </w:t>
      </w:r>
      <w:r w:rsidR="00B57CF3">
        <w:rPr>
          <w:rFonts w:ascii="Times New Roman" w:hAnsi="Times New Roman" w:cs="Times New Roman"/>
          <w:sz w:val="24"/>
          <w:szCs w:val="24"/>
        </w:rPr>
        <w:t xml:space="preserve">yang disediakan oleh syarikat </w:t>
      </w:r>
      <w:r w:rsidR="00B57CF3" w:rsidRPr="00F17528">
        <w:rPr>
          <w:rFonts w:ascii="Times New Roman" w:hAnsi="Times New Roman" w:cs="Times New Roman"/>
          <w:sz w:val="24"/>
          <w:szCs w:val="24"/>
        </w:rPr>
        <w:t xml:space="preserve">bebas dari salah nyata yang </w:t>
      </w:r>
      <w:r w:rsidR="00B57CF3">
        <w:rPr>
          <w:rFonts w:ascii="Times New Roman" w:hAnsi="Times New Roman" w:cs="Times New Roman"/>
          <w:sz w:val="24"/>
          <w:szCs w:val="24"/>
        </w:rPr>
        <w:t>material</w:t>
      </w:r>
      <w:r w:rsidR="00B57CF3" w:rsidRPr="00F17528">
        <w:rPr>
          <w:rFonts w:ascii="Times New Roman" w:hAnsi="Times New Roman" w:cs="Times New Roman"/>
          <w:sz w:val="24"/>
          <w:szCs w:val="24"/>
        </w:rPr>
        <w:t xml:space="preserve"> dan dis</w:t>
      </w:r>
      <w:r w:rsidR="00B57CF3">
        <w:rPr>
          <w:rFonts w:ascii="Times New Roman" w:hAnsi="Times New Roman" w:cs="Times New Roman"/>
          <w:sz w:val="24"/>
          <w:szCs w:val="24"/>
        </w:rPr>
        <w:t>ediakan</w:t>
      </w:r>
      <w:r w:rsidR="00B57CF3" w:rsidRPr="00F17528">
        <w:rPr>
          <w:rFonts w:ascii="Times New Roman" w:hAnsi="Times New Roman" w:cs="Times New Roman"/>
          <w:sz w:val="24"/>
          <w:szCs w:val="24"/>
        </w:rPr>
        <w:t xml:space="preserve"> mengikut kerangka perakaunan.</w:t>
      </w:r>
    </w:p>
    <w:bookmarkEnd w:id="7"/>
    <w:p w14:paraId="41EB3957" w14:textId="5023618C" w:rsidR="000B53BF" w:rsidRPr="00EC2700" w:rsidRDefault="000B53BF" w:rsidP="000B53BF">
      <w:pPr>
        <w:spacing w:after="0" w:line="240" w:lineRule="auto"/>
        <w:jc w:val="both"/>
        <w:rPr>
          <w:rFonts w:ascii="Times New Roman" w:hAnsi="Times New Roman" w:cs="Times New Roman"/>
          <w:noProof/>
          <w:sz w:val="24"/>
          <w:szCs w:val="24"/>
          <w:lang w:val="ms-MY"/>
        </w:rPr>
      </w:pPr>
    </w:p>
    <w:p w14:paraId="78038EB3" w14:textId="5B907698" w:rsidR="000B53BF" w:rsidRDefault="000B53BF" w:rsidP="00D331D8">
      <w:pPr>
        <w:spacing w:after="0" w:line="240" w:lineRule="auto"/>
        <w:ind w:firstLine="720"/>
        <w:jc w:val="both"/>
        <w:rPr>
          <w:rFonts w:ascii="Times New Roman" w:hAnsi="Times New Roman" w:cs="Times New Roman"/>
          <w:noProof/>
          <w:sz w:val="24"/>
          <w:szCs w:val="24"/>
          <w:lang w:val="ms-MY"/>
        </w:rPr>
      </w:pPr>
      <w:r w:rsidRPr="00EC2700">
        <w:rPr>
          <w:rFonts w:ascii="Times New Roman" w:hAnsi="Times New Roman" w:cs="Times New Roman"/>
          <w:noProof/>
          <w:sz w:val="24"/>
          <w:szCs w:val="24"/>
          <w:lang w:val="ms-MY"/>
        </w:rPr>
        <w:t xml:space="preserve">Dalam konteks </w:t>
      </w:r>
      <w:r w:rsidR="000125D5">
        <w:rPr>
          <w:rFonts w:ascii="Times New Roman" w:hAnsi="Times New Roman" w:cs="Times New Roman"/>
          <w:noProof/>
          <w:sz w:val="24"/>
          <w:szCs w:val="24"/>
          <w:lang w:val="ms-MY"/>
        </w:rPr>
        <w:t xml:space="preserve">pengauditan </w:t>
      </w:r>
      <w:r w:rsidRPr="00EC2700">
        <w:rPr>
          <w:rFonts w:ascii="Times New Roman" w:hAnsi="Times New Roman" w:cs="Times New Roman"/>
          <w:noProof/>
          <w:sz w:val="24"/>
          <w:szCs w:val="24"/>
          <w:lang w:val="ms-MY"/>
        </w:rPr>
        <w:t xml:space="preserve">UPB, juruaudit perlu mempunyai pengetahuan </w:t>
      </w:r>
      <w:r w:rsidR="000125D5">
        <w:rPr>
          <w:rFonts w:ascii="Times New Roman" w:hAnsi="Times New Roman" w:cs="Times New Roman"/>
          <w:noProof/>
          <w:sz w:val="24"/>
          <w:szCs w:val="24"/>
          <w:lang w:val="ms-MY"/>
        </w:rPr>
        <w:t xml:space="preserve">dan kepakaran </w:t>
      </w:r>
      <w:r w:rsidRPr="00EC2700">
        <w:rPr>
          <w:rFonts w:ascii="Times New Roman" w:hAnsi="Times New Roman" w:cs="Times New Roman"/>
          <w:noProof/>
          <w:sz w:val="24"/>
          <w:szCs w:val="24"/>
          <w:lang w:val="ms-MY"/>
        </w:rPr>
        <w:t xml:space="preserve">yang mendalam </w:t>
      </w:r>
      <w:r w:rsidR="000125D5" w:rsidRPr="00EB40D2">
        <w:rPr>
          <w:rFonts w:ascii="Times New Roman" w:hAnsi="Times New Roman" w:cs="Times New Roman"/>
          <w:noProof/>
          <w:sz w:val="24"/>
          <w:szCs w:val="24"/>
          <w:lang w:val="ms-MY"/>
        </w:rPr>
        <w:t>mengenai operasian syarikat</w:t>
      </w:r>
      <w:r w:rsidR="000125D5">
        <w:rPr>
          <w:rFonts w:ascii="Times New Roman" w:hAnsi="Times New Roman" w:cs="Times New Roman"/>
          <w:noProof/>
          <w:sz w:val="24"/>
          <w:szCs w:val="24"/>
          <w:lang w:val="ms-MY"/>
        </w:rPr>
        <w:t xml:space="preserve">. </w:t>
      </w:r>
      <w:r w:rsidRPr="00EC2700">
        <w:rPr>
          <w:rFonts w:ascii="Times New Roman" w:hAnsi="Times New Roman" w:cs="Times New Roman"/>
          <w:noProof/>
          <w:sz w:val="24"/>
          <w:szCs w:val="24"/>
          <w:lang w:val="ms-MY"/>
        </w:rPr>
        <w:t xml:space="preserve">Hal ini kerana UPB sering digunakan sebagai </w:t>
      </w:r>
      <w:r>
        <w:rPr>
          <w:rFonts w:ascii="Times New Roman" w:hAnsi="Times New Roman" w:cs="Times New Roman"/>
          <w:noProof/>
          <w:sz w:val="24"/>
          <w:szCs w:val="24"/>
          <w:lang w:val="ms-MY"/>
        </w:rPr>
        <w:t>medium</w:t>
      </w:r>
      <w:r w:rsidRPr="00EC2700">
        <w:rPr>
          <w:rFonts w:ascii="Times New Roman" w:hAnsi="Times New Roman" w:cs="Times New Roman"/>
          <w:noProof/>
          <w:sz w:val="24"/>
          <w:szCs w:val="24"/>
          <w:lang w:val="ms-MY"/>
        </w:rPr>
        <w:t xml:space="preserve"> penipuan dan manipulasi laporan kewangan</w:t>
      </w:r>
      <w:r w:rsidR="006632C2">
        <w:rPr>
          <w:rFonts w:ascii="Times New Roman" w:hAnsi="Times New Roman" w:cs="Times New Roman"/>
          <w:noProof/>
          <w:sz w:val="24"/>
          <w:szCs w:val="24"/>
          <w:lang w:val="ms-MY"/>
        </w:rPr>
        <w:t>. Contohnya,</w:t>
      </w:r>
      <w:r w:rsidRPr="00EC2700">
        <w:rPr>
          <w:rFonts w:ascii="Times New Roman" w:hAnsi="Times New Roman" w:cs="Times New Roman"/>
          <w:noProof/>
          <w:sz w:val="24"/>
          <w:szCs w:val="24"/>
          <w:lang w:val="ms-MY"/>
        </w:rPr>
        <w:t xml:space="preserve"> pihak pengurusan yang tidak beretika </w:t>
      </w:r>
      <w:r>
        <w:rPr>
          <w:rFonts w:ascii="Times New Roman" w:hAnsi="Times New Roman" w:cs="Times New Roman"/>
          <w:noProof/>
          <w:sz w:val="24"/>
          <w:szCs w:val="24"/>
          <w:lang w:val="ms-MY"/>
        </w:rPr>
        <w:t>berke</w:t>
      </w:r>
      <w:r w:rsidRPr="00EC2700">
        <w:rPr>
          <w:rFonts w:ascii="Times New Roman" w:hAnsi="Times New Roman" w:cs="Times New Roman"/>
          <w:noProof/>
          <w:sz w:val="24"/>
          <w:szCs w:val="24"/>
          <w:lang w:val="ms-MY"/>
        </w:rPr>
        <w:t>mungkin</w:t>
      </w:r>
      <w:r>
        <w:rPr>
          <w:rFonts w:ascii="Times New Roman" w:hAnsi="Times New Roman" w:cs="Times New Roman"/>
          <w:noProof/>
          <w:sz w:val="24"/>
          <w:szCs w:val="24"/>
          <w:lang w:val="ms-MY"/>
        </w:rPr>
        <w:t>an</w:t>
      </w:r>
      <w:r w:rsidRPr="00EC2700">
        <w:rPr>
          <w:rFonts w:ascii="Times New Roman" w:hAnsi="Times New Roman" w:cs="Times New Roman"/>
          <w:noProof/>
          <w:sz w:val="24"/>
          <w:szCs w:val="24"/>
          <w:lang w:val="ms-MY"/>
        </w:rPr>
        <w:t xml:space="preserve"> menggunakan UPB sebagai </w:t>
      </w:r>
      <w:r w:rsidR="006632C2">
        <w:rPr>
          <w:rFonts w:ascii="Times New Roman" w:hAnsi="Times New Roman" w:cs="Times New Roman"/>
          <w:noProof/>
          <w:sz w:val="24"/>
          <w:szCs w:val="24"/>
          <w:lang w:val="ms-MY"/>
        </w:rPr>
        <w:t xml:space="preserve">alat </w:t>
      </w:r>
      <w:r w:rsidRPr="00EC2700">
        <w:rPr>
          <w:rFonts w:ascii="Times New Roman" w:hAnsi="Times New Roman" w:cs="Times New Roman"/>
          <w:noProof/>
          <w:sz w:val="24"/>
          <w:szCs w:val="24"/>
          <w:lang w:val="ms-MY"/>
        </w:rPr>
        <w:t xml:space="preserve">untuk memindahkan kekayaan, aset dan keuntungan syarikat yang diuruskan kepada syarikat lain yang berada di bawah kawalannya (Aharony, Wang </w:t>
      </w:r>
      <w:r w:rsidR="00402F1E">
        <w:rPr>
          <w:rFonts w:ascii="Times New Roman" w:hAnsi="Times New Roman" w:cs="Times New Roman"/>
          <w:noProof/>
          <w:sz w:val="24"/>
          <w:szCs w:val="24"/>
          <w:lang w:val="ms-MY"/>
        </w:rPr>
        <w:t>&amp;</w:t>
      </w:r>
      <w:r w:rsidRPr="00EC2700">
        <w:rPr>
          <w:rFonts w:ascii="Times New Roman" w:hAnsi="Times New Roman" w:cs="Times New Roman"/>
          <w:noProof/>
          <w:sz w:val="24"/>
          <w:szCs w:val="24"/>
          <w:lang w:val="ms-MY"/>
        </w:rPr>
        <w:t xml:space="preserve"> Yuan 2010; Jian </w:t>
      </w:r>
      <w:r w:rsidR="00402F1E">
        <w:rPr>
          <w:rFonts w:ascii="Times New Roman" w:hAnsi="Times New Roman" w:cs="Times New Roman"/>
          <w:noProof/>
          <w:sz w:val="24"/>
          <w:szCs w:val="24"/>
          <w:lang w:val="ms-MY"/>
        </w:rPr>
        <w:t>&amp;</w:t>
      </w:r>
      <w:r w:rsidRPr="00EC2700">
        <w:rPr>
          <w:rFonts w:ascii="Times New Roman" w:hAnsi="Times New Roman" w:cs="Times New Roman"/>
          <w:noProof/>
          <w:sz w:val="24"/>
          <w:szCs w:val="24"/>
          <w:lang w:val="ms-MY"/>
        </w:rPr>
        <w:t xml:space="preserve"> Wong 2010).</w:t>
      </w:r>
      <w:r>
        <w:rPr>
          <w:rFonts w:ascii="Times New Roman" w:hAnsi="Times New Roman" w:cs="Times New Roman"/>
          <w:noProof/>
          <w:sz w:val="24"/>
          <w:szCs w:val="24"/>
          <w:lang w:val="ms-MY"/>
        </w:rPr>
        <w:t xml:space="preserve"> </w:t>
      </w:r>
      <w:r w:rsidRPr="00EC2700">
        <w:rPr>
          <w:rFonts w:ascii="Times New Roman" w:hAnsi="Times New Roman" w:cs="Times New Roman"/>
          <w:noProof/>
          <w:sz w:val="24"/>
          <w:szCs w:val="24"/>
          <w:lang w:val="ms-MY"/>
        </w:rPr>
        <w:t>Maka tidak hairanlah banyak kes yang melibatkan penipuan dan manip</w:t>
      </w:r>
      <w:r>
        <w:rPr>
          <w:rFonts w:ascii="Times New Roman" w:hAnsi="Times New Roman" w:cs="Times New Roman"/>
          <w:noProof/>
          <w:sz w:val="24"/>
          <w:szCs w:val="24"/>
          <w:lang w:val="ms-MY"/>
        </w:rPr>
        <w:t>ulasi menggunakan UPB</w:t>
      </w:r>
      <w:r w:rsidR="006632C2">
        <w:rPr>
          <w:rFonts w:ascii="Times New Roman" w:hAnsi="Times New Roman" w:cs="Times New Roman"/>
          <w:noProof/>
          <w:sz w:val="24"/>
          <w:szCs w:val="24"/>
          <w:lang w:val="ms-MY"/>
        </w:rPr>
        <w:t xml:space="preserve"> seperti kes </w:t>
      </w:r>
      <w:r w:rsidRPr="00EC2700">
        <w:rPr>
          <w:rFonts w:ascii="Times New Roman" w:hAnsi="Times New Roman" w:cs="Times New Roman"/>
          <w:noProof/>
          <w:sz w:val="24"/>
          <w:szCs w:val="24"/>
          <w:lang w:val="ms-MY"/>
        </w:rPr>
        <w:t xml:space="preserve">Enron Corporations </w:t>
      </w:r>
      <w:r w:rsidR="006632C2">
        <w:rPr>
          <w:rFonts w:ascii="Times New Roman" w:hAnsi="Times New Roman" w:cs="Times New Roman"/>
          <w:noProof/>
          <w:sz w:val="24"/>
          <w:szCs w:val="24"/>
          <w:lang w:val="ms-MY"/>
        </w:rPr>
        <w:t xml:space="preserve">yang didapati tidak </w:t>
      </w:r>
      <w:r w:rsidRPr="00EC2700">
        <w:rPr>
          <w:rFonts w:ascii="Times New Roman" w:hAnsi="Times New Roman" w:cs="Times New Roman"/>
          <w:noProof/>
          <w:sz w:val="24"/>
          <w:szCs w:val="24"/>
          <w:lang w:val="ms-MY"/>
        </w:rPr>
        <w:t xml:space="preserve"> mendedahkan urusniaga material yang dilaksanakan dengan Ketua Pegawai Kewangannya yang mempun</w:t>
      </w:r>
      <w:r>
        <w:rPr>
          <w:rFonts w:ascii="Times New Roman" w:hAnsi="Times New Roman" w:cs="Times New Roman"/>
          <w:noProof/>
          <w:sz w:val="24"/>
          <w:szCs w:val="24"/>
          <w:lang w:val="ms-MY"/>
        </w:rPr>
        <w:t>yai kepentingan pihak berkaitan</w:t>
      </w:r>
      <w:r w:rsidR="006632C2">
        <w:rPr>
          <w:rFonts w:ascii="Times New Roman" w:hAnsi="Times New Roman" w:cs="Times New Roman"/>
          <w:noProof/>
          <w:sz w:val="24"/>
          <w:szCs w:val="24"/>
          <w:lang w:val="ms-MY"/>
        </w:rPr>
        <w:t xml:space="preserve">.  Kes penyalahgunaan UPB turut melibatkan syarikat di Malaysia seperti kes penjualan 2 bidang </w:t>
      </w:r>
      <w:r w:rsidR="006632C2">
        <w:rPr>
          <w:rFonts w:ascii="Times New Roman" w:hAnsi="Times New Roman" w:cs="Times New Roman"/>
          <w:noProof/>
          <w:sz w:val="24"/>
          <w:szCs w:val="24"/>
          <w:lang w:val="ms-MY"/>
        </w:rPr>
        <w:lastRenderedPageBreak/>
        <w:t xml:space="preserve">tanah di antara </w:t>
      </w:r>
      <w:r w:rsidRPr="00EC2700">
        <w:rPr>
          <w:rFonts w:ascii="Times New Roman" w:hAnsi="Times New Roman" w:cs="Times New Roman"/>
          <w:noProof/>
          <w:sz w:val="24"/>
          <w:szCs w:val="24"/>
          <w:lang w:val="ms-MY"/>
        </w:rPr>
        <w:t xml:space="preserve">Ho Hup Construction </w:t>
      </w:r>
      <w:r>
        <w:rPr>
          <w:rFonts w:ascii="Times New Roman" w:hAnsi="Times New Roman" w:cs="Times New Roman"/>
          <w:noProof/>
          <w:sz w:val="24"/>
          <w:szCs w:val="24"/>
          <w:lang w:val="ms-MY"/>
        </w:rPr>
        <w:t xml:space="preserve">Berhad </w:t>
      </w:r>
      <w:r w:rsidR="006632C2">
        <w:rPr>
          <w:rFonts w:ascii="Times New Roman" w:hAnsi="Times New Roman" w:cs="Times New Roman"/>
          <w:noProof/>
          <w:sz w:val="24"/>
          <w:szCs w:val="24"/>
          <w:lang w:val="ms-MY"/>
        </w:rPr>
        <w:t>dengan</w:t>
      </w:r>
      <w:r w:rsidRPr="00EC2700">
        <w:rPr>
          <w:rFonts w:ascii="Times New Roman" w:hAnsi="Times New Roman" w:cs="Times New Roman"/>
          <w:noProof/>
          <w:sz w:val="24"/>
          <w:szCs w:val="24"/>
          <w:lang w:val="ms-MY"/>
        </w:rPr>
        <w:t xml:space="preserve"> Permata Juang (M) Bhd dan Santari Sdn Bhd</w:t>
      </w:r>
      <w:r w:rsidR="006632C2">
        <w:rPr>
          <w:rFonts w:ascii="Times New Roman" w:hAnsi="Times New Roman" w:cs="Times New Roman"/>
          <w:noProof/>
          <w:sz w:val="24"/>
          <w:szCs w:val="24"/>
          <w:lang w:val="ms-MY"/>
        </w:rPr>
        <w:t xml:space="preserve">.  </w:t>
      </w:r>
      <w:r w:rsidRPr="00EC2700">
        <w:rPr>
          <w:rFonts w:ascii="Times New Roman" w:hAnsi="Times New Roman" w:cs="Times New Roman"/>
          <w:noProof/>
          <w:sz w:val="24"/>
          <w:szCs w:val="24"/>
          <w:lang w:val="ms-MY"/>
        </w:rPr>
        <w:t xml:space="preserve">Ho Hup Construction Berhad </w:t>
      </w:r>
      <w:r w:rsidR="00402F1E">
        <w:rPr>
          <w:rFonts w:ascii="Times New Roman" w:hAnsi="Times New Roman" w:cs="Times New Roman"/>
          <w:noProof/>
          <w:sz w:val="24"/>
          <w:szCs w:val="24"/>
          <w:lang w:val="ms-MY"/>
        </w:rPr>
        <w:t xml:space="preserve">didapati tidak melaporkan urus niaga jualan ini walaupun </w:t>
      </w:r>
      <w:r w:rsidRPr="00EC2700">
        <w:rPr>
          <w:rFonts w:ascii="Times New Roman" w:hAnsi="Times New Roman" w:cs="Times New Roman"/>
          <w:noProof/>
          <w:sz w:val="24"/>
          <w:szCs w:val="24"/>
          <w:lang w:val="ms-MY"/>
        </w:rPr>
        <w:t>mempunyai kepentingan dalam kedua-dua syarikat tersebut</w:t>
      </w:r>
      <w:r w:rsidR="00402F1E">
        <w:rPr>
          <w:rFonts w:ascii="Times New Roman" w:hAnsi="Times New Roman" w:cs="Times New Roman"/>
          <w:noProof/>
          <w:sz w:val="24"/>
          <w:szCs w:val="24"/>
          <w:lang w:val="ms-MY"/>
        </w:rPr>
        <w:t xml:space="preserve">. </w:t>
      </w:r>
      <w:r w:rsidRPr="00EC2700">
        <w:rPr>
          <w:rFonts w:ascii="Times New Roman" w:hAnsi="Times New Roman" w:cs="Times New Roman"/>
          <w:noProof/>
          <w:sz w:val="24"/>
          <w:szCs w:val="24"/>
          <w:lang w:val="ms-MY"/>
        </w:rPr>
        <w:t>Kes-kes ini membuktikan kega</w:t>
      </w:r>
      <w:r>
        <w:rPr>
          <w:rFonts w:ascii="Times New Roman" w:hAnsi="Times New Roman" w:cs="Times New Roman"/>
          <w:noProof/>
          <w:sz w:val="24"/>
          <w:szCs w:val="24"/>
          <w:lang w:val="ms-MY"/>
        </w:rPr>
        <w:t xml:space="preserve">galan pendedahan UPB oleh pihak syarikat </w:t>
      </w:r>
      <w:r w:rsidRPr="00EC2700">
        <w:rPr>
          <w:rFonts w:ascii="Times New Roman" w:hAnsi="Times New Roman" w:cs="Times New Roman"/>
          <w:noProof/>
          <w:sz w:val="24"/>
          <w:szCs w:val="24"/>
          <w:lang w:val="ms-MY"/>
        </w:rPr>
        <w:t xml:space="preserve">disebabkan niat pihak berkaitan untuk menyembunyikan UPB daripada pengetahuan pihak berkepentingan yang lain. </w:t>
      </w:r>
    </w:p>
    <w:p w14:paraId="168DD904" w14:textId="77777777" w:rsidR="000B4319" w:rsidRPr="00EC2700" w:rsidRDefault="000B4319" w:rsidP="00D331D8">
      <w:pPr>
        <w:spacing w:after="0" w:line="240" w:lineRule="auto"/>
        <w:ind w:firstLine="720"/>
        <w:jc w:val="both"/>
        <w:rPr>
          <w:rFonts w:ascii="Times New Roman" w:hAnsi="Times New Roman" w:cs="Times New Roman"/>
          <w:noProof/>
          <w:sz w:val="24"/>
          <w:szCs w:val="24"/>
          <w:lang w:val="ms-MY"/>
        </w:rPr>
      </w:pPr>
    </w:p>
    <w:p w14:paraId="4E8D8B77" w14:textId="37E40A4B" w:rsidR="000B53BF" w:rsidRPr="001C55E6" w:rsidRDefault="004D7323" w:rsidP="000B4319">
      <w:pPr>
        <w:spacing w:after="0" w:line="240" w:lineRule="auto"/>
        <w:ind w:firstLine="720"/>
        <w:jc w:val="both"/>
        <w:rPr>
          <w:rFonts w:ascii="Times New Roman" w:hAnsi="Times New Roman" w:cs="Times New Roman"/>
          <w:strike/>
          <w:noProof/>
          <w:sz w:val="24"/>
          <w:szCs w:val="24"/>
          <w:lang w:val="ms-MY"/>
        </w:rPr>
      </w:pPr>
      <w:r>
        <w:rPr>
          <w:rFonts w:ascii="Times New Roman" w:hAnsi="Times New Roman" w:cs="Times New Roman"/>
          <w:noProof/>
          <w:sz w:val="24"/>
          <w:szCs w:val="24"/>
          <w:lang w:val="ms-MY"/>
        </w:rPr>
        <w:t>FAPI</w:t>
      </w:r>
      <w:r w:rsidR="001C55E6">
        <w:rPr>
          <w:rFonts w:ascii="Times New Roman" w:hAnsi="Times New Roman" w:cs="Times New Roman"/>
          <w:noProof/>
          <w:sz w:val="24"/>
          <w:szCs w:val="24"/>
          <w:lang w:val="ms-MY"/>
        </w:rPr>
        <w:t xml:space="preserve"> dikatakan</w:t>
      </w:r>
      <w:r w:rsidR="000B53BF" w:rsidRPr="006B33BE">
        <w:rPr>
          <w:rFonts w:ascii="Times New Roman" w:hAnsi="Times New Roman" w:cs="Times New Roman"/>
          <w:noProof/>
          <w:sz w:val="24"/>
          <w:szCs w:val="24"/>
          <w:lang w:val="ms-MY"/>
        </w:rPr>
        <w:t xml:space="preserve"> mempunyai pemahaman yang mendalam mengenai operasi syarikat (Arens et al. 2011), cabaran dan perbezaan operasi industri tersebut (Tuanak</w:t>
      </w:r>
      <w:r w:rsidR="000B53BF">
        <w:rPr>
          <w:rFonts w:ascii="Times New Roman" w:hAnsi="Times New Roman" w:cs="Times New Roman"/>
          <w:noProof/>
          <w:sz w:val="24"/>
          <w:szCs w:val="24"/>
          <w:lang w:val="ms-MY"/>
        </w:rPr>
        <w:t>o</w:t>
      </w:r>
      <w:r w:rsidR="000B53BF" w:rsidRPr="006B33BE">
        <w:rPr>
          <w:rFonts w:ascii="Times New Roman" w:hAnsi="Times New Roman" w:cs="Times New Roman"/>
          <w:noProof/>
          <w:sz w:val="24"/>
          <w:szCs w:val="24"/>
          <w:lang w:val="ms-MY"/>
        </w:rPr>
        <w:t xml:space="preserve">tta 2011), serta mempunyai kepakaran dan kecekapan yang lebih tinggi disebabkan kerap mengaudit pelanggan dalam industri yang sama (Pong 1999). </w:t>
      </w:r>
      <w:r w:rsidR="000B53BF">
        <w:rPr>
          <w:rFonts w:ascii="Times New Roman" w:hAnsi="Times New Roman" w:cs="Times New Roman"/>
          <w:noProof/>
          <w:sz w:val="24"/>
          <w:szCs w:val="24"/>
          <w:lang w:val="ms-MY"/>
        </w:rPr>
        <w:t xml:space="preserve">Kepakaran </w:t>
      </w:r>
      <w:r w:rsidR="001C55E6">
        <w:rPr>
          <w:rFonts w:ascii="Times New Roman" w:hAnsi="Times New Roman" w:cs="Times New Roman"/>
          <w:noProof/>
          <w:sz w:val="24"/>
          <w:szCs w:val="24"/>
          <w:lang w:val="ms-MY"/>
        </w:rPr>
        <w:t xml:space="preserve">yang dimiliki dapat membantu </w:t>
      </w:r>
      <w:r w:rsidR="000B53BF">
        <w:rPr>
          <w:rFonts w:ascii="Times New Roman" w:hAnsi="Times New Roman" w:cs="Times New Roman"/>
          <w:noProof/>
          <w:sz w:val="24"/>
          <w:szCs w:val="24"/>
          <w:lang w:val="ms-MY"/>
        </w:rPr>
        <w:t xml:space="preserve">juruaudit mengenalpasti risiko melalui pola data kewangan yang luar biasa ketika mengaudit sesebuah syarikat (Norman 2018). </w:t>
      </w:r>
      <w:r w:rsidR="000B53BF" w:rsidRPr="006B33BE">
        <w:rPr>
          <w:rFonts w:ascii="Times New Roman" w:hAnsi="Times New Roman" w:cs="Times New Roman"/>
          <w:noProof/>
          <w:sz w:val="24"/>
          <w:szCs w:val="24"/>
          <w:lang w:val="ms-MY"/>
        </w:rPr>
        <w:t xml:space="preserve">Maka, </w:t>
      </w:r>
      <w:r w:rsidR="001C55E6">
        <w:rPr>
          <w:rFonts w:ascii="Times New Roman" w:hAnsi="Times New Roman" w:cs="Times New Roman"/>
          <w:noProof/>
          <w:sz w:val="24"/>
          <w:szCs w:val="24"/>
          <w:lang w:val="ms-MY"/>
        </w:rPr>
        <w:t xml:space="preserve">diandaikan </w:t>
      </w:r>
      <w:r w:rsidR="000B53BF">
        <w:rPr>
          <w:rFonts w:ascii="Times New Roman" w:hAnsi="Times New Roman" w:cs="Times New Roman"/>
          <w:noProof/>
          <w:sz w:val="24"/>
          <w:szCs w:val="24"/>
          <w:lang w:val="ms-MY"/>
        </w:rPr>
        <w:t xml:space="preserve">lebih banyak syarikat </w:t>
      </w:r>
      <w:r w:rsidR="001C55E6">
        <w:rPr>
          <w:rFonts w:ascii="Times New Roman" w:hAnsi="Times New Roman" w:cs="Times New Roman"/>
          <w:noProof/>
          <w:sz w:val="24"/>
          <w:szCs w:val="24"/>
          <w:lang w:val="ms-MY"/>
        </w:rPr>
        <w:t xml:space="preserve">akan </w:t>
      </w:r>
      <w:r w:rsidR="000B53BF">
        <w:rPr>
          <w:rFonts w:ascii="Times New Roman" w:hAnsi="Times New Roman" w:cs="Times New Roman"/>
          <w:noProof/>
          <w:sz w:val="24"/>
          <w:szCs w:val="24"/>
          <w:lang w:val="ms-MY"/>
        </w:rPr>
        <w:t>mendedahkan UPB yang selama ini cenderung untuk disembunyikan</w:t>
      </w:r>
      <w:r w:rsidR="001C55E6">
        <w:rPr>
          <w:rFonts w:ascii="Times New Roman" w:hAnsi="Times New Roman" w:cs="Times New Roman"/>
          <w:noProof/>
          <w:sz w:val="24"/>
          <w:szCs w:val="24"/>
          <w:lang w:val="ms-MY"/>
        </w:rPr>
        <w:t xml:space="preserve"> jika syarikat diaudit oleh </w:t>
      </w:r>
      <w:r>
        <w:rPr>
          <w:rFonts w:ascii="Times New Roman" w:hAnsi="Times New Roman" w:cs="Times New Roman"/>
          <w:noProof/>
          <w:sz w:val="24"/>
          <w:szCs w:val="24"/>
          <w:lang w:val="ms-MY"/>
        </w:rPr>
        <w:t>FAPI</w:t>
      </w:r>
      <w:r w:rsidR="00402F1E">
        <w:rPr>
          <w:rFonts w:ascii="Times New Roman" w:hAnsi="Times New Roman" w:cs="Times New Roman"/>
          <w:noProof/>
          <w:sz w:val="24"/>
          <w:szCs w:val="24"/>
          <w:lang w:val="ms-MY"/>
        </w:rPr>
        <w:t xml:space="preserve"> yang bertindak sebagai mekanisme pemantauan yang berkesan</w:t>
      </w:r>
      <w:r w:rsidR="000B53BF">
        <w:rPr>
          <w:rFonts w:ascii="Times New Roman" w:hAnsi="Times New Roman" w:cs="Times New Roman"/>
          <w:noProof/>
          <w:sz w:val="24"/>
          <w:szCs w:val="24"/>
          <w:lang w:val="ms-MY"/>
        </w:rPr>
        <w:t xml:space="preserve">. </w:t>
      </w:r>
    </w:p>
    <w:p w14:paraId="6831D4B4" w14:textId="63D542A4" w:rsidR="000B53BF" w:rsidRPr="00544EFF" w:rsidRDefault="000B53BF" w:rsidP="000125D5">
      <w:pPr>
        <w:spacing w:after="0" w:line="240" w:lineRule="auto"/>
        <w:jc w:val="both"/>
        <w:rPr>
          <w:rFonts w:ascii="Times New Roman" w:hAnsi="Times New Roman" w:cs="Times New Roman"/>
          <w:noProof/>
          <w:sz w:val="24"/>
          <w:szCs w:val="24"/>
          <w:lang w:val="ms-MY"/>
        </w:rPr>
      </w:pPr>
      <w:r w:rsidRPr="00EC2700">
        <w:rPr>
          <w:rFonts w:ascii="Times New Roman" w:hAnsi="Times New Roman" w:cs="Times New Roman"/>
          <w:noProof/>
          <w:sz w:val="24"/>
          <w:szCs w:val="24"/>
          <w:lang w:val="ms-MY"/>
        </w:rPr>
        <w:tab/>
      </w:r>
      <w:r>
        <w:rPr>
          <w:rFonts w:ascii="Times New Roman" w:hAnsi="Times New Roman" w:cs="Times New Roman"/>
          <w:noProof/>
          <w:sz w:val="24"/>
          <w:szCs w:val="24"/>
          <w:lang w:val="ms-MY"/>
        </w:rPr>
        <w:t xml:space="preserve"> </w:t>
      </w:r>
    </w:p>
    <w:p w14:paraId="2F02F824" w14:textId="77777777" w:rsidR="003F31E3" w:rsidRDefault="003F31E3" w:rsidP="00ED3B76">
      <w:pPr>
        <w:spacing w:after="0" w:line="360" w:lineRule="auto"/>
        <w:jc w:val="both"/>
        <w:rPr>
          <w:rFonts w:ascii="Times New Roman" w:hAnsi="Times New Roman" w:cs="Times New Roman"/>
          <w:b/>
          <w:color w:val="000000" w:themeColor="text1"/>
          <w:sz w:val="24"/>
          <w:szCs w:val="24"/>
        </w:rPr>
      </w:pPr>
    </w:p>
    <w:p w14:paraId="2BDF4EB0" w14:textId="7D6FD464" w:rsidR="00213D87" w:rsidRPr="00F31AAC" w:rsidRDefault="00213D87" w:rsidP="00ED3B76">
      <w:pPr>
        <w:spacing w:after="0" w:line="360" w:lineRule="auto"/>
        <w:jc w:val="both"/>
        <w:rPr>
          <w:rFonts w:ascii="Times New Roman" w:hAnsi="Times New Roman" w:cs="Times New Roman"/>
          <w:b/>
          <w:color w:val="000000" w:themeColor="text1"/>
          <w:sz w:val="24"/>
          <w:szCs w:val="24"/>
        </w:rPr>
      </w:pPr>
      <w:r w:rsidRPr="00F31AAC">
        <w:rPr>
          <w:rFonts w:ascii="Times New Roman" w:hAnsi="Times New Roman" w:cs="Times New Roman"/>
          <w:b/>
          <w:color w:val="000000" w:themeColor="text1"/>
          <w:sz w:val="24"/>
          <w:szCs w:val="24"/>
        </w:rPr>
        <w:t xml:space="preserve">Urus niaga Pihak Berkaitan </w:t>
      </w:r>
    </w:p>
    <w:p w14:paraId="1634ACAC" w14:textId="53AC713B" w:rsidR="00B16877" w:rsidRPr="007B5D5E" w:rsidRDefault="00411B22" w:rsidP="00BA7E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MFRS 124 mentakrifkan UPB sebagai pemindahan sumber, perkhidmatan atau obligasi antara syarikat dan pihak berkaitan tanpa mengira sama ada terdapat harga dikenakan ataupun tidak. UPB mungkin di</w:t>
      </w:r>
      <w:r w:rsidR="00B16877">
        <w:rPr>
          <w:rFonts w:ascii="Times New Roman" w:hAnsi="Times New Roman" w:cs="Times New Roman"/>
          <w:sz w:val="24"/>
          <w:szCs w:val="24"/>
        </w:rPr>
        <w:t>jalankan</w:t>
      </w:r>
      <w:r>
        <w:rPr>
          <w:rFonts w:ascii="Times New Roman" w:hAnsi="Times New Roman" w:cs="Times New Roman"/>
          <w:sz w:val="24"/>
          <w:szCs w:val="24"/>
        </w:rPr>
        <w:t xml:space="preserve"> sekali sahaja atau mungkin </w:t>
      </w:r>
      <w:r w:rsidR="00B16877">
        <w:rPr>
          <w:rFonts w:ascii="Times New Roman" w:hAnsi="Times New Roman" w:cs="Times New Roman"/>
          <w:sz w:val="24"/>
          <w:szCs w:val="24"/>
        </w:rPr>
        <w:t xml:space="preserve">secara </w:t>
      </w:r>
      <w:r>
        <w:rPr>
          <w:rFonts w:ascii="Times New Roman" w:hAnsi="Times New Roman" w:cs="Times New Roman"/>
          <w:sz w:val="24"/>
          <w:szCs w:val="24"/>
        </w:rPr>
        <w:t>berulangan. UPB yang berulang s</w:t>
      </w:r>
      <w:r w:rsidR="00B16877">
        <w:rPr>
          <w:rFonts w:ascii="Times New Roman" w:hAnsi="Times New Roman" w:cs="Times New Roman"/>
          <w:sz w:val="24"/>
          <w:szCs w:val="24"/>
        </w:rPr>
        <w:t>e</w:t>
      </w:r>
      <w:r>
        <w:rPr>
          <w:rFonts w:ascii="Times New Roman" w:hAnsi="Times New Roman" w:cs="Times New Roman"/>
          <w:sz w:val="24"/>
          <w:szCs w:val="24"/>
        </w:rPr>
        <w:t xml:space="preserve">cara amnya lebih bersifat strategik dan cekap bagi membantu memenuhi keperluan dan meningkatkan keberkesanan operasi yang dijalankan oleh sesebuah kumpulan syarikat. </w:t>
      </w:r>
      <w:r w:rsidR="00B16877">
        <w:rPr>
          <w:rFonts w:ascii="Times New Roman" w:hAnsi="Times New Roman" w:cs="Times New Roman"/>
          <w:sz w:val="24"/>
          <w:szCs w:val="24"/>
        </w:rPr>
        <w:t>Secara umumnya, UPB adalah sama dengan urusniaga harian syarikat yang lain, perbezaan utamanya hanya kerana urusniaga tersebut melibatkan pihak berkaitan. Pihak berkaitan adalah merujuk kepada individu</w:t>
      </w:r>
      <w:r w:rsidR="00B16877" w:rsidRPr="003F7519">
        <w:rPr>
          <w:rFonts w:ascii="Times New Roman" w:hAnsi="Times New Roman" w:cs="Times New Roman"/>
          <w:sz w:val="24"/>
          <w:szCs w:val="24"/>
        </w:rPr>
        <w:t xml:space="preserve"> atau entiti yang berkaitan dengan entiti yang menyediakan penyata kewangan </w:t>
      </w:r>
      <w:r w:rsidR="00B16877">
        <w:rPr>
          <w:rFonts w:ascii="Times New Roman" w:hAnsi="Times New Roman" w:cs="Times New Roman"/>
          <w:sz w:val="24"/>
          <w:szCs w:val="24"/>
        </w:rPr>
        <w:t>seperti pihak pengursan syarikat, anak syarikat, syarikat bersekutu dan usaha sama (MFRS 124)</w:t>
      </w:r>
      <w:r w:rsidR="00B16877" w:rsidRPr="003F7519">
        <w:rPr>
          <w:rFonts w:ascii="Times New Roman" w:hAnsi="Times New Roman" w:cs="Times New Roman"/>
          <w:sz w:val="24"/>
          <w:szCs w:val="24"/>
        </w:rPr>
        <w:t>.</w:t>
      </w:r>
    </w:p>
    <w:p w14:paraId="338199EC" w14:textId="77777777" w:rsidR="00411B22" w:rsidRDefault="00411B22" w:rsidP="00BA7E1B">
      <w:pPr>
        <w:pStyle w:val="Default"/>
        <w:jc w:val="both"/>
        <w:rPr>
          <w:color w:val="000000" w:themeColor="text1"/>
        </w:rPr>
      </w:pPr>
    </w:p>
    <w:p w14:paraId="5EFE15C3" w14:textId="39AB2E62" w:rsidR="00CF5EA6" w:rsidRDefault="00BA7E1B" w:rsidP="008A6A1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kajian lepas yang dijalankan oleh </w:t>
      </w:r>
      <w:r w:rsidR="00F15CF3">
        <w:rPr>
          <w:rFonts w:ascii="Times New Roman" w:hAnsi="Times New Roman" w:cs="Times New Roman"/>
          <w:sz w:val="24"/>
          <w:szCs w:val="24"/>
        </w:rPr>
        <w:t xml:space="preserve">Rahmat et al. (2021), </w:t>
      </w:r>
      <w:r w:rsidR="00F15CF3" w:rsidRPr="00F15CF3">
        <w:rPr>
          <w:rFonts w:ascii="Times New Roman" w:hAnsi="Times New Roman" w:cs="Times New Roman"/>
          <w:sz w:val="24"/>
          <w:szCs w:val="24"/>
        </w:rPr>
        <w:t xml:space="preserve">Agnihotria </w:t>
      </w:r>
      <w:r w:rsidR="00F15CF3">
        <w:rPr>
          <w:rFonts w:ascii="Times New Roman" w:hAnsi="Times New Roman" w:cs="Times New Roman"/>
          <w:sz w:val="24"/>
          <w:szCs w:val="24"/>
        </w:rPr>
        <w:t>dan</w:t>
      </w:r>
      <w:r w:rsidR="00F15CF3" w:rsidRPr="00F15CF3">
        <w:rPr>
          <w:rFonts w:ascii="Times New Roman" w:hAnsi="Times New Roman" w:cs="Times New Roman"/>
          <w:sz w:val="24"/>
          <w:szCs w:val="24"/>
        </w:rPr>
        <w:t xml:space="preserve"> Bhattacharya </w:t>
      </w:r>
      <w:r w:rsidR="00F15CF3">
        <w:rPr>
          <w:rFonts w:ascii="Times New Roman" w:hAnsi="Times New Roman" w:cs="Times New Roman"/>
          <w:sz w:val="24"/>
          <w:szCs w:val="24"/>
        </w:rPr>
        <w:t>(</w:t>
      </w:r>
      <w:r w:rsidR="00F15CF3" w:rsidRPr="00F15CF3">
        <w:rPr>
          <w:rFonts w:ascii="Times New Roman" w:hAnsi="Times New Roman" w:cs="Times New Roman"/>
          <w:sz w:val="24"/>
          <w:szCs w:val="24"/>
        </w:rPr>
        <w:t>20</w:t>
      </w:r>
      <w:r w:rsidR="000B17D8">
        <w:rPr>
          <w:rFonts w:ascii="Times New Roman" w:hAnsi="Times New Roman" w:cs="Times New Roman"/>
          <w:sz w:val="24"/>
          <w:szCs w:val="24"/>
        </w:rPr>
        <w:t>19</w:t>
      </w:r>
      <w:r w:rsidR="00F15CF3">
        <w:rPr>
          <w:rFonts w:ascii="Times New Roman" w:hAnsi="Times New Roman" w:cs="Times New Roman"/>
          <w:sz w:val="24"/>
          <w:szCs w:val="24"/>
        </w:rPr>
        <w:t xml:space="preserve">), </w:t>
      </w:r>
      <w:r>
        <w:rPr>
          <w:rFonts w:ascii="Times New Roman" w:hAnsi="Times New Roman" w:cs="Times New Roman"/>
          <w:sz w:val="24"/>
          <w:szCs w:val="24"/>
        </w:rPr>
        <w:t xml:space="preserve">Md. Nor dan Ku Ismail (2017), </w:t>
      </w:r>
      <w:r w:rsidR="00EC1701">
        <w:rPr>
          <w:rFonts w:ascii="Times New Roman" w:hAnsi="Times New Roman" w:cs="Times New Roman"/>
          <w:sz w:val="24"/>
          <w:szCs w:val="24"/>
        </w:rPr>
        <w:t xml:space="preserve">Kohlbeck dan Mayhew (2010) serta </w:t>
      </w:r>
      <w:r>
        <w:rPr>
          <w:rFonts w:ascii="Times New Roman" w:hAnsi="Times New Roman" w:cs="Times New Roman"/>
          <w:sz w:val="24"/>
          <w:szCs w:val="24"/>
        </w:rPr>
        <w:t>Gordon</w:t>
      </w:r>
      <w:r w:rsidR="00C42CB6">
        <w:rPr>
          <w:rFonts w:ascii="Times New Roman" w:hAnsi="Times New Roman" w:cs="Times New Roman"/>
          <w:sz w:val="24"/>
          <w:szCs w:val="24"/>
        </w:rPr>
        <w:t>, Henry dan Palia</w:t>
      </w:r>
      <w:r w:rsidR="00F15CF3">
        <w:rPr>
          <w:rFonts w:ascii="Times New Roman" w:hAnsi="Times New Roman" w:cs="Times New Roman"/>
          <w:sz w:val="24"/>
          <w:szCs w:val="24"/>
        </w:rPr>
        <w:t xml:space="preserve"> </w:t>
      </w:r>
      <w:r>
        <w:rPr>
          <w:rFonts w:ascii="Times New Roman" w:hAnsi="Times New Roman" w:cs="Times New Roman"/>
          <w:sz w:val="24"/>
          <w:szCs w:val="24"/>
        </w:rPr>
        <w:t xml:space="preserve">(2004), UPB </w:t>
      </w:r>
      <w:r w:rsidR="00EC1701">
        <w:rPr>
          <w:rFonts w:ascii="Times New Roman" w:hAnsi="Times New Roman" w:cs="Times New Roman"/>
          <w:sz w:val="24"/>
          <w:szCs w:val="24"/>
        </w:rPr>
        <w:t>bo</w:t>
      </w:r>
      <w:r>
        <w:rPr>
          <w:rFonts w:ascii="Times New Roman" w:hAnsi="Times New Roman" w:cs="Times New Roman"/>
          <w:sz w:val="24"/>
          <w:szCs w:val="24"/>
        </w:rPr>
        <w:t xml:space="preserve">leh memberi </w:t>
      </w:r>
      <w:r w:rsidR="00EC1701">
        <w:rPr>
          <w:rFonts w:ascii="Times New Roman" w:hAnsi="Times New Roman" w:cs="Times New Roman"/>
          <w:sz w:val="24"/>
          <w:szCs w:val="24"/>
        </w:rPr>
        <w:t xml:space="preserve">dua </w:t>
      </w:r>
      <w:r>
        <w:rPr>
          <w:rFonts w:ascii="Times New Roman" w:hAnsi="Times New Roman" w:cs="Times New Roman"/>
          <w:sz w:val="24"/>
          <w:szCs w:val="24"/>
        </w:rPr>
        <w:t xml:space="preserve">kesan </w:t>
      </w:r>
      <w:r w:rsidR="00EC1701">
        <w:rPr>
          <w:rFonts w:ascii="Times New Roman" w:hAnsi="Times New Roman" w:cs="Times New Roman"/>
          <w:sz w:val="24"/>
          <w:szCs w:val="24"/>
        </w:rPr>
        <w:t xml:space="preserve">berbeza iaitu kesan </w:t>
      </w:r>
      <w:r>
        <w:rPr>
          <w:rFonts w:ascii="Times New Roman" w:hAnsi="Times New Roman" w:cs="Times New Roman"/>
          <w:sz w:val="24"/>
          <w:szCs w:val="24"/>
        </w:rPr>
        <w:t xml:space="preserve">positif (dari pespektif urus niaga cekap) </w:t>
      </w:r>
      <w:r w:rsidR="00EC1701">
        <w:rPr>
          <w:rFonts w:ascii="Times New Roman" w:hAnsi="Times New Roman" w:cs="Times New Roman"/>
          <w:sz w:val="24"/>
          <w:szCs w:val="24"/>
        </w:rPr>
        <w:t>atau kesan</w:t>
      </w:r>
      <w:r>
        <w:rPr>
          <w:rFonts w:ascii="Times New Roman" w:hAnsi="Times New Roman" w:cs="Times New Roman"/>
          <w:sz w:val="24"/>
          <w:szCs w:val="24"/>
        </w:rPr>
        <w:t xml:space="preserve"> negatif (dari perspektif konflik kepentingan). </w:t>
      </w:r>
      <w:r w:rsidR="00EC1701" w:rsidRPr="00CF5EA6">
        <w:rPr>
          <w:rFonts w:ascii="Times New Roman" w:hAnsi="Times New Roman" w:cs="Times New Roman"/>
          <w:sz w:val="24"/>
          <w:szCs w:val="24"/>
        </w:rPr>
        <w:t xml:space="preserve">UPB dianggap urus niaga cekap </w:t>
      </w:r>
      <w:r w:rsidR="00CF5EA6" w:rsidRPr="00CF5EA6">
        <w:rPr>
          <w:rFonts w:ascii="Times New Roman" w:hAnsi="Times New Roman" w:cs="Times New Roman"/>
          <w:color w:val="000000" w:themeColor="text1"/>
          <w:sz w:val="24"/>
          <w:szCs w:val="24"/>
          <w:lang w:eastAsia="ko-KR"/>
        </w:rPr>
        <w:t xml:space="preserve">kerana </w:t>
      </w:r>
      <w:r w:rsidR="00EB40D2">
        <w:rPr>
          <w:rFonts w:ascii="Times New Roman" w:hAnsi="Times New Roman" w:cs="Times New Roman"/>
          <w:color w:val="000000" w:themeColor="text1"/>
          <w:sz w:val="24"/>
          <w:szCs w:val="24"/>
          <w:lang w:eastAsia="ko-KR"/>
        </w:rPr>
        <w:t xml:space="preserve">dapat </w:t>
      </w:r>
      <w:r w:rsidR="000B17D8">
        <w:rPr>
          <w:rFonts w:ascii="Times New Roman" w:hAnsi="Times New Roman" w:cs="Times New Roman"/>
          <w:color w:val="000000" w:themeColor="text1"/>
          <w:sz w:val="24"/>
          <w:szCs w:val="24"/>
          <w:lang w:eastAsia="ko-KR"/>
        </w:rPr>
        <w:t xml:space="preserve">membantu syarikat mengurangkan kos urus niaga, bertindak balas terhadap ketidaktentuan persekitaran, penggunaan aset yang lebih cekap, </w:t>
      </w:r>
      <w:r w:rsidR="00EB40D2">
        <w:rPr>
          <w:rFonts w:ascii="Times New Roman" w:hAnsi="Times New Roman" w:cs="Times New Roman"/>
          <w:color w:val="000000" w:themeColor="text1"/>
          <w:sz w:val="24"/>
          <w:szCs w:val="24"/>
          <w:lang w:eastAsia="ko-KR"/>
        </w:rPr>
        <w:t xml:space="preserve">mempercepatkan </w:t>
      </w:r>
      <w:r w:rsidR="000B17D8">
        <w:rPr>
          <w:rFonts w:ascii="Times New Roman" w:hAnsi="Times New Roman" w:cs="Times New Roman"/>
          <w:color w:val="000000" w:themeColor="text1"/>
          <w:sz w:val="24"/>
          <w:szCs w:val="24"/>
          <w:lang w:eastAsia="ko-KR"/>
        </w:rPr>
        <w:t xml:space="preserve">proses pertukaran kontrak, penyelarasan strategi dan perolehan kepakaran daripada pihak berkaitan (Md </w:t>
      </w:r>
      <w:proofErr w:type="gramStart"/>
      <w:r w:rsidR="000B17D8">
        <w:rPr>
          <w:rFonts w:ascii="Times New Roman" w:hAnsi="Times New Roman" w:cs="Times New Roman"/>
          <w:color w:val="000000" w:themeColor="text1"/>
          <w:sz w:val="24"/>
          <w:szCs w:val="24"/>
          <w:lang w:eastAsia="ko-KR"/>
        </w:rPr>
        <w:t>Nor</w:t>
      </w:r>
      <w:proofErr w:type="gramEnd"/>
      <w:r w:rsidR="000B17D8">
        <w:rPr>
          <w:rFonts w:ascii="Times New Roman" w:hAnsi="Times New Roman" w:cs="Times New Roman"/>
          <w:color w:val="000000" w:themeColor="text1"/>
          <w:sz w:val="24"/>
          <w:szCs w:val="24"/>
          <w:lang w:eastAsia="ko-KR"/>
        </w:rPr>
        <w:t xml:space="preserve"> &amp; Ku Ismail 2017; Ryngaert &amp; Thomas 2012; Jian &amp; Wong 2010; Ge et al. 2010)</w:t>
      </w:r>
      <w:r w:rsidR="00CF5EA6" w:rsidRPr="00CF5EA6">
        <w:rPr>
          <w:rFonts w:ascii="Times New Roman" w:hAnsi="Times New Roman" w:cs="Times New Roman"/>
          <w:color w:val="000000" w:themeColor="text1"/>
          <w:sz w:val="24"/>
          <w:szCs w:val="24"/>
          <w:lang w:eastAsia="ko-KR"/>
        </w:rPr>
        <w:t>.</w:t>
      </w:r>
      <w:r w:rsidR="00CF5EA6">
        <w:rPr>
          <w:rFonts w:ascii="Times New Roman" w:hAnsi="Times New Roman" w:cs="Times New Roman"/>
          <w:sz w:val="24"/>
          <w:szCs w:val="24"/>
        </w:rPr>
        <w:t xml:space="preserve">  Oleh sebab itu, pe</w:t>
      </w:r>
      <w:r>
        <w:rPr>
          <w:rFonts w:ascii="Times New Roman" w:hAnsi="Times New Roman" w:cs="Times New Roman"/>
          <w:sz w:val="24"/>
          <w:szCs w:val="24"/>
        </w:rPr>
        <w:t xml:space="preserve">rlaksanaan UPB dalam sesebuah perniagaan khususnya yang melibatkan syarikat dan kumpulan sudah menjadi tidak asing lagi </w:t>
      </w:r>
      <w:r w:rsidR="00CF5EA6">
        <w:rPr>
          <w:rFonts w:ascii="Times New Roman" w:hAnsi="Times New Roman" w:cs="Times New Roman"/>
          <w:sz w:val="24"/>
          <w:szCs w:val="24"/>
        </w:rPr>
        <w:t>dan banyak</w:t>
      </w:r>
      <w:r>
        <w:rPr>
          <w:rFonts w:ascii="Times New Roman" w:hAnsi="Times New Roman" w:cs="Times New Roman"/>
          <w:sz w:val="24"/>
          <w:szCs w:val="24"/>
        </w:rPr>
        <w:t xml:space="preserve"> syarikat </w:t>
      </w:r>
      <w:r w:rsidR="00EC1701">
        <w:rPr>
          <w:rFonts w:ascii="Times New Roman" w:hAnsi="Times New Roman" w:cs="Times New Roman"/>
          <w:sz w:val="24"/>
          <w:szCs w:val="24"/>
        </w:rPr>
        <w:t>menjalankan</w:t>
      </w:r>
      <w:r>
        <w:rPr>
          <w:rFonts w:ascii="Times New Roman" w:hAnsi="Times New Roman" w:cs="Times New Roman"/>
          <w:sz w:val="24"/>
          <w:szCs w:val="24"/>
        </w:rPr>
        <w:t xml:space="preserve"> urus niaga dengan syarikat </w:t>
      </w:r>
      <w:r w:rsidR="00CF5EA6">
        <w:rPr>
          <w:rFonts w:ascii="Times New Roman" w:hAnsi="Times New Roman" w:cs="Times New Roman"/>
          <w:sz w:val="24"/>
          <w:szCs w:val="24"/>
        </w:rPr>
        <w:t xml:space="preserve">dalam kumpulan seperti </w:t>
      </w:r>
      <w:r>
        <w:rPr>
          <w:rFonts w:ascii="Times New Roman" w:hAnsi="Times New Roman" w:cs="Times New Roman"/>
          <w:sz w:val="24"/>
          <w:szCs w:val="24"/>
        </w:rPr>
        <w:t xml:space="preserve">subsidiari, bersekutu atau usahasama bagi memenuhi objektif syarikat kumpulan. </w:t>
      </w:r>
    </w:p>
    <w:p w14:paraId="748B5D10" w14:textId="217E341D" w:rsidR="00CF5EA6" w:rsidRDefault="00CF5EA6" w:rsidP="00BA7E1B">
      <w:pPr>
        <w:spacing w:after="0" w:line="240" w:lineRule="auto"/>
        <w:jc w:val="both"/>
        <w:rPr>
          <w:rFonts w:ascii="Times New Roman" w:hAnsi="Times New Roman" w:cs="Times New Roman"/>
          <w:sz w:val="24"/>
          <w:szCs w:val="24"/>
        </w:rPr>
      </w:pPr>
    </w:p>
    <w:p w14:paraId="45EED4EE" w14:textId="64FBD045" w:rsidR="00CF5EA6" w:rsidRPr="000723EA" w:rsidRDefault="00CF5EA6" w:rsidP="00CF5EA6">
      <w:pPr>
        <w:pStyle w:val="11Normal02-PerengganKeduaonward"/>
        <w:spacing w:beforeLines="100" w:before="240" w:afterLines="100" w:after="240" w:line="240" w:lineRule="auto"/>
        <w:rPr>
          <w:color w:val="000000" w:themeColor="text1"/>
          <w:lang w:eastAsia="ko-KR"/>
        </w:rPr>
      </w:pPr>
      <w:r w:rsidRPr="00663E98">
        <w:rPr>
          <w:rFonts w:cs="Times New Roman"/>
        </w:rPr>
        <w:t xml:space="preserve">Namun begitu, konflik kepentingan yang wujud memberi peluang yang besar kepada pemegang saham </w:t>
      </w:r>
      <w:r>
        <w:t>pengawal</w:t>
      </w:r>
      <w:r w:rsidRPr="00663E98">
        <w:rPr>
          <w:rFonts w:cs="Times New Roman"/>
        </w:rPr>
        <w:t xml:space="preserve"> </w:t>
      </w:r>
      <w:r>
        <w:rPr>
          <w:rFonts w:cs="Times New Roman"/>
        </w:rPr>
        <w:t xml:space="preserve">dan pihak pengurusan </w:t>
      </w:r>
      <w:r w:rsidRPr="00663E98">
        <w:rPr>
          <w:rFonts w:cs="Times New Roman"/>
        </w:rPr>
        <w:t>untuk mengekploitasi pemegang saham minoriti menerusi UPB (</w:t>
      </w:r>
      <w:r w:rsidR="00EB40D2">
        <w:rPr>
          <w:rFonts w:cs="Times New Roman"/>
        </w:rPr>
        <w:t xml:space="preserve">Rahmat et al. 2021; </w:t>
      </w:r>
      <w:r w:rsidR="00EB40D2" w:rsidRPr="00F15CF3">
        <w:rPr>
          <w:rFonts w:cs="Times New Roman"/>
        </w:rPr>
        <w:t xml:space="preserve">Agnihotria </w:t>
      </w:r>
      <w:r w:rsidR="00EB40D2">
        <w:rPr>
          <w:rFonts w:cs="Times New Roman"/>
        </w:rPr>
        <w:t xml:space="preserve">&amp; </w:t>
      </w:r>
      <w:r w:rsidR="00EB40D2" w:rsidRPr="00F15CF3">
        <w:rPr>
          <w:rFonts w:cs="Times New Roman"/>
        </w:rPr>
        <w:t>Bhattacharya 20</w:t>
      </w:r>
      <w:r w:rsidR="00EB40D2">
        <w:rPr>
          <w:rFonts w:cs="Times New Roman"/>
        </w:rPr>
        <w:t>19; Kohlbeck &amp; Mayhew 2010</w:t>
      </w:r>
      <w:r w:rsidRPr="00663E98">
        <w:rPr>
          <w:rFonts w:cs="Times New Roman"/>
        </w:rPr>
        <w:t>).</w:t>
      </w:r>
      <w:r>
        <w:rPr>
          <w:rFonts w:cs="Times New Roman"/>
        </w:rPr>
        <w:t xml:space="preserve"> </w:t>
      </w:r>
      <w:r w:rsidRPr="000723EA">
        <w:rPr>
          <w:color w:val="000000" w:themeColor="text1"/>
          <w:lang w:eastAsia="ko-KR"/>
        </w:rPr>
        <w:t xml:space="preserve">Pihak yang </w:t>
      </w:r>
      <w:r>
        <w:rPr>
          <w:color w:val="000000" w:themeColor="text1"/>
          <w:lang w:eastAsia="ko-KR"/>
        </w:rPr>
        <w:t>mempunyai kawalan ke atas syarikat ini</w:t>
      </w:r>
      <w:r w:rsidRPr="000723EA">
        <w:rPr>
          <w:color w:val="000000" w:themeColor="text1"/>
          <w:lang w:eastAsia="ko-KR"/>
        </w:rPr>
        <w:t xml:space="preserve"> berupaya melaksanakan </w:t>
      </w:r>
      <w:r>
        <w:rPr>
          <w:color w:val="000000" w:themeColor="text1"/>
          <w:lang w:eastAsia="ko-KR"/>
        </w:rPr>
        <w:t>UPB</w:t>
      </w:r>
      <w:r w:rsidRPr="000723EA">
        <w:rPr>
          <w:color w:val="000000" w:themeColor="text1"/>
          <w:lang w:eastAsia="ko-KR"/>
        </w:rPr>
        <w:t xml:space="preserve"> di</w:t>
      </w:r>
      <w:r>
        <w:rPr>
          <w:color w:val="000000" w:themeColor="text1"/>
          <w:lang w:eastAsia="ko-KR"/>
        </w:rPr>
        <w:t xml:space="preserve"> </w:t>
      </w:r>
      <w:r w:rsidRPr="000723EA">
        <w:rPr>
          <w:color w:val="000000" w:themeColor="text1"/>
          <w:lang w:eastAsia="ko-KR"/>
        </w:rPr>
        <w:t xml:space="preserve">luar prinsip </w:t>
      </w:r>
      <w:r w:rsidR="000B17D8">
        <w:rPr>
          <w:color w:val="000000" w:themeColor="text1"/>
          <w:lang w:eastAsia="ko-KR"/>
        </w:rPr>
        <w:t>‘</w:t>
      </w:r>
      <w:r w:rsidRPr="000723EA">
        <w:rPr>
          <w:i/>
          <w:color w:val="000000" w:themeColor="text1"/>
          <w:lang w:eastAsia="ko-KR"/>
        </w:rPr>
        <w:t>arm’s-length</w:t>
      </w:r>
      <w:r w:rsidR="000B17D8">
        <w:rPr>
          <w:i/>
          <w:color w:val="000000" w:themeColor="text1"/>
          <w:lang w:eastAsia="ko-KR"/>
        </w:rPr>
        <w:t>’</w:t>
      </w:r>
      <w:r>
        <w:rPr>
          <w:i/>
          <w:color w:val="000000" w:themeColor="text1"/>
          <w:lang w:eastAsia="ko-KR"/>
        </w:rPr>
        <w:t xml:space="preserve"> </w:t>
      </w:r>
      <w:r w:rsidRPr="000723EA">
        <w:rPr>
          <w:color w:val="000000" w:themeColor="text1"/>
          <w:lang w:eastAsia="ko-KR"/>
        </w:rPr>
        <w:t xml:space="preserve">yang </w:t>
      </w:r>
      <w:r>
        <w:rPr>
          <w:color w:val="000000" w:themeColor="text1"/>
          <w:lang w:eastAsia="ko-KR"/>
        </w:rPr>
        <w:t xml:space="preserve">akhirnya </w:t>
      </w:r>
      <w:r w:rsidRPr="000723EA">
        <w:rPr>
          <w:color w:val="000000" w:themeColor="text1"/>
          <w:lang w:eastAsia="ko-KR"/>
        </w:rPr>
        <w:t xml:space="preserve">memberi keuntungan kepada mereka. Contohnya, firma boleh memajak premis dari </w:t>
      </w:r>
      <w:r w:rsidR="00402F1E">
        <w:rPr>
          <w:color w:val="000000" w:themeColor="text1"/>
          <w:lang w:eastAsia="ko-KR"/>
        </w:rPr>
        <w:t>syarikat</w:t>
      </w:r>
      <w:r w:rsidRPr="000723EA">
        <w:rPr>
          <w:color w:val="000000" w:themeColor="text1"/>
          <w:lang w:eastAsia="ko-KR"/>
        </w:rPr>
        <w:t xml:space="preserve"> yang dikawal oleh pengarah dan membayar sewa pajakan pada harga yang lebih tinggi </w:t>
      </w:r>
      <w:r>
        <w:rPr>
          <w:color w:val="000000" w:themeColor="text1"/>
          <w:lang w:eastAsia="ko-KR"/>
        </w:rPr>
        <w:t xml:space="preserve">atau rendah </w:t>
      </w:r>
      <w:r w:rsidRPr="000723EA">
        <w:rPr>
          <w:color w:val="000000" w:themeColor="text1"/>
          <w:lang w:eastAsia="ko-KR"/>
        </w:rPr>
        <w:t xml:space="preserve">berbanding dengan pihak </w:t>
      </w:r>
      <w:r w:rsidRPr="000723EA">
        <w:rPr>
          <w:color w:val="000000" w:themeColor="text1"/>
          <w:lang w:eastAsia="ko-KR"/>
        </w:rPr>
        <w:lastRenderedPageBreak/>
        <w:t xml:space="preserve">bukan berkaitan </w:t>
      </w:r>
      <w:r w:rsidRPr="000723EA">
        <w:rPr>
          <w:color w:val="000000" w:themeColor="text1"/>
          <w:lang w:eastAsia="ko-KR"/>
        </w:rPr>
        <w:fldChar w:fldCharType="begin" w:fldLock="1"/>
      </w:r>
      <w:r w:rsidRPr="000723EA">
        <w:rPr>
          <w:color w:val="000000" w:themeColor="text1"/>
          <w:lang w:eastAsia="ko-KR"/>
        </w:rPr>
        <w:instrText>ADDIN CSL_CITATION {"citationItems":[{"id":"ITEM-1","itemData":{"ISSN":"1556-5068","abstract":"Agency Costs, Contracting, and Related Party Transactions ABSTRACT We examine related party (RP) transactions using agency and contracting theory as guides. Agency theory suggests opportunistic behavior can generate RP transactions; however, RP transactions can also result from or be managed via contracting. We therefore investigate associations between RP transactions and compensation-based incentives, monitoring mechanisms, and links to executive compensation for a sample of 1,261 firms. We find RP transactions are associated with weaker corporate governance, CEO stock options, and inversely associated with CEO and director's cash compensation. In a direct analysis of CEO compensation, we find a positive association between unexpected CEO compensation and RP transactions with companies the firm partially owns (i.e. investments) suggesting that CEO's are compensated for running more complex organizations. Finally, we examine returns in the period following RP disclosure. The results suggest lower future returns for simple RP transactions involving directors, officers and major shareholders. However, future returns are marginally higher for companies engaged in RP transaction with investments. Our compensation and returns analyses suggest related party transactions with investments appear to be associated with efficient contracting, while simple transactions with directors, officers and shareholders are associated with opportunism.","author":[{"dropping-particle":"","family":"Kohlbeck","given":"Mark","non-dropping-particle":"","parse-names":false,"suffix":""},{"dropping-particle":"","family":"Mayhew","given":"Brian","non-dropping-particle":"","parse-names":false,"suffix":""}],"container-title":"SSRN Electronic Journal","id":"ITEM-1","issue":"December","issued":{"date-parts":[["2004"]]},"title":"Agency Costs, Contracting, and Related Party Transactions","type":"article-journal"},"uris":["http://www.mendeley.com/documents/?uuid=6b902c3e-f0ef-4a67-ae40-0a48dc09edd5"]}],"mendeley":{"formattedCitation":"(Kohlbeck &amp; Mayhew 2004)","plainTextFormattedCitation":"(Kohlbeck &amp; Mayhew 2004)","previouslyFormattedCitation":"(Kohlbeck &amp; Mayhew 2004)"},"properties":{"noteIndex":0},"schema":"https://github.com/citation-style-language/schema/raw/master/csl-citation.json"}</w:instrText>
      </w:r>
      <w:r w:rsidRPr="000723EA">
        <w:rPr>
          <w:color w:val="000000" w:themeColor="text1"/>
          <w:lang w:eastAsia="ko-KR"/>
        </w:rPr>
        <w:fldChar w:fldCharType="separate"/>
      </w:r>
      <w:r w:rsidRPr="000723EA">
        <w:rPr>
          <w:noProof/>
          <w:color w:val="000000" w:themeColor="text1"/>
          <w:lang w:eastAsia="ko-KR"/>
        </w:rPr>
        <w:t>(Kohlbeck &amp; Mayhew 2004)</w:t>
      </w:r>
      <w:r w:rsidRPr="000723EA">
        <w:rPr>
          <w:color w:val="000000" w:themeColor="text1"/>
          <w:lang w:eastAsia="ko-KR"/>
        </w:rPr>
        <w:fldChar w:fldCharType="end"/>
      </w:r>
      <w:r w:rsidRPr="000723EA">
        <w:rPr>
          <w:color w:val="000000" w:themeColor="text1"/>
          <w:lang w:eastAsia="ko-KR"/>
        </w:rPr>
        <w:t>.</w:t>
      </w:r>
      <w:r>
        <w:rPr>
          <w:color w:val="000000" w:themeColor="text1"/>
          <w:lang w:eastAsia="ko-KR"/>
        </w:rPr>
        <w:t xml:space="preserve"> </w:t>
      </w:r>
      <w:r w:rsidRPr="000723EA">
        <w:rPr>
          <w:color w:val="000000" w:themeColor="text1"/>
          <w:lang w:eastAsia="ko-KR"/>
        </w:rPr>
        <w:t xml:space="preserve">Selain itu, UPB juga digunakan sebagai alat untuk meningkatkan prestasi pelaporan firma. Pihak pengurusan boleh memanipulasi UPB sama ada untuk meningkatkan atau mengurangkan keuntungan bagi tujuan penilaian prestasi firma </w:t>
      </w:r>
      <w:r w:rsidRPr="000723EA">
        <w:rPr>
          <w:color w:val="000000" w:themeColor="text1"/>
          <w:lang w:eastAsia="ko-KR"/>
        </w:rPr>
        <w:fldChar w:fldCharType="begin" w:fldLock="1"/>
      </w:r>
      <w:r w:rsidRPr="000723EA">
        <w:rPr>
          <w:color w:val="000000" w:themeColor="text1"/>
          <w:lang w:eastAsia="ko-KR"/>
        </w:rPr>
        <w:instrText>ADDIN CSL_CITATION {"citationItems":[{"id":"ITEM-1","itemData":{"ISBN":"0278-4254","ISSN":"02784254","abstract":"Using a sample of 185 Chinese IPO firms listed on the Shanghai Stock Exchange during the period 1999-2001, we show that related-party (RP) sales of goods and services could be used opportunistically to manage earnings upwards in the pre-IPO period. We also provide evidence that such behavior may be motivated by the prospect of tunneling opportunities in the post-IPO period, i.e., exploiting economic resources from minority shareholders for the benefit of the parent company. We provide evidence of one such opportunistic tunneling tool: non-repayment by Chinese parent companies of net outstanding corporate loans made to them by their newly listed subsidiaries. Furthermore, we provide evidence in support of our assertion of an association between such tunneling behavior in the post-IPO period and earnings management via abnormal RP sales in the pre-IPO period. Finally, we demonstrate the apparent failure of investors in Chinese IPOs to perceive the link between the two phenomena. The results enhance understanding of the motives for and consequences of earnings manipulation during the IPO process. They highlight a potential additional investment risk facing foreign investors in China's capital markets as well as in Chinese firms cross-listed in non-Chinese stock exchanges, and have policy implications for China and other emerging markets which need to improve the protection of minority shareholders' rights. © 2009 Elsevier Inc. All rights reserved.","author":[{"dropping-particle":"","family":"Aharony","given":"Joseph","non-dropping-particle":"","parse-names":false,"suffix":""},{"dropping-particle":"","family":"Wang","given":"Jiwei","non-dropping-particle":"","parse-names":false,"suffix":""},{"dropping-particle":"","family":"Yuan","given":"Hongqi","non-dropping-particle":"","parse-names":false,"suffix":""}],"container-title":"Journal of Accounting and Public Policy","id":"ITEM-1","issue":"1","issued":{"date-parts":[["2010"]]},"page":"1-26","publisher":"Elsevier Inc.","title":"Tunneling as an incentive for earnings management during the IPO process in China","type":"article-journal","volume":"29"},"uris":["http://www.mendeley.com/documents/?uuid=a086f04a-3d68-466d-9c6e-3862cdbd8e3e"]}],"mendeley":{"formattedCitation":"(Aharony et al. 2010)","plainTextFormattedCitation":"(Aharony et al. 2010)","previouslyFormattedCitation":"(Aharony et al. 2010)"},"properties":{"noteIndex":0},"schema":"https://github.com/citation-style-language/schema/raw/master/csl-citation.json"}</w:instrText>
      </w:r>
      <w:r w:rsidRPr="000723EA">
        <w:rPr>
          <w:color w:val="000000" w:themeColor="text1"/>
          <w:lang w:eastAsia="ko-KR"/>
        </w:rPr>
        <w:fldChar w:fldCharType="separate"/>
      </w:r>
      <w:r w:rsidRPr="000723EA">
        <w:rPr>
          <w:noProof/>
          <w:color w:val="000000" w:themeColor="text1"/>
          <w:lang w:eastAsia="ko-KR"/>
        </w:rPr>
        <w:t>(Aharony et al. 2010)</w:t>
      </w:r>
      <w:r w:rsidRPr="000723EA">
        <w:rPr>
          <w:color w:val="000000" w:themeColor="text1"/>
          <w:lang w:eastAsia="ko-KR"/>
        </w:rPr>
        <w:fldChar w:fldCharType="end"/>
      </w:r>
      <w:r w:rsidRPr="000723EA">
        <w:rPr>
          <w:color w:val="000000" w:themeColor="text1"/>
          <w:lang w:eastAsia="ko-KR"/>
        </w:rPr>
        <w:t xml:space="preserve">. Jian </w:t>
      </w:r>
      <w:r w:rsidR="008A6A18">
        <w:rPr>
          <w:color w:val="000000" w:themeColor="text1"/>
          <w:lang w:eastAsia="ko-KR"/>
        </w:rPr>
        <w:t>dan</w:t>
      </w:r>
      <w:r w:rsidRPr="000723EA">
        <w:rPr>
          <w:color w:val="000000" w:themeColor="text1"/>
          <w:lang w:eastAsia="ko-KR"/>
        </w:rPr>
        <w:t xml:space="preserve"> Wong (2010), mendapati </w:t>
      </w:r>
      <w:r w:rsidR="00402F1E">
        <w:rPr>
          <w:color w:val="000000" w:themeColor="text1"/>
          <w:lang w:eastAsia="ko-KR"/>
        </w:rPr>
        <w:t>syarikat</w:t>
      </w:r>
      <w:r w:rsidRPr="000723EA">
        <w:rPr>
          <w:color w:val="000000" w:themeColor="text1"/>
          <w:lang w:eastAsia="ko-KR"/>
        </w:rPr>
        <w:t xml:space="preserve"> di China menggunakan UPB untuk tujuan manipulasi pendapatan dengan meningkatkan hasil jualan urus niaga pihak berkaitan untuk mencapai sasaran keuntungan yang dikehendaki. Pihak berkaitan juga menyalahgunakan UPB untuk memaksimumkan ganjaran atau bonus yang diterima daripada firma </w:t>
      </w:r>
      <w:r w:rsidRPr="000723EA">
        <w:rPr>
          <w:color w:val="000000" w:themeColor="text1"/>
          <w:lang w:eastAsia="ko-KR"/>
        </w:rPr>
        <w:fldChar w:fldCharType="begin" w:fldLock="1"/>
      </w:r>
      <w:r w:rsidRPr="000723EA">
        <w:rPr>
          <w:color w:val="000000" w:themeColor="text1"/>
          <w:lang w:eastAsia="ko-KR"/>
        </w:rPr>
        <w:instrText>ADDIN CSL_CITATION {"citationItems":[{"id":"ITEM-1","itemData":{"author":[{"dropping-particle":"","family":"Wong","given":"","non-dropping-particle":"","parse-names":false,"suffix":""},{"dropping-particle":"","family":"Kim","given":"J.B","non-dropping-particle":"","parse-names":false,"suffix":""},{"dropping-particle":"","family":"Lo","given":"A.W.Y","non-dropping-particle":"","parse-names":false,"suffix":""}],"container-title":"Journal of International Financial Management &amp; Accounting","id":"ITEM-1","issue":"1","issued":{"date-parts":[["2015"]]},"page":"1-38","title":"Are Related-Party Sales Value-Adding or Value-Destroying ? Evidence from China","type":"article-journal","volume":"26"},"uris":["http://www.mendeley.com/documents/?uuid=7ee7c4fe-a06e-4bd2-ba5a-17861c953476"]}],"mendeley":{"formattedCitation":"(Wong et al. 2015)","plainTextFormattedCitation":"(Wong et al. 2015)","previouslyFormattedCitation":"(Wong et al. 2015)"},"properties":{"noteIndex":0},"schema":"https://github.com/citation-style-language/schema/raw/master/csl-citation.json"}</w:instrText>
      </w:r>
      <w:r w:rsidRPr="000723EA">
        <w:rPr>
          <w:color w:val="000000" w:themeColor="text1"/>
          <w:lang w:eastAsia="ko-KR"/>
        </w:rPr>
        <w:fldChar w:fldCharType="separate"/>
      </w:r>
      <w:r w:rsidRPr="000723EA">
        <w:rPr>
          <w:noProof/>
          <w:color w:val="000000" w:themeColor="text1"/>
          <w:lang w:eastAsia="ko-KR"/>
        </w:rPr>
        <w:t>(Wong</w:t>
      </w:r>
      <w:r w:rsidR="00C72919">
        <w:rPr>
          <w:noProof/>
          <w:color w:val="000000" w:themeColor="text1"/>
          <w:lang w:eastAsia="ko-KR"/>
        </w:rPr>
        <w:t>, Kim &amp; Lo</w:t>
      </w:r>
      <w:r w:rsidRPr="000723EA">
        <w:rPr>
          <w:noProof/>
          <w:color w:val="000000" w:themeColor="text1"/>
          <w:lang w:eastAsia="ko-KR"/>
        </w:rPr>
        <w:t xml:space="preserve"> 2015)</w:t>
      </w:r>
      <w:r w:rsidRPr="000723EA">
        <w:rPr>
          <w:color w:val="000000" w:themeColor="text1"/>
          <w:lang w:eastAsia="ko-KR"/>
        </w:rPr>
        <w:fldChar w:fldCharType="end"/>
      </w:r>
      <w:r w:rsidRPr="000723EA">
        <w:rPr>
          <w:color w:val="000000" w:themeColor="text1"/>
          <w:lang w:eastAsia="ko-KR"/>
        </w:rPr>
        <w:t xml:space="preserve">. Kebanyakan kajian lepas menyokong bahawa UPB digunakan sebagai alat untuk memanipulasi pendapatan atau rampasan kekayaan melalui aktiviti seperti </w:t>
      </w:r>
      <w:r w:rsidRPr="000723EA">
        <w:rPr>
          <w:i/>
          <w:color w:val="000000" w:themeColor="text1"/>
          <w:lang w:eastAsia="ko-KR"/>
        </w:rPr>
        <w:t>‘tunneling’, ‘proping’</w:t>
      </w:r>
      <w:r w:rsidRPr="000723EA">
        <w:rPr>
          <w:color w:val="000000" w:themeColor="text1"/>
          <w:lang w:eastAsia="ko-KR"/>
        </w:rPr>
        <w:t xml:space="preserve"> dan pengurusan pendapatan</w:t>
      </w:r>
      <w:r w:rsidR="00C72919">
        <w:rPr>
          <w:color w:val="000000" w:themeColor="text1"/>
          <w:lang w:eastAsia="ko-KR"/>
        </w:rPr>
        <w:t xml:space="preserve"> (Cheung, Rau &amp; Stouraitis 2006; Jian &amp; Wong 2010).</w:t>
      </w:r>
      <w:r w:rsidR="00C72919" w:rsidRPr="000723EA">
        <w:rPr>
          <w:color w:val="000000" w:themeColor="text1"/>
          <w:lang w:eastAsia="ko-KR"/>
        </w:rPr>
        <w:t xml:space="preserve"> </w:t>
      </w:r>
    </w:p>
    <w:p w14:paraId="7546FFAF" w14:textId="6875B9F0" w:rsidR="00213D87" w:rsidRPr="008A6A18" w:rsidRDefault="00213D87" w:rsidP="008A6A18">
      <w:pPr>
        <w:pStyle w:val="Default"/>
        <w:jc w:val="both"/>
        <w:rPr>
          <w:color w:val="FF0000"/>
        </w:rPr>
      </w:pPr>
    </w:p>
    <w:p w14:paraId="04DAF59C" w14:textId="1669F7FB" w:rsidR="00213D87" w:rsidRPr="00F31AAC" w:rsidRDefault="00213D87" w:rsidP="00ED3B76">
      <w:pPr>
        <w:spacing w:after="0" w:line="360" w:lineRule="auto"/>
        <w:jc w:val="both"/>
        <w:rPr>
          <w:rFonts w:ascii="Times New Roman" w:hAnsi="Times New Roman" w:cs="Times New Roman"/>
          <w:b/>
          <w:color w:val="000000" w:themeColor="text1"/>
          <w:sz w:val="24"/>
          <w:szCs w:val="24"/>
        </w:rPr>
      </w:pPr>
      <w:r w:rsidRPr="00F31AAC">
        <w:rPr>
          <w:rFonts w:ascii="Times New Roman" w:hAnsi="Times New Roman" w:cs="Times New Roman"/>
          <w:b/>
          <w:color w:val="000000" w:themeColor="text1"/>
          <w:sz w:val="24"/>
          <w:szCs w:val="24"/>
        </w:rPr>
        <w:t>Firma Audit</w:t>
      </w:r>
      <w:r w:rsidR="001455C7">
        <w:rPr>
          <w:rFonts w:ascii="Times New Roman" w:hAnsi="Times New Roman" w:cs="Times New Roman"/>
          <w:b/>
          <w:color w:val="000000" w:themeColor="text1"/>
          <w:sz w:val="24"/>
          <w:szCs w:val="24"/>
        </w:rPr>
        <w:t xml:space="preserve"> Pakar Industri</w:t>
      </w:r>
      <w:r w:rsidRPr="00F31AAC">
        <w:rPr>
          <w:rFonts w:ascii="Times New Roman" w:hAnsi="Times New Roman" w:cs="Times New Roman"/>
          <w:b/>
          <w:color w:val="000000" w:themeColor="text1"/>
          <w:sz w:val="24"/>
          <w:szCs w:val="24"/>
        </w:rPr>
        <w:t xml:space="preserve"> </w:t>
      </w:r>
    </w:p>
    <w:p w14:paraId="569BD1E0" w14:textId="61F719FC" w:rsidR="0026779F" w:rsidRDefault="001455C7" w:rsidP="0026779F">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F</w:t>
      </w:r>
      <w:r w:rsidR="004D7323">
        <w:rPr>
          <w:rFonts w:ascii="Times New Roman" w:hAnsi="Times New Roman" w:cs="Times New Roman"/>
          <w:color w:val="000000" w:themeColor="text1"/>
          <w:sz w:val="24"/>
          <w:szCs w:val="24"/>
        </w:rPr>
        <w:t>irma audit pakar</w:t>
      </w:r>
      <w:r>
        <w:rPr>
          <w:rFonts w:ascii="Times New Roman" w:hAnsi="Times New Roman" w:cs="Times New Roman"/>
          <w:color w:val="000000" w:themeColor="text1"/>
          <w:sz w:val="24"/>
          <w:szCs w:val="24"/>
        </w:rPr>
        <w:t xml:space="preserve"> industri</w:t>
      </w:r>
      <w:r w:rsidR="004D7323">
        <w:rPr>
          <w:rFonts w:ascii="Times New Roman" w:hAnsi="Times New Roman" w:cs="Times New Roman"/>
          <w:color w:val="000000" w:themeColor="text1"/>
          <w:sz w:val="24"/>
          <w:szCs w:val="24"/>
        </w:rPr>
        <w:t xml:space="preserve"> </w:t>
      </w:r>
      <w:r w:rsidR="00ED3B76" w:rsidRPr="00F31AAC">
        <w:rPr>
          <w:rFonts w:ascii="Times New Roman" w:hAnsi="Times New Roman" w:cs="Times New Roman"/>
          <w:color w:val="000000" w:themeColor="text1"/>
          <w:sz w:val="24"/>
          <w:szCs w:val="24"/>
        </w:rPr>
        <w:t>(</w:t>
      </w:r>
      <w:r w:rsidR="004D7323">
        <w:rPr>
          <w:rFonts w:ascii="Times New Roman" w:hAnsi="Times New Roman" w:cs="Times New Roman"/>
          <w:color w:val="000000" w:themeColor="text1"/>
          <w:sz w:val="24"/>
          <w:szCs w:val="24"/>
        </w:rPr>
        <w:t>FAPI</w:t>
      </w:r>
      <w:r w:rsidR="00ED3B76" w:rsidRPr="00F31AAC">
        <w:rPr>
          <w:rFonts w:ascii="Times New Roman" w:hAnsi="Times New Roman" w:cs="Times New Roman"/>
          <w:color w:val="000000" w:themeColor="text1"/>
          <w:sz w:val="24"/>
          <w:szCs w:val="24"/>
        </w:rPr>
        <w:t xml:space="preserve">) didefinisikan sebagai pengetahuan atau kepakaran </w:t>
      </w:r>
      <w:r w:rsidR="0026779F">
        <w:rPr>
          <w:rFonts w:ascii="Times New Roman" w:hAnsi="Times New Roman" w:cs="Times New Roman"/>
          <w:color w:val="000000" w:themeColor="text1"/>
          <w:sz w:val="24"/>
          <w:szCs w:val="24"/>
        </w:rPr>
        <w:t>firma audit</w:t>
      </w:r>
      <w:r w:rsidR="00ED3B76" w:rsidRPr="00F31AAC">
        <w:rPr>
          <w:rFonts w:ascii="Times New Roman" w:hAnsi="Times New Roman" w:cs="Times New Roman"/>
          <w:color w:val="000000" w:themeColor="text1"/>
          <w:sz w:val="24"/>
          <w:szCs w:val="24"/>
        </w:rPr>
        <w:t xml:space="preserve"> mengenai industri tertentu yang diperoleh melalui latihan dan pengalaman praktikal semasa mengaudit pelanggan dalam industri tertentu (Elder</w:t>
      </w:r>
      <w:r w:rsidR="00C72919">
        <w:rPr>
          <w:rFonts w:ascii="Times New Roman" w:hAnsi="Times New Roman" w:cs="Times New Roman"/>
          <w:color w:val="000000" w:themeColor="text1"/>
          <w:sz w:val="24"/>
          <w:szCs w:val="24"/>
        </w:rPr>
        <w:t xml:space="preserve"> et al.</w:t>
      </w:r>
      <w:r w:rsidR="00ED3B76" w:rsidRPr="00F31AAC">
        <w:rPr>
          <w:rFonts w:ascii="Times New Roman" w:hAnsi="Times New Roman" w:cs="Times New Roman"/>
          <w:color w:val="000000" w:themeColor="text1"/>
          <w:sz w:val="24"/>
          <w:szCs w:val="24"/>
        </w:rPr>
        <w:t xml:space="preserve"> 2015). </w:t>
      </w:r>
      <w:r w:rsidR="0026779F" w:rsidRPr="00273BA7">
        <w:rPr>
          <w:rFonts w:ascii="Times New Roman" w:hAnsi="Times New Roman" w:cs="Times New Roman"/>
          <w:sz w:val="24"/>
          <w:szCs w:val="24"/>
        </w:rPr>
        <w:t xml:space="preserve">Arens et al. (2011) pula </w:t>
      </w:r>
      <w:r w:rsidR="00DE763F">
        <w:rPr>
          <w:rFonts w:ascii="Times New Roman" w:hAnsi="Times New Roman" w:cs="Times New Roman"/>
          <w:sz w:val="24"/>
          <w:szCs w:val="24"/>
        </w:rPr>
        <w:t>merujuk FAPI sebagai firma audit yang</w:t>
      </w:r>
      <w:r w:rsidR="0026779F">
        <w:rPr>
          <w:rFonts w:ascii="Times New Roman" w:hAnsi="Times New Roman" w:cs="Times New Roman"/>
          <w:sz w:val="24"/>
          <w:szCs w:val="24"/>
        </w:rPr>
        <w:t xml:space="preserve"> </w:t>
      </w:r>
      <w:r w:rsidR="0026779F" w:rsidRPr="00273BA7">
        <w:rPr>
          <w:rFonts w:ascii="Times New Roman" w:hAnsi="Times New Roman" w:cs="Times New Roman"/>
          <w:sz w:val="24"/>
          <w:szCs w:val="24"/>
        </w:rPr>
        <w:t xml:space="preserve">mempunyai pemahaman yang mendalam </w:t>
      </w:r>
      <w:r w:rsidR="0026779F">
        <w:rPr>
          <w:rFonts w:ascii="Times New Roman" w:hAnsi="Times New Roman" w:cs="Times New Roman"/>
          <w:sz w:val="24"/>
          <w:szCs w:val="24"/>
        </w:rPr>
        <w:t>mengenai</w:t>
      </w:r>
      <w:r w:rsidR="0026779F" w:rsidRPr="00273BA7">
        <w:rPr>
          <w:rFonts w:ascii="Times New Roman" w:hAnsi="Times New Roman" w:cs="Times New Roman"/>
          <w:sz w:val="24"/>
          <w:szCs w:val="24"/>
        </w:rPr>
        <w:t xml:space="preserve"> operasi syarikat, serta panduan perakaunan dan pengauditan khusus</w:t>
      </w:r>
      <w:r w:rsidR="0026779F">
        <w:rPr>
          <w:rFonts w:ascii="Times New Roman" w:hAnsi="Times New Roman" w:cs="Times New Roman"/>
          <w:sz w:val="24"/>
          <w:szCs w:val="24"/>
        </w:rPr>
        <w:t>.  D</w:t>
      </w:r>
      <w:r w:rsidR="0026779F" w:rsidRPr="00273BA7">
        <w:rPr>
          <w:rFonts w:ascii="Times New Roman" w:hAnsi="Times New Roman" w:cs="Times New Roman"/>
          <w:sz w:val="24"/>
          <w:szCs w:val="24"/>
        </w:rPr>
        <w:t xml:space="preserve">i samping </w:t>
      </w:r>
      <w:r w:rsidR="0026779F">
        <w:rPr>
          <w:rFonts w:ascii="Times New Roman" w:hAnsi="Times New Roman" w:cs="Times New Roman"/>
          <w:sz w:val="24"/>
          <w:szCs w:val="24"/>
        </w:rPr>
        <w:t xml:space="preserve">itu, FAPI juga mempunyai pengetahuan </w:t>
      </w:r>
      <w:r w:rsidR="0026779F" w:rsidRPr="00273BA7">
        <w:rPr>
          <w:rFonts w:ascii="Times New Roman" w:hAnsi="Times New Roman" w:cs="Times New Roman"/>
          <w:sz w:val="24"/>
          <w:szCs w:val="24"/>
        </w:rPr>
        <w:t xml:space="preserve">mendalam mengenai bagaimana panduan perakaunan umum dan khusus terpakai kepada industri </w:t>
      </w:r>
      <w:r w:rsidR="00402F1E">
        <w:rPr>
          <w:rFonts w:ascii="Times New Roman" w:hAnsi="Times New Roman" w:cs="Times New Roman"/>
          <w:sz w:val="24"/>
          <w:szCs w:val="24"/>
        </w:rPr>
        <w:t>pelanggan</w:t>
      </w:r>
      <w:r w:rsidR="0026779F" w:rsidRPr="00273BA7">
        <w:rPr>
          <w:rFonts w:ascii="Times New Roman" w:hAnsi="Times New Roman" w:cs="Times New Roman"/>
          <w:sz w:val="24"/>
          <w:szCs w:val="24"/>
        </w:rPr>
        <w:t xml:space="preserve"> tertentu, termasuk pemahaman tentang cabaran dan perbezaan operasi industri tersebut (Tuanakotta 2011). Manakala Reichelt dan Wang (2010) dan Ferguson</w:t>
      </w:r>
      <w:r w:rsidR="00C72919">
        <w:rPr>
          <w:rFonts w:ascii="Times New Roman" w:hAnsi="Times New Roman" w:cs="Times New Roman"/>
          <w:sz w:val="24"/>
          <w:szCs w:val="24"/>
        </w:rPr>
        <w:t xml:space="preserve"> et al.</w:t>
      </w:r>
      <w:r w:rsidR="0026779F" w:rsidRPr="00273BA7">
        <w:rPr>
          <w:rFonts w:ascii="Times New Roman" w:hAnsi="Times New Roman" w:cs="Times New Roman"/>
          <w:sz w:val="24"/>
          <w:szCs w:val="24"/>
        </w:rPr>
        <w:t xml:space="preserve"> (2003) mentakrifkan </w:t>
      </w:r>
      <w:r w:rsidR="0026779F">
        <w:rPr>
          <w:rFonts w:ascii="Times New Roman" w:hAnsi="Times New Roman" w:cs="Times New Roman"/>
          <w:sz w:val="24"/>
          <w:szCs w:val="24"/>
        </w:rPr>
        <w:t>FAPI</w:t>
      </w:r>
      <w:r w:rsidR="0026779F" w:rsidRPr="00273BA7">
        <w:rPr>
          <w:rFonts w:ascii="Times New Roman" w:hAnsi="Times New Roman" w:cs="Times New Roman"/>
          <w:sz w:val="24"/>
          <w:szCs w:val="24"/>
        </w:rPr>
        <w:t xml:space="preserve"> sebagai pemimpin industri. </w:t>
      </w:r>
    </w:p>
    <w:p w14:paraId="6FBC280E" w14:textId="205994ED" w:rsidR="00DE763F" w:rsidRDefault="00DE763F" w:rsidP="0026779F">
      <w:pPr>
        <w:spacing w:after="0" w:line="240" w:lineRule="auto"/>
        <w:jc w:val="both"/>
        <w:rPr>
          <w:rFonts w:ascii="Times New Roman" w:hAnsi="Times New Roman" w:cs="Times New Roman"/>
          <w:sz w:val="24"/>
          <w:szCs w:val="24"/>
        </w:rPr>
      </w:pPr>
    </w:p>
    <w:p w14:paraId="27B31B0C" w14:textId="1D2151C3" w:rsidR="00DE763F" w:rsidRDefault="00DE763F" w:rsidP="0026779F">
      <w:pPr>
        <w:spacing w:after="0" w:line="240" w:lineRule="auto"/>
        <w:jc w:val="both"/>
        <w:rPr>
          <w:rFonts w:ascii="Times New Roman" w:hAnsi="Times New Roman" w:cs="Times New Roman"/>
          <w:sz w:val="24"/>
          <w:szCs w:val="24"/>
        </w:rPr>
      </w:pPr>
    </w:p>
    <w:p w14:paraId="05E95909" w14:textId="223DA7F4" w:rsidR="00995911" w:rsidRPr="00137BB4" w:rsidRDefault="00402F1E" w:rsidP="00DE76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E763F" w:rsidRPr="00B34A0C">
        <w:rPr>
          <w:rFonts w:ascii="Times New Roman" w:hAnsi="Times New Roman" w:cs="Times New Roman"/>
          <w:sz w:val="24"/>
          <w:szCs w:val="24"/>
        </w:rPr>
        <w:t xml:space="preserve">Kajian lepas telah menggunakan FAPI sebagai proksi kualiti audit (seperti </w:t>
      </w:r>
      <w:r w:rsidR="00C72919">
        <w:rPr>
          <w:rFonts w:ascii="Times New Roman" w:hAnsi="Times New Roman" w:cs="Times New Roman"/>
          <w:sz w:val="24"/>
          <w:szCs w:val="24"/>
        </w:rPr>
        <w:t>Balsam et al. 2003; Dunn &amp; Mayh</w:t>
      </w:r>
      <w:r>
        <w:rPr>
          <w:rFonts w:ascii="Times New Roman" w:hAnsi="Times New Roman" w:cs="Times New Roman"/>
          <w:sz w:val="24"/>
          <w:szCs w:val="24"/>
        </w:rPr>
        <w:t>e</w:t>
      </w:r>
      <w:r w:rsidR="00C72919">
        <w:rPr>
          <w:rFonts w:ascii="Times New Roman" w:hAnsi="Times New Roman" w:cs="Times New Roman"/>
          <w:sz w:val="24"/>
          <w:szCs w:val="24"/>
        </w:rPr>
        <w:t>w 2004; Elder et al. 2015</w:t>
      </w:r>
      <w:r w:rsidR="00DE763F" w:rsidRPr="00B34A0C">
        <w:rPr>
          <w:rFonts w:ascii="Times New Roman" w:hAnsi="Times New Roman" w:cs="Times New Roman"/>
          <w:sz w:val="24"/>
          <w:szCs w:val="24"/>
        </w:rPr>
        <w:t xml:space="preserve">). </w:t>
      </w:r>
      <w:r w:rsidR="00ED3B76" w:rsidRPr="00B34A0C">
        <w:rPr>
          <w:rFonts w:ascii="Times New Roman" w:hAnsi="Times New Roman" w:cs="Times New Roman"/>
          <w:color w:val="000000" w:themeColor="text1"/>
          <w:sz w:val="24"/>
          <w:szCs w:val="24"/>
        </w:rPr>
        <w:t xml:space="preserve">Pengetahuan dan kepakaran ini membolehkan </w:t>
      </w:r>
      <w:r w:rsidR="001455C7" w:rsidRPr="00B34A0C">
        <w:rPr>
          <w:rFonts w:ascii="Times New Roman" w:hAnsi="Times New Roman" w:cs="Times New Roman"/>
          <w:color w:val="000000" w:themeColor="text1"/>
          <w:sz w:val="24"/>
          <w:szCs w:val="24"/>
        </w:rPr>
        <w:t xml:space="preserve">firma audit menawarkan </w:t>
      </w:r>
      <w:r w:rsidR="00ED3B76" w:rsidRPr="00B34A0C">
        <w:rPr>
          <w:rFonts w:ascii="Times New Roman" w:hAnsi="Times New Roman" w:cs="Times New Roman"/>
          <w:color w:val="000000" w:themeColor="text1"/>
          <w:sz w:val="24"/>
          <w:szCs w:val="24"/>
        </w:rPr>
        <w:t xml:space="preserve">perkhidmatan audit berkualiti tinggi berbanding </w:t>
      </w:r>
      <w:r w:rsidR="001455C7" w:rsidRPr="00B34A0C">
        <w:rPr>
          <w:rFonts w:ascii="Times New Roman" w:hAnsi="Times New Roman" w:cs="Times New Roman"/>
          <w:color w:val="000000" w:themeColor="text1"/>
          <w:sz w:val="24"/>
          <w:szCs w:val="24"/>
        </w:rPr>
        <w:t>firma</w:t>
      </w:r>
      <w:r w:rsidR="00ED3B76" w:rsidRPr="00B34A0C">
        <w:rPr>
          <w:rFonts w:ascii="Times New Roman" w:hAnsi="Times New Roman" w:cs="Times New Roman"/>
          <w:color w:val="000000" w:themeColor="text1"/>
          <w:sz w:val="24"/>
          <w:szCs w:val="24"/>
        </w:rPr>
        <w:t xml:space="preserve"> bukan pakar seperti meningkatkan ketepatan dalam </w:t>
      </w:r>
      <w:r w:rsidR="00ED3B76" w:rsidRPr="00D760DE">
        <w:rPr>
          <w:rFonts w:ascii="Times New Roman" w:hAnsi="Times New Roman" w:cs="Times New Roman"/>
          <w:color w:val="000000" w:themeColor="text1"/>
          <w:sz w:val="24"/>
          <w:szCs w:val="24"/>
        </w:rPr>
        <w:t>pengenalpastian kesilapan (Owhoson</w:t>
      </w:r>
      <w:r w:rsidR="00C72919" w:rsidRPr="00D760DE">
        <w:rPr>
          <w:rFonts w:ascii="Times New Roman" w:hAnsi="Times New Roman" w:cs="Times New Roman"/>
          <w:color w:val="000000" w:themeColor="text1"/>
          <w:sz w:val="24"/>
          <w:szCs w:val="24"/>
        </w:rPr>
        <w:t>, Messier &amp; Lynch</w:t>
      </w:r>
      <w:r w:rsidR="00ED3B76" w:rsidRPr="00D760DE">
        <w:rPr>
          <w:rFonts w:ascii="Times New Roman" w:hAnsi="Times New Roman" w:cs="Times New Roman"/>
          <w:color w:val="000000" w:themeColor="text1"/>
          <w:sz w:val="24"/>
          <w:szCs w:val="24"/>
        </w:rPr>
        <w:t xml:space="preserve"> 2002</w:t>
      </w:r>
      <w:r w:rsidR="00C72919" w:rsidRPr="00D760DE">
        <w:rPr>
          <w:rFonts w:ascii="Times New Roman" w:hAnsi="Times New Roman" w:cs="Times New Roman"/>
          <w:color w:val="000000" w:themeColor="text1"/>
          <w:sz w:val="24"/>
          <w:szCs w:val="24"/>
        </w:rPr>
        <w:t>)</w:t>
      </w:r>
      <w:r w:rsidR="00ED3B76" w:rsidRPr="00D760DE">
        <w:rPr>
          <w:rFonts w:ascii="Times New Roman" w:hAnsi="Times New Roman" w:cs="Times New Roman"/>
          <w:color w:val="000000" w:themeColor="text1"/>
          <w:sz w:val="24"/>
          <w:szCs w:val="24"/>
        </w:rPr>
        <w:t xml:space="preserve">, meningkatkan kualiti penilaian risiko dan perancangan audit </w:t>
      </w:r>
      <w:r w:rsidR="00ED3B76" w:rsidRPr="00C72919">
        <w:rPr>
          <w:rFonts w:ascii="Times New Roman" w:hAnsi="Times New Roman" w:cs="Times New Roman"/>
          <w:color w:val="000000" w:themeColor="text1"/>
          <w:sz w:val="24"/>
          <w:szCs w:val="24"/>
          <w:highlight w:val="yellow"/>
        </w:rPr>
        <w:t>(Taylor 2000, Low 2004)</w:t>
      </w:r>
      <w:r w:rsidR="00ED3B76" w:rsidRPr="00B34A0C">
        <w:rPr>
          <w:rFonts w:ascii="Times New Roman" w:hAnsi="Times New Roman" w:cs="Times New Roman"/>
          <w:color w:val="000000" w:themeColor="text1"/>
          <w:sz w:val="24"/>
          <w:szCs w:val="24"/>
        </w:rPr>
        <w:t xml:space="preserve"> serta meningkatkan kualiti pelaporan kewangan (Dunn &amp; Mayhew 2004, Gul</w:t>
      </w:r>
      <w:r w:rsidR="00C72919">
        <w:rPr>
          <w:rFonts w:ascii="Times New Roman" w:hAnsi="Times New Roman" w:cs="Times New Roman"/>
          <w:color w:val="000000" w:themeColor="text1"/>
          <w:sz w:val="24"/>
          <w:szCs w:val="24"/>
        </w:rPr>
        <w:t xml:space="preserve"> et al.</w:t>
      </w:r>
      <w:r w:rsidR="00ED3B76" w:rsidRPr="00B34A0C">
        <w:rPr>
          <w:rFonts w:ascii="Times New Roman" w:hAnsi="Times New Roman" w:cs="Times New Roman"/>
          <w:color w:val="000000" w:themeColor="text1"/>
          <w:sz w:val="24"/>
          <w:szCs w:val="24"/>
        </w:rPr>
        <w:t xml:space="preserve"> 2009, Balsam</w:t>
      </w:r>
      <w:r w:rsidR="00D760DE">
        <w:rPr>
          <w:rFonts w:ascii="Times New Roman" w:hAnsi="Times New Roman" w:cs="Times New Roman"/>
          <w:color w:val="000000" w:themeColor="text1"/>
          <w:sz w:val="24"/>
          <w:szCs w:val="24"/>
        </w:rPr>
        <w:t xml:space="preserve"> et al. </w:t>
      </w:r>
      <w:r w:rsidR="00ED3B76" w:rsidRPr="00B34A0C">
        <w:rPr>
          <w:rFonts w:ascii="Times New Roman" w:hAnsi="Times New Roman" w:cs="Times New Roman"/>
          <w:color w:val="000000" w:themeColor="text1"/>
          <w:sz w:val="24"/>
          <w:szCs w:val="24"/>
        </w:rPr>
        <w:t>2003, Krishnan 2003</w:t>
      </w:r>
      <w:r w:rsidR="00995911" w:rsidRPr="00B34A0C">
        <w:rPr>
          <w:rFonts w:ascii="Times New Roman" w:hAnsi="Times New Roman" w:cs="Times New Roman"/>
          <w:color w:val="000000" w:themeColor="text1"/>
          <w:sz w:val="24"/>
          <w:szCs w:val="24"/>
        </w:rPr>
        <w:t xml:space="preserve">).  </w:t>
      </w:r>
      <w:r w:rsidR="00995911" w:rsidRPr="00B34A0C">
        <w:rPr>
          <w:rFonts w:ascii="Times New Roman" w:hAnsi="Times New Roman" w:cs="Times New Roman"/>
          <w:sz w:val="24"/>
          <w:szCs w:val="24"/>
        </w:rPr>
        <w:t xml:space="preserve">Kajian Habib dan Bhuiyan (2011) ke atas 502 syarikat tersenarai di Bursa Saham New Zealand </w:t>
      </w:r>
      <w:r w:rsidR="00995911">
        <w:rPr>
          <w:rFonts w:ascii="Times New Roman" w:hAnsi="Times New Roman" w:cs="Times New Roman"/>
          <w:sz w:val="24"/>
          <w:szCs w:val="24"/>
        </w:rPr>
        <w:t xml:space="preserve">turut memperlihatkan </w:t>
      </w:r>
      <w:r w:rsidR="00995911" w:rsidRPr="00137BB4">
        <w:rPr>
          <w:rFonts w:ascii="Times New Roman" w:hAnsi="Times New Roman" w:cs="Times New Roman"/>
          <w:sz w:val="24"/>
          <w:szCs w:val="24"/>
        </w:rPr>
        <w:t xml:space="preserve">bahawa entiti yang diaudit oleh </w:t>
      </w:r>
      <w:r w:rsidR="00995911">
        <w:rPr>
          <w:rFonts w:ascii="Times New Roman" w:hAnsi="Times New Roman" w:cs="Times New Roman"/>
          <w:sz w:val="24"/>
          <w:szCs w:val="24"/>
        </w:rPr>
        <w:t>firma audit pakar</w:t>
      </w:r>
      <w:r w:rsidR="00995911" w:rsidRPr="00137BB4">
        <w:rPr>
          <w:rFonts w:ascii="Times New Roman" w:hAnsi="Times New Roman" w:cs="Times New Roman"/>
          <w:sz w:val="24"/>
          <w:szCs w:val="24"/>
        </w:rPr>
        <w:t xml:space="preserve"> mempunyai lag laporan audit yang pendek. Hal ini kerana, pengetahuan yang dimiliki oleh juruaudit </w:t>
      </w:r>
      <w:r w:rsidR="00995911">
        <w:rPr>
          <w:rFonts w:ascii="Times New Roman" w:hAnsi="Times New Roman" w:cs="Times New Roman"/>
          <w:sz w:val="24"/>
          <w:szCs w:val="24"/>
        </w:rPr>
        <w:t xml:space="preserve">membolehkan mereka </w:t>
      </w:r>
      <w:r w:rsidR="00995911" w:rsidRPr="00137BB4">
        <w:rPr>
          <w:rFonts w:ascii="Times New Roman" w:hAnsi="Times New Roman" w:cs="Times New Roman"/>
          <w:sz w:val="24"/>
          <w:szCs w:val="24"/>
        </w:rPr>
        <w:t xml:space="preserve">melengkapkan kerja audit lebih cepat. Selain itu, entiti yang diaudit oleh </w:t>
      </w:r>
      <w:r w:rsidR="00995911">
        <w:rPr>
          <w:rFonts w:ascii="Times New Roman" w:hAnsi="Times New Roman" w:cs="Times New Roman"/>
          <w:sz w:val="24"/>
          <w:szCs w:val="24"/>
        </w:rPr>
        <w:t>FAPI</w:t>
      </w:r>
      <w:r w:rsidR="00995911" w:rsidRPr="00137BB4">
        <w:rPr>
          <w:rFonts w:ascii="Times New Roman" w:hAnsi="Times New Roman" w:cs="Times New Roman"/>
          <w:sz w:val="24"/>
          <w:szCs w:val="24"/>
        </w:rPr>
        <w:t xml:space="preserve"> turut dapat dibezakan dengan entiti yang diaudit oleh </w:t>
      </w:r>
      <w:r w:rsidR="00995911">
        <w:rPr>
          <w:rFonts w:ascii="Times New Roman" w:hAnsi="Times New Roman" w:cs="Times New Roman"/>
          <w:sz w:val="24"/>
          <w:szCs w:val="24"/>
        </w:rPr>
        <w:t xml:space="preserve">firma audit bukan pakar </w:t>
      </w:r>
      <w:r w:rsidR="00995911" w:rsidRPr="00137BB4">
        <w:rPr>
          <w:rFonts w:ascii="Times New Roman" w:hAnsi="Times New Roman" w:cs="Times New Roman"/>
          <w:sz w:val="24"/>
          <w:szCs w:val="24"/>
        </w:rPr>
        <w:t>dari sudut kualiti pendapatan. Misalnya, Yuan</w:t>
      </w:r>
      <w:r w:rsidR="00D760DE">
        <w:rPr>
          <w:rFonts w:ascii="Times New Roman" w:hAnsi="Times New Roman" w:cs="Times New Roman"/>
          <w:sz w:val="24"/>
          <w:szCs w:val="24"/>
        </w:rPr>
        <w:t xml:space="preserve"> et al.</w:t>
      </w:r>
      <w:r w:rsidR="00995911" w:rsidRPr="00137BB4">
        <w:rPr>
          <w:rFonts w:ascii="Times New Roman" w:hAnsi="Times New Roman" w:cs="Times New Roman"/>
          <w:sz w:val="24"/>
          <w:szCs w:val="24"/>
        </w:rPr>
        <w:t xml:space="preserve"> (2016), Kwon, Lem dan Tan (2007) dan Krishnan (2003) mendapati entiti yang diaudit oleh</w:t>
      </w:r>
      <w:r w:rsidR="00995911">
        <w:rPr>
          <w:rFonts w:ascii="Times New Roman" w:hAnsi="Times New Roman" w:cs="Times New Roman"/>
          <w:sz w:val="24"/>
          <w:szCs w:val="24"/>
        </w:rPr>
        <w:t xml:space="preserve"> FAPI</w:t>
      </w:r>
      <w:r w:rsidR="00995911" w:rsidRPr="00137BB4">
        <w:rPr>
          <w:rFonts w:ascii="Times New Roman" w:hAnsi="Times New Roman" w:cs="Times New Roman"/>
          <w:sz w:val="24"/>
          <w:szCs w:val="24"/>
        </w:rPr>
        <w:t xml:space="preserve"> mempunyai tahap akruan budi bicara mutlak yang lebih rendah. Dunn dan Mayhew (2004) pula mendapati </w:t>
      </w:r>
      <w:r w:rsidR="00995911">
        <w:rPr>
          <w:rFonts w:ascii="Times New Roman" w:hAnsi="Times New Roman" w:cs="Times New Roman"/>
          <w:sz w:val="24"/>
          <w:szCs w:val="24"/>
        </w:rPr>
        <w:t>FAPI</w:t>
      </w:r>
      <w:r w:rsidR="00995911" w:rsidRPr="00137BB4">
        <w:rPr>
          <w:rFonts w:ascii="Times New Roman" w:hAnsi="Times New Roman" w:cs="Times New Roman"/>
          <w:sz w:val="24"/>
          <w:szCs w:val="24"/>
        </w:rPr>
        <w:t xml:space="preserve"> meningkatkan kualiti pendedahan dan Romanus, Maher dan Fleming (2008) pula mendapati ia dapat mengurangkan pernyataan semula pendapatan. Reichelt dan Wang (2010) dan Ferguson et al. (2003) turut bersetuju bahawa kualiti pendapatan meningkat bagi pelanggan yang diaudit oleh </w:t>
      </w:r>
      <w:r w:rsidR="00995911">
        <w:rPr>
          <w:rFonts w:ascii="Times New Roman" w:hAnsi="Times New Roman" w:cs="Times New Roman"/>
          <w:sz w:val="24"/>
          <w:szCs w:val="24"/>
        </w:rPr>
        <w:t>FAPI selaras</w:t>
      </w:r>
      <w:r w:rsidR="00995911" w:rsidRPr="00137BB4">
        <w:rPr>
          <w:rFonts w:ascii="Times New Roman" w:hAnsi="Times New Roman" w:cs="Times New Roman"/>
          <w:sz w:val="24"/>
          <w:szCs w:val="24"/>
        </w:rPr>
        <w:t xml:space="preserve"> dengan peningkatan kepatuhan kepada Prinsip Perakaunan Diterima Umum (GAAP).</w:t>
      </w:r>
    </w:p>
    <w:p w14:paraId="4F0C4C78" w14:textId="64096BC9" w:rsidR="00ED3B76" w:rsidRPr="00F31AAC" w:rsidRDefault="00ED3B76" w:rsidP="0026779F">
      <w:pPr>
        <w:spacing w:after="0" w:line="240" w:lineRule="auto"/>
        <w:ind w:firstLine="720"/>
        <w:jc w:val="both"/>
        <w:rPr>
          <w:rFonts w:ascii="Times New Roman" w:hAnsi="Times New Roman" w:cs="Times New Roman"/>
          <w:color w:val="000000" w:themeColor="text1"/>
          <w:sz w:val="24"/>
          <w:szCs w:val="24"/>
        </w:rPr>
      </w:pPr>
    </w:p>
    <w:p w14:paraId="52464D25" w14:textId="6E0A5C2E" w:rsidR="0026779F" w:rsidRDefault="0026779F" w:rsidP="00D40E94">
      <w:pPr>
        <w:spacing w:after="0" w:line="240" w:lineRule="auto"/>
        <w:jc w:val="both"/>
        <w:rPr>
          <w:rFonts w:ascii="Times New Roman" w:hAnsi="Times New Roman" w:cs="Times New Roman"/>
          <w:sz w:val="24"/>
          <w:szCs w:val="24"/>
        </w:rPr>
      </w:pPr>
    </w:p>
    <w:p w14:paraId="303E5DCB" w14:textId="494F77B9" w:rsidR="0026779F" w:rsidRDefault="0026779F" w:rsidP="0026779F">
      <w:pPr>
        <w:spacing w:after="0" w:line="240" w:lineRule="auto"/>
        <w:jc w:val="both"/>
        <w:rPr>
          <w:rFonts w:ascii="Times New Roman" w:hAnsi="Times New Roman" w:cs="Times New Roman"/>
          <w:sz w:val="24"/>
          <w:szCs w:val="24"/>
        </w:rPr>
      </w:pPr>
      <w:r w:rsidRPr="00273BA7">
        <w:rPr>
          <w:rFonts w:ascii="Times New Roman" w:hAnsi="Times New Roman" w:cs="Times New Roman"/>
          <w:sz w:val="24"/>
          <w:szCs w:val="24"/>
        </w:rPr>
        <w:tab/>
      </w:r>
      <w:r w:rsidR="00995911">
        <w:rPr>
          <w:rFonts w:ascii="Times New Roman" w:hAnsi="Times New Roman" w:cs="Times New Roman"/>
          <w:sz w:val="24"/>
          <w:szCs w:val="24"/>
        </w:rPr>
        <w:t>Kajian lepas didapati menggunakan m</w:t>
      </w:r>
      <w:r w:rsidRPr="00273BA7">
        <w:rPr>
          <w:rFonts w:ascii="Times New Roman" w:hAnsi="Times New Roman" w:cs="Times New Roman"/>
          <w:sz w:val="24"/>
          <w:szCs w:val="24"/>
        </w:rPr>
        <w:t xml:space="preserve">enggunakan yuran audit </w:t>
      </w:r>
      <w:r w:rsidR="00995911">
        <w:rPr>
          <w:rFonts w:ascii="Times New Roman" w:hAnsi="Times New Roman" w:cs="Times New Roman"/>
          <w:sz w:val="24"/>
          <w:szCs w:val="24"/>
        </w:rPr>
        <w:t>atau</w:t>
      </w:r>
      <w:r w:rsidRPr="00273BA7">
        <w:rPr>
          <w:rFonts w:ascii="Times New Roman" w:hAnsi="Times New Roman" w:cs="Times New Roman"/>
          <w:sz w:val="24"/>
          <w:szCs w:val="24"/>
        </w:rPr>
        <w:t xml:space="preserve"> bilangan pelanggan dalam pasaran audit</w:t>
      </w:r>
      <w:r w:rsidR="00995911">
        <w:rPr>
          <w:rFonts w:ascii="Times New Roman" w:hAnsi="Times New Roman" w:cs="Times New Roman"/>
          <w:sz w:val="24"/>
          <w:szCs w:val="24"/>
        </w:rPr>
        <w:t xml:space="preserve"> untuk mengukur FAPI</w:t>
      </w:r>
      <w:r w:rsidRPr="00273BA7">
        <w:rPr>
          <w:rFonts w:ascii="Times New Roman" w:hAnsi="Times New Roman" w:cs="Times New Roman"/>
          <w:sz w:val="24"/>
          <w:szCs w:val="24"/>
        </w:rPr>
        <w:t xml:space="preserve">. </w:t>
      </w:r>
      <w:r w:rsidR="00FE6F81">
        <w:rPr>
          <w:rFonts w:ascii="Times New Roman" w:hAnsi="Times New Roman" w:cs="Times New Roman"/>
          <w:sz w:val="24"/>
          <w:szCs w:val="24"/>
        </w:rPr>
        <w:t xml:space="preserve">Menurut </w:t>
      </w:r>
      <w:r w:rsidR="00FE6F81" w:rsidRPr="00273BA7">
        <w:rPr>
          <w:rFonts w:ascii="Times New Roman" w:hAnsi="Times New Roman" w:cs="Times New Roman"/>
          <w:sz w:val="24"/>
          <w:szCs w:val="24"/>
        </w:rPr>
        <w:t xml:space="preserve">Gramling dan Stone </w:t>
      </w:r>
      <w:r w:rsidR="00FE6F81">
        <w:rPr>
          <w:rFonts w:ascii="Times New Roman" w:hAnsi="Times New Roman" w:cs="Times New Roman"/>
          <w:sz w:val="24"/>
          <w:szCs w:val="24"/>
        </w:rPr>
        <w:t>(</w:t>
      </w:r>
      <w:r w:rsidR="00FE6F81" w:rsidRPr="00273BA7">
        <w:rPr>
          <w:rFonts w:ascii="Times New Roman" w:hAnsi="Times New Roman" w:cs="Times New Roman"/>
          <w:sz w:val="24"/>
          <w:szCs w:val="24"/>
        </w:rPr>
        <w:t>2001</w:t>
      </w:r>
      <w:r w:rsidR="00FE6F81">
        <w:rPr>
          <w:rFonts w:ascii="Times New Roman" w:hAnsi="Times New Roman" w:cs="Times New Roman"/>
          <w:sz w:val="24"/>
          <w:szCs w:val="24"/>
        </w:rPr>
        <w:t>), pasaran audit FAPI adalah l</w:t>
      </w:r>
      <w:r w:rsidR="00FE6F81" w:rsidRPr="00273BA7">
        <w:rPr>
          <w:rFonts w:ascii="Times New Roman" w:hAnsi="Times New Roman" w:cs="Times New Roman"/>
          <w:sz w:val="24"/>
          <w:szCs w:val="24"/>
        </w:rPr>
        <w:t xml:space="preserve">ebih tinggi berbanding firma audit bukan </w:t>
      </w:r>
      <w:r w:rsidR="00FE6F81">
        <w:rPr>
          <w:rFonts w:ascii="Times New Roman" w:hAnsi="Times New Roman" w:cs="Times New Roman"/>
          <w:sz w:val="24"/>
          <w:szCs w:val="24"/>
        </w:rPr>
        <w:t>pakar</w:t>
      </w:r>
      <w:r w:rsidR="00FE6F81" w:rsidRPr="00273BA7">
        <w:rPr>
          <w:rFonts w:ascii="Times New Roman" w:hAnsi="Times New Roman" w:cs="Times New Roman"/>
          <w:sz w:val="24"/>
          <w:szCs w:val="24"/>
        </w:rPr>
        <w:t xml:space="preserve">. </w:t>
      </w:r>
      <w:r w:rsidR="00FE6F81">
        <w:rPr>
          <w:rFonts w:ascii="Times New Roman" w:hAnsi="Times New Roman" w:cs="Times New Roman"/>
          <w:sz w:val="24"/>
          <w:szCs w:val="24"/>
        </w:rPr>
        <w:t>K</w:t>
      </w:r>
      <w:r w:rsidRPr="00273BA7">
        <w:rPr>
          <w:rFonts w:ascii="Times New Roman" w:hAnsi="Times New Roman" w:cs="Times New Roman"/>
          <w:sz w:val="24"/>
          <w:szCs w:val="24"/>
        </w:rPr>
        <w:t xml:space="preserve">ebanyakan kajian </w:t>
      </w:r>
      <w:r w:rsidR="00FE6F81">
        <w:rPr>
          <w:rFonts w:ascii="Times New Roman" w:hAnsi="Times New Roman" w:cs="Times New Roman"/>
          <w:sz w:val="24"/>
          <w:szCs w:val="24"/>
        </w:rPr>
        <w:t xml:space="preserve">awal </w:t>
      </w:r>
      <w:r w:rsidRPr="00273BA7">
        <w:rPr>
          <w:rFonts w:ascii="Times New Roman" w:hAnsi="Times New Roman" w:cs="Times New Roman"/>
          <w:sz w:val="24"/>
          <w:szCs w:val="24"/>
        </w:rPr>
        <w:t>berkaitan</w:t>
      </w:r>
      <w:r w:rsidR="00995911">
        <w:rPr>
          <w:rFonts w:ascii="Times New Roman" w:hAnsi="Times New Roman" w:cs="Times New Roman"/>
          <w:sz w:val="24"/>
          <w:szCs w:val="24"/>
        </w:rPr>
        <w:t xml:space="preserve"> FAPI </w:t>
      </w:r>
      <w:r w:rsidR="00FE6F81">
        <w:rPr>
          <w:rFonts w:ascii="Times New Roman" w:hAnsi="Times New Roman" w:cs="Times New Roman"/>
          <w:sz w:val="24"/>
          <w:szCs w:val="24"/>
        </w:rPr>
        <w:t>menggunakan</w:t>
      </w:r>
      <w:r w:rsidRPr="00273BA7">
        <w:rPr>
          <w:rFonts w:ascii="Times New Roman" w:hAnsi="Times New Roman" w:cs="Times New Roman"/>
          <w:sz w:val="24"/>
          <w:szCs w:val="24"/>
        </w:rPr>
        <w:t xml:space="preserve"> yuran audit</w:t>
      </w:r>
      <w:r w:rsidR="00FE6F81">
        <w:rPr>
          <w:rFonts w:ascii="Times New Roman" w:hAnsi="Times New Roman" w:cs="Times New Roman"/>
          <w:sz w:val="24"/>
          <w:szCs w:val="24"/>
        </w:rPr>
        <w:t xml:space="preserve"> sebagai pengukuran FAPI seperti </w:t>
      </w:r>
      <w:r w:rsidRPr="00273BA7">
        <w:rPr>
          <w:rFonts w:ascii="Times New Roman" w:hAnsi="Times New Roman" w:cs="Times New Roman"/>
          <w:sz w:val="24"/>
          <w:szCs w:val="24"/>
        </w:rPr>
        <w:t xml:space="preserve">kajian Ferguson </w:t>
      </w:r>
      <w:r w:rsidRPr="00273BA7">
        <w:rPr>
          <w:rFonts w:ascii="Times New Roman" w:hAnsi="Times New Roman" w:cs="Times New Roman"/>
          <w:sz w:val="24"/>
          <w:szCs w:val="24"/>
        </w:rPr>
        <w:lastRenderedPageBreak/>
        <w:t xml:space="preserve">et al. (2003), </w:t>
      </w:r>
      <w:r w:rsidR="00D760DE">
        <w:rPr>
          <w:rFonts w:ascii="Times New Roman" w:hAnsi="Times New Roman" w:cs="Times New Roman"/>
          <w:sz w:val="24"/>
          <w:szCs w:val="24"/>
        </w:rPr>
        <w:t>Rahmat</w:t>
      </w:r>
      <w:r w:rsidRPr="00273BA7">
        <w:rPr>
          <w:rFonts w:ascii="Times New Roman" w:hAnsi="Times New Roman" w:cs="Times New Roman"/>
          <w:sz w:val="24"/>
          <w:szCs w:val="24"/>
        </w:rPr>
        <w:t xml:space="preserve"> dan </w:t>
      </w:r>
      <w:r w:rsidR="00D760DE">
        <w:rPr>
          <w:rFonts w:ascii="Times New Roman" w:hAnsi="Times New Roman" w:cs="Times New Roman"/>
          <w:sz w:val="24"/>
          <w:szCs w:val="24"/>
        </w:rPr>
        <w:t>Mohd Iskandar</w:t>
      </w:r>
      <w:r w:rsidRPr="00273BA7">
        <w:rPr>
          <w:rFonts w:ascii="Times New Roman" w:hAnsi="Times New Roman" w:cs="Times New Roman"/>
          <w:sz w:val="24"/>
          <w:szCs w:val="24"/>
        </w:rPr>
        <w:t xml:space="preserve"> (2004)</w:t>
      </w:r>
      <w:r w:rsidR="00FE6F81">
        <w:rPr>
          <w:rFonts w:ascii="Times New Roman" w:hAnsi="Times New Roman" w:cs="Times New Roman"/>
          <w:sz w:val="24"/>
          <w:szCs w:val="24"/>
        </w:rPr>
        <w:t xml:space="preserve"> serta </w:t>
      </w:r>
      <w:r w:rsidRPr="00273BA7">
        <w:rPr>
          <w:rFonts w:ascii="Times New Roman" w:hAnsi="Times New Roman" w:cs="Times New Roman"/>
          <w:sz w:val="24"/>
          <w:szCs w:val="24"/>
        </w:rPr>
        <w:t>Reichelt dan Wang (2010)</w:t>
      </w:r>
      <w:r w:rsidR="00FE6F81">
        <w:rPr>
          <w:rFonts w:ascii="Times New Roman" w:hAnsi="Times New Roman" w:cs="Times New Roman"/>
          <w:sz w:val="24"/>
          <w:szCs w:val="24"/>
        </w:rPr>
        <w:t xml:space="preserve">.  Kajian mereka </w:t>
      </w:r>
      <w:r w:rsidRPr="00273BA7">
        <w:rPr>
          <w:rFonts w:ascii="Times New Roman" w:hAnsi="Times New Roman" w:cs="Times New Roman"/>
          <w:sz w:val="24"/>
          <w:szCs w:val="24"/>
        </w:rPr>
        <w:t xml:space="preserve">membuktikan wujud hubungan positif antara </w:t>
      </w:r>
      <w:r w:rsidR="00995911">
        <w:rPr>
          <w:rFonts w:ascii="Times New Roman" w:hAnsi="Times New Roman" w:cs="Times New Roman"/>
          <w:sz w:val="24"/>
          <w:szCs w:val="24"/>
        </w:rPr>
        <w:t>FAPI</w:t>
      </w:r>
      <w:r w:rsidRPr="00273BA7">
        <w:rPr>
          <w:rFonts w:ascii="Times New Roman" w:hAnsi="Times New Roman" w:cs="Times New Roman"/>
          <w:sz w:val="24"/>
          <w:szCs w:val="24"/>
        </w:rPr>
        <w:t xml:space="preserve"> dengan peningkatan yuran audit. Namun, kajian Fleming</w:t>
      </w:r>
      <w:r w:rsidR="00D760DE">
        <w:rPr>
          <w:rFonts w:ascii="Times New Roman" w:hAnsi="Times New Roman" w:cs="Times New Roman"/>
          <w:sz w:val="24"/>
          <w:szCs w:val="24"/>
        </w:rPr>
        <w:t xml:space="preserve"> et al. </w:t>
      </w:r>
      <w:r w:rsidRPr="00273BA7">
        <w:rPr>
          <w:rFonts w:ascii="Times New Roman" w:hAnsi="Times New Roman" w:cs="Times New Roman"/>
          <w:sz w:val="24"/>
          <w:szCs w:val="24"/>
        </w:rPr>
        <w:t xml:space="preserve">(2014) </w:t>
      </w:r>
      <w:r w:rsidR="00FE6F81">
        <w:rPr>
          <w:rFonts w:ascii="Times New Roman" w:hAnsi="Times New Roman" w:cs="Times New Roman"/>
          <w:sz w:val="24"/>
          <w:szCs w:val="24"/>
        </w:rPr>
        <w:t xml:space="preserve">pula </w:t>
      </w:r>
      <w:r w:rsidRPr="00273BA7">
        <w:rPr>
          <w:rFonts w:ascii="Times New Roman" w:hAnsi="Times New Roman" w:cs="Times New Roman"/>
          <w:sz w:val="24"/>
          <w:szCs w:val="24"/>
        </w:rPr>
        <w:t xml:space="preserve">mendapati </w:t>
      </w:r>
      <w:r w:rsidR="00995911">
        <w:rPr>
          <w:rFonts w:ascii="Times New Roman" w:hAnsi="Times New Roman" w:cs="Times New Roman"/>
          <w:sz w:val="24"/>
          <w:szCs w:val="24"/>
        </w:rPr>
        <w:t>FAPI</w:t>
      </w:r>
      <w:r w:rsidRPr="00273BA7">
        <w:rPr>
          <w:rFonts w:ascii="Times New Roman" w:hAnsi="Times New Roman" w:cs="Times New Roman"/>
          <w:sz w:val="24"/>
          <w:szCs w:val="24"/>
        </w:rPr>
        <w:t xml:space="preserve"> mengurangkan kenaikan yuran audit. Hal ini kerana, pengkaji mendapati pengetahuan dan kebolehan yang diperoleh</w:t>
      </w:r>
      <w:r w:rsidR="00995911">
        <w:rPr>
          <w:rFonts w:ascii="Times New Roman" w:hAnsi="Times New Roman" w:cs="Times New Roman"/>
          <w:sz w:val="24"/>
          <w:szCs w:val="24"/>
        </w:rPr>
        <w:t xml:space="preserve"> oleh firma audit </w:t>
      </w:r>
      <w:r w:rsidRPr="00273BA7">
        <w:rPr>
          <w:rFonts w:ascii="Times New Roman" w:hAnsi="Times New Roman" w:cs="Times New Roman"/>
          <w:sz w:val="24"/>
          <w:szCs w:val="24"/>
        </w:rPr>
        <w:t xml:space="preserve">melalui pengkhususan industri membolehkan mereka mencapai kecekapan kos pada tahun-tahun seterusnya. </w:t>
      </w:r>
      <w:r w:rsidR="00B06405">
        <w:rPr>
          <w:rFonts w:ascii="Times New Roman" w:hAnsi="Times New Roman" w:cs="Times New Roman"/>
          <w:sz w:val="24"/>
          <w:szCs w:val="24"/>
        </w:rPr>
        <w:t xml:space="preserve">Atas alasan ini maka pengukuran alternatif iaitu berdasarkan bilangan pelanggan digunakan oleh pengkaji seperti </w:t>
      </w:r>
      <w:r w:rsidR="00B06405" w:rsidRPr="00354D63">
        <w:rPr>
          <w:rFonts w:ascii="Times New Roman" w:hAnsi="Times New Roman" w:cs="Times New Roman"/>
          <w:sz w:val="24"/>
          <w:szCs w:val="24"/>
        </w:rPr>
        <w:t xml:space="preserve">Gramling dan Stone </w:t>
      </w:r>
      <w:r w:rsidR="00B36B3D" w:rsidRPr="00354D63">
        <w:rPr>
          <w:rFonts w:ascii="Times New Roman" w:hAnsi="Times New Roman" w:cs="Times New Roman"/>
          <w:sz w:val="24"/>
          <w:szCs w:val="24"/>
        </w:rPr>
        <w:t>(</w:t>
      </w:r>
      <w:r w:rsidR="00B06405" w:rsidRPr="00354D63">
        <w:rPr>
          <w:rFonts w:ascii="Times New Roman" w:hAnsi="Times New Roman" w:cs="Times New Roman"/>
          <w:sz w:val="24"/>
          <w:szCs w:val="24"/>
        </w:rPr>
        <w:t xml:space="preserve">2001). </w:t>
      </w:r>
      <w:r w:rsidR="00B06405">
        <w:rPr>
          <w:rFonts w:ascii="Times New Roman" w:hAnsi="Times New Roman" w:cs="Times New Roman"/>
          <w:sz w:val="24"/>
          <w:szCs w:val="24"/>
        </w:rPr>
        <w:t xml:space="preserve">Pengukuran ini juga dapat mengatasi isu bilamana tidak semua syarikat mendedahkan maklumat yuran audit dalam laporan kewangan. </w:t>
      </w:r>
    </w:p>
    <w:p w14:paraId="63A0FFD3" w14:textId="77777777" w:rsidR="0026779F" w:rsidRPr="00273BA7" w:rsidRDefault="0026779F" w:rsidP="0026779F">
      <w:pPr>
        <w:spacing w:after="0" w:line="240" w:lineRule="auto"/>
        <w:jc w:val="both"/>
        <w:rPr>
          <w:rFonts w:ascii="Times New Roman" w:hAnsi="Times New Roman" w:cs="Times New Roman"/>
          <w:sz w:val="24"/>
          <w:szCs w:val="24"/>
        </w:rPr>
      </w:pPr>
    </w:p>
    <w:p w14:paraId="1CBCEBA5" w14:textId="12F2EF91" w:rsidR="00D40E94" w:rsidRPr="00137BB4" w:rsidRDefault="0026779F" w:rsidP="00B34A0C">
      <w:pPr>
        <w:spacing w:after="0" w:line="240" w:lineRule="auto"/>
        <w:jc w:val="both"/>
        <w:rPr>
          <w:rFonts w:ascii="Times New Roman" w:hAnsi="Times New Roman" w:cs="Times New Roman"/>
          <w:sz w:val="24"/>
          <w:szCs w:val="24"/>
        </w:rPr>
      </w:pPr>
      <w:r w:rsidRPr="00273BA7">
        <w:rPr>
          <w:rFonts w:ascii="Times New Roman" w:hAnsi="Times New Roman" w:cs="Times New Roman"/>
          <w:sz w:val="24"/>
          <w:szCs w:val="24"/>
        </w:rPr>
        <w:tab/>
      </w:r>
    </w:p>
    <w:p w14:paraId="61671001" w14:textId="5302B090" w:rsidR="00137BB4" w:rsidRPr="00B34A0C" w:rsidRDefault="0053177D" w:rsidP="00F31AAC">
      <w:pPr>
        <w:spacing w:after="0" w:line="240" w:lineRule="auto"/>
        <w:jc w:val="both"/>
        <w:rPr>
          <w:rFonts w:ascii="Times New Roman" w:eastAsiaTheme="majorEastAsia" w:hAnsi="Times New Roman" w:cs="Times New Roman"/>
          <w:b/>
          <w:sz w:val="24"/>
          <w:szCs w:val="24"/>
        </w:rPr>
      </w:pPr>
      <w:r w:rsidRPr="00B34A0C">
        <w:rPr>
          <w:rFonts w:ascii="Times New Roman" w:eastAsiaTheme="majorEastAsia" w:hAnsi="Times New Roman" w:cs="Times New Roman"/>
          <w:b/>
          <w:sz w:val="24"/>
          <w:szCs w:val="24"/>
        </w:rPr>
        <w:t>Firma Audit Pakar Industri dan Urusniaga Pihak Berkaitan</w:t>
      </w:r>
    </w:p>
    <w:p w14:paraId="20F9D1FD" w14:textId="2AF9AB0E" w:rsidR="008A6A18" w:rsidRPr="00A322E9" w:rsidRDefault="008A6A18" w:rsidP="00F31AAC">
      <w:pPr>
        <w:spacing w:after="0" w:line="240" w:lineRule="auto"/>
        <w:jc w:val="both"/>
        <w:rPr>
          <w:rFonts w:ascii="Times New Roman" w:eastAsiaTheme="majorEastAsia" w:hAnsi="Times New Roman" w:cs="Times New Roman"/>
          <w:b/>
          <w:sz w:val="24"/>
          <w:szCs w:val="24"/>
          <w:highlight w:val="yellow"/>
        </w:rPr>
      </w:pPr>
    </w:p>
    <w:p w14:paraId="69F4D148" w14:textId="77FED486" w:rsidR="0053177D" w:rsidRDefault="0053177D" w:rsidP="008A6A18">
      <w:pPr>
        <w:pStyle w:val="Default"/>
        <w:jc w:val="both"/>
        <w:rPr>
          <w:color w:val="auto"/>
        </w:rPr>
      </w:pPr>
      <w:r>
        <w:rPr>
          <w:color w:val="auto"/>
        </w:rPr>
        <w:t xml:space="preserve">UPB merupakan urus niaga yang </w:t>
      </w:r>
      <w:r w:rsidR="006A06A8">
        <w:rPr>
          <w:color w:val="auto"/>
        </w:rPr>
        <w:t xml:space="preserve">kerap </w:t>
      </w:r>
      <w:r>
        <w:rPr>
          <w:color w:val="auto"/>
        </w:rPr>
        <w:t xml:space="preserve">dijalankan oleh syarikat-syarikat di Malaysia kerana urus niaga ini </w:t>
      </w:r>
      <w:r w:rsidR="006A06A8">
        <w:rPr>
          <w:color w:val="auto"/>
        </w:rPr>
        <w:t xml:space="preserve">dikatakan </w:t>
      </w:r>
      <w:r>
        <w:rPr>
          <w:color w:val="auto"/>
        </w:rPr>
        <w:t xml:space="preserve">dapat </w:t>
      </w:r>
      <w:r w:rsidR="00BC02C7">
        <w:rPr>
          <w:color w:val="auto"/>
        </w:rPr>
        <w:t xml:space="preserve">memenuhi keperluan ekonomi asas syarikat terutamanya untuk mengimbangi ketidaksempurnaan pasaran </w:t>
      </w:r>
      <w:r>
        <w:rPr>
          <w:color w:val="auto"/>
        </w:rPr>
        <w:t xml:space="preserve">(Md </w:t>
      </w:r>
      <w:proofErr w:type="gramStart"/>
      <w:r>
        <w:rPr>
          <w:color w:val="auto"/>
        </w:rPr>
        <w:t>Nor</w:t>
      </w:r>
      <w:proofErr w:type="gramEnd"/>
      <w:r>
        <w:rPr>
          <w:color w:val="auto"/>
        </w:rPr>
        <w:t xml:space="preserve"> &amp; </w:t>
      </w:r>
      <w:r w:rsidR="00BC02C7">
        <w:rPr>
          <w:color w:val="auto"/>
        </w:rPr>
        <w:t>Ku Ismail</w:t>
      </w:r>
      <w:r>
        <w:rPr>
          <w:color w:val="auto"/>
        </w:rPr>
        <w:t xml:space="preserve"> 20</w:t>
      </w:r>
      <w:r w:rsidR="00BC02C7">
        <w:rPr>
          <w:color w:val="auto"/>
        </w:rPr>
        <w:t>17</w:t>
      </w:r>
      <w:r>
        <w:rPr>
          <w:color w:val="auto"/>
        </w:rPr>
        <w:t xml:space="preserve">). </w:t>
      </w:r>
      <w:r w:rsidR="00BC02C7">
        <w:rPr>
          <w:color w:val="auto"/>
        </w:rPr>
        <w:t xml:space="preserve">Namun sifat UPB yang berbeza dari urus niaga lain </w:t>
      </w:r>
      <w:r w:rsidR="00402F1E">
        <w:rPr>
          <w:color w:val="auto"/>
        </w:rPr>
        <w:t xml:space="preserve">yang mana pada kebiasaannya </w:t>
      </w:r>
      <w:r w:rsidR="003939E2">
        <w:rPr>
          <w:color w:val="auto"/>
        </w:rPr>
        <w:t xml:space="preserve">tidak dilaksanakan secara </w:t>
      </w:r>
      <w:r w:rsidR="003939E2" w:rsidRPr="003939E2">
        <w:rPr>
          <w:i/>
          <w:color w:val="auto"/>
        </w:rPr>
        <w:t>‘arm’s length’</w:t>
      </w:r>
      <w:r w:rsidR="003939E2">
        <w:rPr>
          <w:color w:val="auto"/>
        </w:rPr>
        <w:t xml:space="preserve"> </w:t>
      </w:r>
      <w:r w:rsidR="00BC02C7">
        <w:rPr>
          <w:color w:val="auto"/>
        </w:rPr>
        <w:t xml:space="preserve">memberi ruang kepada pihak berkaitan yang oportunis untuk </w:t>
      </w:r>
      <w:r w:rsidR="008A6A18" w:rsidRPr="0053177D">
        <w:rPr>
          <w:color w:val="auto"/>
        </w:rPr>
        <w:t>melakukan penipuan atau manipulasi pelaporan kewangan (</w:t>
      </w:r>
      <w:r w:rsidRPr="0053177D">
        <w:rPr>
          <w:color w:val="auto"/>
        </w:rPr>
        <w:t>Rahmat</w:t>
      </w:r>
      <w:r w:rsidR="008A6A18" w:rsidRPr="0053177D">
        <w:rPr>
          <w:color w:val="auto"/>
        </w:rPr>
        <w:t xml:space="preserve"> et al. 2021).</w:t>
      </w:r>
      <w:r w:rsidR="00BC02C7">
        <w:rPr>
          <w:color w:val="auto"/>
        </w:rPr>
        <w:t xml:space="preserve"> Contohnya</w:t>
      </w:r>
      <w:r w:rsidR="00402F1E">
        <w:rPr>
          <w:color w:val="auto"/>
        </w:rPr>
        <w:t>,</w:t>
      </w:r>
      <w:r w:rsidR="00BC02C7">
        <w:rPr>
          <w:color w:val="auto"/>
        </w:rPr>
        <w:t xml:space="preserve"> pihak berkaitan mungkin beroperasi melalui UPB yang melibatkan hubungan dan struktur pemilikan yang kompleks</w:t>
      </w:r>
      <w:r w:rsidR="006A06A8">
        <w:rPr>
          <w:color w:val="auto"/>
        </w:rPr>
        <w:t xml:space="preserve"> dan </w:t>
      </w:r>
      <w:r w:rsidR="00BC02C7">
        <w:rPr>
          <w:color w:val="auto"/>
        </w:rPr>
        <w:t xml:space="preserve">tidak dijalankan berdasarkan syarat dan terma biasa pasaran </w:t>
      </w:r>
      <w:r w:rsidR="006A06A8">
        <w:rPr>
          <w:color w:val="auto"/>
        </w:rPr>
        <w:t>(International Standar</w:t>
      </w:r>
      <w:r w:rsidR="00402F1E">
        <w:rPr>
          <w:color w:val="auto"/>
        </w:rPr>
        <w:t>d</w:t>
      </w:r>
      <w:r w:rsidR="006A06A8">
        <w:rPr>
          <w:color w:val="auto"/>
        </w:rPr>
        <w:t>s on Auditing - ISA 550).</w:t>
      </w:r>
    </w:p>
    <w:p w14:paraId="541011D7" w14:textId="77777777" w:rsidR="0053177D" w:rsidRDefault="0053177D" w:rsidP="008A6A18">
      <w:pPr>
        <w:pStyle w:val="Default"/>
        <w:jc w:val="both"/>
        <w:rPr>
          <w:color w:val="auto"/>
        </w:rPr>
      </w:pPr>
    </w:p>
    <w:p w14:paraId="0DF9942C" w14:textId="7E032AD6" w:rsidR="008A21C7" w:rsidRPr="00B34A0C" w:rsidRDefault="007E52F1" w:rsidP="00B34A0C">
      <w:pPr>
        <w:pStyle w:val="Default"/>
        <w:ind w:firstLine="720"/>
        <w:jc w:val="both"/>
        <w:rPr>
          <w:color w:val="auto"/>
        </w:rPr>
      </w:pPr>
      <w:r w:rsidRPr="0053177D">
        <w:rPr>
          <w:color w:val="auto"/>
        </w:rPr>
        <w:t xml:space="preserve">Oleh itu teori agensi menjelaskan kepentingan peranan firma audit sebagai mekanisme pemantaun yang berkesan untuk melindungi pemegang saham dari sikap opportunis pihak pengurusan.  Firma audit sebagai badan bebas bertanggungjawab untuk memastikan syarikat menyediakan pelaporan kewangan mengikut kerangka pelaporkan yang telah ditetapkan oleh badan penggubal piawaian perakaunan.  </w:t>
      </w:r>
      <w:r w:rsidR="006A06A8">
        <w:rPr>
          <w:color w:val="auto"/>
        </w:rPr>
        <w:t>S</w:t>
      </w:r>
      <w:r w:rsidR="008A6A18" w:rsidRPr="0053177D">
        <w:rPr>
          <w:color w:val="auto"/>
        </w:rPr>
        <w:t xml:space="preserve">ifat UPB yang pelbagai dan kompleks </w:t>
      </w:r>
      <w:r w:rsidR="006A06A8">
        <w:rPr>
          <w:color w:val="auto"/>
        </w:rPr>
        <w:t xml:space="preserve">walau bagaimanapun memberi kesukaran kepada </w:t>
      </w:r>
      <w:r w:rsidR="008A6A18" w:rsidRPr="0053177D">
        <w:rPr>
          <w:color w:val="auto"/>
        </w:rPr>
        <w:t>firma audit terutamanya untuk mengenalpasti hubungan dan urus niaga pihak berkaitan (ICAEW 2010). Perkara ini diburukkan lagi apabila (1) kurangnya kefahaman di kalangan pihak pengurusan terutamanya syarikat yang bersaiz kecil mengenai definisi pihak berkaitan menyebabkan mereka tidak dapat mengenal pasti semua pihak berkaitan yang terlibat, (2) keengganan pihak pengurusan untuk mendedahkan maklumat UPB atas alasan sensitiviti, atau (3) tidak semua syarikat mempunyai kawalan dalaman yang berkesan dari segi pemberian kelulusan, perekodan dan pengesanan UPB (</w:t>
      </w:r>
      <w:r w:rsidR="008A6A18" w:rsidRPr="00B34A0C">
        <w:rPr>
          <w:color w:val="auto"/>
        </w:rPr>
        <w:t xml:space="preserve">ICAEW 2010).  </w:t>
      </w:r>
    </w:p>
    <w:p w14:paraId="1239C65D" w14:textId="77777777" w:rsidR="007E52F1" w:rsidRPr="00B34A0C" w:rsidRDefault="007E52F1" w:rsidP="008A6A18">
      <w:pPr>
        <w:pStyle w:val="Default"/>
        <w:jc w:val="both"/>
        <w:rPr>
          <w:color w:val="auto"/>
        </w:rPr>
      </w:pPr>
    </w:p>
    <w:p w14:paraId="53F6BE06" w14:textId="062C178A" w:rsidR="00374C74" w:rsidRDefault="007E52F1" w:rsidP="00B34A0C">
      <w:pPr>
        <w:pStyle w:val="Default"/>
        <w:ind w:firstLine="720"/>
        <w:jc w:val="both"/>
        <w:rPr>
          <w:noProof/>
          <w:color w:val="auto"/>
          <w:lang w:val="ms-MY"/>
        </w:rPr>
      </w:pPr>
      <w:r w:rsidRPr="003939E2">
        <w:rPr>
          <w:color w:val="auto"/>
        </w:rPr>
        <w:t xml:space="preserve">Sehubungan dengan itu, firma audit perlulah mempunyai ciri-ciri kualiti audit yang </w:t>
      </w:r>
      <w:r w:rsidR="006A06A8" w:rsidRPr="003939E2">
        <w:rPr>
          <w:color w:val="auto"/>
        </w:rPr>
        <w:t>tinggi</w:t>
      </w:r>
      <w:r w:rsidRPr="003939E2">
        <w:rPr>
          <w:color w:val="auto"/>
        </w:rPr>
        <w:t xml:space="preserve"> supaya pemantauan yang lebih berkesan dapat diberikan. </w:t>
      </w:r>
      <w:r w:rsidR="00B34A0C" w:rsidRPr="003939E2">
        <w:rPr>
          <w:color w:val="auto"/>
        </w:rPr>
        <w:t>Badan profesional perakaunan menyarankan bahawa firma audit yang mempunyai pengetahuan dan kepakaran dalam industri tertentu dapat memberi perkhidmatan audit yang lebih berkualiti berbanding firma audit bukan pakar (</w:t>
      </w:r>
      <w:r w:rsidR="003939E2" w:rsidRPr="00B34A0C">
        <w:rPr>
          <w:noProof/>
          <w:lang w:val="ms-MY"/>
        </w:rPr>
        <w:t xml:space="preserve">Elaoud </w:t>
      </w:r>
      <w:r w:rsidR="003939E2">
        <w:rPr>
          <w:noProof/>
          <w:lang w:val="ms-MY"/>
        </w:rPr>
        <w:t>&amp;</w:t>
      </w:r>
      <w:r w:rsidR="003939E2" w:rsidRPr="00B34A0C">
        <w:rPr>
          <w:noProof/>
          <w:lang w:val="ms-MY"/>
        </w:rPr>
        <w:t xml:space="preserve"> Jarboui 2017</w:t>
      </w:r>
      <w:r w:rsidR="003939E2">
        <w:rPr>
          <w:noProof/>
          <w:lang w:val="ms-MY"/>
        </w:rPr>
        <w:t xml:space="preserve">; </w:t>
      </w:r>
      <w:r w:rsidR="003939E2" w:rsidRPr="00B34A0C">
        <w:rPr>
          <w:noProof/>
          <w:lang w:val="ms-MY"/>
        </w:rPr>
        <w:t>Yuan</w:t>
      </w:r>
      <w:r w:rsidR="00D760DE">
        <w:rPr>
          <w:noProof/>
          <w:lang w:val="ms-MY"/>
        </w:rPr>
        <w:t xml:space="preserve"> et al.</w:t>
      </w:r>
      <w:r w:rsidR="003939E2" w:rsidRPr="00B34A0C">
        <w:rPr>
          <w:noProof/>
          <w:lang w:val="ms-MY"/>
        </w:rPr>
        <w:t xml:space="preserve"> 2016</w:t>
      </w:r>
      <w:r w:rsidR="003939E2">
        <w:rPr>
          <w:noProof/>
          <w:lang w:val="ms-MY"/>
        </w:rPr>
        <w:t xml:space="preserve">; </w:t>
      </w:r>
      <w:r w:rsidR="003939E2" w:rsidRPr="00B34A0C">
        <w:rPr>
          <w:noProof/>
          <w:lang w:val="ms-MY"/>
        </w:rPr>
        <w:t xml:space="preserve">Habib </w:t>
      </w:r>
      <w:r w:rsidR="003939E2">
        <w:rPr>
          <w:noProof/>
          <w:lang w:val="ms-MY"/>
        </w:rPr>
        <w:t>&amp;</w:t>
      </w:r>
      <w:r w:rsidR="003939E2" w:rsidRPr="00B34A0C">
        <w:rPr>
          <w:noProof/>
          <w:lang w:val="ms-MY"/>
        </w:rPr>
        <w:t xml:space="preserve"> Bhuiyan 2011</w:t>
      </w:r>
      <w:r w:rsidR="003939E2">
        <w:rPr>
          <w:noProof/>
          <w:lang w:val="ms-MY"/>
        </w:rPr>
        <w:t xml:space="preserve">; </w:t>
      </w:r>
      <w:r w:rsidR="00B34A0C" w:rsidRPr="003939E2">
        <w:rPr>
          <w:color w:val="auto"/>
        </w:rPr>
        <w:t xml:space="preserve">ICAEW 2010). </w:t>
      </w:r>
      <w:r w:rsidR="003939E2" w:rsidRPr="003939E2">
        <w:rPr>
          <w:color w:val="auto"/>
        </w:rPr>
        <w:t>K</w:t>
      </w:r>
      <w:r w:rsidR="00B34A0C" w:rsidRPr="003939E2">
        <w:rPr>
          <w:color w:val="auto"/>
        </w:rPr>
        <w:t xml:space="preserve">epakaran industri </w:t>
      </w:r>
      <w:r w:rsidR="003939E2" w:rsidRPr="003939E2">
        <w:rPr>
          <w:color w:val="auto"/>
        </w:rPr>
        <w:t xml:space="preserve">ini </w:t>
      </w:r>
      <w:r w:rsidR="00B34A0C" w:rsidRPr="003939E2">
        <w:rPr>
          <w:color w:val="auto"/>
        </w:rPr>
        <w:t xml:space="preserve">dibentuk menerusi kekerapan mengaudit pelanggan dalam industri yang sama </w:t>
      </w:r>
      <w:r w:rsidR="00137BB4" w:rsidRPr="003939E2">
        <w:rPr>
          <w:noProof/>
          <w:color w:val="auto"/>
          <w:lang w:val="ms-MY"/>
        </w:rPr>
        <w:t xml:space="preserve">(Pong 1999).  </w:t>
      </w:r>
      <w:r w:rsidR="003939E2" w:rsidRPr="003939E2">
        <w:rPr>
          <w:noProof/>
          <w:color w:val="auto"/>
          <w:lang w:val="ms-MY"/>
        </w:rPr>
        <w:t xml:space="preserve">Pengetahuan dan pengalaman mendalam yang diperoleh membolehkan firma audit mengesan penipuan atau salah nyata dalam pelaporan kewangan (Mohd Kharuddin et al. 2021; </w:t>
      </w:r>
      <w:r w:rsidR="003939E2">
        <w:rPr>
          <w:noProof/>
          <w:color w:val="auto"/>
          <w:lang w:val="ms-MY"/>
        </w:rPr>
        <w:t xml:space="preserve">Norman 2018; </w:t>
      </w:r>
      <w:r w:rsidR="003939E2" w:rsidRPr="003939E2">
        <w:t>Sun &amp; Liu, 2013).  Firma audit pakar juga mempunyai insentif yang lebih untuk memastikan syarikat membuat pendedahan sewajarnya sebagaimana yang dikehendaki oleh piawaian perakaunan bagi menjaga</w:t>
      </w:r>
      <w:r w:rsidR="003939E2">
        <w:t xml:space="preserve"> reputasi mereka serta mengelak seb</w:t>
      </w:r>
      <w:r w:rsidR="00402F1E">
        <w:t>a</w:t>
      </w:r>
      <w:r w:rsidR="003939E2">
        <w:t>rang tindakan litigasi (Reichelt &amp; Wang, 2010</w:t>
      </w:r>
      <w:r w:rsidR="003939E2" w:rsidRPr="003939E2">
        <w:t>).</w:t>
      </w:r>
      <w:r w:rsidR="003939E2" w:rsidRPr="003939E2">
        <w:rPr>
          <w:noProof/>
          <w:color w:val="auto"/>
          <w:lang w:val="ms-MY"/>
        </w:rPr>
        <w:t xml:space="preserve">  </w:t>
      </w:r>
    </w:p>
    <w:p w14:paraId="2CC538D3" w14:textId="77777777" w:rsidR="00354D63" w:rsidRDefault="00354D63" w:rsidP="00B34A0C">
      <w:pPr>
        <w:pStyle w:val="Default"/>
        <w:ind w:firstLine="720"/>
        <w:jc w:val="both"/>
        <w:rPr>
          <w:noProof/>
          <w:color w:val="auto"/>
          <w:lang w:val="ms-MY"/>
        </w:rPr>
      </w:pPr>
    </w:p>
    <w:p w14:paraId="443CB071" w14:textId="420062D4" w:rsidR="00137BB4" w:rsidRPr="00B60206" w:rsidRDefault="00402F1E" w:rsidP="00B60206">
      <w:pPr>
        <w:pStyle w:val="Default"/>
        <w:ind w:firstLine="720"/>
        <w:jc w:val="both"/>
        <w:rPr>
          <w:noProof/>
          <w:color w:val="auto"/>
          <w:lang w:val="ms-MY"/>
        </w:rPr>
      </w:pPr>
      <w:r>
        <w:rPr>
          <w:noProof/>
          <w:color w:val="auto"/>
          <w:lang w:val="ms-MY"/>
        </w:rPr>
        <w:lastRenderedPageBreak/>
        <w:t>S</w:t>
      </w:r>
      <w:r w:rsidR="00374C74">
        <w:rPr>
          <w:noProof/>
          <w:color w:val="auto"/>
          <w:lang w:val="ms-MY"/>
        </w:rPr>
        <w:t xml:space="preserve">elaras dengan teori agensi, kami menjangkakan firma audit yang mempunyai kepakaran industri yang tinggi, dapat mengesan UPB dan memastikan syarikat membuat pendedahan yang sewajarnya walaupun UPB pada asasnya bersifat kompleks dan mudah untuk dimanipulasi.  Namun, dalam kajian ini kami mentakrifkan kepakaran industri apabila firma audit menguasai sekurang-kurangnya 20% pasaran audit. </w:t>
      </w:r>
      <w:r w:rsidR="00B60206">
        <w:rPr>
          <w:noProof/>
          <w:color w:val="auto"/>
          <w:lang w:val="ms-MY"/>
        </w:rPr>
        <w:t xml:space="preserve">Nilai ambang ini lebih tinggi berbanding nilai ambang 10% yang digunakan dalam kajian </w:t>
      </w:r>
      <w:r w:rsidR="00B60206" w:rsidRPr="00374C74">
        <w:t>Gaver dan Utke (2019), Ferguson dan Stokes (2002) serta Craswell et al. (1995)</w:t>
      </w:r>
      <w:r w:rsidR="00B60206">
        <w:t xml:space="preserve"> kerana UPB pada kebiasaannya tidak dijalankan</w:t>
      </w:r>
      <w:r w:rsidR="00B60206" w:rsidRPr="00374C74">
        <w:t xml:space="preserve"> </w:t>
      </w:r>
      <w:r w:rsidR="00B60206">
        <w:t xml:space="preserve">menurut </w:t>
      </w:r>
      <w:r w:rsidR="00B60206">
        <w:rPr>
          <w:noProof/>
          <w:color w:val="auto"/>
          <w:lang w:val="ms-MY"/>
        </w:rPr>
        <w:t>prinsip ‘arm’s length’.  Keadaan ini sudah tentu menyukarkan kerja-kerja audit dan firma audit perlulah mempunyai pengetahuan mengenai UPB yang dilaksan</w:t>
      </w:r>
      <w:r>
        <w:rPr>
          <w:noProof/>
          <w:color w:val="auto"/>
          <w:lang w:val="ms-MY"/>
        </w:rPr>
        <w:t>a</w:t>
      </w:r>
      <w:r w:rsidR="00B60206">
        <w:rPr>
          <w:noProof/>
          <w:color w:val="auto"/>
          <w:lang w:val="ms-MY"/>
        </w:rPr>
        <w:t>kan dalam industri tersebut serta</w:t>
      </w:r>
      <w:r w:rsidR="00B60206" w:rsidRPr="00B60206">
        <w:rPr>
          <w:noProof/>
          <w:color w:val="auto"/>
          <w:lang w:val="ms-MY"/>
        </w:rPr>
        <w:t xml:space="preserve"> mampu membezakan dan mengenal pasti sebarang kontrak yang mungkin melibatkan pihak-pihak berkaitan.</w:t>
      </w:r>
      <w:r w:rsidR="00B60206">
        <w:rPr>
          <w:noProof/>
          <w:color w:val="auto"/>
          <w:lang w:val="ms-MY"/>
        </w:rPr>
        <w:t xml:space="preserve">  Atas alasan ini maka </w:t>
      </w:r>
      <w:r w:rsidR="00137BB4" w:rsidRPr="00374C74">
        <w:t xml:space="preserve">kajian ini menjangkakan </w:t>
      </w:r>
      <w:r w:rsidR="001455C7" w:rsidRPr="00374C74">
        <w:t>FAPI</w:t>
      </w:r>
      <w:r w:rsidR="00137BB4" w:rsidRPr="00374C74">
        <w:t xml:space="preserve"> </w:t>
      </w:r>
      <w:r w:rsidR="00374C74" w:rsidRPr="00374C74">
        <w:t>pada nilai ambang yang lebih tinggi</w:t>
      </w:r>
      <w:r w:rsidR="00B60206">
        <w:t xml:space="preserve"> </w:t>
      </w:r>
      <w:r>
        <w:t xml:space="preserve">(20% dan ke atas) </w:t>
      </w:r>
      <w:r w:rsidR="00374C74" w:rsidRPr="00374C74">
        <w:t xml:space="preserve">lebih berkeupayaan </w:t>
      </w:r>
      <w:r w:rsidR="00137BB4" w:rsidRPr="00374C74">
        <w:t>untuk mengesan UPB</w:t>
      </w:r>
      <w:r w:rsidR="00374C74" w:rsidRPr="00374C74">
        <w:t xml:space="preserve"> dan seterusnya meningkatkan pendedahan UPB</w:t>
      </w:r>
      <w:r w:rsidR="00137BB4" w:rsidRPr="00374C74">
        <w:t xml:space="preserve">. </w:t>
      </w:r>
      <w:r w:rsidR="00B60206">
        <w:t xml:space="preserve">Sehubungan dengan itu, hipotesis berikut dicadangkan: </w:t>
      </w:r>
    </w:p>
    <w:p w14:paraId="6749AB67" w14:textId="77777777" w:rsidR="00137BB4" w:rsidRPr="00374C74" w:rsidRDefault="00137BB4" w:rsidP="00F31AAC">
      <w:pPr>
        <w:spacing w:after="0" w:line="240" w:lineRule="auto"/>
        <w:jc w:val="both"/>
        <w:rPr>
          <w:rFonts w:ascii="Times New Roman" w:hAnsi="Times New Roman" w:cs="Times New Roman"/>
          <w:noProof/>
          <w:sz w:val="24"/>
          <w:szCs w:val="24"/>
          <w:lang w:val="ms-MY"/>
        </w:rPr>
      </w:pPr>
    </w:p>
    <w:p w14:paraId="104182C9" w14:textId="1027277B" w:rsidR="00137BB4" w:rsidRDefault="00137BB4" w:rsidP="00F31AAC">
      <w:pPr>
        <w:spacing w:after="0" w:line="240" w:lineRule="auto"/>
        <w:jc w:val="both"/>
        <w:rPr>
          <w:rFonts w:ascii="Times New Roman" w:hAnsi="Times New Roman" w:cs="Times New Roman"/>
          <w:noProof/>
          <w:sz w:val="24"/>
          <w:szCs w:val="24"/>
          <w:lang w:val="ms-MY"/>
        </w:rPr>
      </w:pPr>
      <w:r w:rsidRPr="00B34A0C">
        <w:rPr>
          <w:rFonts w:ascii="Times New Roman" w:hAnsi="Times New Roman" w:cs="Times New Roman"/>
          <w:noProof/>
          <w:sz w:val="24"/>
          <w:szCs w:val="24"/>
          <w:lang w:val="ms-MY"/>
        </w:rPr>
        <w:t xml:space="preserve">H1: </w:t>
      </w:r>
      <w:bookmarkStart w:id="8" w:name="_Hlk81428494"/>
      <w:r w:rsidR="003B6DFD" w:rsidRPr="00B34A0C">
        <w:rPr>
          <w:rFonts w:ascii="Times New Roman" w:hAnsi="Times New Roman" w:cs="Times New Roman"/>
          <w:noProof/>
          <w:sz w:val="24"/>
          <w:szCs w:val="24"/>
          <w:lang w:val="ms-MY"/>
        </w:rPr>
        <w:t xml:space="preserve">Hubungan antara </w:t>
      </w:r>
      <w:r w:rsidR="00451941" w:rsidRPr="00B34A0C">
        <w:rPr>
          <w:rFonts w:ascii="Times New Roman" w:hAnsi="Times New Roman" w:cs="Times New Roman"/>
          <w:noProof/>
          <w:sz w:val="24"/>
          <w:szCs w:val="24"/>
          <w:lang w:val="ms-MY"/>
        </w:rPr>
        <w:t>firma audit pakar industri (</w:t>
      </w:r>
      <w:r w:rsidR="001455C7" w:rsidRPr="00B34A0C">
        <w:rPr>
          <w:rFonts w:ascii="Times New Roman" w:hAnsi="Times New Roman" w:cs="Times New Roman"/>
          <w:noProof/>
          <w:sz w:val="24"/>
          <w:szCs w:val="24"/>
          <w:lang w:val="ms-MY"/>
        </w:rPr>
        <w:t>FAPI</w:t>
      </w:r>
      <w:r w:rsidR="00451941" w:rsidRPr="00B34A0C">
        <w:rPr>
          <w:rFonts w:ascii="Times New Roman" w:hAnsi="Times New Roman" w:cs="Times New Roman"/>
          <w:noProof/>
          <w:sz w:val="24"/>
          <w:szCs w:val="24"/>
          <w:lang w:val="ms-MY"/>
        </w:rPr>
        <w:t>)</w:t>
      </w:r>
      <w:r w:rsidR="003B6DFD" w:rsidRPr="00B34A0C">
        <w:rPr>
          <w:rFonts w:ascii="Times New Roman" w:hAnsi="Times New Roman" w:cs="Times New Roman"/>
          <w:noProof/>
          <w:sz w:val="24"/>
          <w:szCs w:val="24"/>
          <w:lang w:val="ms-MY"/>
        </w:rPr>
        <w:t xml:space="preserve"> </w:t>
      </w:r>
      <w:r w:rsidRPr="00B34A0C">
        <w:rPr>
          <w:rFonts w:ascii="Times New Roman" w:hAnsi="Times New Roman" w:cs="Times New Roman"/>
          <w:noProof/>
          <w:sz w:val="24"/>
          <w:szCs w:val="24"/>
          <w:lang w:val="ms-MY"/>
        </w:rPr>
        <w:t>dan pendedahan UPB</w:t>
      </w:r>
      <w:r w:rsidR="003B6DFD" w:rsidRPr="00B34A0C">
        <w:rPr>
          <w:rFonts w:ascii="Times New Roman" w:hAnsi="Times New Roman" w:cs="Times New Roman"/>
          <w:noProof/>
          <w:sz w:val="24"/>
          <w:szCs w:val="24"/>
          <w:lang w:val="ms-MY"/>
        </w:rPr>
        <w:t xml:space="preserve"> bergantung kepada </w:t>
      </w:r>
      <w:r w:rsidR="00451941" w:rsidRPr="00B34A0C">
        <w:rPr>
          <w:rFonts w:ascii="Times New Roman" w:hAnsi="Times New Roman" w:cs="Times New Roman"/>
          <w:noProof/>
          <w:sz w:val="24"/>
          <w:szCs w:val="24"/>
          <w:lang w:val="ms-MY"/>
        </w:rPr>
        <w:t>nilai ambang</w:t>
      </w:r>
      <w:r w:rsidR="003B6DFD" w:rsidRPr="00B34A0C">
        <w:rPr>
          <w:rFonts w:ascii="Times New Roman" w:hAnsi="Times New Roman" w:cs="Times New Roman"/>
          <w:noProof/>
          <w:sz w:val="24"/>
          <w:szCs w:val="24"/>
          <w:lang w:val="ms-MY"/>
        </w:rPr>
        <w:t xml:space="preserve"> </w:t>
      </w:r>
      <w:r w:rsidR="004D7323" w:rsidRPr="00B34A0C">
        <w:rPr>
          <w:rFonts w:ascii="Times New Roman" w:hAnsi="Times New Roman" w:cs="Times New Roman"/>
          <w:noProof/>
          <w:sz w:val="24"/>
          <w:szCs w:val="24"/>
          <w:lang w:val="ms-MY"/>
        </w:rPr>
        <w:t>FAPI</w:t>
      </w:r>
      <w:bookmarkEnd w:id="8"/>
    </w:p>
    <w:p w14:paraId="492255B3" w14:textId="453EA0D3" w:rsidR="00B60206" w:rsidRDefault="00B60206" w:rsidP="00F31AAC">
      <w:pPr>
        <w:spacing w:after="0" w:line="240" w:lineRule="auto"/>
        <w:jc w:val="both"/>
        <w:rPr>
          <w:rFonts w:ascii="Times New Roman" w:hAnsi="Times New Roman" w:cs="Times New Roman"/>
          <w:noProof/>
          <w:sz w:val="24"/>
          <w:szCs w:val="24"/>
          <w:lang w:val="ms-MY"/>
        </w:rPr>
      </w:pPr>
    </w:p>
    <w:p w14:paraId="0EAC8E9B" w14:textId="23DC2EF7" w:rsidR="00B60206" w:rsidRDefault="00B60206" w:rsidP="00F31AAC">
      <w:pPr>
        <w:spacing w:after="0" w:line="240" w:lineRule="auto"/>
        <w:jc w:val="both"/>
        <w:rPr>
          <w:rFonts w:ascii="Times New Roman" w:hAnsi="Times New Roman" w:cs="Times New Roman"/>
          <w:noProof/>
          <w:sz w:val="24"/>
          <w:szCs w:val="24"/>
          <w:lang w:val="ms-MY"/>
        </w:rPr>
      </w:pPr>
      <w:r>
        <w:rPr>
          <w:rFonts w:ascii="Times New Roman" w:hAnsi="Times New Roman" w:cs="Times New Roman"/>
          <w:noProof/>
          <w:sz w:val="24"/>
          <w:szCs w:val="24"/>
          <w:lang w:val="ms-MY"/>
        </w:rPr>
        <w:t>Secara khususnya kami mencadangkan:</w:t>
      </w:r>
    </w:p>
    <w:p w14:paraId="51028C4D" w14:textId="77777777" w:rsidR="00402F1E" w:rsidRDefault="00402F1E" w:rsidP="00F31AAC">
      <w:pPr>
        <w:spacing w:after="0" w:line="240" w:lineRule="auto"/>
        <w:jc w:val="both"/>
        <w:rPr>
          <w:rFonts w:ascii="Times New Roman" w:hAnsi="Times New Roman" w:cs="Times New Roman"/>
          <w:noProof/>
          <w:sz w:val="24"/>
          <w:szCs w:val="24"/>
          <w:lang w:val="ms-MY"/>
        </w:rPr>
      </w:pPr>
    </w:p>
    <w:p w14:paraId="4007DAF1" w14:textId="06A4BB4B" w:rsidR="00B60206" w:rsidRDefault="00B60206" w:rsidP="00F31AAC">
      <w:pPr>
        <w:spacing w:after="0" w:line="240" w:lineRule="auto"/>
        <w:jc w:val="both"/>
        <w:rPr>
          <w:rFonts w:ascii="Times New Roman" w:hAnsi="Times New Roman" w:cs="Times New Roman"/>
          <w:noProof/>
          <w:sz w:val="24"/>
          <w:szCs w:val="24"/>
          <w:lang w:val="ms-MY"/>
        </w:rPr>
      </w:pPr>
      <w:r>
        <w:rPr>
          <w:rFonts w:ascii="Times New Roman" w:hAnsi="Times New Roman" w:cs="Times New Roman"/>
          <w:noProof/>
          <w:sz w:val="24"/>
          <w:szCs w:val="24"/>
          <w:lang w:val="ms-MY"/>
        </w:rPr>
        <w:t xml:space="preserve">H1a: </w:t>
      </w:r>
      <w:r w:rsidR="00D760DE">
        <w:rPr>
          <w:rFonts w:ascii="Times New Roman" w:hAnsi="Times New Roman" w:cs="Times New Roman"/>
          <w:noProof/>
          <w:sz w:val="24"/>
          <w:szCs w:val="24"/>
          <w:lang w:val="ms-MY"/>
        </w:rPr>
        <w:t>Fima audit pakar industri (</w:t>
      </w:r>
      <w:r>
        <w:rPr>
          <w:rFonts w:ascii="Times New Roman" w:hAnsi="Times New Roman" w:cs="Times New Roman"/>
          <w:noProof/>
          <w:sz w:val="24"/>
          <w:szCs w:val="24"/>
          <w:lang w:val="ms-MY"/>
        </w:rPr>
        <w:t>FAPI</w:t>
      </w:r>
      <w:r w:rsidR="00D760DE">
        <w:rPr>
          <w:rFonts w:ascii="Times New Roman" w:hAnsi="Times New Roman" w:cs="Times New Roman"/>
          <w:noProof/>
          <w:sz w:val="24"/>
          <w:szCs w:val="24"/>
          <w:lang w:val="ms-MY"/>
        </w:rPr>
        <w:t xml:space="preserve">) pada nilai ambang penguasaan pasaran </w:t>
      </w:r>
      <w:r>
        <w:rPr>
          <w:rFonts w:ascii="Times New Roman" w:hAnsi="Times New Roman" w:cs="Times New Roman"/>
          <w:noProof/>
          <w:sz w:val="24"/>
          <w:szCs w:val="24"/>
          <w:lang w:val="ms-MY"/>
        </w:rPr>
        <w:t>10% tidak berhubungan dengan UPB</w:t>
      </w:r>
    </w:p>
    <w:p w14:paraId="02170160" w14:textId="753620D5" w:rsidR="00B60206" w:rsidRPr="00B34A0C" w:rsidRDefault="00B60206" w:rsidP="00F31AAC">
      <w:pPr>
        <w:spacing w:after="0" w:line="240" w:lineRule="auto"/>
        <w:jc w:val="both"/>
        <w:rPr>
          <w:rFonts w:ascii="Times New Roman" w:hAnsi="Times New Roman" w:cs="Times New Roman"/>
          <w:noProof/>
          <w:sz w:val="24"/>
          <w:szCs w:val="24"/>
          <w:lang w:val="ms-MY"/>
        </w:rPr>
      </w:pPr>
      <w:r>
        <w:rPr>
          <w:rFonts w:ascii="Times New Roman" w:hAnsi="Times New Roman" w:cs="Times New Roman"/>
          <w:noProof/>
          <w:sz w:val="24"/>
          <w:szCs w:val="24"/>
          <w:lang w:val="ms-MY"/>
        </w:rPr>
        <w:t xml:space="preserve">H1b: </w:t>
      </w:r>
      <w:r w:rsidR="00D760DE">
        <w:rPr>
          <w:rFonts w:ascii="Times New Roman" w:hAnsi="Times New Roman" w:cs="Times New Roman"/>
          <w:noProof/>
          <w:sz w:val="24"/>
          <w:szCs w:val="24"/>
          <w:lang w:val="ms-MY"/>
        </w:rPr>
        <w:t xml:space="preserve">Fima audit pakar industri (FAPI) pada nilai ambang penguasaan pasaran 20% </w:t>
      </w:r>
      <w:r>
        <w:rPr>
          <w:rFonts w:ascii="Times New Roman" w:hAnsi="Times New Roman" w:cs="Times New Roman"/>
          <w:noProof/>
          <w:sz w:val="24"/>
          <w:szCs w:val="24"/>
          <w:lang w:val="ms-MY"/>
        </w:rPr>
        <w:t>berhubungan secara positif dengan UPB</w:t>
      </w:r>
    </w:p>
    <w:p w14:paraId="1FB6E302" w14:textId="77777777" w:rsidR="00B34A0C" w:rsidRDefault="00B34A0C" w:rsidP="00137BB4">
      <w:pPr>
        <w:keepNext/>
        <w:keepLines/>
        <w:spacing w:after="0" w:line="360" w:lineRule="auto"/>
        <w:jc w:val="both"/>
        <w:outlineLvl w:val="0"/>
        <w:rPr>
          <w:rFonts w:ascii="Times New Roman" w:hAnsi="Times New Roman" w:cs="Times New Roman"/>
          <w:noProof/>
          <w:sz w:val="24"/>
          <w:szCs w:val="24"/>
          <w:lang w:val="ms-MY"/>
        </w:rPr>
      </w:pPr>
      <w:bookmarkStart w:id="9" w:name="_Toc36497532"/>
    </w:p>
    <w:p w14:paraId="08350F61" w14:textId="7C328A2B" w:rsidR="00740E96" w:rsidRPr="00740E96" w:rsidRDefault="00740E96" w:rsidP="00740E96">
      <w:pPr>
        <w:keepNext/>
        <w:keepLines/>
        <w:spacing w:after="0" w:line="360" w:lineRule="auto"/>
        <w:jc w:val="center"/>
        <w:outlineLvl w:val="0"/>
        <w:rPr>
          <w:rFonts w:ascii="Times New Roman" w:hAnsi="Times New Roman" w:cs="Times New Roman"/>
          <w:b/>
          <w:noProof/>
          <w:sz w:val="24"/>
          <w:szCs w:val="24"/>
          <w:lang w:val="ms-MY"/>
        </w:rPr>
      </w:pPr>
      <w:r w:rsidRPr="00740E96">
        <w:rPr>
          <w:rFonts w:ascii="Times New Roman" w:hAnsi="Times New Roman" w:cs="Times New Roman"/>
          <w:b/>
          <w:noProof/>
          <w:sz w:val="24"/>
          <w:szCs w:val="24"/>
          <w:lang w:val="ms-MY"/>
        </w:rPr>
        <w:t>METODOLOGI KAJIAN</w:t>
      </w:r>
    </w:p>
    <w:p w14:paraId="68C0E9E6" w14:textId="14EFBA58" w:rsidR="00137BB4" w:rsidRPr="00740E96" w:rsidRDefault="00B507B3" w:rsidP="00740E96">
      <w:pPr>
        <w:keepNext/>
        <w:keepLines/>
        <w:spacing w:after="0" w:line="360" w:lineRule="auto"/>
        <w:jc w:val="both"/>
        <w:outlineLvl w:val="0"/>
        <w:rPr>
          <w:rFonts w:ascii="Times New Roman" w:eastAsiaTheme="majorEastAsia" w:hAnsi="Times New Roman" w:cs="Times New Roman"/>
          <w:b/>
          <w:sz w:val="24"/>
          <w:szCs w:val="24"/>
        </w:rPr>
      </w:pPr>
      <w:r w:rsidRPr="00137BB4">
        <w:rPr>
          <w:rFonts w:ascii="Times New Roman" w:eastAsiaTheme="majorEastAsia" w:hAnsi="Times New Roman" w:cs="Times New Roman"/>
          <w:b/>
          <w:sz w:val="24"/>
          <w:szCs w:val="24"/>
        </w:rPr>
        <w:t>Sampel Kajian</w:t>
      </w:r>
      <w:bookmarkEnd w:id="9"/>
      <w:r w:rsidRPr="00137BB4">
        <w:rPr>
          <w:rFonts w:ascii="Times New Roman" w:eastAsiaTheme="majorEastAsia" w:hAnsi="Times New Roman" w:cs="Times New Roman"/>
          <w:b/>
          <w:sz w:val="24"/>
          <w:szCs w:val="24"/>
        </w:rPr>
        <w:t xml:space="preserve"> </w:t>
      </w:r>
    </w:p>
    <w:p w14:paraId="4BDA0322" w14:textId="030D151E" w:rsidR="00137BB4" w:rsidRDefault="00137BB4" w:rsidP="00740E96">
      <w:pPr>
        <w:spacing w:after="0" w:line="240" w:lineRule="auto"/>
        <w:jc w:val="both"/>
        <w:rPr>
          <w:rFonts w:ascii="Times New Roman" w:hAnsi="Times New Roman" w:cs="Times New Roman"/>
          <w:sz w:val="24"/>
          <w:szCs w:val="24"/>
        </w:rPr>
      </w:pPr>
      <w:r w:rsidRPr="00137BB4">
        <w:rPr>
          <w:rFonts w:ascii="Times New Roman" w:hAnsi="Times New Roman" w:cs="Times New Roman"/>
          <w:sz w:val="24"/>
          <w:szCs w:val="24"/>
        </w:rPr>
        <w:t xml:space="preserve">Kajian ini </w:t>
      </w:r>
      <w:r w:rsidR="00A12F76">
        <w:rPr>
          <w:rFonts w:ascii="Times New Roman" w:hAnsi="Times New Roman" w:cs="Times New Roman"/>
          <w:sz w:val="24"/>
          <w:szCs w:val="24"/>
        </w:rPr>
        <w:t xml:space="preserve">meliputi tempoh selama 5 tahun </w:t>
      </w:r>
      <w:r w:rsidR="00120D86">
        <w:rPr>
          <w:rFonts w:ascii="Times New Roman" w:hAnsi="Times New Roman" w:cs="Times New Roman"/>
          <w:sz w:val="24"/>
          <w:szCs w:val="24"/>
        </w:rPr>
        <w:t>iaitu dari tahun</w:t>
      </w:r>
      <w:r w:rsidR="00C06EF9">
        <w:rPr>
          <w:rFonts w:ascii="Times New Roman" w:hAnsi="Times New Roman" w:cs="Times New Roman"/>
          <w:sz w:val="24"/>
          <w:szCs w:val="24"/>
        </w:rPr>
        <w:t xml:space="preserve"> </w:t>
      </w:r>
      <w:r w:rsidRPr="00137BB4">
        <w:rPr>
          <w:rFonts w:ascii="Times New Roman" w:hAnsi="Times New Roman" w:cs="Times New Roman"/>
          <w:sz w:val="24"/>
          <w:szCs w:val="24"/>
        </w:rPr>
        <w:t>2014</w:t>
      </w:r>
      <w:r w:rsidR="00A12F76">
        <w:rPr>
          <w:rFonts w:ascii="Times New Roman" w:hAnsi="Times New Roman" w:cs="Times New Roman"/>
          <w:sz w:val="24"/>
          <w:szCs w:val="24"/>
        </w:rPr>
        <w:t xml:space="preserve"> sehingga tahun</w:t>
      </w:r>
      <w:r w:rsidRPr="00137BB4">
        <w:rPr>
          <w:rFonts w:ascii="Times New Roman" w:hAnsi="Times New Roman" w:cs="Times New Roman"/>
          <w:sz w:val="24"/>
          <w:szCs w:val="24"/>
        </w:rPr>
        <w:t xml:space="preserve"> 2018. </w:t>
      </w:r>
      <w:r w:rsidR="00A12F76">
        <w:rPr>
          <w:rFonts w:ascii="Times New Roman" w:hAnsi="Times New Roman" w:cs="Times New Roman"/>
          <w:sz w:val="24"/>
          <w:szCs w:val="24"/>
        </w:rPr>
        <w:t xml:space="preserve">Pemilihan tahun </w:t>
      </w:r>
      <w:r w:rsidRPr="00137BB4">
        <w:rPr>
          <w:rFonts w:ascii="Times New Roman" w:hAnsi="Times New Roman" w:cs="Times New Roman"/>
          <w:sz w:val="24"/>
          <w:szCs w:val="24"/>
        </w:rPr>
        <w:t xml:space="preserve">2014 adalah </w:t>
      </w:r>
      <w:r w:rsidR="00A12F76">
        <w:rPr>
          <w:rFonts w:ascii="Times New Roman" w:hAnsi="Times New Roman" w:cs="Times New Roman"/>
          <w:sz w:val="24"/>
          <w:szCs w:val="24"/>
        </w:rPr>
        <w:t xml:space="preserve">kerana ia merupakan </w:t>
      </w:r>
      <w:r w:rsidRPr="00137BB4">
        <w:rPr>
          <w:rFonts w:ascii="Times New Roman" w:hAnsi="Times New Roman" w:cs="Times New Roman"/>
          <w:sz w:val="24"/>
          <w:szCs w:val="24"/>
        </w:rPr>
        <w:t>tahun ketiga MFRS 124</w:t>
      </w:r>
      <w:r w:rsidR="00120D86">
        <w:rPr>
          <w:rFonts w:ascii="Times New Roman" w:hAnsi="Times New Roman" w:cs="Times New Roman"/>
          <w:sz w:val="24"/>
          <w:szCs w:val="24"/>
        </w:rPr>
        <w:t xml:space="preserve"> </w:t>
      </w:r>
      <w:r w:rsidRPr="00137BB4">
        <w:rPr>
          <w:rFonts w:ascii="Times New Roman" w:hAnsi="Times New Roman" w:cs="Times New Roman"/>
          <w:sz w:val="24"/>
          <w:szCs w:val="24"/>
        </w:rPr>
        <w:t>digunapakai</w:t>
      </w:r>
      <w:r w:rsidR="00A12F76">
        <w:rPr>
          <w:rFonts w:ascii="Times New Roman" w:hAnsi="Times New Roman" w:cs="Times New Roman"/>
          <w:sz w:val="24"/>
          <w:szCs w:val="24"/>
        </w:rPr>
        <w:t xml:space="preserve">. Oleh itu dijangkakan </w:t>
      </w:r>
      <w:r w:rsidRPr="00137BB4">
        <w:rPr>
          <w:rFonts w:ascii="Times New Roman" w:hAnsi="Times New Roman" w:cs="Times New Roman"/>
          <w:sz w:val="24"/>
          <w:szCs w:val="24"/>
        </w:rPr>
        <w:t>pada tahun 2014 sepatutnya syarikat di Malaysia sudah mematuhi p</w:t>
      </w:r>
      <w:r w:rsidR="00A12F76">
        <w:rPr>
          <w:rFonts w:ascii="Times New Roman" w:hAnsi="Times New Roman" w:cs="Times New Roman"/>
          <w:sz w:val="24"/>
          <w:szCs w:val="24"/>
        </w:rPr>
        <w:t>i</w:t>
      </w:r>
      <w:r w:rsidR="00FB2165">
        <w:rPr>
          <w:rFonts w:ascii="Times New Roman" w:hAnsi="Times New Roman" w:cs="Times New Roman"/>
          <w:sz w:val="24"/>
          <w:szCs w:val="24"/>
        </w:rPr>
        <w:t>a</w:t>
      </w:r>
      <w:r w:rsidR="00A12F76">
        <w:rPr>
          <w:rFonts w:ascii="Times New Roman" w:hAnsi="Times New Roman" w:cs="Times New Roman"/>
          <w:sz w:val="24"/>
          <w:szCs w:val="24"/>
        </w:rPr>
        <w:t>waian baharu</w:t>
      </w:r>
      <w:r w:rsidRPr="00137BB4">
        <w:rPr>
          <w:rFonts w:ascii="Times New Roman" w:hAnsi="Times New Roman" w:cs="Times New Roman"/>
          <w:sz w:val="24"/>
          <w:szCs w:val="24"/>
        </w:rPr>
        <w:t xml:space="preserve"> yang </w:t>
      </w:r>
      <w:r w:rsidR="00A12F76">
        <w:rPr>
          <w:rFonts w:ascii="Times New Roman" w:hAnsi="Times New Roman" w:cs="Times New Roman"/>
          <w:sz w:val="24"/>
          <w:szCs w:val="24"/>
        </w:rPr>
        <w:t xml:space="preserve">telah </w:t>
      </w:r>
      <w:r w:rsidRPr="00137BB4">
        <w:rPr>
          <w:rFonts w:ascii="Times New Roman" w:hAnsi="Times New Roman" w:cs="Times New Roman"/>
          <w:sz w:val="24"/>
          <w:szCs w:val="24"/>
        </w:rPr>
        <w:t>diterbitkan.</w:t>
      </w:r>
      <w:r w:rsidR="00402F1E">
        <w:rPr>
          <w:rFonts w:ascii="Times New Roman" w:hAnsi="Times New Roman" w:cs="Times New Roman"/>
          <w:sz w:val="24"/>
          <w:szCs w:val="24"/>
        </w:rPr>
        <w:t xml:space="preserve"> </w:t>
      </w:r>
      <w:r w:rsidR="00A760F7">
        <w:rPr>
          <w:rFonts w:ascii="Times New Roman" w:hAnsi="Times New Roman" w:cs="Times New Roman"/>
          <w:sz w:val="24"/>
          <w:szCs w:val="24"/>
        </w:rPr>
        <w:t>Tahun</w:t>
      </w:r>
      <w:r w:rsidR="00D760DE">
        <w:rPr>
          <w:rFonts w:ascii="Times New Roman" w:hAnsi="Times New Roman" w:cs="Times New Roman"/>
          <w:sz w:val="24"/>
          <w:szCs w:val="24"/>
        </w:rPr>
        <w:t xml:space="preserve"> </w:t>
      </w:r>
      <w:proofErr w:type="gramStart"/>
      <w:r w:rsidR="00A760F7">
        <w:rPr>
          <w:rFonts w:ascii="Times New Roman" w:hAnsi="Times New Roman" w:cs="Times New Roman"/>
          <w:sz w:val="24"/>
          <w:szCs w:val="24"/>
        </w:rPr>
        <w:t xml:space="preserve">2018 </w:t>
      </w:r>
      <w:r w:rsidR="00F06E32">
        <w:rPr>
          <w:rFonts w:ascii="Times New Roman" w:hAnsi="Times New Roman" w:cs="Times New Roman"/>
          <w:sz w:val="24"/>
          <w:szCs w:val="24"/>
        </w:rPr>
        <w:t>pul</w:t>
      </w:r>
      <w:r w:rsidR="00120D86">
        <w:rPr>
          <w:rFonts w:ascii="Times New Roman" w:hAnsi="Times New Roman" w:cs="Times New Roman"/>
          <w:sz w:val="24"/>
          <w:szCs w:val="24"/>
        </w:rPr>
        <w:t>a</w:t>
      </w:r>
      <w:proofErr w:type="gramEnd"/>
      <w:r w:rsidR="00F06E32">
        <w:rPr>
          <w:rFonts w:ascii="Times New Roman" w:hAnsi="Times New Roman" w:cs="Times New Roman"/>
          <w:sz w:val="24"/>
          <w:szCs w:val="24"/>
        </w:rPr>
        <w:t xml:space="preserve"> </w:t>
      </w:r>
      <w:r w:rsidR="00A760F7">
        <w:rPr>
          <w:rFonts w:ascii="Times New Roman" w:hAnsi="Times New Roman" w:cs="Times New Roman"/>
          <w:sz w:val="24"/>
          <w:szCs w:val="24"/>
        </w:rPr>
        <w:t>merupakan tahun terkini laporan kewangan dikeluarkan oleh syarikat tersenarai di Bursa Malaysia pada masa kajian ini dijalankan.</w:t>
      </w:r>
    </w:p>
    <w:p w14:paraId="1DB85E67" w14:textId="77777777" w:rsidR="00354D63" w:rsidRPr="00137BB4" w:rsidRDefault="00354D63" w:rsidP="00740E96">
      <w:pPr>
        <w:spacing w:after="0" w:line="240" w:lineRule="auto"/>
        <w:jc w:val="both"/>
        <w:rPr>
          <w:rFonts w:ascii="Times New Roman" w:hAnsi="Times New Roman" w:cs="Times New Roman"/>
          <w:sz w:val="24"/>
          <w:szCs w:val="24"/>
        </w:rPr>
      </w:pPr>
    </w:p>
    <w:p w14:paraId="1D83526E" w14:textId="2046FD7F" w:rsidR="00FB2165" w:rsidRDefault="00137BB4" w:rsidP="00740E96">
      <w:pPr>
        <w:spacing w:after="0" w:line="240" w:lineRule="auto"/>
        <w:jc w:val="both"/>
        <w:rPr>
          <w:rFonts w:ascii="Times New Roman" w:hAnsi="Times New Roman" w:cs="Times New Roman"/>
          <w:sz w:val="24"/>
          <w:szCs w:val="24"/>
        </w:rPr>
      </w:pPr>
      <w:r w:rsidRPr="00137BB4">
        <w:rPr>
          <w:rFonts w:ascii="Times New Roman" w:hAnsi="Times New Roman" w:cs="Times New Roman"/>
          <w:sz w:val="24"/>
          <w:szCs w:val="24"/>
        </w:rPr>
        <w:tab/>
      </w:r>
      <w:r w:rsidR="00A760F7">
        <w:rPr>
          <w:rFonts w:ascii="Times New Roman" w:hAnsi="Times New Roman" w:cs="Times New Roman"/>
          <w:sz w:val="24"/>
          <w:szCs w:val="24"/>
        </w:rPr>
        <w:t xml:space="preserve">Populasi </w:t>
      </w:r>
      <w:r w:rsidRPr="00137BB4">
        <w:rPr>
          <w:rFonts w:ascii="Times New Roman" w:hAnsi="Times New Roman" w:cs="Times New Roman"/>
          <w:sz w:val="24"/>
          <w:szCs w:val="24"/>
        </w:rPr>
        <w:t xml:space="preserve">kajian </w:t>
      </w:r>
      <w:r w:rsidR="00A760F7">
        <w:rPr>
          <w:rFonts w:ascii="Times New Roman" w:hAnsi="Times New Roman" w:cs="Times New Roman"/>
          <w:sz w:val="24"/>
          <w:szCs w:val="24"/>
        </w:rPr>
        <w:t>meliputi</w:t>
      </w:r>
      <w:r w:rsidRPr="00137BB4">
        <w:rPr>
          <w:rFonts w:ascii="Times New Roman" w:hAnsi="Times New Roman" w:cs="Times New Roman"/>
          <w:sz w:val="24"/>
          <w:szCs w:val="24"/>
        </w:rPr>
        <w:t xml:space="preserve"> semua syarikat yang disenaraikan di Pasaran Utama Bursa Malaysia </w:t>
      </w:r>
      <w:r w:rsidR="00FB2165">
        <w:rPr>
          <w:rFonts w:ascii="Times New Roman" w:hAnsi="Times New Roman" w:cs="Times New Roman"/>
          <w:sz w:val="24"/>
          <w:szCs w:val="24"/>
        </w:rPr>
        <w:t xml:space="preserve">dari tahun 2014 sehingga 2018 yang melibatkan </w:t>
      </w:r>
      <w:bookmarkStart w:id="10" w:name="_Hlk81550978"/>
      <w:r w:rsidR="00FB2165">
        <w:rPr>
          <w:rFonts w:ascii="Times New Roman" w:hAnsi="Times New Roman" w:cs="Times New Roman"/>
          <w:sz w:val="24"/>
          <w:szCs w:val="24"/>
        </w:rPr>
        <w:t>3,905 pemerhatian</w:t>
      </w:r>
      <w:bookmarkEnd w:id="10"/>
      <w:r w:rsidR="00FB2165">
        <w:rPr>
          <w:rFonts w:ascii="Times New Roman" w:hAnsi="Times New Roman" w:cs="Times New Roman"/>
          <w:sz w:val="24"/>
          <w:szCs w:val="24"/>
        </w:rPr>
        <w:t>. Walau bagimanapun, seperti yang ditunjukkan dalam Jadual 1, jumlah keseluruhan pemerhatian akhir adalah sebanyak 3,230 setelah ditolak syarikat dalam industri kewangan</w:t>
      </w:r>
      <w:r w:rsidR="00FB2165" w:rsidRPr="00120D86">
        <w:rPr>
          <w:rFonts w:ascii="Times New Roman" w:hAnsi="Times New Roman" w:cs="Times New Roman"/>
          <w:sz w:val="24"/>
          <w:szCs w:val="24"/>
        </w:rPr>
        <w:t xml:space="preserve">, </w:t>
      </w:r>
      <w:r w:rsidRPr="00120D86">
        <w:rPr>
          <w:rFonts w:ascii="Times New Roman" w:hAnsi="Times New Roman" w:cs="Times New Roman"/>
          <w:i/>
          <w:sz w:val="24"/>
          <w:szCs w:val="24"/>
        </w:rPr>
        <w:t>Closed End Fund</w:t>
      </w:r>
      <w:r w:rsidRPr="00120D86">
        <w:rPr>
          <w:rFonts w:ascii="Times New Roman" w:hAnsi="Times New Roman" w:cs="Times New Roman"/>
          <w:sz w:val="24"/>
          <w:szCs w:val="24"/>
        </w:rPr>
        <w:t xml:space="preserve"> dan</w:t>
      </w:r>
      <w:r w:rsidRPr="00120D86">
        <w:rPr>
          <w:rFonts w:ascii="Times New Roman" w:hAnsi="Times New Roman" w:cs="Times New Roman"/>
          <w:i/>
          <w:sz w:val="24"/>
          <w:szCs w:val="24"/>
        </w:rPr>
        <w:t xml:space="preserve"> Real Estate Investment Trusts (REITS)</w:t>
      </w:r>
      <w:r w:rsidR="00FB2165" w:rsidRPr="00120D86">
        <w:rPr>
          <w:rFonts w:ascii="Times New Roman" w:hAnsi="Times New Roman" w:cs="Times New Roman"/>
          <w:i/>
          <w:sz w:val="24"/>
          <w:szCs w:val="24"/>
        </w:rPr>
        <w:t xml:space="preserve"> </w:t>
      </w:r>
      <w:r w:rsidR="00FB2165" w:rsidRPr="00120D86">
        <w:rPr>
          <w:rFonts w:ascii="Times New Roman" w:hAnsi="Times New Roman" w:cs="Times New Roman"/>
          <w:iCs/>
          <w:sz w:val="24"/>
          <w:szCs w:val="24"/>
        </w:rPr>
        <w:t>serta syarikat yang tidak mempunyai data yang lengkap.</w:t>
      </w:r>
      <w:r w:rsidR="00FB2165" w:rsidRPr="00120D86">
        <w:rPr>
          <w:rFonts w:ascii="Times New Roman" w:hAnsi="Times New Roman" w:cs="Times New Roman"/>
          <w:sz w:val="24"/>
          <w:szCs w:val="24"/>
        </w:rPr>
        <w:t xml:space="preserve"> S</w:t>
      </w:r>
      <w:r w:rsidRPr="00120D86">
        <w:rPr>
          <w:rFonts w:ascii="Times New Roman" w:hAnsi="Times New Roman" w:cs="Times New Roman"/>
          <w:sz w:val="24"/>
          <w:szCs w:val="24"/>
        </w:rPr>
        <w:t>yarikat dalam industri kewangan</w:t>
      </w:r>
      <w:r w:rsidR="00FB2165" w:rsidRPr="00120D86">
        <w:rPr>
          <w:rFonts w:ascii="Times New Roman" w:hAnsi="Times New Roman" w:cs="Times New Roman"/>
          <w:sz w:val="24"/>
          <w:szCs w:val="24"/>
        </w:rPr>
        <w:t xml:space="preserve">, </w:t>
      </w:r>
      <w:r w:rsidR="00FB2165" w:rsidRPr="00120D86">
        <w:rPr>
          <w:rFonts w:ascii="Times New Roman" w:hAnsi="Times New Roman" w:cs="Times New Roman"/>
          <w:i/>
          <w:sz w:val="24"/>
          <w:szCs w:val="24"/>
        </w:rPr>
        <w:t>Closed End Fund</w:t>
      </w:r>
      <w:r w:rsidR="00FB2165" w:rsidRPr="00120D86">
        <w:rPr>
          <w:rFonts w:ascii="Times New Roman" w:hAnsi="Times New Roman" w:cs="Times New Roman"/>
          <w:sz w:val="24"/>
          <w:szCs w:val="24"/>
        </w:rPr>
        <w:t xml:space="preserve"> dan</w:t>
      </w:r>
      <w:r w:rsidR="00FB2165" w:rsidRPr="00120D86">
        <w:rPr>
          <w:rFonts w:ascii="Times New Roman" w:hAnsi="Times New Roman" w:cs="Times New Roman"/>
          <w:i/>
          <w:sz w:val="24"/>
          <w:szCs w:val="24"/>
        </w:rPr>
        <w:t xml:space="preserve"> Real Estate Investment Trusts (REITS) </w:t>
      </w:r>
      <w:r w:rsidRPr="00120D86">
        <w:rPr>
          <w:rFonts w:ascii="Times New Roman" w:hAnsi="Times New Roman" w:cs="Times New Roman"/>
          <w:sz w:val="24"/>
          <w:szCs w:val="24"/>
        </w:rPr>
        <w:t xml:space="preserve">dikecualikan kerana </w:t>
      </w:r>
      <w:r w:rsidR="00FC78CB" w:rsidRPr="00120D86">
        <w:rPr>
          <w:rFonts w:ascii="Times New Roman" w:hAnsi="Times New Roman" w:cs="Times New Roman"/>
          <w:sz w:val="24"/>
          <w:szCs w:val="24"/>
        </w:rPr>
        <w:t xml:space="preserve">terdapat </w:t>
      </w:r>
      <w:r w:rsidR="00FB2165" w:rsidRPr="00120D86">
        <w:rPr>
          <w:rFonts w:ascii="Times New Roman" w:hAnsi="Times New Roman" w:cs="Times New Roman"/>
          <w:sz w:val="24"/>
          <w:szCs w:val="24"/>
        </w:rPr>
        <w:t xml:space="preserve">perbezaan </w:t>
      </w:r>
      <w:r w:rsidR="00FC78CB" w:rsidRPr="00120D86">
        <w:rPr>
          <w:rFonts w:ascii="Times New Roman" w:hAnsi="Times New Roman" w:cs="Times New Roman"/>
          <w:sz w:val="24"/>
          <w:szCs w:val="24"/>
        </w:rPr>
        <w:t xml:space="preserve">dari aspek </w:t>
      </w:r>
      <w:r w:rsidR="00FB2165" w:rsidRPr="00120D86">
        <w:rPr>
          <w:rFonts w:ascii="Times New Roman" w:hAnsi="Times New Roman" w:cs="Times New Roman"/>
          <w:sz w:val="24"/>
          <w:szCs w:val="24"/>
        </w:rPr>
        <w:t>pematuhan dan kawal selia, prosedur perakaunan dan format</w:t>
      </w:r>
      <w:r w:rsidR="00FB2165">
        <w:rPr>
          <w:rFonts w:ascii="Times New Roman" w:hAnsi="Times New Roman" w:cs="Times New Roman"/>
          <w:sz w:val="24"/>
          <w:szCs w:val="24"/>
        </w:rPr>
        <w:t xml:space="preserve"> pelaporan </w:t>
      </w:r>
      <w:r w:rsidRPr="00137BB4">
        <w:rPr>
          <w:rFonts w:ascii="Times New Roman" w:hAnsi="Times New Roman" w:cs="Times New Roman"/>
          <w:sz w:val="24"/>
          <w:szCs w:val="24"/>
        </w:rPr>
        <w:t>d</w:t>
      </w:r>
      <w:r w:rsidR="00FC78CB">
        <w:rPr>
          <w:rFonts w:ascii="Times New Roman" w:hAnsi="Times New Roman" w:cs="Times New Roman"/>
          <w:sz w:val="24"/>
          <w:szCs w:val="24"/>
        </w:rPr>
        <w:t>engan</w:t>
      </w:r>
      <w:r w:rsidRPr="00137BB4">
        <w:rPr>
          <w:rFonts w:ascii="Times New Roman" w:hAnsi="Times New Roman" w:cs="Times New Roman"/>
          <w:sz w:val="24"/>
          <w:szCs w:val="24"/>
        </w:rPr>
        <w:t xml:space="preserve"> </w:t>
      </w:r>
      <w:r w:rsidR="00FB2165">
        <w:rPr>
          <w:rFonts w:ascii="Times New Roman" w:hAnsi="Times New Roman" w:cs="Times New Roman"/>
          <w:sz w:val="24"/>
          <w:szCs w:val="24"/>
        </w:rPr>
        <w:t>syarikat</w:t>
      </w:r>
      <w:r w:rsidRPr="00137BB4">
        <w:rPr>
          <w:rFonts w:ascii="Times New Roman" w:hAnsi="Times New Roman" w:cs="Times New Roman"/>
          <w:sz w:val="24"/>
          <w:szCs w:val="24"/>
        </w:rPr>
        <w:t xml:space="preserve"> bukan kewangan (</w:t>
      </w:r>
      <w:r w:rsidR="00FB2165">
        <w:rPr>
          <w:rFonts w:ascii="Times New Roman" w:hAnsi="Times New Roman" w:cs="Times New Roman"/>
          <w:sz w:val="24"/>
          <w:szCs w:val="24"/>
        </w:rPr>
        <w:t>Fooladi &amp; Farhadi 2019</w:t>
      </w:r>
      <w:r w:rsidR="00524F19">
        <w:rPr>
          <w:rFonts w:ascii="Times New Roman" w:hAnsi="Times New Roman" w:cs="Times New Roman"/>
          <w:sz w:val="24"/>
          <w:szCs w:val="24"/>
        </w:rPr>
        <w:t>)</w:t>
      </w:r>
      <w:r w:rsidR="00FB2165">
        <w:rPr>
          <w:rFonts w:ascii="Times New Roman" w:hAnsi="Times New Roman" w:cs="Times New Roman"/>
          <w:sz w:val="24"/>
          <w:szCs w:val="24"/>
        </w:rPr>
        <w:t xml:space="preserve">. </w:t>
      </w:r>
      <w:r w:rsidR="00FC78CB">
        <w:rPr>
          <w:rFonts w:ascii="Times New Roman" w:hAnsi="Times New Roman" w:cs="Times New Roman"/>
          <w:sz w:val="24"/>
          <w:szCs w:val="24"/>
        </w:rPr>
        <w:t>S</w:t>
      </w:r>
      <w:r w:rsidR="00FB2165">
        <w:rPr>
          <w:rFonts w:ascii="Times New Roman" w:hAnsi="Times New Roman" w:cs="Times New Roman"/>
          <w:sz w:val="24"/>
          <w:szCs w:val="24"/>
        </w:rPr>
        <w:t xml:space="preserve">yarikat yang tidak mempunyai data yang lengkap pula disebabkan oleh syarikat </w:t>
      </w:r>
      <w:r w:rsidR="00FC78CB">
        <w:rPr>
          <w:rFonts w:ascii="Times New Roman" w:hAnsi="Times New Roman" w:cs="Times New Roman"/>
          <w:sz w:val="24"/>
          <w:szCs w:val="24"/>
        </w:rPr>
        <w:t xml:space="preserve">tersebut </w:t>
      </w:r>
      <w:r w:rsidR="00FB2165">
        <w:rPr>
          <w:rFonts w:ascii="Times New Roman" w:hAnsi="Times New Roman" w:cs="Times New Roman"/>
          <w:sz w:val="24"/>
          <w:szCs w:val="24"/>
        </w:rPr>
        <w:t>b</w:t>
      </w:r>
      <w:r w:rsidR="00121A87">
        <w:rPr>
          <w:rFonts w:ascii="Times New Roman" w:hAnsi="Times New Roman" w:cs="Times New Roman"/>
          <w:sz w:val="24"/>
          <w:szCs w:val="24"/>
        </w:rPr>
        <w:t>a</w:t>
      </w:r>
      <w:r w:rsidR="00120D86">
        <w:rPr>
          <w:rFonts w:ascii="Times New Roman" w:hAnsi="Times New Roman" w:cs="Times New Roman"/>
          <w:sz w:val="24"/>
          <w:szCs w:val="24"/>
        </w:rPr>
        <w:t>ha</w:t>
      </w:r>
      <w:r w:rsidR="00121A87">
        <w:rPr>
          <w:rFonts w:ascii="Times New Roman" w:hAnsi="Times New Roman" w:cs="Times New Roman"/>
          <w:sz w:val="24"/>
          <w:szCs w:val="24"/>
        </w:rPr>
        <w:t>ru disenaraikan atau dinyahsenarai dari Bursa Malaysia atau syarikat dalam proses penggabungan dan pengambilalihan.</w:t>
      </w:r>
    </w:p>
    <w:p w14:paraId="7F68CA51" w14:textId="450A678A" w:rsidR="00B507B3" w:rsidRDefault="00B507B3" w:rsidP="00137BB4">
      <w:pPr>
        <w:spacing w:after="0" w:line="360" w:lineRule="auto"/>
        <w:jc w:val="both"/>
        <w:rPr>
          <w:rFonts w:ascii="Times New Roman" w:hAnsi="Times New Roman" w:cs="Times New Roman"/>
          <w:sz w:val="24"/>
          <w:szCs w:val="24"/>
        </w:rPr>
      </w:pPr>
    </w:p>
    <w:p w14:paraId="3B32F5F8" w14:textId="2D1306F5" w:rsidR="00354D63" w:rsidRDefault="00354D63" w:rsidP="00137BB4">
      <w:pPr>
        <w:spacing w:after="0" w:line="360" w:lineRule="auto"/>
        <w:jc w:val="both"/>
        <w:rPr>
          <w:rFonts w:ascii="Times New Roman" w:hAnsi="Times New Roman" w:cs="Times New Roman"/>
          <w:sz w:val="24"/>
          <w:szCs w:val="24"/>
        </w:rPr>
      </w:pPr>
    </w:p>
    <w:p w14:paraId="3BD218BE" w14:textId="77777777" w:rsidR="00354D63" w:rsidRPr="00137BB4" w:rsidRDefault="00354D63" w:rsidP="00137BB4">
      <w:pPr>
        <w:spacing w:after="0" w:line="360" w:lineRule="auto"/>
        <w:jc w:val="both"/>
        <w:rPr>
          <w:rFonts w:ascii="Times New Roman" w:hAnsi="Times New Roman" w:cs="Times New Roman"/>
          <w:sz w:val="24"/>
          <w:szCs w:val="24"/>
        </w:rPr>
      </w:pPr>
    </w:p>
    <w:p w14:paraId="1BDA360C" w14:textId="4A989E70" w:rsidR="00137BB4" w:rsidRPr="00137BB4" w:rsidRDefault="00137BB4" w:rsidP="00B507B3">
      <w:pPr>
        <w:spacing w:after="0" w:line="360" w:lineRule="auto"/>
        <w:jc w:val="center"/>
        <w:rPr>
          <w:rFonts w:ascii="Times New Roman" w:hAnsi="Times New Roman" w:cs="Times New Roman"/>
          <w:sz w:val="24"/>
          <w:szCs w:val="24"/>
        </w:rPr>
      </w:pPr>
      <w:r w:rsidRPr="00137BB4">
        <w:rPr>
          <w:rFonts w:ascii="Times New Roman" w:hAnsi="Times New Roman" w:cs="Times New Roman"/>
          <w:sz w:val="24"/>
          <w:szCs w:val="24"/>
        </w:rPr>
        <w:lastRenderedPageBreak/>
        <w:t>Jadual 1 Sampel Kajian</w:t>
      </w:r>
    </w:p>
    <w:tbl>
      <w:tblPr>
        <w:tblStyle w:val="TableGrid1"/>
        <w:tblW w:w="0" w:type="auto"/>
        <w:jc w:val="center"/>
        <w:tblLook w:val="04A0" w:firstRow="1" w:lastRow="0" w:firstColumn="1" w:lastColumn="0" w:noHBand="0" w:noVBand="1"/>
      </w:tblPr>
      <w:tblGrid>
        <w:gridCol w:w="5382"/>
        <w:gridCol w:w="2126"/>
      </w:tblGrid>
      <w:tr w:rsidR="00137BB4" w:rsidRPr="00137BB4" w14:paraId="668EC25D" w14:textId="77777777" w:rsidTr="00137BB4">
        <w:trPr>
          <w:jc w:val="center"/>
        </w:trPr>
        <w:tc>
          <w:tcPr>
            <w:tcW w:w="5382" w:type="dxa"/>
          </w:tcPr>
          <w:p w14:paraId="1D581EE3" w14:textId="77777777" w:rsidR="00137BB4" w:rsidRPr="00137BB4" w:rsidRDefault="00137BB4" w:rsidP="00137BB4">
            <w:pPr>
              <w:jc w:val="both"/>
              <w:rPr>
                <w:rFonts w:ascii="Times New Roman" w:hAnsi="Times New Roman" w:cs="Times New Roman"/>
                <w:b/>
                <w:sz w:val="24"/>
                <w:szCs w:val="24"/>
              </w:rPr>
            </w:pPr>
            <w:r w:rsidRPr="00137BB4">
              <w:rPr>
                <w:rFonts w:ascii="Times New Roman" w:hAnsi="Times New Roman" w:cs="Times New Roman"/>
                <w:b/>
                <w:sz w:val="24"/>
                <w:szCs w:val="24"/>
              </w:rPr>
              <w:t>Tahun</w:t>
            </w:r>
          </w:p>
        </w:tc>
        <w:tc>
          <w:tcPr>
            <w:tcW w:w="2126" w:type="dxa"/>
          </w:tcPr>
          <w:p w14:paraId="58A5AA9A" w14:textId="77777777" w:rsidR="00137BB4" w:rsidRPr="00137BB4" w:rsidRDefault="00137BB4" w:rsidP="00121A87">
            <w:pPr>
              <w:jc w:val="center"/>
              <w:rPr>
                <w:rFonts w:ascii="Times New Roman" w:hAnsi="Times New Roman" w:cs="Times New Roman"/>
                <w:b/>
                <w:sz w:val="24"/>
                <w:szCs w:val="24"/>
              </w:rPr>
            </w:pPr>
            <w:r w:rsidRPr="00137BB4">
              <w:rPr>
                <w:rFonts w:ascii="Times New Roman" w:hAnsi="Times New Roman" w:cs="Times New Roman"/>
                <w:b/>
                <w:sz w:val="24"/>
                <w:szCs w:val="24"/>
              </w:rPr>
              <w:t>Firma</w:t>
            </w:r>
          </w:p>
        </w:tc>
      </w:tr>
      <w:tr w:rsidR="00137BB4" w:rsidRPr="00137BB4" w14:paraId="50E464D0" w14:textId="77777777" w:rsidTr="00137BB4">
        <w:trPr>
          <w:jc w:val="center"/>
        </w:trPr>
        <w:tc>
          <w:tcPr>
            <w:tcW w:w="5382" w:type="dxa"/>
          </w:tcPr>
          <w:p w14:paraId="0DC3639F" w14:textId="77777777" w:rsidR="00137BB4" w:rsidRPr="00137BB4" w:rsidRDefault="00137BB4" w:rsidP="00137BB4">
            <w:pPr>
              <w:jc w:val="both"/>
              <w:rPr>
                <w:rFonts w:ascii="Times New Roman" w:hAnsi="Times New Roman" w:cs="Times New Roman"/>
                <w:sz w:val="24"/>
                <w:szCs w:val="24"/>
              </w:rPr>
            </w:pPr>
            <w:r w:rsidRPr="00137BB4">
              <w:rPr>
                <w:rFonts w:ascii="Times New Roman" w:hAnsi="Times New Roman" w:cs="Times New Roman"/>
                <w:sz w:val="24"/>
                <w:szCs w:val="24"/>
              </w:rPr>
              <w:t>2014</w:t>
            </w:r>
          </w:p>
        </w:tc>
        <w:tc>
          <w:tcPr>
            <w:tcW w:w="2126" w:type="dxa"/>
          </w:tcPr>
          <w:p w14:paraId="1BD18B94" w14:textId="77777777" w:rsidR="00137BB4" w:rsidRPr="00137BB4" w:rsidRDefault="00137BB4" w:rsidP="00121A87">
            <w:pPr>
              <w:jc w:val="center"/>
              <w:rPr>
                <w:rFonts w:ascii="Times New Roman" w:hAnsi="Times New Roman" w:cs="Times New Roman"/>
                <w:sz w:val="24"/>
                <w:szCs w:val="24"/>
              </w:rPr>
            </w:pPr>
            <w:r w:rsidRPr="00137BB4">
              <w:rPr>
                <w:rFonts w:ascii="Times New Roman" w:hAnsi="Times New Roman" w:cs="Times New Roman"/>
                <w:sz w:val="24"/>
                <w:szCs w:val="24"/>
              </w:rPr>
              <w:t>769</w:t>
            </w:r>
          </w:p>
        </w:tc>
      </w:tr>
      <w:tr w:rsidR="00137BB4" w:rsidRPr="00137BB4" w14:paraId="5A1CA92E" w14:textId="77777777" w:rsidTr="00137BB4">
        <w:trPr>
          <w:jc w:val="center"/>
        </w:trPr>
        <w:tc>
          <w:tcPr>
            <w:tcW w:w="5382" w:type="dxa"/>
          </w:tcPr>
          <w:p w14:paraId="64FC544E" w14:textId="77777777" w:rsidR="00137BB4" w:rsidRPr="00137BB4" w:rsidRDefault="00137BB4" w:rsidP="00137BB4">
            <w:pPr>
              <w:jc w:val="both"/>
              <w:rPr>
                <w:rFonts w:ascii="Times New Roman" w:hAnsi="Times New Roman" w:cs="Times New Roman"/>
                <w:sz w:val="24"/>
                <w:szCs w:val="24"/>
              </w:rPr>
            </w:pPr>
            <w:r w:rsidRPr="00137BB4">
              <w:rPr>
                <w:rFonts w:ascii="Times New Roman" w:hAnsi="Times New Roman" w:cs="Times New Roman"/>
                <w:sz w:val="24"/>
                <w:szCs w:val="24"/>
              </w:rPr>
              <w:t>2015</w:t>
            </w:r>
          </w:p>
        </w:tc>
        <w:tc>
          <w:tcPr>
            <w:tcW w:w="2126" w:type="dxa"/>
          </w:tcPr>
          <w:p w14:paraId="3F3B1EE2" w14:textId="77777777" w:rsidR="00137BB4" w:rsidRPr="00137BB4" w:rsidRDefault="00137BB4" w:rsidP="00121A87">
            <w:pPr>
              <w:jc w:val="center"/>
              <w:rPr>
                <w:rFonts w:ascii="Times New Roman" w:hAnsi="Times New Roman" w:cs="Times New Roman"/>
                <w:sz w:val="24"/>
                <w:szCs w:val="24"/>
              </w:rPr>
            </w:pPr>
            <w:r w:rsidRPr="00137BB4">
              <w:rPr>
                <w:rFonts w:ascii="Times New Roman" w:hAnsi="Times New Roman" w:cs="Times New Roman"/>
                <w:sz w:val="24"/>
                <w:szCs w:val="24"/>
              </w:rPr>
              <w:t>777</w:t>
            </w:r>
          </w:p>
        </w:tc>
      </w:tr>
      <w:tr w:rsidR="00137BB4" w:rsidRPr="00137BB4" w14:paraId="5C7A97B9" w14:textId="77777777" w:rsidTr="00137BB4">
        <w:trPr>
          <w:jc w:val="center"/>
        </w:trPr>
        <w:tc>
          <w:tcPr>
            <w:tcW w:w="5382" w:type="dxa"/>
          </w:tcPr>
          <w:p w14:paraId="189324D4" w14:textId="77777777" w:rsidR="00137BB4" w:rsidRPr="00137BB4" w:rsidRDefault="00137BB4" w:rsidP="00137BB4">
            <w:pPr>
              <w:jc w:val="both"/>
              <w:rPr>
                <w:rFonts w:ascii="Times New Roman" w:hAnsi="Times New Roman" w:cs="Times New Roman"/>
                <w:sz w:val="24"/>
                <w:szCs w:val="24"/>
              </w:rPr>
            </w:pPr>
            <w:r w:rsidRPr="00137BB4">
              <w:rPr>
                <w:rFonts w:ascii="Times New Roman" w:hAnsi="Times New Roman" w:cs="Times New Roman"/>
                <w:sz w:val="24"/>
                <w:szCs w:val="24"/>
              </w:rPr>
              <w:t>2016</w:t>
            </w:r>
          </w:p>
        </w:tc>
        <w:tc>
          <w:tcPr>
            <w:tcW w:w="2126" w:type="dxa"/>
          </w:tcPr>
          <w:p w14:paraId="5FF887B2" w14:textId="77777777" w:rsidR="00137BB4" w:rsidRPr="00137BB4" w:rsidRDefault="00137BB4" w:rsidP="00121A87">
            <w:pPr>
              <w:jc w:val="center"/>
              <w:rPr>
                <w:rFonts w:ascii="Times New Roman" w:hAnsi="Times New Roman" w:cs="Times New Roman"/>
                <w:sz w:val="24"/>
                <w:szCs w:val="24"/>
              </w:rPr>
            </w:pPr>
            <w:r w:rsidRPr="00137BB4">
              <w:rPr>
                <w:rFonts w:ascii="Times New Roman" w:hAnsi="Times New Roman" w:cs="Times New Roman"/>
                <w:sz w:val="24"/>
                <w:szCs w:val="24"/>
              </w:rPr>
              <w:t>789</w:t>
            </w:r>
          </w:p>
        </w:tc>
      </w:tr>
      <w:tr w:rsidR="00137BB4" w:rsidRPr="00137BB4" w14:paraId="714FDBF2" w14:textId="77777777" w:rsidTr="00137BB4">
        <w:trPr>
          <w:jc w:val="center"/>
        </w:trPr>
        <w:tc>
          <w:tcPr>
            <w:tcW w:w="5382" w:type="dxa"/>
          </w:tcPr>
          <w:p w14:paraId="661B68CD" w14:textId="77777777" w:rsidR="00137BB4" w:rsidRPr="00137BB4" w:rsidRDefault="00137BB4" w:rsidP="00137BB4">
            <w:pPr>
              <w:jc w:val="both"/>
              <w:rPr>
                <w:rFonts w:ascii="Times New Roman" w:hAnsi="Times New Roman" w:cs="Times New Roman"/>
                <w:sz w:val="24"/>
                <w:szCs w:val="24"/>
              </w:rPr>
            </w:pPr>
            <w:r w:rsidRPr="00137BB4">
              <w:rPr>
                <w:rFonts w:ascii="Times New Roman" w:hAnsi="Times New Roman" w:cs="Times New Roman"/>
                <w:sz w:val="24"/>
                <w:szCs w:val="24"/>
              </w:rPr>
              <w:t>2017</w:t>
            </w:r>
          </w:p>
        </w:tc>
        <w:tc>
          <w:tcPr>
            <w:tcW w:w="2126" w:type="dxa"/>
          </w:tcPr>
          <w:p w14:paraId="44905D16" w14:textId="77777777" w:rsidR="00137BB4" w:rsidRPr="00137BB4" w:rsidRDefault="00137BB4" w:rsidP="00121A87">
            <w:pPr>
              <w:jc w:val="center"/>
              <w:rPr>
                <w:rFonts w:ascii="Times New Roman" w:hAnsi="Times New Roman" w:cs="Times New Roman"/>
                <w:sz w:val="24"/>
                <w:szCs w:val="24"/>
              </w:rPr>
            </w:pPr>
            <w:r w:rsidRPr="00137BB4">
              <w:rPr>
                <w:rFonts w:ascii="Times New Roman" w:hAnsi="Times New Roman" w:cs="Times New Roman"/>
                <w:sz w:val="24"/>
                <w:szCs w:val="24"/>
              </w:rPr>
              <w:t>769</w:t>
            </w:r>
          </w:p>
        </w:tc>
      </w:tr>
      <w:tr w:rsidR="00137BB4" w:rsidRPr="00137BB4" w14:paraId="15C91A68" w14:textId="77777777" w:rsidTr="00137BB4">
        <w:trPr>
          <w:jc w:val="center"/>
        </w:trPr>
        <w:tc>
          <w:tcPr>
            <w:tcW w:w="5382" w:type="dxa"/>
          </w:tcPr>
          <w:p w14:paraId="1FB5D3A5" w14:textId="77777777" w:rsidR="00137BB4" w:rsidRPr="00137BB4" w:rsidRDefault="00137BB4" w:rsidP="00137BB4">
            <w:pPr>
              <w:jc w:val="both"/>
              <w:rPr>
                <w:rFonts w:ascii="Times New Roman" w:hAnsi="Times New Roman" w:cs="Times New Roman"/>
                <w:sz w:val="24"/>
                <w:szCs w:val="24"/>
              </w:rPr>
            </w:pPr>
            <w:r w:rsidRPr="00137BB4">
              <w:rPr>
                <w:rFonts w:ascii="Times New Roman" w:hAnsi="Times New Roman" w:cs="Times New Roman"/>
                <w:sz w:val="24"/>
                <w:szCs w:val="24"/>
              </w:rPr>
              <w:t>2018</w:t>
            </w:r>
          </w:p>
        </w:tc>
        <w:tc>
          <w:tcPr>
            <w:tcW w:w="2126" w:type="dxa"/>
          </w:tcPr>
          <w:p w14:paraId="1D8516D1" w14:textId="77777777" w:rsidR="00137BB4" w:rsidRPr="00137BB4" w:rsidRDefault="00137BB4" w:rsidP="00121A87">
            <w:pPr>
              <w:jc w:val="center"/>
              <w:rPr>
                <w:rFonts w:ascii="Times New Roman" w:hAnsi="Times New Roman" w:cs="Times New Roman"/>
                <w:sz w:val="24"/>
                <w:szCs w:val="24"/>
              </w:rPr>
            </w:pPr>
            <w:r w:rsidRPr="00137BB4">
              <w:rPr>
                <w:rFonts w:ascii="Times New Roman" w:hAnsi="Times New Roman" w:cs="Times New Roman"/>
                <w:sz w:val="24"/>
                <w:szCs w:val="24"/>
              </w:rPr>
              <w:t>801</w:t>
            </w:r>
          </w:p>
        </w:tc>
      </w:tr>
      <w:tr w:rsidR="00137BB4" w:rsidRPr="00137BB4" w14:paraId="642BF2DC" w14:textId="77777777" w:rsidTr="00137BB4">
        <w:trPr>
          <w:jc w:val="center"/>
        </w:trPr>
        <w:tc>
          <w:tcPr>
            <w:tcW w:w="5382" w:type="dxa"/>
          </w:tcPr>
          <w:p w14:paraId="5F06D063" w14:textId="77777777" w:rsidR="00137BB4" w:rsidRPr="00137BB4" w:rsidRDefault="00137BB4" w:rsidP="00137BB4">
            <w:pPr>
              <w:jc w:val="both"/>
              <w:rPr>
                <w:rFonts w:ascii="Times New Roman" w:hAnsi="Times New Roman" w:cs="Times New Roman"/>
                <w:b/>
                <w:sz w:val="24"/>
                <w:szCs w:val="24"/>
              </w:rPr>
            </w:pPr>
            <w:r w:rsidRPr="00137BB4">
              <w:rPr>
                <w:rFonts w:ascii="Times New Roman" w:hAnsi="Times New Roman" w:cs="Times New Roman"/>
                <w:b/>
                <w:sz w:val="24"/>
                <w:szCs w:val="24"/>
              </w:rPr>
              <w:t xml:space="preserve">Jumlah firma di Pasaran Utama Bursa Malaysia </w:t>
            </w:r>
          </w:p>
        </w:tc>
        <w:tc>
          <w:tcPr>
            <w:tcW w:w="2126" w:type="dxa"/>
          </w:tcPr>
          <w:p w14:paraId="2375402E" w14:textId="77777777" w:rsidR="00137BB4" w:rsidRPr="00137BB4" w:rsidRDefault="00137BB4" w:rsidP="00121A87">
            <w:pPr>
              <w:jc w:val="center"/>
              <w:rPr>
                <w:rFonts w:ascii="Times New Roman" w:hAnsi="Times New Roman" w:cs="Times New Roman"/>
                <w:b/>
                <w:sz w:val="24"/>
                <w:szCs w:val="24"/>
              </w:rPr>
            </w:pPr>
            <w:r w:rsidRPr="00137BB4">
              <w:rPr>
                <w:rFonts w:ascii="Times New Roman" w:hAnsi="Times New Roman" w:cs="Times New Roman"/>
                <w:b/>
                <w:sz w:val="24"/>
                <w:szCs w:val="24"/>
              </w:rPr>
              <w:t>3,905</w:t>
            </w:r>
          </w:p>
        </w:tc>
      </w:tr>
      <w:tr w:rsidR="00137BB4" w:rsidRPr="00137BB4" w14:paraId="119D7CBA" w14:textId="77777777" w:rsidTr="00137BB4">
        <w:trPr>
          <w:jc w:val="center"/>
        </w:trPr>
        <w:tc>
          <w:tcPr>
            <w:tcW w:w="5382" w:type="dxa"/>
          </w:tcPr>
          <w:p w14:paraId="0510CD13" w14:textId="77777777" w:rsidR="00137BB4" w:rsidRPr="00120D86" w:rsidRDefault="00137BB4" w:rsidP="00137BB4">
            <w:pPr>
              <w:jc w:val="both"/>
              <w:rPr>
                <w:rFonts w:ascii="Times New Roman" w:hAnsi="Times New Roman" w:cs="Times New Roman"/>
                <w:sz w:val="24"/>
                <w:szCs w:val="24"/>
              </w:rPr>
            </w:pPr>
            <w:r w:rsidRPr="00120D86">
              <w:rPr>
                <w:rFonts w:ascii="Times New Roman" w:hAnsi="Times New Roman" w:cs="Times New Roman"/>
                <w:sz w:val="24"/>
                <w:szCs w:val="24"/>
              </w:rPr>
              <w:t xml:space="preserve">Industri kewangan </w:t>
            </w:r>
          </w:p>
        </w:tc>
        <w:tc>
          <w:tcPr>
            <w:tcW w:w="2126" w:type="dxa"/>
          </w:tcPr>
          <w:p w14:paraId="7097FBA3" w14:textId="77777777" w:rsidR="00137BB4" w:rsidRPr="00137BB4" w:rsidRDefault="00137BB4" w:rsidP="00121A87">
            <w:pPr>
              <w:jc w:val="center"/>
              <w:rPr>
                <w:rFonts w:ascii="Times New Roman" w:hAnsi="Times New Roman" w:cs="Times New Roman"/>
                <w:sz w:val="24"/>
                <w:szCs w:val="24"/>
              </w:rPr>
            </w:pPr>
            <w:r w:rsidRPr="00137BB4">
              <w:rPr>
                <w:rFonts w:ascii="Times New Roman" w:hAnsi="Times New Roman" w:cs="Times New Roman"/>
                <w:sz w:val="24"/>
                <w:szCs w:val="24"/>
              </w:rPr>
              <w:t>(160)</w:t>
            </w:r>
          </w:p>
        </w:tc>
      </w:tr>
      <w:tr w:rsidR="00137BB4" w:rsidRPr="00137BB4" w14:paraId="4D8D5BEB" w14:textId="77777777" w:rsidTr="00137BB4">
        <w:trPr>
          <w:jc w:val="center"/>
        </w:trPr>
        <w:tc>
          <w:tcPr>
            <w:tcW w:w="5382" w:type="dxa"/>
          </w:tcPr>
          <w:p w14:paraId="61C69D3F" w14:textId="77777777" w:rsidR="00137BB4" w:rsidRPr="00120D86" w:rsidRDefault="00137BB4" w:rsidP="00137BB4">
            <w:pPr>
              <w:jc w:val="both"/>
              <w:rPr>
                <w:rFonts w:ascii="Times New Roman" w:hAnsi="Times New Roman" w:cs="Times New Roman"/>
                <w:i/>
                <w:sz w:val="24"/>
                <w:szCs w:val="24"/>
              </w:rPr>
            </w:pPr>
            <w:r w:rsidRPr="00120D86">
              <w:rPr>
                <w:rFonts w:ascii="Times New Roman" w:hAnsi="Times New Roman" w:cs="Times New Roman"/>
                <w:i/>
                <w:sz w:val="24"/>
                <w:szCs w:val="24"/>
              </w:rPr>
              <w:t>Closed End Fund</w:t>
            </w:r>
          </w:p>
        </w:tc>
        <w:tc>
          <w:tcPr>
            <w:tcW w:w="2126" w:type="dxa"/>
          </w:tcPr>
          <w:p w14:paraId="1B8B6423" w14:textId="77777777" w:rsidR="00137BB4" w:rsidRPr="00137BB4" w:rsidRDefault="00137BB4" w:rsidP="00121A87">
            <w:pPr>
              <w:jc w:val="center"/>
              <w:rPr>
                <w:rFonts w:ascii="Times New Roman" w:hAnsi="Times New Roman" w:cs="Times New Roman"/>
                <w:sz w:val="24"/>
                <w:szCs w:val="24"/>
              </w:rPr>
            </w:pPr>
            <w:r w:rsidRPr="00137BB4">
              <w:rPr>
                <w:rFonts w:ascii="Times New Roman" w:hAnsi="Times New Roman" w:cs="Times New Roman"/>
                <w:sz w:val="24"/>
                <w:szCs w:val="24"/>
              </w:rPr>
              <w:t>(5)</w:t>
            </w:r>
          </w:p>
        </w:tc>
      </w:tr>
      <w:tr w:rsidR="00137BB4" w:rsidRPr="00137BB4" w14:paraId="1B9BBD5D" w14:textId="77777777" w:rsidTr="00137BB4">
        <w:trPr>
          <w:jc w:val="center"/>
        </w:trPr>
        <w:tc>
          <w:tcPr>
            <w:tcW w:w="5382" w:type="dxa"/>
          </w:tcPr>
          <w:p w14:paraId="430C31F8" w14:textId="77777777" w:rsidR="00137BB4" w:rsidRPr="00120D86" w:rsidRDefault="00137BB4" w:rsidP="00137BB4">
            <w:pPr>
              <w:jc w:val="both"/>
              <w:rPr>
                <w:rFonts w:ascii="Times New Roman" w:hAnsi="Times New Roman" w:cs="Times New Roman"/>
                <w:sz w:val="24"/>
                <w:szCs w:val="24"/>
              </w:rPr>
            </w:pPr>
            <w:r w:rsidRPr="00120D86">
              <w:rPr>
                <w:rFonts w:ascii="Times New Roman" w:hAnsi="Times New Roman" w:cs="Times New Roman"/>
                <w:i/>
                <w:sz w:val="24"/>
                <w:szCs w:val="24"/>
              </w:rPr>
              <w:t>Real Estate Investment Trusts (REITS)</w:t>
            </w:r>
          </w:p>
        </w:tc>
        <w:tc>
          <w:tcPr>
            <w:tcW w:w="2126" w:type="dxa"/>
          </w:tcPr>
          <w:p w14:paraId="45E5CAA4" w14:textId="77777777" w:rsidR="00137BB4" w:rsidRPr="00137BB4" w:rsidRDefault="00137BB4" w:rsidP="00121A87">
            <w:pPr>
              <w:jc w:val="center"/>
              <w:rPr>
                <w:rFonts w:ascii="Times New Roman" w:hAnsi="Times New Roman" w:cs="Times New Roman"/>
                <w:sz w:val="24"/>
                <w:szCs w:val="24"/>
              </w:rPr>
            </w:pPr>
            <w:r w:rsidRPr="00137BB4">
              <w:rPr>
                <w:rFonts w:ascii="Times New Roman" w:hAnsi="Times New Roman" w:cs="Times New Roman"/>
                <w:sz w:val="24"/>
                <w:szCs w:val="24"/>
              </w:rPr>
              <w:t>(90)</w:t>
            </w:r>
          </w:p>
        </w:tc>
      </w:tr>
      <w:tr w:rsidR="00FC78CB" w:rsidRPr="00137BB4" w14:paraId="67BAE103" w14:textId="77777777" w:rsidTr="00137BB4">
        <w:trPr>
          <w:jc w:val="center"/>
        </w:trPr>
        <w:tc>
          <w:tcPr>
            <w:tcW w:w="5382" w:type="dxa"/>
          </w:tcPr>
          <w:p w14:paraId="516CEA06" w14:textId="46DB5758" w:rsidR="00FC78CB" w:rsidRPr="00120D86" w:rsidRDefault="00FC78CB" w:rsidP="00137BB4">
            <w:pPr>
              <w:jc w:val="both"/>
              <w:rPr>
                <w:rFonts w:ascii="Times New Roman" w:hAnsi="Times New Roman" w:cs="Times New Roman"/>
                <w:sz w:val="24"/>
                <w:szCs w:val="24"/>
              </w:rPr>
            </w:pPr>
            <w:r w:rsidRPr="00120D86">
              <w:rPr>
                <w:rFonts w:ascii="Times New Roman" w:hAnsi="Times New Roman" w:cs="Times New Roman"/>
                <w:sz w:val="24"/>
                <w:szCs w:val="24"/>
              </w:rPr>
              <w:t>Syarikat yang tidak mempunyai data lengkap</w:t>
            </w:r>
          </w:p>
        </w:tc>
        <w:tc>
          <w:tcPr>
            <w:tcW w:w="2126" w:type="dxa"/>
          </w:tcPr>
          <w:p w14:paraId="5A5AC816" w14:textId="12DC24B2" w:rsidR="00FC78CB" w:rsidRPr="00137BB4" w:rsidRDefault="00FC78CB" w:rsidP="00121A87">
            <w:pPr>
              <w:jc w:val="center"/>
              <w:rPr>
                <w:rFonts w:ascii="Times New Roman" w:hAnsi="Times New Roman" w:cs="Times New Roman"/>
                <w:sz w:val="24"/>
                <w:szCs w:val="24"/>
              </w:rPr>
            </w:pPr>
            <w:r>
              <w:rPr>
                <w:rFonts w:ascii="Times New Roman" w:hAnsi="Times New Roman" w:cs="Times New Roman"/>
                <w:sz w:val="24"/>
                <w:szCs w:val="24"/>
              </w:rPr>
              <w:t>(420)</w:t>
            </w:r>
          </w:p>
        </w:tc>
      </w:tr>
      <w:tr w:rsidR="00137BB4" w:rsidRPr="00137BB4" w14:paraId="789D5FD2" w14:textId="77777777" w:rsidTr="00137BB4">
        <w:trPr>
          <w:jc w:val="center"/>
        </w:trPr>
        <w:tc>
          <w:tcPr>
            <w:tcW w:w="5382" w:type="dxa"/>
          </w:tcPr>
          <w:p w14:paraId="40BC4CB6" w14:textId="77777777" w:rsidR="00137BB4" w:rsidRPr="00137BB4" w:rsidRDefault="00137BB4" w:rsidP="00137BB4">
            <w:pPr>
              <w:jc w:val="both"/>
              <w:rPr>
                <w:rFonts w:ascii="Times New Roman" w:hAnsi="Times New Roman" w:cs="Times New Roman"/>
                <w:b/>
                <w:sz w:val="24"/>
                <w:szCs w:val="24"/>
              </w:rPr>
            </w:pPr>
            <w:r w:rsidRPr="00137BB4">
              <w:rPr>
                <w:rFonts w:ascii="Times New Roman" w:hAnsi="Times New Roman" w:cs="Times New Roman"/>
                <w:b/>
                <w:sz w:val="24"/>
                <w:szCs w:val="24"/>
              </w:rPr>
              <w:t>Sampel akhir</w:t>
            </w:r>
          </w:p>
        </w:tc>
        <w:tc>
          <w:tcPr>
            <w:tcW w:w="2126" w:type="dxa"/>
          </w:tcPr>
          <w:p w14:paraId="12D7B73D" w14:textId="13A7A3A6" w:rsidR="00137BB4" w:rsidRPr="00137BB4" w:rsidRDefault="00137BB4" w:rsidP="00121A87">
            <w:pPr>
              <w:jc w:val="center"/>
              <w:rPr>
                <w:rFonts w:ascii="Times New Roman" w:hAnsi="Times New Roman" w:cs="Times New Roman"/>
                <w:b/>
                <w:sz w:val="24"/>
                <w:szCs w:val="24"/>
              </w:rPr>
            </w:pPr>
            <w:r w:rsidRPr="00137BB4">
              <w:rPr>
                <w:rFonts w:ascii="Times New Roman" w:hAnsi="Times New Roman" w:cs="Times New Roman"/>
                <w:b/>
                <w:sz w:val="24"/>
                <w:szCs w:val="24"/>
              </w:rPr>
              <w:t>3,</w:t>
            </w:r>
            <w:r w:rsidR="00FC78CB">
              <w:rPr>
                <w:rFonts w:ascii="Times New Roman" w:hAnsi="Times New Roman" w:cs="Times New Roman"/>
                <w:b/>
                <w:sz w:val="24"/>
                <w:szCs w:val="24"/>
              </w:rPr>
              <w:t>230</w:t>
            </w:r>
          </w:p>
        </w:tc>
      </w:tr>
    </w:tbl>
    <w:p w14:paraId="4871F220" w14:textId="1B24B30D" w:rsidR="00137BB4" w:rsidRDefault="00137BB4" w:rsidP="00137BB4">
      <w:pPr>
        <w:jc w:val="both"/>
        <w:rPr>
          <w:rFonts w:ascii="Times New Roman" w:hAnsi="Times New Roman" w:cs="Times New Roman"/>
          <w:sz w:val="24"/>
          <w:szCs w:val="24"/>
        </w:rPr>
      </w:pPr>
    </w:p>
    <w:p w14:paraId="643766D4" w14:textId="72268626" w:rsidR="00000C1B" w:rsidRDefault="00B507B3" w:rsidP="00740E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00C1B" w:rsidRPr="00137BB4">
        <w:rPr>
          <w:rFonts w:ascii="Times New Roman" w:hAnsi="Times New Roman" w:cs="Times New Roman"/>
          <w:sz w:val="24"/>
          <w:szCs w:val="24"/>
        </w:rPr>
        <w:t>Jadual 2 menunjukkan bilangan syarikat mengikut pengkelasan industri</w:t>
      </w:r>
      <w:r w:rsidR="00FC78CB" w:rsidRPr="00FC78CB">
        <w:rPr>
          <w:rFonts w:ascii="Times New Roman" w:hAnsi="Times New Roman" w:cs="Times New Roman"/>
          <w:sz w:val="24"/>
          <w:szCs w:val="24"/>
        </w:rPr>
        <w:t xml:space="preserve"> </w:t>
      </w:r>
      <w:r w:rsidR="00FC78CB" w:rsidRPr="00137BB4">
        <w:rPr>
          <w:rFonts w:ascii="Times New Roman" w:hAnsi="Times New Roman" w:cs="Times New Roman"/>
          <w:sz w:val="24"/>
          <w:szCs w:val="24"/>
        </w:rPr>
        <w:t>berpandukan pengkelasan oleh Bursa Malaysia.</w:t>
      </w:r>
      <w:r w:rsidR="00000C1B" w:rsidRPr="00137BB4">
        <w:rPr>
          <w:rFonts w:ascii="Times New Roman" w:hAnsi="Times New Roman" w:cs="Times New Roman"/>
          <w:sz w:val="24"/>
          <w:szCs w:val="24"/>
        </w:rPr>
        <w:t xml:space="preserve"> Sampel kajian terdiri daripada lapan (8) kelas industri bagi tahun 2014 hingga 2017 dan tujuh kelas industri bagi tahun 2018. </w:t>
      </w:r>
      <w:r w:rsidR="00120D86">
        <w:rPr>
          <w:rFonts w:ascii="Times New Roman" w:hAnsi="Times New Roman" w:cs="Times New Roman"/>
          <w:sz w:val="24"/>
          <w:szCs w:val="24"/>
        </w:rPr>
        <w:t>P</w:t>
      </w:r>
      <w:r w:rsidR="00000C1B" w:rsidRPr="00137BB4">
        <w:rPr>
          <w:rFonts w:ascii="Times New Roman" w:hAnsi="Times New Roman" w:cs="Times New Roman"/>
          <w:sz w:val="24"/>
          <w:szCs w:val="24"/>
        </w:rPr>
        <w:t>ada tahun 2018, industri perdagangan telah dihapuskan dan syarikat di</w:t>
      </w:r>
      <w:r w:rsidR="00FC78CB">
        <w:rPr>
          <w:rFonts w:ascii="Times New Roman" w:hAnsi="Times New Roman" w:cs="Times New Roman"/>
          <w:sz w:val="24"/>
          <w:szCs w:val="24"/>
        </w:rPr>
        <w:t xml:space="preserve"> </w:t>
      </w:r>
      <w:r w:rsidR="00000C1B" w:rsidRPr="00137BB4">
        <w:rPr>
          <w:rFonts w:ascii="Times New Roman" w:hAnsi="Times New Roman" w:cs="Times New Roman"/>
          <w:sz w:val="24"/>
          <w:szCs w:val="24"/>
        </w:rPr>
        <w:t xml:space="preserve">bawah industri tersebut dipecahkan kepada industri yang lebih khusus. </w:t>
      </w:r>
    </w:p>
    <w:p w14:paraId="3E189443" w14:textId="77777777" w:rsidR="00740E96" w:rsidRPr="00137BB4" w:rsidRDefault="00740E96" w:rsidP="00740E96">
      <w:pPr>
        <w:spacing w:after="0" w:line="240" w:lineRule="auto"/>
        <w:jc w:val="both"/>
        <w:rPr>
          <w:rFonts w:ascii="Times New Roman" w:hAnsi="Times New Roman" w:cs="Times New Roman"/>
          <w:sz w:val="24"/>
          <w:szCs w:val="24"/>
        </w:rPr>
      </w:pPr>
    </w:p>
    <w:p w14:paraId="3C70B9EE" w14:textId="354A9F59" w:rsidR="00000C1B" w:rsidRDefault="00000C1B" w:rsidP="00B507B3">
      <w:pPr>
        <w:spacing w:after="0" w:line="240" w:lineRule="auto"/>
        <w:jc w:val="center"/>
        <w:rPr>
          <w:rFonts w:ascii="Times New Roman" w:eastAsia="Times New Roman" w:hAnsi="Times New Roman" w:cs="Times New Roman"/>
          <w:sz w:val="24"/>
          <w:szCs w:val="24"/>
          <w:lang w:eastAsia="en-MY"/>
        </w:rPr>
      </w:pPr>
      <w:r w:rsidRPr="00137BB4">
        <w:rPr>
          <w:rFonts w:ascii="Times New Roman" w:eastAsia="Times New Roman" w:hAnsi="Times New Roman" w:cs="Times New Roman"/>
          <w:sz w:val="24"/>
          <w:szCs w:val="24"/>
          <w:lang w:eastAsia="en-MY"/>
        </w:rPr>
        <w:t>Jadual 2 Bilangan syarikat mengikut pengkelasan industri</w:t>
      </w:r>
    </w:p>
    <w:p w14:paraId="0ACFFA4B" w14:textId="77777777" w:rsidR="009162E1" w:rsidRPr="00137BB4" w:rsidRDefault="009162E1" w:rsidP="00740E96">
      <w:pPr>
        <w:spacing w:after="0" w:line="240" w:lineRule="auto"/>
        <w:jc w:val="both"/>
        <w:rPr>
          <w:rFonts w:ascii="Times New Roman" w:eastAsia="Times New Roman" w:hAnsi="Times New Roman" w:cs="Times New Roman"/>
          <w:sz w:val="24"/>
          <w:szCs w:val="24"/>
          <w:lang w:eastAsia="en-MY"/>
        </w:rPr>
      </w:pPr>
    </w:p>
    <w:tbl>
      <w:tblPr>
        <w:tblW w:w="82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96"/>
        <w:gridCol w:w="1276"/>
        <w:gridCol w:w="1417"/>
        <w:gridCol w:w="1560"/>
        <w:gridCol w:w="1326"/>
        <w:gridCol w:w="900"/>
      </w:tblGrid>
      <w:tr w:rsidR="00000C1B" w:rsidRPr="009162E1" w14:paraId="7FD89B8F" w14:textId="77777777" w:rsidTr="009162E1">
        <w:trPr>
          <w:jc w:val="center"/>
        </w:trPr>
        <w:tc>
          <w:tcPr>
            <w:tcW w:w="1796" w:type="dxa"/>
            <w:tcBorders>
              <w:top w:val="single" w:sz="4" w:space="0" w:color="auto"/>
              <w:left w:val="single" w:sz="4" w:space="0" w:color="auto"/>
              <w:bottom w:val="single" w:sz="4" w:space="0" w:color="auto"/>
              <w:right w:val="single" w:sz="4" w:space="0" w:color="auto"/>
            </w:tcBorders>
            <w:vAlign w:val="center"/>
            <w:hideMark/>
          </w:tcPr>
          <w:p w14:paraId="4B99B8A0" w14:textId="77777777" w:rsidR="00000C1B" w:rsidRPr="009162E1" w:rsidRDefault="00000C1B" w:rsidP="00FC78CB">
            <w:pPr>
              <w:spacing w:after="0" w:line="240" w:lineRule="auto"/>
              <w:jc w:val="center"/>
              <w:rPr>
                <w:rFonts w:ascii="Times New Roman" w:eastAsia="Times New Roman" w:hAnsi="Times New Roman" w:cs="Times New Roman"/>
                <w:sz w:val="20"/>
                <w:szCs w:val="20"/>
                <w:lang w:eastAsia="en-MY"/>
              </w:rPr>
            </w:pPr>
            <w:r w:rsidRPr="009162E1">
              <w:rPr>
                <w:rFonts w:ascii="Times New Roman" w:eastAsia="Times New Roman" w:hAnsi="Times New Roman" w:cs="Times New Roman"/>
                <w:b/>
                <w:bCs/>
                <w:sz w:val="20"/>
                <w:szCs w:val="20"/>
                <w:lang w:eastAsia="en-MY"/>
              </w:rPr>
              <w:t>Kelas Industri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4CB1CE" w14:textId="77777777" w:rsidR="00000C1B" w:rsidRPr="009162E1" w:rsidRDefault="00000C1B" w:rsidP="00FC78CB">
            <w:pPr>
              <w:spacing w:after="0" w:line="240" w:lineRule="auto"/>
              <w:jc w:val="center"/>
              <w:rPr>
                <w:rFonts w:ascii="Times New Roman" w:eastAsia="Times New Roman" w:hAnsi="Times New Roman" w:cs="Times New Roman"/>
                <w:b/>
                <w:bCs/>
                <w:sz w:val="20"/>
                <w:szCs w:val="20"/>
                <w:lang w:eastAsia="en-MY"/>
              </w:rPr>
            </w:pPr>
            <w:r w:rsidRPr="009162E1">
              <w:rPr>
                <w:rFonts w:ascii="Times New Roman" w:eastAsia="Times New Roman" w:hAnsi="Times New Roman" w:cs="Times New Roman"/>
                <w:b/>
                <w:bCs/>
                <w:sz w:val="20"/>
                <w:szCs w:val="20"/>
                <w:lang w:eastAsia="en-MY"/>
              </w:rPr>
              <w:t>Bil. Syarikat</w:t>
            </w:r>
          </w:p>
          <w:p w14:paraId="104E2A51" w14:textId="77777777" w:rsidR="00000C1B" w:rsidRPr="009162E1" w:rsidRDefault="00000C1B" w:rsidP="00FC78CB">
            <w:pPr>
              <w:spacing w:after="0" w:line="240" w:lineRule="auto"/>
              <w:jc w:val="center"/>
              <w:rPr>
                <w:rFonts w:ascii="Times New Roman" w:eastAsia="Times New Roman" w:hAnsi="Times New Roman" w:cs="Times New Roman"/>
                <w:b/>
                <w:bCs/>
                <w:sz w:val="20"/>
                <w:szCs w:val="20"/>
                <w:lang w:eastAsia="en-MY"/>
              </w:rPr>
            </w:pPr>
            <w:r w:rsidRPr="009162E1">
              <w:rPr>
                <w:rFonts w:ascii="Times New Roman" w:eastAsia="Times New Roman" w:hAnsi="Times New Roman" w:cs="Times New Roman"/>
                <w:b/>
                <w:bCs/>
                <w:sz w:val="20"/>
                <w:szCs w:val="20"/>
                <w:lang w:eastAsia="en-MY"/>
              </w:rPr>
              <w:t>(2014-2017)</w:t>
            </w:r>
          </w:p>
        </w:tc>
        <w:tc>
          <w:tcPr>
            <w:tcW w:w="1417" w:type="dxa"/>
            <w:tcBorders>
              <w:top w:val="single" w:sz="4" w:space="0" w:color="auto"/>
              <w:left w:val="single" w:sz="4" w:space="0" w:color="auto"/>
              <w:bottom w:val="single" w:sz="4" w:space="0" w:color="auto"/>
              <w:right w:val="single" w:sz="4" w:space="0" w:color="auto"/>
            </w:tcBorders>
            <w:vAlign w:val="center"/>
          </w:tcPr>
          <w:p w14:paraId="21BA3048" w14:textId="77777777" w:rsidR="00000C1B" w:rsidRPr="009162E1" w:rsidRDefault="00000C1B" w:rsidP="00FC78CB">
            <w:pPr>
              <w:spacing w:after="0" w:line="240" w:lineRule="auto"/>
              <w:jc w:val="center"/>
              <w:rPr>
                <w:rFonts w:ascii="Times New Roman" w:eastAsia="Times New Roman" w:hAnsi="Times New Roman" w:cs="Times New Roman"/>
                <w:b/>
                <w:bCs/>
                <w:sz w:val="20"/>
                <w:szCs w:val="20"/>
                <w:lang w:eastAsia="en-MY"/>
              </w:rPr>
            </w:pPr>
            <w:r w:rsidRPr="009162E1">
              <w:rPr>
                <w:rFonts w:ascii="Times New Roman" w:eastAsia="Times New Roman" w:hAnsi="Times New Roman" w:cs="Times New Roman"/>
                <w:b/>
                <w:bCs/>
                <w:sz w:val="20"/>
                <w:szCs w:val="20"/>
                <w:lang w:eastAsia="en-MY"/>
              </w:rPr>
              <w:t>Pemerhatian</w:t>
            </w:r>
          </w:p>
          <w:p w14:paraId="7EDAFF3D" w14:textId="77777777" w:rsidR="00000C1B" w:rsidRPr="009162E1" w:rsidRDefault="00000C1B" w:rsidP="00FC78CB">
            <w:pPr>
              <w:spacing w:after="0" w:line="240" w:lineRule="auto"/>
              <w:jc w:val="center"/>
              <w:rPr>
                <w:rFonts w:ascii="Times New Roman" w:eastAsia="Times New Roman" w:hAnsi="Times New Roman" w:cs="Times New Roman"/>
                <w:b/>
                <w:bCs/>
                <w:sz w:val="20"/>
                <w:szCs w:val="20"/>
                <w:lang w:eastAsia="en-MY"/>
              </w:rPr>
            </w:pPr>
            <w:r w:rsidRPr="009162E1">
              <w:rPr>
                <w:rFonts w:ascii="Times New Roman" w:eastAsia="Times New Roman" w:hAnsi="Times New Roman" w:cs="Times New Roman"/>
                <w:b/>
                <w:bCs/>
                <w:sz w:val="20"/>
                <w:szCs w:val="20"/>
                <w:lang w:eastAsia="en-MY"/>
              </w:rPr>
              <w:t>2014-2017</w:t>
            </w:r>
          </w:p>
        </w:tc>
        <w:tc>
          <w:tcPr>
            <w:tcW w:w="1560" w:type="dxa"/>
            <w:tcBorders>
              <w:top w:val="single" w:sz="4" w:space="0" w:color="auto"/>
              <w:left w:val="single" w:sz="4" w:space="0" w:color="auto"/>
              <w:bottom w:val="single" w:sz="4" w:space="0" w:color="auto"/>
              <w:right w:val="single" w:sz="4" w:space="0" w:color="auto"/>
            </w:tcBorders>
            <w:vAlign w:val="center"/>
          </w:tcPr>
          <w:p w14:paraId="5150EAEB" w14:textId="77777777" w:rsidR="00FC78CB" w:rsidRPr="009162E1" w:rsidRDefault="00000C1B" w:rsidP="00FC78CB">
            <w:pPr>
              <w:spacing w:after="0" w:line="240" w:lineRule="auto"/>
              <w:jc w:val="center"/>
              <w:rPr>
                <w:rFonts w:ascii="Times New Roman" w:eastAsia="Times New Roman" w:hAnsi="Times New Roman" w:cs="Times New Roman"/>
                <w:b/>
                <w:bCs/>
                <w:sz w:val="20"/>
                <w:szCs w:val="20"/>
                <w:lang w:eastAsia="en-MY"/>
              </w:rPr>
            </w:pPr>
            <w:r w:rsidRPr="009162E1">
              <w:rPr>
                <w:rFonts w:ascii="Times New Roman" w:eastAsia="Times New Roman" w:hAnsi="Times New Roman" w:cs="Times New Roman"/>
                <w:b/>
                <w:bCs/>
                <w:sz w:val="20"/>
                <w:szCs w:val="20"/>
                <w:lang w:eastAsia="en-MY"/>
              </w:rPr>
              <w:t>Bil. Syarikat</w:t>
            </w:r>
          </w:p>
          <w:p w14:paraId="327EB322" w14:textId="079A9BA0" w:rsidR="00000C1B" w:rsidRPr="009162E1" w:rsidRDefault="00000C1B" w:rsidP="00FC78CB">
            <w:pPr>
              <w:spacing w:after="0" w:line="240" w:lineRule="auto"/>
              <w:jc w:val="center"/>
              <w:rPr>
                <w:rFonts w:ascii="Times New Roman" w:eastAsia="Times New Roman" w:hAnsi="Times New Roman" w:cs="Times New Roman"/>
                <w:b/>
                <w:bCs/>
                <w:sz w:val="20"/>
                <w:szCs w:val="20"/>
                <w:lang w:eastAsia="en-MY"/>
              </w:rPr>
            </w:pPr>
            <w:r w:rsidRPr="009162E1">
              <w:rPr>
                <w:rFonts w:ascii="Times New Roman" w:eastAsia="Times New Roman" w:hAnsi="Times New Roman" w:cs="Times New Roman"/>
                <w:b/>
                <w:bCs/>
                <w:sz w:val="20"/>
                <w:szCs w:val="20"/>
                <w:lang w:eastAsia="en-MY"/>
              </w:rPr>
              <w:t xml:space="preserve"> (Jum.</w:t>
            </w:r>
            <w:r w:rsidRPr="009162E1">
              <w:rPr>
                <w:rFonts w:ascii="Times New Roman" w:eastAsia="Times New Roman" w:hAnsi="Times New Roman" w:cs="Times New Roman"/>
                <w:b/>
                <w:bCs/>
                <w:sz w:val="20"/>
                <w:szCs w:val="20"/>
                <w:lang w:eastAsia="en-MY"/>
              </w:rPr>
              <w:br/>
              <w:t>Pemerhatian</w:t>
            </w:r>
            <w:r w:rsidRPr="009162E1">
              <w:rPr>
                <w:rFonts w:ascii="Times New Roman" w:eastAsia="Times New Roman" w:hAnsi="Times New Roman" w:cs="Times New Roman"/>
                <w:b/>
                <w:bCs/>
                <w:sz w:val="20"/>
                <w:szCs w:val="20"/>
                <w:lang w:eastAsia="en-MY"/>
              </w:rPr>
              <w:br/>
              <w:t>2018)</w:t>
            </w:r>
          </w:p>
        </w:tc>
        <w:tc>
          <w:tcPr>
            <w:tcW w:w="1326" w:type="dxa"/>
            <w:tcBorders>
              <w:top w:val="single" w:sz="4" w:space="0" w:color="auto"/>
              <w:left w:val="single" w:sz="4" w:space="0" w:color="auto"/>
              <w:bottom w:val="single" w:sz="4" w:space="0" w:color="auto"/>
              <w:right w:val="single" w:sz="4" w:space="0" w:color="auto"/>
            </w:tcBorders>
            <w:vAlign w:val="center"/>
          </w:tcPr>
          <w:p w14:paraId="66D9AED5" w14:textId="77777777" w:rsidR="00FC78CB" w:rsidRPr="009162E1" w:rsidRDefault="00000C1B" w:rsidP="00FC78CB">
            <w:pPr>
              <w:spacing w:after="0" w:line="240" w:lineRule="auto"/>
              <w:jc w:val="center"/>
              <w:rPr>
                <w:rFonts w:ascii="Times New Roman" w:eastAsia="Times New Roman" w:hAnsi="Times New Roman" w:cs="Times New Roman"/>
                <w:b/>
                <w:bCs/>
                <w:sz w:val="20"/>
                <w:szCs w:val="20"/>
                <w:lang w:eastAsia="en-MY"/>
              </w:rPr>
            </w:pPr>
            <w:r w:rsidRPr="009162E1">
              <w:rPr>
                <w:rFonts w:ascii="Times New Roman" w:eastAsia="Times New Roman" w:hAnsi="Times New Roman" w:cs="Times New Roman"/>
                <w:b/>
                <w:bCs/>
                <w:sz w:val="20"/>
                <w:szCs w:val="20"/>
                <w:lang w:eastAsia="en-MY"/>
              </w:rPr>
              <w:t>Jumlah pemerhatian</w:t>
            </w:r>
          </w:p>
          <w:p w14:paraId="41AAEF73" w14:textId="2B3D39A8" w:rsidR="00000C1B" w:rsidRPr="009162E1" w:rsidRDefault="00000C1B" w:rsidP="00FC78CB">
            <w:pPr>
              <w:spacing w:after="0" w:line="240" w:lineRule="auto"/>
              <w:jc w:val="center"/>
              <w:rPr>
                <w:rFonts w:ascii="Times New Roman" w:eastAsia="Times New Roman" w:hAnsi="Times New Roman" w:cs="Times New Roman"/>
                <w:b/>
                <w:bCs/>
                <w:sz w:val="20"/>
                <w:szCs w:val="20"/>
                <w:lang w:eastAsia="en-MY"/>
              </w:rPr>
            </w:pPr>
            <w:r w:rsidRPr="009162E1">
              <w:rPr>
                <w:rFonts w:ascii="Times New Roman" w:eastAsia="Times New Roman" w:hAnsi="Times New Roman" w:cs="Times New Roman"/>
                <w:b/>
                <w:bCs/>
                <w:sz w:val="20"/>
                <w:szCs w:val="20"/>
                <w:lang w:eastAsia="en-MY"/>
              </w:rPr>
              <w:t xml:space="preserve"> (5 tahun)</w:t>
            </w:r>
          </w:p>
        </w:tc>
        <w:tc>
          <w:tcPr>
            <w:tcW w:w="900" w:type="dxa"/>
            <w:tcBorders>
              <w:top w:val="single" w:sz="4" w:space="0" w:color="auto"/>
              <w:left w:val="single" w:sz="4" w:space="0" w:color="auto"/>
              <w:bottom w:val="single" w:sz="4" w:space="0" w:color="auto"/>
              <w:right w:val="single" w:sz="4" w:space="0" w:color="auto"/>
            </w:tcBorders>
            <w:vAlign w:val="center"/>
            <w:hideMark/>
          </w:tcPr>
          <w:p w14:paraId="55B0EF49" w14:textId="77777777" w:rsidR="00000C1B" w:rsidRPr="009162E1" w:rsidRDefault="00000C1B" w:rsidP="00FC78CB">
            <w:pPr>
              <w:spacing w:after="0" w:line="240" w:lineRule="auto"/>
              <w:jc w:val="center"/>
              <w:rPr>
                <w:rFonts w:ascii="Times New Roman" w:eastAsia="Times New Roman" w:hAnsi="Times New Roman" w:cs="Times New Roman"/>
                <w:sz w:val="20"/>
                <w:szCs w:val="20"/>
                <w:lang w:eastAsia="en-MY"/>
              </w:rPr>
            </w:pPr>
            <w:r w:rsidRPr="009162E1">
              <w:rPr>
                <w:rFonts w:ascii="Times New Roman" w:eastAsia="Times New Roman" w:hAnsi="Times New Roman" w:cs="Times New Roman"/>
                <w:b/>
                <w:bCs/>
                <w:sz w:val="20"/>
                <w:szCs w:val="20"/>
                <w:lang w:eastAsia="en-MY"/>
              </w:rPr>
              <w:t>Peratus</w:t>
            </w:r>
            <w:r w:rsidRPr="009162E1">
              <w:rPr>
                <w:rFonts w:ascii="Times New Roman" w:eastAsia="Times New Roman" w:hAnsi="Times New Roman" w:cs="Times New Roman"/>
                <w:b/>
                <w:bCs/>
                <w:sz w:val="20"/>
                <w:szCs w:val="20"/>
                <w:lang w:eastAsia="en-MY"/>
              </w:rPr>
              <w:br/>
              <w:t>(%)</w:t>
            </w:r>
          </w:p>
        </w:tc>
      </w:tr>
      <w:tr w:rsidR="00000C1B" w:rsidRPr="009162E1" w14:paraId="5568349E" w14:textId="77777777" w:rsidTr="009162E1">
        <w:trPr>
          <w:jc w:val="center"/>
        </w:trPr>
        <w:tc>
          <w:tcPr>
            <w:tcW w:w="1796" w:type="dxa"/>
            <w:tcBorders>
              <w:top w:val="single" w:sz="4" w:space="0" w:color="auto"/>
              <w:left w:val="single" w:sz="4" w:space="0" w:color="auto"/>
              <w:bottom w:val="single" w:sz="4" w:space="0" w:color="auto"/>
              <w:right w:val="single" w:sz="4" w:space="0" w:color="auto"/>
            </w:tcBorders>
            <w:vAlign w:val="center"/>
            <w:hideMark/>
          </w:tcPr>
          <w:p w14:paraId="33D4A733" w14:textId="77777777" w:rsidR="00000C1B" w:rsidRPr="009162E1" w:rsidRDefault="00000C1B" w:rsidP="00F06E32">
            <w:pPr>
              <w:spacing w:after="0" w:line="240" w:lineRule="auto"/>
              <w:jc w:val="both"/>
              <w:rPr>
                <w:rFonts w:ascii="Times New Roman" w:eastAsia="Times New Roman" w:hAnsi="Times New Roman" w:cs="Times New Roman"/>
                <w:sz w:val="20"/>
                <w:szCs w:val="20"/>
                <w:lang w:eastAsia="en-MY"/>
              </w:rPr>
            </w:pPr>
            <w:r w:rsidRPr="009162E1">
              <w:rPr>
                <w:rFonts w:ascii="Times New Roman" w:eastAsia="Times New Roman" w:hAnsi="Times New Roman" w:cs="Times New Roman"/>
                <w:sz w:val="20"/>
                <w:szCs w:val="20"/>
                <w:lang w:eastAsia="en-MY"/>
              </w:rPr>
              <w:t xml:space="preserve">Perladangan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1F18E3" w14:textId="77777777" w:rsidR="00000C1B" w:rsidRPr="009162E1" w:rsidRDefault="00000C1B" w:rsidP="00FC78CB">
            <w:pPr>
              <w:spacing w:after="0" w:line="240" w:lineRule="auto"/>
              <w:jc w:val="center"/>
              <w:rPr>
                <w:rFonts w:ascii="Times New Roman" w:eastAsia="Times New Roman" w:hAnsi="Times New Roman" w:cs="Times New Roman"/>
                <w:sz w:val="20"/>
                <w:szCs w:val="20"/>
                <w:lang w:eastAsia="en-MY"/>
              </w:rPr>
            </w:pPr>
            <w:r w:rsidRPr="009162E1">
              <w:rPr>
                <w:rFonts w:ascii="Times New Roman" w:eastAsia="Times New Roman" w:hAnsi="Times New Roman" w:cs="Times New Roman"/>
                <w:sz w:val="20"/>
                <w:szCs w:val="20"/>
                <w:lang w:eastAsia="en-MY"/>
              </w:rPr>
              <w:t>40</w:t>
            </w:r>
          </w:p>
        </w:tc>
        <w:tc>
          <w:tcPr>
            <w:tcW w:w="1417" w:type="dxa"/>
            <w:tcBorders>
              <w:top w:val="single" w:sz="4" w:space="0" w:color="auto"/>
              <w:left w:val="single" w:sz="4" w:space="0" w:color="auto"/>
              <w:bottom w:val="single" w:sz="4" w:space="0" w:color="auto"/>
              <w:right w:val="single" w:sz="4" w:space="0" w:color="auto"/>
            </w:tcBorders>
          </w:tcPr>
          <w:p w14:paraId="440A6946" w14:textId="77777777" w:rsidR="00000C1B" w:rsidRPr="009162E1" w:rsidRDefault="00000C1B" w:rsidP="00FC78CB">
            <w:pPr>
              <w:spacing w:after="0" w:line="240" w:lineRule="auto"/>
              <w:jc w:val="center"/>
              <w:rPr>
                <w:rFonts w:ascii="Times New Roman" w:eastAsia="Times New Roman" w:hAnsi="Times New Roman" w:cs="Times New Roman"/>
                <w:sz w:val="20"/>
                <w:szCs w:val="20"/>
                <w:lang w:eastAsia="en-MY"/>
              </w:rPr>
            </w:pPr>
            <w:r w:rsidRPr="009162E1">
              <w:rPr>
                <w:rFonts w:ascii="Times New Roman" w:eastAsia="Times New Roman" w:hAnsi="Times New Roman" w:cs="Times New Roman"/>
                <w:sz w:val="20"/>
                <w:szCs w:val="20"/>
                <w:lang w:eastAsia="en-MY"/>
              </w:rPr>
              <w:t>160</w:t>
            </w:r>
          </w:p>
        </w:tc>
        <w:tc>
          <w:tcPr>
            <w:tcW w:w="1560" w:type="dxa"/>
            <w:tcBorders>
              <w:top w:val="single" w:sz="4" w:space="0" w:color="auto"/>
              <w:left w:val="single" w:sz="4" w:space="0" w:color="auto"/>
              <w:bottom w:val="single" w:sz="4" w:space="0" w:color="auto"/>
              <w:right w:val="single" w:sz="4" w:space="0" w:color="auto"/>
            </w:tcBorders>
          </w:tcPr>
          <w:p w14:paraId="5E756DBC" w14:textId="77777777" w:rsidR="00000C1B" w:rsidRPr="009162E1" w:rsidRDefault="00000C1B" w:rsidP="00FC78CB">
            <w:pPr>
              <w:spacing w:after="0" w:line="240" w:lineRule="auto"/>
              <w:jc w:val="center"/>
              <w:rPr>
                <w:rFonts w:ascii="Times New Roman" w:eastAsia="Times New Roman" w:hAnsi="Times New Roman" w:cs="Times New Roman"/>
                <w:sz w:val="20"/>
                <w:szCs w:val="20"/>
                <w:lang w:eastAsia="en-MY"/>
              </w:rPr>
            </w:pPr>
            <w:r w:rsidRPr="009162E1">
              <w:rPr>
                <w:rFonts w:ascii="Times New Roman" w:eastAsia="Times New Roman" w:hAnsi="Times New Roman" w:cs="Times New Roman"/>
                <w:sz w:val="20"/>
                <w:szCs w:val="20"/>
                <w:lang w:eastAsia="en-MY"/>
              </w:rPr>
              <w:t>40</w:t>
            </w:r>
          </w:p>
        </w:tc>
        <w:tc>
          <w:tcPr>
            <w:tcW w:w="1326" w:type="dxa"/>
            <w:tcBorders>
              <w:top w:val="single" w:sz="4" w:space="0" w:color="auto"/>
              <w:left w:val="single" w:sz="4" w:space="0" w:color="auto"/>
              <w:bottom w:val="single" w:sz="4" w:space="0" w:color="auto"/>
              <w:right w:val="single" w:sz="4" w:space="0" w:color="auto"/>
            </w:tcBorders>
          </w:tcPr>
          <w:p w14:paraId="59FF9C36" w14:textId="77777777" w:rsidR="00000C1B" w:rsidRPr="009162E1" w:rsidRDefault="00000C1B" w:rsidP="00FC78CB">
            <w:pPr>
              <w:spacing w:after="0" w:line="240" w:lineRule="auto"/>
              <w:jc w:val="center"/>
              <w:rPr>
                <w:rFonts w:ascii="Times New Roman" w:eastAsia="Times New Roman" w:hAnsi="Times New Roman" w:cs="Times New Roman"/>
                <w:sz w:val="20"/>
                <w:szCs w:val="20"/>
                <w:lang w:eastAsia="en-MY"/>
              </w:rPr>
            </w:pPr>
            <w:r w:rsidRPr="009162E1">
              <w:rPr>
                <w:rFonts w:ascii="Times New Roman" w:eastAsia="Times New Roman" w:hAnsi="Times New Roman" w:cs="Times New Roman"/>
                <w:sz w:val="20"/>
                <w:szCs w:val="20"/>
                <w:lang w:eastAsia="en-MY"/>
              </w:rPr>
              <w:t>200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E18B86E" w14:textId="77777777" w:rsidR="00000C1B" w:rsidRPr="009162E1" w:rsidRDefault="00000C1B" w:rsidP="00FC78CB">
            <w:pPr>
              <w:spacing w:after="0" w:line="240" w:lineRule="auto"/>
              <w:jc w:val="center"/>
              <w:rPr>
                <w:rFonts w:ascii="Times New Roman" w:eastAsia="Times New Roman" w:hAnsi="Times New Roman" w:cs="Times New Roman"/>
                <w:sz w:val="20"/>
                <w:szCs w:val="20"/>
                <w:lang w:eastAsia="en-MY"/>
              </w:rPr>
            </w:pPr>
            <w:r w:rsidRPr="009162E1">
              <w:rPr>
                <w:rFonts w:ascii="Times New Roman" w:eastAsia="Times New Roman" w:hAnsi="Times New Roman" w:cs="Times New Roman"/>
                <w:sz w:val="20"/>
                <w:szCs w:val="20"/>
                <w:lang w:eastAsia="en-MY"/>
              </w:rPr>
              <w:t>6.19</w:t>
            </w:r>
          </w:p>
        </w:tc>
      </w:tr>
      <w:tr w:rsidR="00000C1B" w:rsidRPr="009162E1" w14:paraId="48405DE0" w14:textId="77777777" w:rsidTr="009162E1">
        <w:trPr>
          <w:jc w:val="center"/>
        </w:trPr>
        <w:tc>
          <w:tcPr>
            <w:tcW w:w="1796" w:type="dxa"/>
            <w:tcBorders>
              <w:top w:val="single" w:sz="4" w:space="0" w:color="auto"/>
              <w:left w:val="single" w:sz="4" w:space="0" w:color="auto"/>
              <w:bottom w:val="single" w:sz="4" w:space="0" w:color="auto"/>
              <w:right w:val="single" w:sz="4" w:space="0" w:color="auto"/>
            </w:tcBorders>
            <w:vAlign w:val="center"/>
            <w:hideMark/>
          </w:tcPr>
          <w:p w14:paraId="19B77761" w14:textId="77777777" w:rsidR="00000C1B" w:rsidRPr="009162E1" w:rsidRDefault="00000C1B" w:rsidP="00F06E32">
            <w:pPr>
              <w:spacing w:after="0" w:line="240" w:lineRule="auto"/>
              <w:jc w:val="both"/>
              <w:rPr>
                <w:rFonts w:ascii="Times New Roman" w:eastAsia="Times New Roman" w:hAnsi="Times New Roman" w:cs="Times New Roman"/>
                <w:sz w:val="20"/>
                <w:szCs w:val="20"/>
                <w:lang w:eastAsia="en-MY"/>
              </w:rPr>
            </w:pPr>
            <w:r w:rsidRPr="009162E1">
              <w:rPr>
                <w:rFonts w:ascii="Times New Roman" w:eastAsia="Times New Roman" w:hAnsi="Times New Roman" w:cs="Times New Roman"/>
                <w:sz w:val="20"/>
                <w:szCs w:val="20"/>
                <w:lang w:eastAsia="en-MY"/>
              </w:rPr>
              <w:t xml:space="preserve">Produk Perindustrian </w:t>
            </w:r>
          </w:p>
        </w:tc>
        <w:tc>
          <w:tcPr>
            <w:tcW w:w="1276" w:type="dxa"/>
            <w:tcBorders>
              <w:top w:val="single" w:sz="4" w:space="0" w:color="auto"/>
              <w:left w:val="single" w:sz="4" w:space="0" w:color="auto"/>
              <w:bottom w:val="single" w:sz="4" w:space="0" w:color="auto"/>
              <w:right w:val="single" w:sz="4" w:space="0" w:color="auto"/>
            </w:tcBorders>
            <w:vAlign w:val="center"/>
          </w:tcPr>
          <w:p w14:paraId="2E6B7FE2" w14:textId="77777777" w:rsidR="00000C1B" w:rsidRPr="009162E1" w:rsidRDefault="00000C1B" w:rsidP="00FC78CB">
            <w:pPr>
              <w:spacing w:after="0" w:line="240" w:lineRule="auto"/>
              <w:jc w:val="center"/>
              <w:rPr>
                <w:rFonts w:ascii="Times New Roman" w:eastAsia="Times New Roman" w:hAnsi="Times New Roman" w:cs="Times New Roman"/>
                <w:sz w:val="20"/>
                <w:szCs w:val="20"/>
                <w:lang w:eastAsia="en-MY"/>
              </w:rPr>
            </w:pPr>
            <w:r w:rsidRPr="009162E1">
              <w:rPr>
                <w:rFonts w:ascii="Times New Roman" w:eastAsia="Times New Roman" w:hAnsi="Times New Roman" w:cs="Times New Roman"/>
                <w:sz w:val="20"/>
                <w:szCs w:val="20"/>
                <w:lang w:eastAsia="en-MY"/>
              </w:rPr>
              <w:t>180</w:t>
            </w:r>
          </w:p>
        </w:tc>
        <w:tc>
          <w:tcPr>
            <w:tcW w:w="1417" w:type="dxa"/>
            <w:tcBorders>
              <w:top w:val="single" w:sz="4" w:space="0" w:color="auto"/>
              <w:left w:val="single" w:sz="4" w:space="0" w:color="auto"/>
              <w:bottom w:val="single" w:sz="4" w:space="0" w:color="auto"/>
              <w:right w:val="single" w:sz="4" w:space="0" w:color="auto"/>
            </w:tcBorders>
          </w:tcPr>
          <w:p w14:paraId="6D15CB0E" w14:textId="77777777" w:rsidR="00000C1B" w:rsidRPr="009162E1" w:rsidRDefault="00000C1B" w:rsidP="00FC78CB">
            <w:pPr>
              <w:spacing w:after="0" w:line="240" w:lineRule="auto"/>
              <w:jc w:val="center"/>
              <w:rPr>
                <w:rFonts w:ascii="Times New Roman" w:eastAsia="Times New Roman" w:hAnsi="Times New Roman" w:cs="Times New Roman"/>
                <w:sz w:val="20"/>
                <w:szCs w:val="20"/>
                <w:lang w:eastAsia="en-MY"/>
              </w:rPr>
            </w:pPr>
            <w:r w:rsidRPr="009162E1">
              <w:rPr>
                <w:rFonts w:ascii="Times New Roman" w:eastAsia="Times New Roman" w:hAnsi="Times New Roman" w:cs="Times New Roman"/>
                <w:sz w:val="20"/>
                <w:szCs w:val="20"/>
                <w:lang w:eastAsia="en-MY"/>
              </w:rPr>
              <w:t>720</w:t>
            </w:r>
          </w:p>
        </w:tc>
        <w:tc>
          <w:tcPr>
            <w:tcW w:w="1560" w:type="dxa"/>
            <w:tcBorders>
              <w:top w:val="single" w:sz="4" w:space="0" w:color="auto"/>
              <w:left w:val="single" w:sz="4" w:space="0" w:color="auto"/>
              <w:bottom w:val="single" w:sz="4" w:space="0" w:color="auto"/>
              <w:right w:val="single" w:sz="4" w:space="0" w:color="auto"/>
            </w:tcBorders>
          </w:tcPr>
          <w:p w14:paraId="781BBCA3" w14:textId="77777777" w:rsidR="00000C1B" w:rsidRPr="009162E1" w:rsidRDefault="00000C1B" w:rsidP="00FC78CB">
            <w:pPr>
              <w:spacing w:after="0" w:line="240" w:lineRule="auto"/>
              <w:jc w:val="center"/>
              <w:rPr>
                <w:rFonts w:ascii="Times New Roman" w:eastAsia="Times New Roman" w:hAnsi="Times New Roman" w:cs="Times New Roman"/>
                <w:sz w:val="20"/>
                <w:szCs w:val="20"/>
                <w:lang w:eastAsia="en-MY"/>
              </w:rPr>
            </w:pPr>
            <w:r w:rsidRPr="009162E1">
              <w:rPr>
                <w:rFonts w:ascii="Times New Roman" w:eastAsia="Times New Roman" w:hAnsi="Times New Roman" w:cs="Times New Roman"/>
                <w:sz w:val="20"/>
                <w:szCs w:val="20"/>
                <w:lang w:eastAsia="en-MY"/>
              </w:rPr>
              <w:t>199</w:t>
            </w:r>
          </w:p>
        </w:tc>
        <w:tc>
          <w:tcPr>
            <w:tcW w:w="1326" w:type="dxa"/>
            <w:tcBorders>
              <w:top w:val="single" w:sz="4" w:space="0" w:color="auto"/>
              <w:left w:val="single" w:sz="4" w:space="0" w:color="auto"/>
              <w:bottom w:val="single" w:sz="4" w:space="0" w:color="auto"/>
              <w:right w:val="single" w:sz="4" w:space="0" w:color="auto"/>
            </w:tcBorders>
          </w:tcPr>
          <w:p w14:paraId="5B20B06D" w14:textId="77777777" w:rsidR="00000C1B" w:rsidRPr="009162E1" w:rsidRDefault="00000C1B" w:rsidP="00FC78CB">
            <w:pPr>
              <w:spacing w:after="0" w:line="240" w:lineRule="auto"/>
              <w:jc w:val="center"/>
              <w:rPr>
                <w:rFonts w:ascii="Times New Roman" w:eastAsia="Times New Roman" w:hAnsi="Times New Roman" w:cs="Times New Roman"/>
                <w:sz w:val="20"/>
                <w:szCs w:val="20"/>
                <w:lang w:eastAsia="en-MY"/>
              </w:rPr>
            </w:pPr>
            <w:r w:rsidRPr="009162E1">
              <w:rPr>
                <w:rFonts w:ascii="Times New Roman" w:eastAsia="Times New Roman" w:hAnsi="Times New Roman" w:cs="Times New Roman"/>
                <w:sz w:val="20"/>
                <w:szCs w:val="20"/>
                <w:lang w:eastAsia="en-MY"/>
              </w:rPr>
              <w:t>919</w:t>
            </w:r>
          </w:p>
        </w:tc>
        <w:tc>
          <w:tcPr>
            <w:tcW w:w="900" w:type="dxa"/>
            <w:tcBorders>
              <w:top w:val="single" w:sz="4" w:space="0" w:color="auto"/>
              <w:left w:val="single" w:sz="4" w:space="0" w:color="auto"/>
              <w:bottom w:val="single" w:sz="4" w:space="0" w:color="auto"/>
              <w:right w:val="single" w:sz="4" w:space="0" w:color="auto"/>
            </w:tcBorders>
            <w:vAlign w:val="center"/>
            <w:hideMark/>
          </w:tcPr>
          <w:p w14:paraId="101D1F24" w14:textId="77777777" w:rsidR="00000C1B" w:rsidRPr="009162E1" w:rsidRDefault="00000C1B" w:rsidP="00FC78CB">
            <w:pPr>
              <w:spacing w:after="0" w:line="240" w:lineRule="auto"/>
              <w:jc w:val="center"/>
              <w:rPr>
                <w:rFonts w:ascii="Times New Roman" w:eastAsia="Times New Roman" w:hAnsi="Times New Roman" w:cs="Times New Roman"/>
                <w:sz w:val="20"/>
                <w:szCs w:val="20"/>
                <w:lang w:eastAsia="en-MY"/>
              </w:rPr>
            </w:pPr>
            <w:r w:rsidRPr="009162E1">
              <w:rPr>
                <w:rFonts w:ascii="Times New Roman" w:eastAsia="Times New Roman" w:hAnsi="Times New Roman" w:cs="Times New Roman"/>
                <w:sz w:val="20"/>
                <w:szCs w:val="20"/>
                <w:lang w:eastAsia="en-MY"/>
              </w:rPr>
              <w:t>28.45</w:t>
            </w:r>
          </w:p>
        </w:tc>
      </w:tr>
      <w:tr w:rsidR="00000C1B" w:rsidRPr="009162E1" w14:paraId="3F5E72AC" w14:textId="77777777" w:rsidTr="009162E1">
        <w:trPr>
          <w:jc w:val="center"/>
        </w:trPr>
        <w:tc>
          <w:tcPr>
            <w:tcW w:w="1796" w:type="dxa"/>
            <w:tcBorders>
              <w:top w:val="single" w:sz="4" w:space="0" w:color="auto"/>
              <w:left w:val="single" w:sz="4" w:space="0" w:color="auto"/>
              <w:bottom w:val="single" w:sz="4" w:space="0" w:color="auto"/>
              <w:right w:val="single" w:sz="4" w:space="0" w:color="auto"/>
            </w:tcBorders>
            <w:vAlign w:val="center"/>
            <w:hideMark/>
          </w:tcPr>
          <w:p w14:paraId="685E443F" w14:textId="77777777" w:rsidR="00000C1B" w:rsidRPr="009162E1" w:rsidRDefault="00000C1B" w:rsidP="00F06E32">
            <w:pPr>
              <w:spacing w:after="0" w:line="240" w:lineRule="auto"/>
              <w:jc w:val="both"/>
              <w:rPr>
                <w:rFonts w:ascii="Times New Roman" w:eastAsia="Times New Roman" w:hAnsi="Times New Roman" w:cs="Times New Roman"/>
                <w:sz w:val="20"/>
                <w:szCs w:val="20"/>
                <w:lang w:eastAsia="en-MY"/>
              </w:rPr>
            </w:pPr>
            <w:r w:rsidRPr="009162E1">
              <w:rPr>
                <w:rFonts w:ascii="Times New Roman" w:eastAsia="Times New Roman" w:hAnsi="Times New Roman" w:cs="Times New Roman"/>
                <w:sz w:val="20"/>
                <w:szCs w:val="20"/>
                <w:lang w:eastAsia="en-MY"/>
              </w:rPr>
              <w:t>Perdagangan</w:t>
            </w:r>
          </w:p>
        </w:tc>
        <w:tc>
          <w:tcPr>
            <w:tcW w:w="1276" w:type="dxa"/>
            <w:tcBorders>
              <w:top w:val="single" w:sz="4" w:space="0" w:color="auto"/>
              <w:left w:val="single" w:sz="4" w:space="0" w:color="auto"/>
              <w:bottom w:val="single" w:sz="4" w:space="0" w:color="auto"/>
              <w:right w:val="single" w:sz="4" w:space="0" w:color="auto"/>
            </w:tcBorders>
            <w:vAlign w:val="center"/>
          </w:tcPr>
          <w:p w14:paraId="036D17FB" w14:textId="77777777" w:rsidR="00000C1B" w:rsidRPr="009162E1" w:rsidRDefault="00000C1B" w:rsidP="00FC78CB">
            <w:pPr>
              <w:spacing w:after="0" w:line="240" w:lineRule="auto"/>
              <w:jc w:val="center"/>
              <w:rPr>
                <w:rFonts w:ascii="Times New Roman" w:eastAsia="Times New Roman" w:hAnsi="Times New Roman" w:cs="Times New Roman"/>
                <w:sz w:val="20"/>
                <w:szCs w:val="20"/>
                <w:lang w:eastAsia="en-MY"/>
              </w:rPr>
            </w:pPr>
            <w:r w:rsidRPr="009162E1">
              <w:rPr>
                <w:rFonts w:ascii="Times New Roman" w:eastAsia="Times New Roman" w:hAnsi="Times New Roman" w:cs="Times New Roman"/>
                <w:sz w:val="20"/>
                <w:szCs w:val="20"/>
                <w:lang w:eastAsia="en-MY"/>
              </w:rPr>
              <w:t>152</w:t>
            </w:r>
          </w:p>
        </w:tc>
        <w:tc>
          <w:tcPr>
            <w:tcW w:w="1417" w:type="dxa"/>
            <w:tcBorders>
              <w:top w:val="single" w:sz="4" w:space="0" w:color="auto"/>
              <w:left w:val="single" w:sz="4" w:space="0" w:color="auto"/>
              <w:bottom w:val="single" w:sz="4" w:space="0" w:color="auto"/>
              <w:right w:val="single" w:sz="4" w:space="0" w:color="auto"/>
            </w:tcBorders>
          </w:tcPr>
          <w:p w14:paraId="0B3DABAA" w14:textId="77777777" w:rsidR="00000C1B" w:rsidRPr="009162E1" w:rsidRDefault="00000C1B" w:rsidP="00FC78CB">
            <w:pPr>
              <w:spacing w:after="0" w:line="240" w:lineRule="auto"/>
              <w:jc w:val="center"/>
              <w:rPr>
                <w:rFonts w:ascii="Times New Roman" w:eastAsia="Times New Roman" w:hAnsi="Times New Roman" w:cs="Times New Roman"/>
                <w:sz w:val="20"/>
                <w:szCs w:val="20"/>
                <w:lang w:eastAsia="en-MY"/>
              </w:rPr>
            </w:pPr>
            <w:r w:rsidRPr="009162E1">
              <w:rPr>
                <w:rFonts w:ascii="Times New Roman" w:eastAsia="Times New Roman" w:hAnsi="Times New Roman" w:cs="Times New Roman"/>
                <w:sz w:val="20"/>
                <w:szCs w:val="20"/>
                <w:lang w:eastAsia="en-MY"/>
              </w:rPr>
              <w:t>608</w:t>
            </w:r>
          </w:p>
        </w:tc>
        <w:tc>
          <w:tcPr>
            <w:tcW w:w="1560" w:type="dxa"/>
            <w:tcBorders>
              <w:top w:val="single" w:sz="4" w:space="0" w:color="auto"/>
              <w:left w:val="single" w:sz="4" w:space="0" w:color="auto"/>
              <w:bottom w:val="single" w:sz="4" w:space="0" w:color="auto"/>
              <w:right w:val="single" w:sz="4" w:space="0" w:color="auto"/>
            </w:tcBorders>
          </w:tcPr>
          <w:p w14:paraId="57EF4411" w14:textId="77777777" w:rsidR="00000C1B" w:rsidRPr="009162E1" w:rsidRDefault="00000C1B" w:rsidP="00FC78CB">
            <w:pPr>
              <w:spacing w:after="0" w:line="240" w:lineRule="auto"/>
              <w:jc w:val="center"/>
              <w:rPr>
                <w:rFonts w:ascii="Times New Roman" w:eastAsia="Times New Roman" w:hAnsi="Times New Roman" w:cs="Times New Roman"/>
                <w:sz w:val="20"/>
                <w:szCs w:val="20"/>
                <w:lang w:eastAsia="en-MY"/>
              </w:rPr>
            </w:pPr>
            <w:r w:rsidRPr="009162E1">
              <w:rPr>
                <w:rFonts w:ascii="Times New Roman" w:eastAsia="Times New Roman" w:hAnsi="Times New Roman" w:cs="Times New Roman"/>
                <w:sz w:val="20"/>
                <w:szCs w:val="20"/>
                <w:lang w:eastAsia="en-MY"/>
              </w:rPr>
              <w:t>-</w:t>
            </w:r>
          </w:p>
        </w:tc>
        <w:tc>
          <w:tcPr>
            <w:tcW w:w="1326" w:type="dxa"/>
            <w:tcBorders>
              <w:top w:val="single" w:sz="4" w:space="0" w:color="auto"/>
              <w:left w:val="single" w:sz="4" w:space="0" w:color="auto"/>
              <w:bottom w:val="single" w:sz="4" w:space="0" w:color="auto"/>
              <w:right w:val="single" w:sz="4" w:space="0" w:color="auto"/>
            </w:tcBorders>
          </w:tcPr>
          <w:p w14:paraId="11131992" w14:textId="77777777" w:rsidR="00000C1B" w:rsidRPr="009162E1" w:rsidRDefault="00000C1B" w:rsidP="00FC78CB">
            <w:pPr>
              <w:spacing w:after="0" w:line="240" w:lineRule="auto"/>
              <w:jc w:val="center"/>
              <w:rPr>
                <w:rFonts w:ascii="Times New Roman" w:eastAsia="Times New Roman" w:hAnsi="Times New Roman" w:cs="Times New Roman"/>
                <w:sz w:val="20"/>
                <w:szCs w:val="20"/>
                <w:lang w:eastAsia="en-MY"/>
              </w:rPr>
            </w:pPr>
            <w:r w:rsidRPr="009162E1">
              <w:rPr>
                <w:rFonts w:ascii="Times New Roman" w:eastAsia="Times New Roman" w:hAnsi="Times New Roman" w:cs="Times New Roman"/>
                <w:sz w:val="20"/>
                <w:szCs w:val="20"/>
                <w:lang w:eastAsia="en-MY"/>
              </w:rPr>
              <w:t>608</w:t>
            </w:r>
          </w:p>
        </w:tc>
        <w:tc>
          <w:tcPr>
            <w:tcW w:w="900" w:type="dxa"/>
            <w:tcBorders>
              <w:top w:val="single" w:sz="4" w:space="0" w:color="auto"/>
              <w:left w:val="single" w:sz="4" w:space="0" w:color="auto"/>
              <w:bottom w:val="single" w:sz="4" w:space="0" w:color="auto"/>
              <w:right w:val="single" w:sz="4" w:space="0" w:color="auto"/>
            </w:tcBorders>
            <w:vAlign w:val="center"/>
            <w:hideMark/>
          </w:tcPr>
          <w:p w14:paraId="24C89DE7" w14:textId="77777777" w:rsidR="00000C1B" w:rsidRPr="009162E1" w:rsidRDefault="00000C1B" w:rsidP="00FC78CB">
            <w:pPr>
              <w:spacing w:after="0" w:line="240" w:lineRule="auto"/>
              <w:jc w:val="center"/>
              <w:rPr>
                <w:rFonts w:ascii="Times New Roman" w:eastAsia="Times New Roman" w:hAnsi="Times New Roman" w:cs="Times New Roman"/>
                <w:sz w:val="20"/>
                <w:szCs w:val="20"/>
                <w:lang w:eastAsia="en-MY"/>
              </w:rPr>
            </w:pPr>
            <w:r w:rsidRPr="009162E1">
              <w:rPr>
                <w:rFonts w:ascii="Times New Roman" w:eastAsia="Times New Roman" w:hAnsi="Times New Roman" w:cs="Times New Roman"/>
                <w:sz w:val="20"/>
                <w:szCs w:val="20"/>
                <w:lang w:eastAsia="en-MY"/>
              </w:rPr>
              <w:t>18.83</w:t>
            </w:r>
          </w:p>
        </w:tc>
      </w:tr>
      <w:tr w:rsidR="00000C1B" w:rsidRPr="009162E1" w14:paraId="09E99DC8" w14:textId="77777777" w:rsidTr="009162E1">
        <w:trPr>
          <w:jc w:val="center"/>
        </w:trPr>
        <w:tc>
          <w:tcPr>
            <w:tcW w:w="1796" w:type="dxa"/>
            <w:tcBorders>
              <w:top w:val="single" w:sz="4" w:space="0" w:color="auto"/>
              <w:left w:val="single" w:sz="4" w:space="0" w:color="auto"/>
              <w:bottom w:val="single" w:sz="4" w:space="0" w:color="auto"/>
              <w:right w:val="single" w:sz="4" w:space="0" w:color="auto"/>
            </w:tcBorders>
            <w:vAlign w:val="center"/>
          </w:tcPr>
          <w:p w14:paraId="2561FC77" w14:textId="77777777" w:rsidR="00000C1B" w:rsidRPr="009162E1" w:rsidRDefault="00000C1B" w:rsidP="00F06E32">
            <w:pPr>
              <w:spacing w:after="0" w:line="240" w:lineRule="auto"/>
              <w:jc w:val="both"/>
              <w:rPr>
                <w:rFonts w:ascii="Times New Roman" w:eastAsia="Times New Roman" w:hAnsi="Times New Roman" w:cs="Times New Roman"/>
                <w:b/>
                <w:bCs/>
                <w:sz w:val="20"/>
                <w:szCs w:val="20"/>
                <w:lang w:eastAsia="en-MY"/>
              </w:rPr>
            </w:pPr>
            <w:r w:rsidRPr="009162E1">
              <w:rPr>
                <w:rFonts w:ascii="Times New Roman" w:eastAsia="Times New Roman" w:hAnsi="Times New Roman" w:cs="Times New Roman"/>
                <w:sz w:val="20"/>
                <w:szCs w:val="20"/>
                <w:lang w:eastAsia="en-MY"/>
              </w:rPr>
              <w:t xml:space="preserve">Hartanah </w:t>
            </w:r>
          </w:p>
        </w:tc>
        <w:tc>
          <w:tcPr>
            <w:tcW w:w="1276" w:type="dxa"/>
            <w:tcBorders>
              <w:top w:val="single" w:sz="4" w:space="0" w:color="auto"/>
              <w:left w:val="single" w:sz="4" w:space="0" w:color="auto"/>
              <w:bottom w:val="single" w:sz="4" w:space="0" w:color="auto"/>
              <w:right w:val="single" w:sz="4" w:space="0" w:color="auto"/>
            </w:tcBorders>
            <w:vAlign w:val="center"/>
          </w:tcPr>
          <w:p w14:paraId="3B1F1BC0" w14:textId="77777777" w:rsidR="00000C1B" w:rsidRPr="009162E1" w:rsidRDefault="00000C1B" w:rsidP="00FC78CB">
            <w:pPr>
              <w:spacing w:after="0" w:line="240" w:lineRule="auto"/>
              <w:jc w:val="center"/>
              <w:rPr>
                <w:rFonts w:ascii="Times New Roman" w:eastAsia="Times New Roman" w:hAnsi="Times New Roman" w:cs="Times New Roman"/>
                <w:bCs/>
                <w:sz w:val="20"/>
                <w:szCs w:val="20"/>
                <w:lang w:eastAsia="en-MY"/>
              </w:rPr>
            </w:pPr>
            <w:r w:rsidRPr="009162E1">
              <w:rPr>
                <w:rFonts w:ascii="Times New Roman" w:eastAsia="Times New Roman" w:hAnsi="Times New Roman" w:cs="Times New Roman"/>
                <w:bCs/>
                <w:sz w:val="20"/>
                <w:szCs w:val="20"/>
                <w:lang w:eastAsia="en-MY"/>
              </w:rPr>
              <w:t>86</w:t>
            </w:r>
          </w:p>
        </w:tc>
        <w:tc>
          <w:tcPr>
            <w:tcW w:w="1417" w:type="dxa"/>
            <w:tcBorders>
              <w:top w:val="single" w:sz="4" w:space="0" w:color="auto"/>
              <w:left w:val="single" w:sz="4" w:space="0" w:color="auto"/>
              <w:bottom w:val="single" w:sz="4" w:space="0" w:color="auto"/>
              <w:right w:val="single" w:sz="4" w:space="0" w:color="auto"/>
            </w:tcBorders>
          </w:tcPr>
          <w:p w14:paraId="33786945" w14:textId="77777777" w:rsidR="00000C1B" w:rsidRPr="009162E1" w:rsidRDefault="00000C1B" w:rsidP="00FC78CB">
            <w:pPr>
              <w:spacing w:after="0" w:line="240" w:lineRule="auto"/>
              <w:jc w:val="center"/>
              <w:rPr>
                <w:rFonts w:ascii="Times New Roman" w:eastAsia="Times New Roman" w:hAnsi="Times New Roman" w:cs="Times New Roman"/>
                <w:bCs/>
                <w:sz w:val="20"/>
                <w:szCs w:val="20"/>
                <w:lang w:eastAsia="en-MY"/>
              </w:rPr>
            </w:pPr>
            <w:r w:rsidRPr="009162E1">
              <w:rPr>
                <w:rFonts w:ascii="Times New Roman" w:eastAsia="Times New Roman" w:hAnsi="Times New Roman" w:cs="Times New Roman"/>
                <w:bCs/>
                <w:sz w:val="20"/>
                <w:szCs w:val="20"/>
                <w:lang w:eastAsia="en-MY"/>
              </w:rPr>
              <w:t>344</w:t>
            </w:r>
          </w:p>
        </w:tc>
        <w:tc>
          <w:tcPr>
            <w:tcW w:w="1560" w:type="dxa"/>
            <w:tcBorders>
              <w:top w:val="single" w:sz="4" w:space="0" w:color="auto"/>
              <w:left w:val="single" w:sz="4" w:space="0" w:color="auto"/>
              <w:bottom w:val="single" w:sz="4" w:space="0" w:color="auto"/>
              <w:right w:val="single" w:sz="4" w:space="0" w:color="auto"/>
            </w:tcBorders>
          </w:tcPr>
          <w:p w14:paraId="2D6B51B6" w14:textId="77777777" w:rsidR="00000C1B" w:rsidRPr="009162E1" w:rsidRDefault="00000C1B" w:rsidP="00FC78CB">
            <w:pPr>
              <w:spacing w:after="0" w:line="240" w:lineRule="auto"/>
              <w:jc w:val="center"/>
              <w:rPr>
                <w:rFonts w:ascii="Times New Roman" w:eastAsia="Times New Roman" w:hAnsi="Times New Roman" w:cs="Times New Roman"/>
                <w:sz w:val="20"/>
                <w:szCs w:val="20"/>
                <w:lang w:eastAsia="en-MY"/>
              </w:rPr>
            </w:pPr>
            <w:r w:rsidRPr="009162E1">
              <w:rPr>
                <w:rFonts w:ascii="Times New Roman" w:eastAsia="Times New Roman" w:hAnsi="Times New Roman" w:cs="Times New Roman"/>
                <w:sz w:val="20"/>
                <w:szCs w:val="20"/>
                <w:lang w:eastAsia="en-MY"/>
              </w:rPr>
              <w:t>93</w:t>
            </w:r>
          </w:p>
        </w:tc>
        <w:tc>
          <w:tcPr>
            <w:tcW w:w="1326" w:type="dxa"/>
            <w:tcBorders>
              <w:top w:val="single" w:sz="4" w:space="0" w:color="auto"/>
              <w:left w:val="single" w:sz="4" w:space="0" w:color="auto"/>
              <w:bottom w:val="single" w:sz="4" w:space="0" w:color="auto"/>
              <w:right w:val="single" w:sz="4" w:space="0" w:color="auto"/>
            </w:tcBorders>
          </w:tcPr>
          <w:p w14:paraId="092A7E33" w14:textId="77777777" w:rsidR="00000C1B" w:rsidRPr="009162E1" w:rsidRDefault="00000C1B" w:rsidP="00FC78CB">
            <w:pPr>
              <w:spacing w:after="0" w:line="240" w:lineRule="auto"/>
              <w:jc w:val="center"/>
              <w:rPr>
                <w:rFonts w:ascii="Times New Roman" w:eastAsia="Times New Roman" w:hAnsi="Times New Roman" w:cs="Times New Roman"/>
                <w:sz w:val="20"/>
                <w:szCs w:val="20"/>
                <w:lang w:eastAsia="en-MY"/>
              </w:rPr>
            </w:pPr>
            <w:r w:rsidRPr="009162E1">
              <w:rPr>
                <w:rFonts w:ascii="Times New Roman" w:eastAsia="Times New Roman" w:hAnsi="Times New Roman" w:cs="Times New Roman"/>
                <w:sz w:val="20"/>
                <w:szCs w:val="20"/>
                <w:lang w:eastAsia="en-MY"/>
              </w:rPr>
              <w:t>437</w:t>
            </w:r>
          </w:p>
        </w:tc>
        <w:tc>
          <w:tcPr>
            <w:tcW w:w="900" w:type="dxa"/>
            <w:tcBorders>
              <w:top w:val="single" w:sz="4" w:space="0" w:color="auto"/>
              <w:left w:val="single" w:sz="4" w:space="0" w:color="auto"/>
              <w:bottom w:val="single" w:sz="4" w:space="0" w:color="auto"/>
              <w:right w:val="single" w:sz="4" w:space="0" w:color="auto"/>
            </w:tcBorders>
            <w:vAlign w:val="center"/>
          </w:tcPr>
          <w:p w14:paraId="3E381E27" w14:textId="77777777" w:rsidR="00000C1B" w:rsidRPr="009162E1" w:rsidRDefault="00000C1B" w:rsidP="00FC78CB">
            <w:pPr>
              <w:spacing w:after="0" w:line="240" w:lineRule="auto"/>
              <w:jc w:val="center"/>
              <w:rPr>
                <w:rFonts w:ascii="Times New Roman" w:eastAsia="Times New Roman" w:hAnsi="Times New Roman" w:cs="Times New Roman"/>
                <w:b/>
                <w:bCs/>
                <w:sz w:val="20"/>
                <w:szCs w:val="20"/>
                <w:lang w:eastAsia="en-MY"/>
              </w:rPr>
            </w:pPr>
            <w:r w:rsidRPr="009162E1">
              <w:rPr>
                <w:rFonts w:ascii="Times New Roman" w:eastAsia="Times New Roman" w:hAnsi="Times New Roman" w:cs="Times New Roman"/>
                <w:sz w:val="20"/>
                <w:szCs w:val="20"/>
                <w:lang w:eastAsia="en-MY"/>
              </w:rPr>
              <w:t>13.53</w:t>
            </w:r>
          </w:p>
        </w:tc>
      </w:tr>
      <w:tr w:rsidR="00000C1B" w:rsidRPr="009162E1" w14:paraId="26B946A7" w14:textId="77777777" w:rsidTr="009162E1">
        <w:trPr>
          <w:jc w:val="center"/>
        </w:trPr>
        <w:tc>
          <w:tcPr>
            <w:tcW w:w="1796" w:type="dxa"/>
            <w:tcBorders>
              <w:top w:val="single" w:sz="4" w:space="0" w:color="auto"/>
              <w:left w:val="single" w:sz="4" w:space="0" w:color="auto"/>
              <w:bottom w:val="single" w:sz="4" w:space="0" w:color="auto"/>
              <w:right w:val="single" w:sz="4" w:space="0" w:color="auto"/>
            </w:tcBorders>
            <w:vAlign w:val="center"/>
            <w:hideMark/>
          </w:tcPr>
          <w:p w14:paraId="6256AC70" w14:textId="77777777" w:rsidR="00000C1B" w:rsidRPr="009162E1" w:rsidRDefault="00000C1B" w:rsidP="00F06E32">
            <w:pPr>
              <w:spacing w:after="0" w:line="240" w:lineRule="auto"/>
              <w:jc w:val="both"/>
              <w:rPr>
                <w:rFonts w:ascii="Times New Roman" w:eastAsia="Times New Roman" w:hAnsi="Times New Roman" w:cs="Times New Roman"/>
                <w:sz w:val="20"/>
                <w:szCs w:val="20"/>
                <w:lang w:eastAsia="en-MY"/>
              </w:rPr>
            </w:pPr>
            <w:r w:rsidRPr="009162E1">
              <w:rPr>
                <w:rFonts w:ascii="Times New Roman" w:eastAsia="Times New Roman" w:hAnsi="Times New Roman" w:cs="Times New Roman"/>
                <w:sz w:val="20"/>
                <w:szCs w:val="20"/>
                <w:lang w:eastAsia="en-MY"/>
              </w:rPr>
              <w:t xml:space="preserve">Pembinaan </w:t>
            </w:r>
          </w:p>
        </w:tc>
        <w:tc>
          <w:tcPr>
            <w:tcW w:w="1276" w:type="dxa"/>
            <w:tcBorders>
              <w:top w:val="single" w:sz="4" w:space="0" w:color="auto"/>
              <w:left w:val="single" w:sz="4" w:space="0" w:color="auto"/>
              <w:bottom w:val="single" w:sz="4" w:space="0" w:color="auto"/>
              <w:right w:val="single" w:sz="4" w:space="0" w:color="auto"/>
            </w:tcBorders>
            <w:vAlign w:val="center"/>
          </w:tcPr>
          <w:p w14:paraId="32223A07" w14:textId="77777777" w:rsidR="00000C1B" w:rsidRPr="009162E1" w:rsidRDefault="00000C1B" w:rsidP="00FC78CB">
            <w:pPr>
              <w:spacing w:after="0" w:line="240" w:lineRule="auto"/>
              <w:jc w:val="center"/>
              <w:rPr>
                <w:rFonts w:ascii="Times New Roman" w:eastAsia="Times New Roman" w:hAnsi="Times New Roman" w:cs="Times New Roman"/>
                <w:sz w:val="20"/>
                <w:szCs w:val="20"/>
                <w:lang w:eastAsia="en-MY"/>
              </w:rPr>
            </w:pPr>
            <w:r w:rsidRPr="009162E1">
              <w:rPr>
                <w:rFonts w:ascii="Times New Roman" w:eastAsia="Times New Roman" w:hAnsi="Times New Roman" w:cs="Times New Roman"/>
                <w:sz w:val="20"/>
                <w:szCs w:val="20"/>
                <w:lang w:eastAsia="en-MY"/>
              </w:rPr>
              <w:t>40</w:t>
            </w:r>
          </w:p>
        </w:tc>
        <w:tc>
          <w:tcPr>
            <w:tcW w:w="1417" w:type="dxa"/>
            <w:tcBorders>
              <w:top w:val="single" w:sz="4" w:space="0" w:color="auto"/>
              <w:left w:val="single" w:sz="4" w:space="0" w:color="auto"/>
              <w:bottom w:val="single" w:sz="4" w:space="0" w:color="auto"/>
              <w:right w:val="single" w:sz="4" w:space="0" w:color="auto"/>
            </w:tcBorders>
          </w:tcPr>
          <w:p w14:paraId="6618E340" w14:textId="77777777" w:rsidR="00000C1B" w:rsidRPr="009162E1" w:rsidRDefault="00000C1B" w:rsidP="00FC78CB">
            <w:pPr>
              <w:spacing w:after="0" w:line="240" w:lineRule="auto"/>
              <w:jc w:val="center"/>
              <w:rPr>
                <w:rFonts w:ascii="Times New Roman" w:eastAsia="Times New Roman" w:hAnsi="Times New Roman" w:cs="Times New Roman"/>
                <w:sz w:val="20"/>
                <w:szCs w:val="20"/>
                <w:lang w:eastAsia="en-MY"/>
              </w:rPr>
            </w:pPr>
            <w:r w:rsidRPr="009162E1">
              <w:rPr>
                <w:rFonts w:ascii="Times New Roman" w:eastAsia="Times New Roman" w:hAnsi="Times New Roman" w:cs="Times New Roman"/>
                <w:sz w:val="20"/>
                <w:szCs w:val="20"/>
                <w:lang w:eastAsia="en-MY"/>
              </w:rPr>
              <w:t>160</w:t>
            </w:r>
          </w:p>
        </w:tc>
        <w:tc>
          <w:tcPr>
            <w:tcW w:w="1560" w:type="dxa"/>
            <w:tcBorders>
              <w:top w:val="single" w:sz="4" w:space="0" w:color="auto"/>
              <w:left w:val="single" w:sz="4" w:space="0" w:color="auto"/>
              <w:bottom w:val="single" w:sz="4" w:space="0" w:color="auto"/>
              <w:right w:val="single" w:sz="4" w:space="0" w:color="auto"/>
            </w:tcBorders>
          </w:tcPr>
          <w:p w14:paraId="63D2FDBE" w14:textId="77777777" w:rsidR="00000C1B" w:rsidRPr="009162E1" w:rsidRDefault="00000C1B" w:rsidP="00FC78CB">
            <w:pPr>
              <w:spacing w:after="0" w:line="240" w:lineRule="auto"/>
              <w:jc w:val="center"/>
              <w:rPr>
                <w:rFonts w:ascii="Times New Roman" w:eastAsia="Times New Roman" w:hAnsi="Times New Roman" w:cs="Times New Roman"/>
                <w:sz w:val="20"/>
                <w:szCs w:val="20"/>
                <w:lang w:eastAsia="en-MY"/>
              </w:rPr>
            </w:pPr>
            <w:r w:rsidRPr="009162E1">
              <w:rPr>
                <w:rFonts w:ascii="Times New Roman" w:eastAsia="Times New Roman" w:hAnsi="Times New Roman" w:cs="Times New Roman"/>
                <w:sz w:val="20"/>
                <w:szCs w:val="20"/>
                <w:lang w:eastAsia="en-MY"/>
              </w:rPr>
              <w:t>40</w:t>
            </w:r>
          </w:p>
        </w:tc>
        <w:tc>
          <w:tcPr>
            <w:tcW w:w="1326" w:type="dxa"/>
            <w:tcBorders>
              <w:top w:val="single" w:sz="4" w:space="0" w:color="auto"/>
              <w:left w:val="single" w:sz="4" w:space="0" w:color="auto"/>
              <w:bottom w:val="single" w:sz="4" w:space="0" w:color="auto"/>
              <w:right w:val="single" w:sz="4" w:space="0" w:color="auto"/>
            </w:tcBorders>
          </w:tcPr>
          <w:p w14:paraId="305D46A7" w14:textId="77777777" w:rsidR="00000C1B" w:rsidRPr="009162E1" w:rsidRDefault="00000C1B" w:rsidP="00FC78CB">
            <w:pPr>
              <w:spacing w:after="0" w:line="240" w:lineRule="auto"/>
              <w:jc w:val="center"/>
              <w:rPr>
                <w:rFonts w:ascii="Times New Roman" w:eastAsia="Times New Roman" w:hAnsi="Times New Roman" w:cs="Times New Roman"/>
                <w:sz w:val="20"/>
                <w:szCs w:val="20"/>
                <w:lang w:eastAsia="en-MY"/>
              </w:rPr>
            </w:pPr>
            <w:r w:rsidRPr="009162E1">
              <w:rPr>
                <w:rFonts w:ascii="Times New Roman" w:eastAsia="Times New Roman" w:hAnsi="Times New Roman" w:cs="Times New Roman"/>
                <w:sz w:val="20"/>
                <w:szCs w:val="20"/>
                <w:lang w:eastAsia="en-MY"/>
              </w:rPr>
              <w:t>200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056C4C57" w14:textId="77777777" w:rsidR="00000C1B" w:rsidRPr="009162E1" w:rsidRDefault="00000C1B" w:rsidP="00FC78CB">
            <w:pPr>
              <w:spacing w:after="0" w:line="240" w:lineRule="auto"/>
              <w:jc w:val="center"/>
              <w:rPr>
                <w:rFonts w:ascii="Times New Roman" w:eastAsia="Times New Roman" w:hAnsi="Times New Roman" w:cs="Times New Roman"/>
                <w:sz w:val="20"/>
                <w:szCs w:val="20"/>
                <w:lang w:eastAsia="en-MY"/>
              </w:rPr>
            </w:pPr>
            <w:r w:rsidRPr="009162E1">
              <w:rPr>
                <w:rFonts w:ascii="Times New Roman" w:eastAsia="Times New Roman" w:hAnsi="Times New Roman" w:cs="Times New Roman"/>
                <w:sz w:val="20"/>
                <w:szCs w:val="20"/>
                <w:lang w:eastAsia="en-MY"/>
              </w:rPr>
              <w:t>6.19</w:t>
            </w:r>
          </w:p>
        </w:tc>
      </w:tr>
      <w:tr w:rsidR="00000C1B" w:rsidRPr="009162E1" w14:paraId="06AA6C74" w14:textId="77777777" w:rsidTr="009162E1">
        <w:trPr>
          <w:jc w:val="center"/>
        </w:trPr>
        <w:tc>
          <w:tcPr>
            <w:tcW w:w="1796" w:type="dxa"/>
            <w:tcBorders>
              <w:top w:val="single" w:sz="4" w:space="0" w:color="auto"/>
              <w:left w:val="single" w:sz="4" w:space="0" w:color="auto"/>
              <w:bottom w:val="single" w:sz="4" w:space="0" w:color="auto"/>
              <w:right w:val="single" w:sz="4" w:space="0" w:color="auto"/>
            </w:tcBorders>
            <w:vAlign w:val="center"/>
            <w:hideMark/>
          </w:tcPr>
          <w:p w14:paraId="2CD82C1E" w14:textId="77777777" w:rsidR="00000C1B" w:rsidRPr="009162E1" w:rsidRDefault="00000C1B" w:rsidP="00F06E32">
            <w:pPr>
              <w:spacing w:after="0" w:line="240" w:lineRule="auto"/>
              <w:jc w:val="both"/>
              <w:rPr>
                <w:rFonts w:ascii="Times New Roman" w:eastAsia="Times New Roman" w:hAnsi="Times New Roman" w:cs="Times New Roman"/>
                <w:sz w:val="20"/>
                <w:szCs w:val="20"/>
                <w:lang w:eastAsia="en-MY"/>
              </w:rPr>
            </w:pPr>
            <w:r w:rsidRPr="009162E1">
              <w:rPr>
                <w:rFonts w:ascii="Times New Roman" w:eastAsia="Times New Roman" w:hAnsi="Times New Roman" w:cs="Times New Roman"/>
                <w:sz w:val="20"/>
                <w:szCs w:val="20"/>
                <w:lang w:eastAsia="en-MY"/>
              </w:rPr>
              <w:t xml:space="preserve">Produk Pengguna </w:t>
            </w:r>
          </w:p>
        </w:tc>
        <w:tc>
          <w:tcPr>
            <w:tcW w:w="1276" w:type="dxa"/>
            <w:tcBorders>
              <w:top w:val="single" w:sz="4" w:space="0" w:color="auto"/>
              <w:left w:val="single" w:sz="4" w:space="0" w:color="auto"/>
              <w:bottom w:val="single" w:sz="4" w:space="0" w:color="auto"/>
              <w:right w:val="single" w:sz="4" w:space="0" w:color="auto"/>
            </w:tcBorders>
            <w:vAlign w:val="center"/>
          </w:tcPr>
          <w:p w14:paraId="7C213E41" w14:textId="77777777" w:rsidR="00000C1B" w:rsidRPr="009162E1" w:rsidRDefault="00000C1B" w:rsidP="00FC78CB">
            <w:pPr>
              <w:spacing w:after="0" w:line="240" w:lineRule="auto"/>
              <w:jc w:val="center"/>
              <w:rPr>
                <w:rFonts w:ascii="Times New Roman" w:eastAsia="Times New Roman" w:hAnsi="Times New Roman" w:cs="Times New Roman"/>
                <w:sz w:val="20"/>
                <w:szCs w:val="20"/>
                <w:lang w:eastAsia="en-MY"/>
              </w:rPr>
            </w:pPr>
            <w:r w:rsidRPr="009162E1">
              <w:rPr>
                <w:rFonts w:ascii="Times New Roman" w:eastAsia="Times New Roman" w:hAnsi="Times New Roman" w:cs="Times New Roman"/>
                <w:sz w:val="20"/>
                <w:szCs w:val="20"/>
                <w:lang w:eastAsia="en-MY"/>
              </w:rPr>
              <w:t>110</w:t>
            </w:r>
          </w:p>
        </w:tc>
        <w:tc>
          <w:tcPr>
            <w:tcW w:w="1417" w:type="dxa"/>
            <w:tcBorders>
              <w:top w:val="single" w:sz="4" w:space="0" w:color="auto"/>
              <w:left w:val="single" w:sz="4" w:space="0" w:color="auto"/>
              <w:bottom w:val="single" w:sz="4" w:space="0" w:color="auto"/>
              <w:right w:val="single" w:sz="4" w:space="0" w:color="auto"/>
            </w:tcBorders>
          </w:tcPr>
          <w:p w14:paraId="225E4F22" w14:textId="77777777" w:rsidR="00000C1B" w:rsidRPr="009162E1" w:rsidRDefault="00000C1B" w:rsidP="00FC78CB">
            <w:pPr>
              <w:spacing w:after="0" w:line="240" w:lineRule="auto"/>
              <w:jc w:val="center"/>
              <w:rPr>
                <w:rFonts w:ascii="Times New Roman" w:eastAsia="Times New Roman" w:hAnsi="Times New Roman" w:cs="Times New Roman"/>
                <w:sz w:val="20"/>
                <w:szCs w:val="20"/>
                <w:lang w:eastAsia="en-MY"/>
              </w:rPr>
            </w:pPr>
            <w:r w:rsidRPr="009162E1">
              <w:rPr>
                <w:rFonts w:ascii="Times New Roman" w:eastAsia="Times New Roman" w:hAnsi="Times New Roman" w:cs="Times New Roman"/>
                <w:sz w:val="20"/>
                <w:szCs w:val="20"/>
                <w:lang w:eastAsia="en-MY"/>
              </w:rPr>
              <w:t>440</w:t>
            </w:r>
          </w:p>
        </w:tc>
        <w:tc>
          <w:tcPr>
            <w:tcW w:w="1560" w:type="dxa"/>
            <w:tcBorders>
              <w:top w:val="single" w:sz="4" w:space="0" w:color="auto"/>
              <w:left w:val="single" w:sz="4" w:space="0" w:color="auto"/>
              <w:bottom w:val="single" w:sz="4" w:space="0" w:color="auto"/>
              <w:right w:val="single" w:sz="4" w:space="0" w:color="auto"/>
            </w:tcBorders>
          </w:tcPr>
          <w:p w14:paraId="170E8739" w14:textId="77777777" w:rsidR="00000C1B" w:rsidRPr="009162E1" w:rsidRDefault="00000C1B" w:rsidP="00FC78CB">
            <w:pPr>
              <w:spacing w:after="0" w:line="240" w:lineRule="auto"/>
              <w:jc w:val="center"/>
              <w:rPr>
                <w:rFonts w:ascii="Times New Roman" w:eastAsia="Times New Roman" w:hAnsi="Times New Roman" w:cs="Times New Roman"/>
                <w:sz w:val="20"/>
                <w:szCs w:val="20"/>
                <w:lang w:eastAsia="en-MY"/>
              </w:rPr>
            </w:pPr>
            <w:r w:rsidRPr="009162E1">
              <w:rPr>
                <w:rFonts w:ascii="Times New Roman" w:eastAsia="Times New Roman" w:hAnsi="Times New Roman" w:cs="Times New Roman"/>
                <w:sz w:val="20"/>
                <w:szCs w:val="20"/>
                <w:lang w:eastAsia="en-MY"/>
              </w:rPr>
              <w:t>152</w:t>
            </w:r>
          </w:p>
        </w:tc>
        <w:tc>
          <w:tcPr>
            <w:tcW w:w="1326" w:type="dxa"/>
            <w:tcBorders>
              <w:top w:val="single" w:sz="4" w:space="0" w:color="auto"/>
              <w:left w:val="single" w:sz="4" w:space="0" w:color="auto"/>
              <w:bottom w:val="single" w:sz="4" w:space="0" w:color="auto"/>
              <w:right w:val="single" w:sz="4" w:space="0" w:color="auto"/>
            </w:tcBorders>
          </w:tcPr>
          <w:p w14:paraId="23664E34" w14:textId="77777777" w:rsidR="00000C1B" w:rsidRPr="009162E1" w:rsidRDefault="00000C1B" w:rsidP="00FC78CB">
            <w:pPr>
              <w:spacing w:after="0" w:line="240" w:lineRule="auto"/>
              <w:jc w:val="center"/>
              <w:rPr>
                <w:rFonts w:ascii="Times New Roman" w:eastAsia="Times New Roman" w:hAnsi="Times New Roman" w:cs="Times New Roman"/>
                <w:sz w:val="20"/>
                <w:szCs w:val="20"/>
                <w:lang w:eastAsia="en-MY"/>
              </w:rPr>
            </w:pPr>
            <w:r w:rsidRPr="009162E1">
              <w:rPr>
                <w:rFonts w:ascii="Times New Roman" w:eastAsia="Times New Roman" w:hAnsi="Times New Roman" w:cs="Times New Roman"/>
                <w:sz w:val="20"/>
                <w:szCs w:val="20"/>
                <w:lang w:eastAsia="en-MY"/>
              </w:rPr>
              <w:t>592</w:t>
            </w:r>
          </w:p>
        </w:tc>
        <w:tc>
          <w:tcPr>
            <w:tcW w:w="900" w:type="dxa"/>
            <w:tcBorders>
              <w:top w:val="single" w:sz="4" w:space="0" w:color="auto"/>
              <w:left w:val="single" w:sz="4" w:space="0" w:color="auto"/>
              <w:bottom w:val="single" w:sz="4" w:space="0" w:color="auto"/>
              <w:right w:val="single" w:sz="4" w:space="0" w:color="auto"/>
            </w:tcBorders>
            <w:vAlign w:val="center"/>
            <w:hideMark/>
          </w:tcPr>
          <w:p w14:paraId="26D2F915" w14:textId="77777777" w:rsidR="00000C1B" w:rsidRPr="009162E1" w:rsidRDefault="00000C1B" w:rsidP="00FC78CB">
            <w:pPr>
              <w:spacing w:after="0" w:line="240" w:lineRule="auto"/>
              <w:jc w:val="center"/>
              <w:rPr>
                <w:rFonts w:ascii="Times New Roman" w:eastAsia="Times New Roman" w:hAnsi="Times New Roman" w:cs="Times New Roman"/>
                <w:sz w:val="20"/>
                <w:szCs w:val="20"/>
                <w:lang w:eastAsia="en-MY"/>
              </w:rPr>
            </w:pPr>
            <w:r w:rsidRPr="009162E1">
              <w:rPr>
                <w:rFonts w:ascii="Times New Roman" w:eastAsia="Times New Roman" w:hAnsi="Times New Roman" w:cs="Times New Roman"/>
                <w:sz w:val="20"/>
                <w:szCs w:val="20"/>
                <w:lang w:eastAsia="en-MY"/>
              </w:rPr>
              <w:t>18.33</w:t>
            </w:r>
          </w:p>
        </w:tc>
      </w:tr>
      <w:tr w:rsidR="00000C1B" w:rsidRPr="009162E1" w14:paraId="14525C5A" w14:textId="77777777" w:rsidTr="009162E1">
        <w:trPr>
          <w:jc w:val="center"/>
        </w:trPr>
        <w:tc>
          <w:tcPr>
            <w:tcW w:w="1796" w:type="dxa"/>
            <w:tcBorders>
              <w:top w:val="single" w:sz="4" w:space="0" w:color="auto"/>
              <w:left w:val="single" w:sz="4" w:space="0" w:color="auto"/>
              <w:bottom w:val="single" w:sz="4" w:space="0" w:color="auto"/>
              <w:right w:val="single" w:sz="4" w:space="0" w:color="auto"/>
            </w:tcBorders>
            <w:vAlign w:val="center"/>
            <w:hideMark/>
          </w:tcPr>
          <w:p w14:paraId="530F5F1A" w14:textId="77777777" w:rsidR="00000C1B" w:rsidRPr="009162E1" w:rsidRDefault="00000C1B" w:rsidP="00F06E32">
            <w:pPr>
              <w:spacing w:after="0" w:line="240" w:lineRule="auto"/>
              <w:jc w:val="both"/>
              <w:rPr>
                <w:rFonts w:ascii="Times New Roman" w:eastAsia="Times New Roman" w:hAnsi="Times New Roman" w:cs="Times New Roman"/>
                <w:sz w:val="20"/>
                <w:szCs w:val="20"/>
                <w:lang w:eastAsia="en-MY"/>
              </w:rPr>
            </w:pPr>
            <w:r w:rsidRPr="009162E1">
              <w:rPr>
                <w:rFonts w:ascii="Times New Roman" w:eastAsia="Times New Roman" w:hAnsi="Times New Roman" w:cs="Times New Roman"/>
                <w:sz w:val="20"/>
                <w:szCs w:val="20"/>
                <w:lang w:eastAsia="en-MY"/>
              </w:rPr>
              <w:t xml:space="preserve">Teknologi </w:t>
            </w:r>
          </w:p>
        </w:tc>
        <w:tc>
          <w:tcPr>
            <w:tcW w:w="1276" w:type="dxa"/>
            <w:tcBorders>
              <w:top w:val="single" w:sz="4" w:space="0" w:color="auto"/>
              <w:left w:val="single" w:sz="4" w:space="0" w:color="auto"/>
              <w:bottom w:val="single" w:sz="4" w:space="0" w:color="auto"/>
              <w:right w:val="single" w:sz="4" w:space="0" w:color="auto"/>
            </w:tcBorders>
            <w:vAlign w:val="center"/>
          </w:tcPr>
          <w:p w14:paraId="0FC054CB" w14:textId="77777777" w:rsidR="00000C1B" w:rsidRPr="009162E1" w:rsidRDefault="00000C1B" w:rsidP="00FC78CB">
            <w:pPr>
              <w:spacing w:after="0" w:line="240" w:lineRule="auto"/>
              <w:jc w:val="center"/>
              <w:rPr>
                <w:rFonts w:ascii="Times New Roman" w:eastAsia="Times New Roman" w:hAnsi="Times New Roman" w:cs="Times New Roman"/>
                <w:sz w:val="20"/>
                <w:szCs w:val="20"/>
                <w:lang w:eastAsia="en-MY"/>
              </w:rPr>
            </w:pPr>
            <w:r w:rsidRPr="009162E1">
              <w:rPr>
                <w:rFonts w:ascii="Times New Roman" w:eastAsia="Times New Roman" w:hAnsi="Times New Roman" w:cs="Times New Roman"/>
                <w:sz w:val="20"/>
                <w:szCs w:val="20"/>
                <w:lang w:eastAsia="en-MY"/>
              </w:rPr>
              <w:t>31</w:t>
            </w:r>
          </w:p>
        </w:tc>
        <w:tc>
          <w:tcPr>
            <w:tcW w:w="1417" w:type="dxa"/>
            <w:tcBorders>
              <w:top w:val="single" w:sz="4" w:space="0" w:color="auto"/>
              <w:left w:val="single" w:sz="4" w:space="0" w:color="auto"/>
              <w:bottom w:val="single" w:sz="4" w:space="0" w:color="auto"/>
              <w:right w:val="single" w:sz="4" w:space="0" w:color="auto"/>
            </w:tcBorders>
          </w:tcPr>
          <w:p w14:paraId="6081BC3F" w14:textId="77777777" w:rsidR="00000C1B" w:rsidRPr="009162E1" w:rsidRDefault="00000C1B" w:rsidP="00FC78CB">
            <w:pPr>
              <w:spacing w:after="0" w:line="240" w:lineRule="auto"/>
              <w:jc w:val="center"/>
              <w:rPr>
                <w:rFonts w:ascii="Times New Roman" w:eastAsia="Times New Roman" w:hAnsi="Times New Roman" w:cs="Times New Roman"/>
                <w:sz w:val="20"/>
                <w:szCs w:val="20"/>
                <w:lang w:eastAsia="en-MY"/>
              </w:rPr>
            </w:pPr>
            <w:r w:rsidRPr="009162E1">
              <w:rPr>
                <w:rFonts w:ascii="Times New Roman" w:eastAsia="Times New Roman" w:hAnsi="Times New Roman" w:cs="Times New Roman"/>
                <w:sz w:val="20"/>
                <w:szCs w:val="20"/>
                <w:lang w:eastAsia="en-MY"/>
              </w:rPr>
              <w:t>124</w:t>
            </w:r>
          </w:p>
        </w:tc>
        <w:tc>
          <w:tcPr>
            <w:tcW w:w="1560" w:type="dxa"/>
            <w:tcBorders>
              <w:top w:val="single" w:sz="4" w:space="0" w:color="auto"/>
              <w:left w:val="single" w:sz="4" w:space="0" w:color="auto"/>
              <w:bottom w:val="single" w:sz="4" w:space="0" w:color="auto"/>
              <w:right w:val="single" w:sz="4" w:space="0" w:color="auto"/>
            </w:tcBorders>
          </w:tcPr>
          <w:p w14:paraId="6C1FA82F" w14:textId="77777777" w:rsidR="00000C1B" w:rsidRPr="009162E1" w:rsidRDefault="00000C1B" w:rsidP="00FC78CB">
            <w:pPr>
              <w:spacing w:after="0" w:line="240" w:lineRule="auto"/>
              <w:jc w:val="center"/>
              <w:rPr>
                <w:rFonts w:ascii="Times New Roman" w:eastAsia="Times New Roman" w:hAnsi="Times New Roman" w:cs="Times New Roman"/>
                <w:sz w:val="20"/>
                <w:szCs w:val="20"/>
                <w:lang w:eastAsia="en-MY"/>
              </w:rPr>
            </w:pPr>
            <w:r w:rsidRPr="009162E1">
              <w:rPr>
                <w:rFonts w:ascii="Times New Roman" w:eastAsia="Times New Roman" w:hAnsi="Times New Roman" w:cs="Times New Roman"/>
                <w:sz w:val="20"/>
                <w:szCs w:val="20"/>
                <w:lang w:eastAsia="en-MY"/>
              </w:rPr>
              <w:t>31</w:t>
            </w:r>
          </w:p>
        </w:tc>
        <w:tc>
          <w:tcPr>
            <w:tcW w:w="1326" w:type="dxa"/>
            <w:tcBorders>
              <w:top w:val="single" w:sz="4" w:space="0" w:color="auto"/>
              <w:left w:val="single" w:sz="4" w:space="0" w:color="auto"/>
              <w:bottom w:val="single" w:sz="4" w:space="0" w:color="auto"/>
              <w:right w:val="single" w:sz="4" w:space="0" w:color="auto"/>
            </w:tcBorders>
          </w:tcPr>
          <w:p w14:paraId="1583F11D" w14:textId="77777777" w:rsidR="00000C1B" w:rsidRPr="009162E1" w:rsidRDefault="00000C1B" w:rsidP="00FC78CB">
            <w:pPr>
              <w:spacing w:after="0" w:line="240" w:lineRule="auto"/>
              <w:jc w:val="center"/>
              <w:rPr>
                <w:rFonts w:ascii="Times New Roman" w:eastAsia="Times New Roman" w:hAnsi="Times New Roman" w:cs="Times New Roman"/>
                <w:sz w:val="20"/>
                <w:szCs w:val="20"/>
                <w:lang w:eastAsia="en-MY"/>
              </w:rPr>
            </w:pPr>
            <w:r w:rsidRPr="009162E1">
              <w:rPr>
                <w:rFonts w:ascii="Times New Roman" w:eastAsia="Times New Roman" w:hAnsi="Times New Roman" w:cs="Times New Roman"/>
                <w:sz w:val="20"/>
                <w:szCs w:val="20"/>
                <w:lang w:eastAsia="en-MY"/>
              </w:rPr>
              <w:t>155</w:t>
            </w:r>
          </w:p>
        </w:tc>
        <w:tc>
          <w:tcPr>
            <w:tcW w:w="900" w:type="dxa"/>
            <w:tcBorders>
              <w:top w:val="single" w:sz="4" w:space="0" w:color="auto"/>
              <w:left w:val="single" w:sz="4" w:space="0" w:color="auto"/>
              <w:bottom w:val="single" w:sz="4" w:space="0" w:color="auto"/>
              <w:right w:val="single" w:sz="4" w:space="0" w:color="auto"/>
            </w:tcBorders>
            <w:vAlign w:val="center"/>
            <w:hideMark/>
          </w:tcPr>
          <w:p w14:paraId="01C59784" w14:textId="77777777" w:rsidR="00000C1B" w:rsidRPr="009162E1" w:rsidRDefault="00000C1B" w:rsidP="00FC78CB">
            <w:pPr>
              <w:spacing w:after="0" w:line="240" w:lineRule="auto"/>
              <w:jc w:val="center"/>
              <w:rPr>
                <w:rFonts w:ascii="Times New Roman" w:eastAsia="Times New Roman" w:hAnsi="Times New Roman" w:cs="Times New Roman"/>
                <w:sz w:val="20"/>
                <w:szCs w:val="20"/>
                <w:lang w:eastAsia="en-MY"/>
              </w:rPr>
            </w:pPr>
            <w:r w:rsidRPr="009162E1">
              <w:rPr>
                <w:rFonts w:ascii="Times New Roman" w:eastAsia="Times New Roman" w:hAnsi="Times New Roman" w:cs="Times New Roman"/>
                <w:sz w:val="20"/>
                <w:szCs w:val="20"/>
                <w:lang w:eastAsia="en-MY"/>
              </w:rPr>
              <w:t>4.80</w:t>
            </w:r>
          </w:p>
        </w:tc>
      </w:tr>
      <w:tr w:rsidR="00000C1B" w:rsidRPr="009162E1" w14:paraId="2D1F1965" w14:textId="77777777" w:rsidTr="009162E1">
        <w:trPr>
          <w:jc w:val="center"/>
        </w:trPr>
        <w:tc>
          <w:tcPr>
            <w:tcW w:w="1796" w:type="dxa"/>
            <w:tcBorders>
              <w:top w:val="single" w:sz="4" w:space="0" w:color="auto"/>
              <w:left w:val="single" w:sz="4" w:space="0" w:color="auto"/>
              <w:bottom w:val="single" w:sz="4" w:space="0" w:color="auto"/>
              <w:right w:val="single" w:sz="4" w:space="0" w:color="auto"/>
            </w:tcBorders>
            <w:vAlign w:val="center"/>
          </w:tcPr>
          <w:p w14:paraId="36ADA16B" w14:textId="77777777" w:rsidR="00000C1B" w:rsidRPr="009162E1" w:rsidRDefault="00000C1B" w:rsidP="00F06E32">
            <w:pPr>
              <w:spacing w:after="0" w:line="240" w:lineRule="auto"/>
              <w:jc w:val="both"/>
              <w:rPr>
                <w:rFonts w:ascii="Times New Roman" w:eastAsia="Times New Roman" w:hAnsi="Times New Roman" w:cs="Times New Roman"/>
                <w:sz w:val="20"/>
                <w:szCs w:val="20"/>
                <w:lang w:eastAsia="en-MY"/>
              </w:rPr>
            </w:pPr>
            <w:r w:rsidRPr="009162E1">
              <w:rPr>
                <w:rFonts w:ascii="Times New Roman" w:eastAsia="Times New Roman" w:hAnsi="Times New Roman" w:cs="Times New Roman"/>
                <w:sz w:val="20"/>
                <w:szCs w:val="20"/>
                <w:lang w:eastAsia="en-MY"/>
              </w:rPr>
              <w:t>Lain-lain</w:t>
            </w:r>
          </w:p>
        </w:tc>
        <w:tc>
          <w:tcPr>
            <w:tcW w:w="1276" w:type="dxa"/>
            <w:tcBorders>
              <w:top w:val="single" w:sz="4" w:space="0" w:color="auto"/>
              <w:left w:val="single" w:sz="4" w:space="0" w:color="auto"/>
              <w:bottom w:val="single" w:sz="4" w:space="0" w:color="auto"/>
              <w:right w:val="single" w:sz="4" w:space="0" w:color="auto"/>
            </w:tcBorders>
            <w:vAlign w:val="center"/>
          </w:tcPr>
          <w:p w14:paraId="3E16639B" w14:textId="77777777" w:rsidR="00000C1B" w:rsidRPr="009162E1" w:rsidRDefault="00000C1B" w:rsidP="00FC78CB">
            <w:pPr>
              <w:spacing w:after="0" w:line="240" w:lineRule="auto"/>
              <w:jc w:val="center"/>
              <w:rPr>
                <w:rFonts w:ascii="Times New Roman" w:eastAsia="Times New Roman" w:hAnsi="Times New Roman" w:cs="Times New Roman"/>
                <w:sz w:val="20"/>
                <w:szCs w:val="20"/>
                <w:lang w:eastAsia="en-MY"/>
              </w:rPr>
            </w:pPr>
            <w:r w:rsidRPr="009162E1">
              <w:rPr>
                <w:rFonts w:ascii="Times New Roman" w:eastAsia="Times New Roman" w:hAnsi="Times New Roman" w:cs="Times New Roman"/>
                <w:sz w:val="20"/>
                <w:szCs w:val="20"/>
                <w:lang w:eastAsia="en-MY"/>
              </w:rPr>
              <w:t>7</w:t>
            </w:r>
          </w:p>
        </w:tc>
        <w:tc>
          <w:tcPr>
            <w:tcW w:w="1417" w:type="dxa"/>
            <w:tcBorders>
              <w:top w:val="single" w:sz="4" w:space="0" w:color="auto"/>
              <w:left w:val="single" w:sz="4" w:space="0" w:color="auto"/>
              <w:bottom w:val="single" w:sz="4" w:space="0" w:color="auto"/>
              <w:right w:val="single" w:sz="4" w:space="0" w:color="auto"/>
            </w:tcBorders>
          </w:tcPr>
          <w:p w14:paraId="7BF81410" w14:textId="77777777" w:rsidR="00000C1B" w:rsidRPr="009162E1" w:rsidRDefault="00000C1B" w:rsidP="00FC78CB">
            <w:pPr>
              <w:spacing w:after="0" w:line="240" w:lineRule="auto"/>
              <w:jc w:val="center"/>
              <w:rPr>
                <w:rFonts w:ascii="Times New Roman" w:eastAsia="Times New Roman" w:hAnsi="Times New Roman" w:cs="Times New Roman"/>
                <w:sz w:val="20"/>
                <w:szCs w:val="20"/>
                <w:lang w:eastAsia="en-MY"/>
              </w:rPr>
            </w:pPr>
            <w:r w:rsidRPr="009162E1">
              <w:rPr>
                <w:rFonts w:ascii="Times New Roman" w:eastAsia="Times New Roman" w:hAnsi="Times New Roman" w:cs="Times New Roman"/>
                <w:sz w:val="20"/>
                <w:szCs w:val="20"/>
                <w:lang w:eastAsia="en-MY"/>
              </w:rPr>
              <w:t>28</w:t>
            </w:r>
          </w:p>
        </w:tc>
        <w:tc>
          <w:tcPr>
            <w:tcW w:w="1560" w:type="dxa"/>
            <w:tcBorders>
              <w:top w:val="single" w:sz="4" w:space="0" w:color="auto"/>
              <w:left w:val="single" w:sz="4" w:space="0" w:color="auto"/>
              <w:bottom w:val="single" w:sz="4" w:space="0" w:color="auto"/>
              <w:right w:val="single" w:sz="4" w:space="0" w:color="auto"/>
            </w:tcBorders>
          </w:tcPr>
          <w:p w14:paraId="77269315" w14:textId="77777777" w:rsidR="00000C1B" w:rsidRPr="009162E1" w:rsidRDefault="00000C1B" w:rsidP="00FC78CB">
            <w:pPr>
              <w:spacing w:after="0" w:line="240" w:lineRule="auto"/>
              <w:jc w:val="center"/>
              <w:rPr>
                <w:rFonts w:ascii="Times New Roman" w:eastAsia="Times New Roman" w:hAnsi="Times New Roman" w:cs="Times New Roman"/>
                <w:sz w:val="20"/>
                <w:szCs w:val="20"/>
                <w:lang w:eastAsia="en-MY"/>
              </w:rPr>
            </w:pPr>
            <w:r w:rsidRPr="009162E1">
              <w:rPr>
                <w:rFonts w:ascii="Times New Roman" w:eastAsia="Times New Roman" w:hAnsi="Times New Roman" w:cs="Times New Roman"/>
                <w:sz w:val="20"/>
                <w:szCs w:val="20"/>
                <w:lang w:eastAsia="en-MY"/>
              </w:rPr>
              <w:t>91</w:t>
            </w:r>
          </w:p>
        </w:tc>
        <w:tc>
          <w:tcPr>
            <w:tcW w:w="1326" w:type="dxa"/>
            <w:tcBorders>
              <w:top w:val="single" w:sz="4" w:space="0" w:color="auto"/>
              <w:left w:val="single" w:sz="4" w:space="0" w:color="auto"/>
              <w:bottom w:val="single" w:sz="4" w:space="0" w:color="auto"/>
              <w:right w:val="single" w:sz="4" w:space="0" w:color="auto"/>
            </w:tcBorders>
          </w:tcPr>
          <w:p w14:paraId="1DE594C7" w14:textId="77777777" w:rsidR="00000C1B" w:rsidRPr="009162E1" w:rsidRDefault="00000C1B" w:rsidP="00FC78CB">
            <w:pPr>
              <w:spacing w:after="0" w:line="240" w:lineRule="auto"/>
              <w:jc w:val="center"/>
              <w:rPr>
                <w:rFonts w:ascii="Times New Roman" w:eastAsia="Times New Roman" w:hAnsi="Times New Roman" w:cs="Times New Roman"/>
                <w:sz w:val="20"/>
                <w:szCs w:val="20"/>
                <w:lang w:eastAsia="en-MY"/>
              </w:rPr>
            </w:pPr>
            <w:r w:rsidRPr="009162E1">
              <w:rPr>
                <w:rFonts w:ascii="Times New Roman" w:eastAsia="Times New Roman" w:hAnsi="Times New Roman" w:cs="Times New Roman"/>
                <w:sz w:val="20"/>
                <w:szCs w:val="20"/>
                <w:lang w:eastAsia="en-MY"/>
              </w:rPr>
              <w:t>119</w:t>
            </w:r>
          </w:p>
        </w:tc>
        <w:tc>
          <w:tcPr>
            <w:tcW w:w="900" w:type="dxa"/>
            <w:tcBorders>
              <w:top w:val="single" w:sz="4" w:space="0" w:color="auto"/>
              <w:left w:val="single" w:sz="4" w:space="0" w:color="auto"/>
              <w:bottom w:val="single" w:sz="4" w:space="0" w:color="auto"/>
              <w:right w:val="single" w:sz="4" w:space="0" w:color="auto"/>
            </w:tcBorders>
            <w:vAlign w:val="center"/>
          </w:tcPr>
          <w:p w14:paraId="0B894B6C" w14:textId="77777777" w:rsidR="00000C1B" w:rsidRPr="009162E1" w:rsidRDefault="00000C1B" w:rsidP="00FC78CB">
            <w:pPr>
              <w:spacing w:after="0" w:line="240" w:lineRule="auto"/>
              <w:jc w:val="center"/>
              <w:rPr>
                <w:rFonts w:ascii="Times New Roman" w:eastAsia="Times New Roman" w:hAnsi="Times New Roman" w:cs="Times New Roman"/>
                <w:sz w:val="20"/>
                <w:szCs w:val="20"/>
                <w:lang w:eastAsia="en-MY"/>
              </w:rPr>
            </w:pPr>
            <w:r w:rsidRPr="009162E1">
              <w:rPr>
                <w:rFonts w:ascii="Times New Roman" w:eastAsia="Times New Roman" w:hAnsi="Times New Roman" w:cs="Times New Roman"/>
                <w:sz w:val="20"/>
                <w:szCs w:val="20"/>
                <w:lang w:eastAsia="en-MY"/>
              </w:rPr>
              <w:t>3.68</w:t>
            </w:r>
          </w:p>
        </w:tc>
      </w:tr>
      <w:tr w:rsidR="00000C1B" w:rsidRPr="009162E1" w14:paraId="1E1920E0" w14:textId="77777777" w:rsidTr="009162E1">
        <w:trPr>
          <w:jc w:val="center"/>
        </w:trPr>
        <w:tc>
          <w:tcPr>
            <w:tcW w:w="1796" w:type="dxa"/>
            <w:tcBorders>
              <w:top w:val="single" w:sz="4" w:space="0" w:color="auto"/>
              <w:left w:val="single" w:sz="4" w:space="0" w:color="auto"/>
              <w:bottom w:val="single" w:sz="4" w:space="0" w:color="auto"/>
              <w:right w:val="single" w:sz="4" w:space="0" w:color="auto"/>
            </w:tcBorders>
            <w:vAlign w:val="center"/>
            <w:hideMark/>
          </w:tcPr>
          <w:p w14:paraId="1D1E0326" w14:textId="77777777" w:rsidR="00000C1B" w:rsidRPr="009162E1" w:rsidRDefault="00000C1B" w:rsidP="00F06E32">
            <w:pPr>
              <w:spacing w:after="0" w:line="240" w:lineRule="auto"/>
              <w:jc w:val="both"/>
              <w:rPr>
                <w:rFonts w:ascii="Times New Roman" w:eastAsia="Times New Roman" w:hAnsi="Times New Roman" w:cs="Times New Roman"/>
                <w:b/>
                <w:sz w:val="20"/>
                <w:szCs w:val="20"/>
                <w:lang w:eastAsia="en-MY"/>
              </w:rPr>
            </w:pPr>
            <w:r w:rsidRPr="009162E1">
              <w:rPr>
                <w:rFonts w:ascii="Times New Roman" w:eastAsia="Times New Roman" w:hAnsi="Times New Roman" w:cs="Times New Roman"/>
                <w:b/>
                <w:bCs/>
                <w:sz w:val="20"/>
                <w:szCs w:val="20"/>
                <w:lang w:eastAsia="en-MY"/>
              </w:rPr>
              <w:t xml:space="preserve">JUMLAH </w:t>
            </w:r>
          </w:p>
        </w:tc>
        <w:tc>
          <w:tcPr>
            <w:tcW w:w="1276" w:type="dxa"/>
            <w:tcBorders>
              <w:top w:val="single" w:sz="4" w:space="0" w:color="auto"/>
              <w:left w:val="single" w:sz="4" w:space="0" w:color="auto"/>
              <w:bottom w:val="single" w:sz="4" w:space="0" w:color="auto"/>
              <w:right w:val="single" w:sz="4" w:space="0" w:color="auto"/>
            </w:tcBorders>
            <w:vAlign w:val="center"/>
          </w:tcPr>
          <w:p w14:paraId="236B78E9" w14:textId="77777777" w:rsidR="00000C1B" w:rsidRPr="009162E1" w:rsidRDefault="00000C1B" w:rsidP="00FC78CB">
            <w:pPr>
              <w:spacing w:after="0" w:line="240" w:lineRule="auto"/>
              <w:jc w:val="center"/>
              <w:rPr>
                <w:rFonts w:ascii="Times New Roman" w:eastAsia="Times New Roman" w:hAnsi="Times New Roman" w:cs="Times New Roman"/>
                <w:b/>
                <w:sz w:val="20"/>
                <w:szCs w:val="20"/>
                <w:lang w:eastAsia="en-MY"/>
              </w:rPr>
            </w:pPr>
            <w:r w:rsidRPr="009162E1">
              <w:rPr>
                <w:rFonts w:ascii="Times New Roman" w:eastAsia="Times New Roman" w:hAnsi="Times New Roman" w:cs="Times New Roman"/>
                <w:b/>
                <w:sz w:val="20"/>
                <w:szCs w:val="20"/>
                <w:lang w:eastAsia="en-MY"/>
              </w:rPr>
              <w:t>646</w:t>
            </w:r>
          </w:p>
        </w:tc>
        <w:tc>
          <w:tcPr>
            <w:tcW w:w="1417" w:type="dxa"/>
            <w:tcBorders>
              <w:top w:val="single" w:sz="4" w:space="0" w:color="auto"/>
              <w:left w:val="single" w:sz="4" w:space="0" w:color="auto"/>
              <w:bottom w:val="single" w:sz="4" w:space="0" w:color="auto"/>
              <w:right w:val="single" w:sz="4" w:space="0" w:color="auto"/>
            </w:tcBorders>
          </w:tcPr>
          <w:p w14:paraId="6D0A4DA5" w14:textId="77777777" w:rsidR="00000C1B" w:rsidRPr="009162E1" w:rsidRDefault="00000C1B" w:rsidP="00FC78CB">
            <w:pPr>
              <w:spacing w:after="0" w:line="240" w:lineRule="auto"/>
              <w:jc w:val="center"/>
              <w:rPr>
                <w:rFonts w:ascii="Times New Roman" w:eastAsia="Times New Roman" w:hAnsi="Times New Roman" w:cs="Times New Roman"/>
                <w:b/>
                <w:sz w:val="20"/>
                <w:szCs w:val="20"/>
                <w:lang w:eastAsia="en-MY"/>
              </w:rPr>
            </w:pPr>
            <w:r w:rsidRPr="009162E1">
              <w:rPr>
                <w:rFonts w:ascii="Times New Roman" w:eastAsia="Times New Roman" w:hAnsi="Times New Roman" w:cs="Times New Roman"/>
                <w:b/>
                <w:sz w:val="20"/>
                <w:szCs w:val="20"/>
                <w:lang w:eastAsia="en-MY"/>
              </w:rPr>
              <w:t>2,584</w:t>
            </w:r>
          </w:p>
        </w:tc>
        <w:tc>
          <w:tcPr>
            <w:tcW w:w="1560" w:type="dxa"/>
            <w:tcBorders>
              <w:top w:val="single" w:sz="4" w:space="0" w:color="auto"/>
              <w:left w:val="single" w:sz="4" w:space="0" w:color="auto"/>
              <w:bottom w:val="single" w:sz="4" w:space="0" w:color="auto"/>
              <w:right w:val="single" w:sz="4" w:space="0" w:color="auto"/>
            </w:tcBorders>
          </w:tcPr>
          <w:p w14:paraId="3F51AC53" w14:textId="77777777" w:rsidR="00000C1B" w:rsidRPr="009162E1" w:rsidRDefault="00000C1B" w:rsidP="00FC78CB">
            <w:pPr>
              <w:spacing w:after="0" w:line="240" w:lineRule="auto"/>
              <w:jc w:val="center"/>
              <w:rPr>
                <w:rFonts w:ascii="Times New Roman" w:eastAsia="Times New Roman" w:hAnsi="Times New Roman" w:cs="Times New Roman"/>
                <w:b/>
                <w:bCs/>
                <w:sz w:val="20"/>
                <w:szCs w:val="20"/>
                <w:lang w:eastAsia="en-MY"/>
              </w:rPr>
            </w:pPr>
            <w:r w:rsidRPr="009162E1">
              <w:rPr>
                <w:rFonts w:ascii="Times New Roman" w:eastAsia="Times New Roman" w:hAnsi="Times New Roman" w:cs="Times New Roman"/>
                <w:b/>
                <w:bCs/>
                <w:sz w:val="20"/>
                <w:szCs w:val="20"/>
                <w:lang w:eastAsia="en-MY"/>
              </w:rPr>
              <w:t>646</w:t>
            </w:r>
          </w:p>
        </w:tc>
        <w:tc>
          <w:tcPr>
            <w:tcW w:w="1326" w:type="dxa"/>
            <w:tcBorders>
              <w:top w:val="single" w:sz="4" w:space="0" w:color="auto"/>
              <w:left w:val="single" w:sz="4" w:space="0" w:color="auto"/>
              <w:bottom w:val="single" w:sz="4" w:space="0" w:color="auto"/>
              <w:right w:val="single" w:sz="4" w:space="0" w:color="auto"/>
            </w:tcBorders>
          </w:tcPr>
          <w:p w14:paraId="3B4CCFE2" w14:textId="77777777" w:rsidR="00000C1B" w:rsidRPr="009162E1" w:rsidRDefault="00000C1B" w:rsidP="00FC78CB">
            <w:pPr>
              <w:spacing w:after="0" w:line="240" w:lineRule="auto"/>
              <w:jc w:val="center"/>
              <w:rPr>
                <w:rFonts w:ascii="Times New Roman" w:eastAsia="Times New Roman" w:hAnsi="Times New Roman" w:cs="Times New Roman"/>
                <w:b/>
                <w:bCs/>
                <w:sz w:val="20"/>
                <w:szCs w:val="20"/>
                <w:lang w:eastAsia="en-MY"/>
              </w:rPr>
            </w:pPr>
            <w:r w:rsidRPr="009162E1">
              <w:rPr>
                <w:rFonts w:ascii="Times New Roman" w:eastAsia="Times New Roman" w:hAnsi="Times New Roman" w:cs="Times New Roman"/>
                <w:b/>
                <w:bCs/>
                <w:sz w:val="20"/>
                <w:szCs w:val="20"/>
                <w:lang w:eastAsia="en-MY"/>
              </w:rPr>
              <w:t>3,230</w:t>
            </w:r>
          </w:p>
        </w:tc>
        <w:tc>
          <w:tcPr>
            <w:tcW w:w="900" w:type="dxa"/>
            <w:tcBorders>
              <w:top w:val="single" w:sz="4" w:space="0" w:color="auto"/>
              <w:left w:val="single" w:sz="4" w:space="0" w:color="auto"/>
              <w:bottom w:val="single" w:sz="4" w:space="0" w:color="auto"/>
              <w:right w:val="single" w:sz="4" w:space="0" w:color="auto"/>
            </w:tcBorders>
            <w:vAlign w:val="center"/>
            <w:hideMark/>
          </w:tcPr>
          <w:p w14:paraId="0CCFE1E1" w14:textId="77777777" w:rsidR="00000C1B" w:rsidRPr="009162E1" w:rsidRDefault="00000C1B" w:rsidP="00FC78CB">
            <w:pPr>
              <w:spacing w:after="0" w:line="240" w:lineRule="auto"/>
              <w:jc w:val="center"/>
              <w:rPr>
                <w:rFonts w:ascii="Times New Roman" w:eastAsia="Times New Roman" w:hAnsi="Times New Roman" w:cs="Times New Roman"/>
                <w:sz w:val="20"/>
                <w:szCs w:val="20"/>
                <w:lang w:eastAsia="en-MY"/>
              </w:rPr>
            </w:pPr>
            <w:r w:rsidRPr="009162E1">
              <w:rPr>
                <w:rFonts w:ascii="Times New Roman" w:eastAsia="Times New Roman" w:hAnsi="Times New Roman" w:cs="Times New Roman"/>
                <w:b/>
                <w:bCs/>
                <w:sz w:val="20"/>
                <w:szCs w:val="20"/>
                <w:lang w:eastAsia="en-MY"/>
              </w:rPr>
              <w:t>100</w:t>
            </w:r>
          </w:p>
        </w:tc>
      </w:tr>
    </w:tbl>
    <w:p w14:paraId="3F6072A1" w14:textId="35C58150" w:rsidR="00701609" w:rsidRDefault="00701609" w:rsidP="00740E96">
      <w:pPr>
        <w:spacing w:after="0" w:line="240" w:lineRule="auto"/>
        <w:jc w:val="both"/>
        <w:rPr>
          <w:rFonts w:ascii="Times New Roman" w:hAnsi="Times New Roman" w:cs="Times New Roman"/>
          <w:color w:val="FF0000"/>
          <w:sz w:val="24"/>
          <w:szCs w:val="24"/>
        </w:rPr>
      </w:pPr>
    </w:p>
    <w:p w14:paraId="74FEBD7D" w14:textId="77777777" w:rsidR="005E7DA1" w:rsidRPr="000F712E" w:rsidRDefault="005E7DA1" w:rsidP="00740E96">
      <w:pPr>
        <w:spacing w:after="0" w:line="240" w:lineRule="auto"/>
        <w:jc w:val="both"/>
        <w:rPr>
          <w:rFonts w:ascii="Times New Roman" w:hAnsi="Times New Roman" w:cs="Times New Roman"/>
          <w:color w:val="FF0000"/>
          <w:sz w:val="24"/>
          <w:szCs w:val="24"/>
        </w:rPr>
      </w:pPr>
    </w:p>
    <w:p w14:paraId="28F76271" w14:textId="27F8DD5A" w:rsidR="00137BB4" w:rsidRPr="00137BB4" w:rsidRDefault="00274311" w:rsidP="00C70FB4">
      <w:pPr>
        <w:jc w:val="both"/>
        <w:rPr>
          <w:rFonts w:ascii="Times New Roman" w:eastAsiaTheme="majorEastAsia" w:hAnsi="Times New Roman" w:cs="Times New Roman"/>
          <w:b/>
          <w:sz w:val="24"/>
          <w:szCs w:val="24"/>
        </w:rPr>
      </w:pPr>
      <w:bookmarkStart w:id="11" w:name="_Toc36497538"/>
      <w:r w:rsidRPr="00137BB4">
        <w:rPr>
          <w:rFonts w:ascii="Times New Roman" w:eastAsiaTheme="majorEastAsia" w:hAnsi="Times New Roman" w:cs="Times New Roman"/>
          <w:b/>
          <w:sz w:val="24"/>
          <w:szCs w:val="24"/>
        </w:rPr>
        <w:t>M</w:t>
      </w:r>
      <w:bookmarkEnd w:id="11"/>
      <w:r>
        <w:rPr>
          <w:rFonts w:ascii="Times New Roman" w:eastAsiaTheme="majorEastAsia" w:hAnsi="Times New Roman" w:cs="Times New Roman"/>
          <w:b/>
          <w:sz w:val="24"/>
          <w:szCs w:val="24"/>
        </w:rPr>
        <w:t>odel Kajian dan Pengukuran</w:t>
      </w:r>
    </w:p>
    <w:p w14:paraId="4B74BFF1" w14:textId="791D8796" w:rsidR="00137BB4" w:rsidRPr="00137BB4" w:rsidRDefault="00C70FB4" w:rsidP="007F4F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Kajian ini menggunakan analisis regresi data panel untuk menguji hipotesis kajian.</w:t>
      </w:r>
      <w:r w:rsidR="007F4FD8">
        <w:rPr>
          <w:rFonts w:ascii="Times New Roman" w:hAnsi="Times New Roman" w:cs="Times New Roman"/>
          <w:sz w:val="24"/>
          <w:szCs w:val="24"/>
        </w:rPr>
        <w:t xml:space="preserve"> </w:t>
      </w:r>
      <w:r w:rsidR="007F4FD8" w:rsidRPr="00137BB4">
        <w:rPr>
          <w:rFonts w:ascii="Times New Roman" w:hAnsi="Times New Roman" w:cs="Times New Roman"/>
          <w:sz w:val="24"/>
          <w:szCs w:val="24"/>
        </w:rPr>
        <w:t xml:space="preserve">Menggunakan perisian </w:t>
      </w:r>
      <w:r w:rsidR="007F4FD8" w:rsidRPr="00137BB4">
        <w:rPr>
          <w:rFonts w:ascii="Times New Roman" w:hAnsi="Times New Roman" w:cs="Times New Roman"/>
          <w:i/>
          <w:sz w:val="24"/>
          <w:szCs w:val="24"/>
        </w:rPr>
        <w:t>Eviews 10 Statistical Package Software</w:t>
      </w:r>
      <w:r w:rsidR="007F4FD8" w:rsidRPr="00137BB4">
        <w:rPr>
          <w:rFonts w:ascii="Times New Roman" w:hAnsi="Times New Roman" w:cs="Times New Roman"/>
          <w:sz w:val="24"/>
          <w:szCs w:val="24"/>
        </w:rPr>
        <w:t xml:space="preserve">, ujian Chow dan Hausman </w:t>
      </w:r>
      <w:r w:rsidR="007F4FD8">
        <w:rPr>
          <w:rFonts w:ascii="Times New Roman" w:hAnsi="Times New Roman" w:cs="Times New Roman"/>
          <w:sz w:val="24"/>
          <w:szCs w:val="24"/>
        </w:rPr>
        <w:t xml:space="preserve">(hasil kajian tidak ditunjukkan) </w:t>
      </w:r>
      <w:r w:rsidR="007F4FD8" w:rsidRPr="00137BB4">
        <w:rPr>
          <w:rFonts w:ascii="Times New Roman" w:hAnsi="Times New Roman" w:cs="Times New Roman"/>
          <w:sz w:val="24"/>
          <w:szCs w:val="24"/>
        </w:rPr>
        <w:t xml:space="preserve">dijalankan bagi mengenalpasti model yang terbaik. </w:t>
      </w:r>
      <w:r w:rsidR="007F4FD8">
        <w:rPr>
          <w:rFonts w:ascii="Times New Roman" w:hAnsi="Times New Roman" w:cs="Times New Roman"/>
          <w:sz w:val="24"/>
          <w:szCs w:val="24"/>
        </w:rPr>
        <w:t xml:space="preserve">Dapatan kajian mendapati </w:t>
      </w:r>
      <w:r w:rsidR="007F4FD8" w:rsidRPr="00137BB4">
        <w:rPr>
          <w:rFonts w:ascii="Times New Roman" w:hAnsi="Times New Roman" w:cs="Times New Roman"/>
          <w:sz w:val="24"/>
          <w:szCs w:val="24"/>
        </w:rPr>
        <w:t>model kesan tetap adalah lebih sesuai digunakan dalam memproses data kajian ini.</w:t>
      </w:r>
      <w:r w:rsidR="007F4FD8">
        <w:rPr>
          <w:rFonts w:ascii="Times New Roman" w:hAnsi="Times New Roman" w:cs="Times New Roman"/>
          <w:sz w:val="24"/>
          <w:szCs w:val="24"/>
        </w:rPr>
        <w:t xml:space="preserve"> </w:t>
      </w:r>
      <w:r w:rsidR="000F712E">
        <w:rPr>
          <w:rFonts w:ascii="Times New Roman" w:hAnsi="Times New Roman" w:cs="Times New Roman"/>
          <w:sz w:val="24"/>
          <w:szCs w:val="24"/>
        </w:rPr>
        <w:t>Model kajian adalah seperti di bawah:</w:t>
      </w:r>
      <w:r w:rsidR="00137BB4" w:rsidRPr="00137BB4">
        <w:rPr>
          <w:rFonts w:ascii="Times New Roman" w:hAnsi="Times New Roman" w:cs="Times New Roman"/>
          <w:sz w:val="24"/>
          <w:szCs w:val="24"/>
        </w:rPr>
        <w:t xml:space="preserve">  </w:t>
      </w:r>
    </w:p>
    <w:p w14:paraId="58F453DF" w14:textId="77777777" w:rsidR="00137BB4" w:rsidRPr="00137BB4" w:rsidRDefault="00137BB4" w:rsidP="00137BB4">
      <w:pPr>
        <w:spacing w:after="0" w:line="360" w:lineRule="auto"/>
        <w:jc w:val="both"/>
        <w:rPr>
          <w:rFonts w:ascii="Times New Roman" w:hAnsi="Times New Roman" w:cs="Times New Roman"/>
          <w:sz w:val="24"/>
          <w:szCs w:val="24"/>
        </w:rPr>
      </w:pPr>
    </w:p>
    <w:p w14:paraId="0B0DDDEB" w14:textId="44F4DB1C" w:rsidR="00137BB4" w:rsidRDefault="00137BB4" w:rsidP="00701609">
      <w:pPr>
        <w:spacing w:after="0" w:line="360" w:lineRule="auto"/>
        <w:jc w:val="both"/>
        <w:rPr>
          <w:rFonts w:ascii="Times New Roman" w:hAnsi="Times New Roman" w:cs="Times New Roman"/>
          <w:sz w:val="24"/>
          <w:szCs w:val="24"/>
        </w:rPr>
      </w:pPr>
      <w:r w:rsidRPr="00137BB4">
        <w:rPr>
          <w:rFonts w:ascii="Times New Roman" w:hAnsi="Times New Roman" w:cs="Times New Roman"/>
          <w:sz w:val="24"/>
          <w:szCs w:val="24"/>
        </w:rPr>
        <w:t>UPB =</w:t>
      </w:r>
      <w:r w:rsidRPr="00137BB4">
        <w:rPr>
          <w:rFonts w:ascii="Times New Roman" w:hAnsi="Times New Roman" w:cs="Times New Roman"/>
          <w:sz w:val="24"/>
          <w:szCs w:val="24"/>
        </w:rPr>
        <w:tab/>
        <w:t>α + β</w:t>
      </w:r>
      <w:r w:rsidRPr="00137BB4">
        <w:rPr>
          <w:rFonts w:ascii="Times New Roman" w:hAnsi="Times New Roman" w:cs="Times New Roman"/>
          <w:sz w:val="24"/>
          <w:szCs w:val="24"/>
          <w:vertAlign w:val="subscript"/>
        </w:rPr>
        <w:t>1</w:t>
      </w:r>
      <w:r w:rsidRPr="00137BB4">
        <w:rPr>
          <w:rFonts w:ascii="Times New Roman" w:hAnsi="Times New Roman" w:cs="Times New Roman"/>
          <w:sz w:val="24"/>
          <w:szCs w:val="24"/>
        </w:rPr>
        <w:t xml:space="preserve"> </w:t>
      </w:r>
      <w:r w:rsidR="004D7323">
        <w:rPr>
          <w:rFonts w:ascii="Times New Roman" w:hAnsi="Times New Roman" w:cs="Times New Roman"/>
          <w:sz w:val="24"/>
          <w:szCs w:val="24"/>
        </w:rPr>
        <w:t>FAPI</w:t>
      </w:r>
      <w:r w:rsidRPr="00137BB4">
        <w:rPr>
          <w:rFonts w:ascii="Times New Roman" w:hAnsi="Times New Roman" w:cs="Times New Roman"/>
          <w:sz w:val="24"/>
          <w:szCs w:val="24"/>
        </w:rPr>
        <w:t xml:space="preserve"> + β</w:t>
      </w:r>
      <w:r w:rsidR="00701609" w:rsidRPr="00701609">
        <w:rPr>
          <w:rFonts w:ascii="Times New Roman" w:hAnsi="Times New Roman" w:cs="Times New Roman"/>
          <w:sz w:val="24"/>
          <w:szCs w:val="24"/>
          <w:vertAlign w:val="subscript"/>
        </w:rPr>
        <w:t>2</w:t>
      </w:r>
      <w:r w:rsidRPr="00137BB4">
        <w:rPr>
          <w:rFonts w:ascii="Times New Roman" w:hAnsi="Times New Roman" w:cs="Times New Roman"/>
          <w:sz w:val="24"/>
          <w:szCs w:val="24"/>
          <w:vertAlign w:val="subscript"/>
        </w:rPr>
        <w:t xml:space="preserve"> </w:t>
      </w:r>
      <w:r w:rsidR="00782DC0">
        <w:rPr>
          <w:rFonts w:ascii="Times New Roman" w:hAnsi="Times New Roman" w:cs="Times New Roman"/>
          <w:sz w:val="24"/>
          <w:szCs w:val="24"/>
        </w:rPr>
        <w:t>Saiz</w:t>
      </w:r>
      <w:r w:rsidRPr="00137BB4">
        <w:rPr>
          <w:rFonts w:ascii="Times New Roman" w:hAnsi="Times New Roman" w:cs="Times New Roman"/>
          <w:sz w:val="24"/>
          <w:szCs w:val="24"/>
        </w:rPr>
        <w:t>+ β</w:t>
      </w:r>
      <w:r w:rsidR="00701609">
        <w:rPr>
          <w:rFonts w:ascii="Times New Roman" w:hAnsi="Times New Roman" w:cs="Times New Roman"/>
          <w:sz w:val="24"/>
          <w:szCs w:val="24"/>
          <w:vertAlign w:val="subscript"/>
        </w:rPr>
        <w:t>3</w:t>
      </w:r>
      <w:r w:rsidRPr="00137BB4">
        <w:rPr>
          <w:rFonts w:ascii="Times New Roman" w:hAnsi="Times New Roman" w:cs="Times New Roman"/>
          <w:sz w:val="24"/>
          <w:szCs w:val="24"/>
          <w:vertAlign w:val="subscript"/>
        </w:rPr>
        <w:t xml:space="preserve"> </w:t>
      </w:r>
      <w:r w:rsidRPr="00137BB4">
        <w:rPr>
          <w:rFonts w:ascii="Times New Roman" w:hAnsi="Times New Roman" w:cs="Times New Roman"/>
          <w:sz w:val="24"/>
          <w:szCs w:val="24"/>
        </w:rPr>
        <w:t>Umpil + β</w:t>
      </w:r>
      <w:r w:rsidR="00701609">
        <w:rPr>
          <w:rFonts w:ascii="Times New Roman" w:hAnsi="Times New Roman" w:cs="Times New Roman"/>
          <w:sz w:val="24"/>
          <w:szCs w:val="24"/>
          <w:vertAlign w:val="subscript"/>
        </w:rPr>
        <w:t>4</w:t>
      </w:r>
      <w:r w:rsidRPr="00137BB4">
        <w:rPr>
          <w:rFonts w:ascii="Times New Roman" w:hAnsi="Times New Roman" w:cs="Times New Roman"/>
          <w:sz w:val="24"/>
          <w:szCs w:val="24"/>
          <w:vertAlign w:val="subscript"/>
        </w:rPr>
        <w:t xml:space="preserve"> </w:t>
      </w:r>
      <w:r w:rsidRPr="00137BB4">
        <w:rPr>
          <w:rFonts w:ascii="Times New Roman" w:hAnsi="Times New Roman" w:cs="Times New Roman"/>
          <w:sz w:val="24"/>
          <w:szCs w:val="24"/>
        </w:rPr>
        <w:t>PAA + Β</w:t>
      </w:r>
      <w:r w:rsidR="00701609">
        <w:rPr>
          <w:rFonts w:ascii="Times New Roman" w:hAnsi="Times New Roman" w:cs="Times New Roman"/>
          <w:sz w:val="24"/>
          <w:szCs w:val="24"/>
          <w:vertAlign w:val="subscript"/>
        </w:rPr>
        <w:t>5</w:t>
      </w:r>
      <w:r w:rsidRPr="00137BB4">
        <w:rPr>
          <w:rFonts w:ascii="Times New Roman" w:hAnsi="Times New Roman" w:cs="Times New Roman"/>
          <w:sz w:val="24"/>
          <w:szCs w:val="24"/>
          <w:vertAlign w:val="subscript"/>
        </w:rPr>
        <w:t xml:space="preserve"> </w:t>
      </w:r>
      <w:r w:rsidRPr="00137BB4">
        <w:rPr>
          <w:rFonts w:ascii="Times New Roman" w:hAnsi="Times New Roman" w:cs="Times New Roman"/>
          <w:sz w:val="24"/>
          <w:szCs w:val="24"/>
        </w:rPr>
        <w:t>Tumbuh + β</w:t>
      </w:r>
      <w:r w:rsidR="00701609">
        <w:rPr>
          <w:rFonts w:ascii="Times New Roman" w:hAnsi="Times New Roman" w:cs="Times New Roman"/>
          <w:sz w:val="24"/>
          <w:szCs w:val="24"/>
          <w:vertAlign w:val="subscript"/>
        </w:rPr>
        <w:t>6</w:t>
      </w:r>
      <w:r w:rsidRPr="00137BB4">
        <w:rPr>
          <w:rFonts w:ascii="Times New Roman" w:hAnsi="Times New Roman" w:cs="Times New Roman"/>
          <w:sz w:val="24"/>
          <w:szCs w:val="24"/>
          <w:vertAlign w:val="subscript"/>
        </w:rPr>
        <w:t xml:space="preserve"> </w:t>
      </w:r>
      <w:r w:rsidR="00782DC0">
        <w:rPr>
          <w:rFonts w:ascii="Times New Roman" w:hAnsi="Times New Roman" w:cs="Times New Roman"/>
          <w:sz w:val="24"/>
          <w:szCs w:val="24"/>
        </w:rPr>
        <w:t>LPSaiz</w:t>
      </w:r>
      <w:r w:rsidRPr="00137BB4">
        <w:rPr>
          <w:rFonts w:ascii="Times New Roman" w:hAnsi="Times New Roman" w:cs="Times New Roman"/>
          <w:sz w:val="24"/>
          <w:szCs w:val="24"/>
        </w:rPr>
        <w:t xml:space="preserve"> + β</w:t>
      </w:r>
      <w:r w:rsidR="00701609">
        <w:rPr>
          <w:rFonts w:ascii="Times New Roman" w:hAnsi="Times New Roman" w:cs="Times New Roman"/>
          <w:sz w:val="24"/>
          <w:szCs w:val="24"/>
          <w:vertAlign w:val="subscript"/>
        </w:rPr>
        <w:t>7</w:t>
      </w:r>
      <w:r w:rsidRPr="00137BB4">
        <w:rPr>
          <w:rFonts w:ascii="Times New Roman" w:hAnsi="Times New Roman" w:cs="Times New Roman"/>
          <w:sz w:val="24"/>
          <w:szCs w:val="24"/>
          <w:vertAlign w:val="subscript"/>
        </w:rPr>
        <w:t xml:space="preserve"> </w:t>
      </w:r>
      <w:r w:rsidR="00782DC0">
        <w:rPr>
          <w:rFonts w:ascii="Times New Roman" w:hAnsi="Times New Roman" w:cs="Times New Roman"/>
          <w:sz w:val="24"/>
          <w:szCs w:val="24"/>
        </w:rPr>
        <w:t>PBebas</w:t>
      </w:r>
      <w:r w:rsidRPr="00137BB4">
        <w:rPr>
          <w:rFonts w:ascii="Times New Roman" w:hAnsi="Times New Roman" w:cs="Times New Roman"/>
          <w:sz w:val="24"/>
          <w:szCs w:val="24"/>
        </w:rPr>
        <w:t xml:space="preserve"> + β</w:t>
      </w:r>
      <w:r w:rsidR="00701609">
        <w:rPr>
          <w:rFonts w:ascii="Times New Roman" w:hAnsi="Times New Roman" w:cs="Times New Roman"/>
          <w:sz w:val="24"/>
          <w:szCs w:val="24"/>
          <w:vertAlign w:val="subscript"/>
        </w:rPr>
        <w:t>8</w:t>
      </w:r>
      <w:r w:rsidRPr="00137BB4">
        <w:rPr>
          <w:rFonts w:ascii="Times New Roman" w:hAnsi="Times New Roman" w:cs="Times New Roman"/>
          <w:sz w:val="24"/>
          <w:szCs w:val="24"/>
          <w:vertAlign w:val="subscript"/>
        </w:rPr>
        <w:t xml:space="preserve"> </w:t>
      </w:r>
      <w:r w:rsidR="00782DC0">
        <w:rPr>
          <w:rFonts w:ascii="Times New Roman" w:hAnsi="Times New Roman" w:cs="Times New Roman"/>
          <w:sz w:val="24"/>
          <w:szCs w:val="24"/>
        </w:rPr>
        <w:t>JKAudit</w:t>
      </w:r>
      <w:r w:rsidRPr="00137BB4">
        <w:rPr>
          <w:rFonts w:ascii="Times New Roman" w:hAnsi="Times New Roman" w:cs="Times New Roman"/>
          <w:sz w:val="24"/>
          <w:szCs w:val="24"/>
        </w:rPr>
        <w:t xml:space="preserve"> + β</w:t>
      </w:r>
      <w:r w:rsidR="0008267D">
        <w:rPr>
          <w:rFonts w:ascii="Times New Roman" w:hAnsi="Times New Roman" w:cs="Times New Roman"/>
          <w:sz w:val="24"/>
          <w:szCs w:val="24"/>
          <w:vertAlign w:val="subscript"/>
        </w:rPr>
        <w:t>9</w:t>
      </w:r>
      <w:r w:rsidRPr="00137BB4">
        <w:rPr>
          <w:rFonts w:ascii="Times New Roman" w:hAnsi="Times New Roman" w:cs="Times New Roman"/>
          <w:sz w:val="24"/>
          <w:szCs w:val="24"/>
          <w:vertAlign w:val="subscript"/>
        </w:rPr>
        <w:t xml:space="preserve"> </w:t>
      </w:r>
      <w:r w:rsidRPr="00137BB4">
        <w:rPr>
          <w:rFonts w:ascii="Times New Roman" w:hAnsi="Times New Roman" w:cs="Times New Roman"/>
          <w:sz w:val="24"/>
          <w:szCs w:val="24"/>
        </w:rPr>
        <w:t>∑</w:t>
      </w:r>
      <w:r w:rsidRPr="00137BB4">
        <w:rPr>
          <w:rFonts w:ascii="Times New Roman" w:hAnsi="Times New Roman" w:cs="Times New Roman"/>
          <w:sz w:val="24"/>
          <w:szCs w:val="24"/>
          <w:vertAlign w:val="subscript"/>
        </w:rPr>
        <w:t>8</w:t>
      </w:r>
      <w:r w:rsidRPr="00137BB4">
        <w:rPr>
          <w:rFonts w:ascii="Times New Roman" w:hAnsi="Times New Roman" w:cs="Times New Roman"/>
          <w:sz w:val="24"/>
          <w:szCs w:val="24"/>
        </w:rPr>
        <w:t>Industri + β</w:t>
      </w:r>
      <w:r w:rsidRPr="00137BB4">
        <w:rPr>
          <w:rFonts w:ascii="Times New Roman" w:hAnsi="Times New Roman" w:cs="Times New Roman"/>
          <w:sz w:val="24"/>
          <w:szCs w:val="24"/>
          <w:vertAlign w:val="subscript"/>
        </w:rPr>
        <w:t>1</w:t>
      </w:r>
      <w:r w:rsidR="0008267D">
        <w:rPr>
          <w:rFonts w:ascii="Times New Roman" w:hAnsi="Times New Roman" w:cs="Times New Roman"/>
          <w:sz w:val="24"/>
          <w:szCs w:val="24"/>
          <w:vertAlign w:val="subscript"/>
        </w:rPr>
        <w:t>0</w:t>
      </w:r>
      <w:r w:rsidRPr="00137BB4">
        <w:rPr>
          <w:rFonts w:ascii="Times New Roman" w:hAnsi="Times New Roman" w:cs="Times New Roman"/>
          <w:sz w:val="24"/>
          <w:szCs w:val="24"/>
          <w:vertAlign w:val="subscript"/>
        </w:rPr>
        <w:t xml:space="preserve"> </w:t>
      </w:r>
      <w:r w:rsidRPr="00137BB4">
        <w:rPr>
          <w:rFonts w:ascii="Times New Roman" w:hAnsi="Times New Roman" w:cs="Times New Roman"/>
          <w:sz w:val="24"/>
          <w:szCs w:val="24"/>
        </w:rPr>
        <w:t>∑</w:t>
      </w:r>
      <w:r w:rsidRPr="00137BB4">
        <w:rPr>
          <w:rFonts w:ascii="Times New Roman" w:hAnsi="Times New Roman" w:cs="Times New Roman"/>
          <w:sz w:val="24"/>
          <w:szCs w:val="24"/>
          <w:vertAlign w:val="subscript"/>
        </w:rPr>
        <w:t>5</w:t>
      </w:r>
      <w:r w:rsidRPr="00137BB4">
        <w:rPr>
          <w:rFonts w:ascii="Times New Roman" w:hAnsi="Times New Roman" w:cs="Times New Roman"/>
          <w:sz w:val="24"/>
          <w:szCs w:val="24"/>
        </w:rPr>
        <w:t>Tahun</w:t>
      </w:r>
      <w:r w:rsidRPr="00137BB4">
        <w:rPr>
          <w:rFonts w:ascii="Times New Roman" w:hAnsi="Times New Roman" w:cs="Times New Roman"/>
          <w:sz w:val="24"/>
          <w:szCs w:val="24"/>
          <w:vertAlign w:val="subscript"/>
        </w:rPr>
        <w:t xml:space="preserve"> </w:t>
      </w:r>
      <w:r w:rsidRPr="00137BB4">
        <w:rPr>
          <w:rFonts w:ascii="Times New Roman" w:hAnsi="Times New Roman" w:cs="Times New Roman"/>
          <w:sz w:val="24"/>
          <w:szCs w:val="24"/>
        </w:rPr>
        <w:t>+ ε</w:t>
      </w:r>
    </w:p>
    <w:p w14:paraId="142C92F0" w14:textId="77777777" w:rsidR="00354D63" w:rsidRDefault="00354D63" w:rsidP="00701609">
      <w:pPr>
        <w:spacing w:after="0" w:line="360" w:lineRule="auto"/>
        <w:jc w:val="both"/>
        <w:rPr>
          <w:rFonts w:ascii="Times New Roman" w:hAnsi="Times New Roman" w:cs="Times New Roman"/>
          <w:sz w:val="24"/>
          <w:szCs w:val="24"/>
        </w:rPr>
      </w:pPr>
    </w:p>
    <w:p w14:paraId="28DCE59E" w14:textId="0D0DC347" w:rsidR="0066057A" w:rsidRDefault="0066057A" w:rsidP="00701609">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Penerangan  mengenai</w:t>
      </w:r>
      <w:proofErr w:type="gramEnd"/>
      <w:r>
        <w:rPr>
          <w:rFonts w:ascii="Times New Roman" w:hAnsi="Times New Roman" w:cs="Times New Roman"/>
          <w:sz w:val="24"/>
          <w:szCs w:val="24"/>
        </w:rPr>
        <w:t xml:space="preserve"> pembolehubah seperti </w:t>
      </w:r>
      <w:r w:rsidR="00524F19">
        <w:rPr>
          <w:rFonts w:ascii="Times New Roman" w:hAnsi="Times New Roman" w:cs="Times New Roman"/>
          <w:sz w:val="24"/>
          <w:szCs w:val="24"/>
        </w:rPr>
        <w:t>berikut:</w:t>
      </w:r>
    </w:p>
    <w:p w14:paraId="64093636" w14:textId="77777777" w:rsidR="00354D63" w:rsidRDefault="00354D63" w:rsidP="00701609">
      <w:pPr>
        <w:spacing w:after="0" w:line="360" w:lineRule="auto"/>
        <w:jc w:val="both"/>
        <w:rPr>
          <w:rFonts w:ascii="Times New Roman" w:hAnsi="Times New Roman" w:cs="Times New Roman"/>
          <w:sz w:val="24"/>
          <w:szCs w:val="24"/>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1927"/>
        <w:gridCol w:w="5523"/>
      </w:tblGrid>
      <w:tr w:rsidR="0066057A" w:rsidRPr="00354D63" w14:paraId="5C2CC182" w14:textId="77777777" w:rsidTr="00354D63">
        <w:tc>
          <w:tcPr>
            <w:tcW w:w="1622" w:type="dxa"/>
          </w:tcPr>
          <w:p w14:paraId="005B9079" w14:textId="00A6E57F" w:rsidR="0066057A" w:rsidRPr="00354D63" w:rsidRDefault="0066057A" w:rsidP="009162E1">
            <w:pPr>
              <w:rPr>
                <w:rFonts w:ascii="Times New Roman" w:hAnsi="Times New Roman" w:cs="Times New Roman"/>
                <w:b/>
                <w:bCs/>
              </w:rPr>
            </w:pPr>
            <w:r w:rsidRPr="00354D63">
              <w:rPr>
                <w:rFonts w:ascii="Times New Roman" w:hAnsi="Times New Roman" w:cs="Times New Roman"/>
                <w:b/>
                <w:bCs/>
              </w:rPr>
              <w:t>Pembolehubah</w:t>
            </w:r>
          </w:p>
        </w:tc>
        <w:tc>
          <w:tcPr>
            <w:tcW w:w="1927" w:type="dxa"/>
          </w:tcPr>
          <w:p w14:paraId="53C22E46" w14:textId="0C293AFA" w:rsidR="0066057A" w:rsidRPr="00354D63" w:rsidRDefault="0066057A" w:rsidP="009162E1">
            <w:pPr>
              <w:rPr>
                <w:rFonts w:ascii="Times New Roman" w:hAnsi="Times New Roman" w:cs="Times New Roman"/>
                <w:b/>
                <w:bCs/>
              </w:rPr>
            </w:pPr>
            <w:r w:rsidRPr="00354D63">
              <w:rPr>
                <w:rFonts w:ascii="Times New Roman" w:hAnsi="Times New Roman" w:cs="Times New Roman"/>
                <w:b/>
                <w:bCs/>
              </w:rPr>
              <w:t>Penerangan</w:t>
            </w:r>
          </w:p>
        </w:tc>
        <w:tc>
          <w:tcPr>
            <w:tcW w:w="5523" w:type="dxa"/>
          </w:tcPr>
          <w:p w14:paraId="5B7615BC" w14:textId="150BE394" w:rsidR="0066057A" w:rsidRPr="00354D63" w:rsidRDefault="0066057A" w:rsidP="00346674">
            <w:pPr>
              <w:jc w:val="center"/>
              <w:rPr>
                <w:rFonts w:ascii="Times New Roman" w:hAnsi="Times New Roman" w:cs="Times New Roman"/>
                <w:b/>
                <w:bCs/>
              </w:rPr>
            </w:pPr>
            <w:r w:rsidRPr="00354D63">
              <w:rPr>
                <w:rFonts w:ascii="Times New Roman" w:hAnsi="Times New Roman" w:cs="Times New Roman"/>
                <w:b/>
                <w:bCs/>
              </w:rPr>
              <w:t>Pengukuran</w:t>
            </w:r>
          </w:p>
        </w:tc>
      </w:tr>
      <w:tr w:rsidR="0066057A" w:rsidRPr="00354D63" w14:paraId="10431FD0" w14:textId="77777777" w:rsidTr="00354D63">
        <w:tc>
          <w:tcPr>
            <w:tcW w:w="1622" w:type="dxa"/>
          </w:tcPr>
          <w:p w14:paraId="101030A8" w14:textId="05A46FC5" w:rsidR="0066057A" w:rsidRPr="00354D63" w:rsidRDefault="0066057A" w:rsidP="00346674">
            <w:pPr>
              <w:jc w:val="both"/>
              <w:rPr>
                <w:rFonts w:ascii="Times New Roman" w:hAnsi="Times New Roman" w:cs="Times New Roman"/>
              </w:rPr>
            </w:pPr>
            <w:r w:rsidRPr="00354D63">
              <w:rPr>
                <w:rFonts w:ascii="Times New Roman" w:hAnsi="Times New Roman" w:cs="Times New Roman"/>
              </w:rPr>
              <w:t>UPB</w:t>
            </w:r>
          </w:p>
        </w:tc>
        <w:tc>
          <w:tcPr>
            <w:tcW w:w="1927" w:type="dxa"/>
          </w:tcPr>
          <w:p w14:paraId="58275D9E" w14:textId="252CAA06" w:rsidR="0066057A" w:rsidRPr="00354D63" w:rsidRDefault="0066057A" w:rsidP="00346674">
            <w:pPr>
              <w:rPr>
                <w:rFonts w:ascii="Times New Roman" w:hAnsi="Times New Roman" w:cs="Times New Roman"/>
              </w:rPr>
            </w:pPr>
            <w:r w:rsidRPr="00354D63">
              <w:rPr>
                <w:rFonts w:ascii="Times New Roman" w:hAnsi="Times New Roman" w:cs="Times New Roman"/>
              </w:rPr>
              <w:t>Urusniaga</w:t>
            </w:r>
            <w:r w:rsidR="00346674" w:rsidRPr="00354D63">
              <w:rPr>
                <w:rFonts w:ascii="Times New Roman" w:hAnsi="Times New Roman" w:cs="Times New Roman"/>
              </w:rPr>
              <w:t xml:space="preserve"> </w:t>
            </w:r>
            <w:r w:rsidRPr="00354D63">
              <w:rPr>
                <w:rFonts w:ascii="Times New Roman" w:hAnsi="Times New Roman" w:cs="Times New Roman"/>
              </w:rPr>
              <w:t>Pihak Berkaitan</w:t>
            </w:r>
          </w:p>
        </w:tc>
        <w:tc>
          <w:tcPr>
            <w:tcW w:w="5523" w:type="dxa"/>
          </w:tcPr>
          <w:p w14:paraId="7DB920EC" w14:textId="45C4C4F0" w:rsidR="0066057A" w:rsidRPr="00354D63" w:rsidRDefault="00524F19" w:rsidP="00346674">
            <w:pPr>
              <w:jc w:val="both"/>
              <w:rPr>
                <w:rFonts w:ascii="Times New Roman" w:hAnsi="Times New Roman" w:cs="Times New Roman"/>
              </w:rPr>
            </w:pPr>
            <w:r w:rsidRPr="00354D63">
              <w:rPr>
                <w:rFonts w:ascii="Times New Roman" w:hAnsi="Times New Roman" w:cs="Times New Roman"/>
              </w:rPr>
              <w:t xml:space="preserve">Berdasarkan logaritma asli kepada </w:t>
            </w:r>
            <w:r w:rsidR="0066057A" w:rsidRPr="00354D63">
              <w:rPr>
                <w:rFonts w:ascii="Times New Roman" w:hAnsi="Times New Roman" w:cs="Times New Roman"/>
              </w:rPr>
              <w:t>amaun UPB</w:t>
            </w:r>
            <w:r w:rsidR="005E7DA1">
              <w:rPr>
                <w:rFonts w:ascii="Times New Roman" w:hAnsi="Times New Roman" w:cs="Times New Roman"/>
              </w:rPr>
              <w:t xml:space="preserve"> </w:t>
            </w:r>
            <w:r w:rsidRPr="00354D63">
              <w:rPr>
                <w:rFonts w:ascii="Times New Roman" w:hAnsi="Times New Roman" w:cs="Times New Roman"/>
              </w:rPr>
              <w:t>yang dilaporkan dalam penyata kewangan</w:t>
            </w:r>
          </w:p>
          <w:p w14:paraId="793F6643" w14:textId="42310222" w:rsidR="00311C78" w:rsidRPr="00354D63" w:rsidRDefault="00311C78" w:rsidP="00524F19">
            <w:pPr>
              <w:jc w:val="both"/>
              <w:rPr>
                <w:rFonts w:ascii="Times New Roman" w:hAnsi="Times New Roman" w:cs="Times New Roman"/>
                <w:color w:val="FF0000"/>
              </w:rPr>
            </w:pPr>
          </w:p>
        </w:tc>
      </w:tr>
      <w:tr w:rsidR="0066057A" w:rsidRPr="00354D63" w14:paraId="47D29FC9" w14:textId="77777777" w:rsidTr="00354D63">
        <w:tc>
          <w:tcPr>
            <w:tcW w:w="1622" w:type="dxa"/>
          </w:tcPr>
          <w:p w14:paraId="7A28319F" w14:textId="4B2FEC55" w:rsidR="0066057A" w:rsidRPr="00354D63" w:rsidRDefault="004D7323" w:rsidP="00346674">
            <w:pPr>
              <w:jc w:val="both"/>
              <w:rPr>
                <w:rFonts w:ascii="Times New Roman" w:hAnsi="Times New Roman" w:cs="Times New Roman"/>
              </w:rPr>
            </w:pPr>
            <w:r w:rsidRPr="00354D63">
              <w:rPr>
                <w:rFonts w:ascii="Times New Roman" w:hAnsi="Times New Roman" w:cs="Times New Roman"/>
              </w:rPr>
              <w:t>FAPI</w:t>
            </w:r>
          </w:p>
        </w:tc>
        <w:tc>
          <w:tcPr>
            <w:tcW w:w="1927" w:type="dxa"/>
          </w:tcPr>
          <w:p w14:paraId="73049067" w14:textId="19168CF5" w:rsidR="0066057A" w:rsidRPr="00354D63" w:rsidRDefault="001455C7" w:rsidP="00524F19">
            <w:pPr>
              <w:rPr>
                <w:rFonts w:ascii="Times New Roman" w:hAnsi="Times New Roman" w:cs="Times New Roman"/>
              </w:rPr>
            </w:pPr>
            <w:r w:rsidRPr="00354D63">
              <w:rPr>
                <w:rFonts w:ascii="Times New Roman" w:hAnsi="Times New Roman" w:cs="Times New Roman"/>
              </w:rPr>
              <w:t>F</w:t>
            </w:r>
            <w:r w:rsidR="00374A0B" w:rsidRPr="00354D63">
              <w:rPr>
                <w:rFonts w:ascii="Times New Roman" w:hAnsi="Times New Roman" w:cs="Times New Roman"/>
              </w:rPr>
              <w:t>irma audit pakar industri</w:t>
            </w:r>
          </w:p>
        </w:tc>
        <w:tc>
          <w:tcPr>
            <w:tcW w:w="5523" w:type="dxa"/>
          </w:tcPr>
          <w:p w14:paraId="3B48FC34" w14:textId="6FCD131B" w:rsidR="00524F19" w:rsidRPr="00354D63" w:rsidRDefault="00524F19" w:rsidP="00524F19">
            <w:pPr>
              <w:jc w:val="both"/>
              <w:rPr>
                <w:rFonts w:ascii="Times New Roman" w:hAnsi="Times New Roman" w:cs="Times New Roman"/>
              </w:rPr>
            </w:pPr>
            <w:r w:rsidRPr="00354D63">
              <w:rPr>
                <w:rFonts w:ascii="Times New Roman" w:hAnsi="Times New Roman" w:cs="Times New Roman"/>
              </w:rPr>
              <w:t>Peratusan bilangan pelanggan yang diaudit oleh firma audit bagi setiap industri. Kajian ini menggunakan dua nilai ambang penguasaan pasaran pelanggan iaitu FAPI 10% dan FAPI 20% (Craswell</w:t>
            </w:r>
            <w:r w:rsidR="00D760DE" w:rsidRPr="00354D63">
              <w:rPr>
                <w:rFonts w:ascii="Times New Roman" w:hAnsi="Times New Roman" w:cs="Times New Roman"/>
              </w:rPr>
              <w:t xml:space="preserve"> et al.</w:t>
            </w:r>
            <w:r w:rsidRPr="00354D63">
              <w:rPr>
                <w:rFonts w:ascii="Times New Roman" w:hAnsi="Times New Roman" w:cs="Times New Roman"/>
              </w:rPr>
              <w:t xml:space="preserve"> 1995; Ferguson dan Stokes 2002; </w:t>
            </w:r>
            <w:r w:rsidR="00D760DE" w:rsidRPr="00354D63">
              <w:rPr>
                <w:rFonts w:ascii="Times New Roman" w:hAnsi="Times New Roman" w:cs="Times New Roman"/>
              </w:rPr>
              <w:t>Rahmat</w:t>
            </w:r>
            <w:r w:rsidRPr="00354D63">
              <w:rPr>
                <w:rFonts w:ascii="Times New Roman" w:hAnsi="Times New Roman" w:cs="Times New Roman"/>
              </w:rPr>
              <w:t xml:space="preserve"> </w:t>
            </w:r>
            <w:r w:rsidR="00D760DE" w:rsidRPr="00354D63">
              <w:rPr>
                <w:rFonts w:ascii="Times New Roman" w:hAnsi="Times New Roman" w:cs="Times New Roman"/>
              </w:rPr>
              <w:t>&amp;</w:t>
            </w:r>
            <w:r w:rsidRPr="00354D63">
              <w:rPr>
                <w:rFonts w:ascii="Times New Roman" w:hAnsi="Times New Roman" w:cs="Times New Roman"/>
              </w:rPr>
              <w:t xml:space="preserve"> </w:t>
            </w:r>
            <w:r w:rsidR="00D760DE" w:rsidRPr="00354D63">
              <w:rPr>
                <w:rFonts w:ascii="Times New Roman" w:hAnsi="Times New Roman" w:cs="Times New Roman"/>
              </w:rPr>
              <w:t>Mohd Iskandar</w:t>
            </w:r>
            <w:r w:rsidRPr="00354D63">
              <w:rPr>
                <w:rFonts w:ascii="Times New Roman" w:hAnsi="Times New Roman" w:cs="Times New Roman"/>
              </w:rPr>
              <w:t xml:space="preserve"> 2004). </w:t>
            </w:r>
            <w:r w:rsidR="0066057A" w:rsidRPr="00354D63">
              <w:rPr>
                <w:rFonts w:ascii="Times New Roman" w:hAnsi="Times New Roman" w:cs="Times New Roman"/>
              </w:rPr>
              <w:t xml:space="preserve">Syarikat yang diaudit oleh </w:t>
            </w:r>
            <w:r w:rsidR="00374A0B" w:rsidRPr="00354D63">
              <w:rPr>
                <w:rFonts w:ascii="Times New Roman" w:hAnsi="Times New Roman" w:cs="Times New Roman"/>
              </w:rPr>
              <w:t>FAPI</w:t>
            </w:r>
            <w:r w:rsidR="0066057A" w:rsidRPr="00354D63">
              <w:rPr>
                <w:rFonts w:ascii="Times New Roman" w:hAnsi="Times New Roman" w:cs="Times New Roman"/>
              </w:rPr>
              <w:t xml:space="preserve"> </w:t>
            </w:r>
            <w:r w:rsidR="00CF43E5" w:rsidRPr="00354D63">
              <w:rPr>
                <w:rFonts w:ascii="Times New Roman" w:hAnsi="Times New Roman" w:cs="Times New Roman"/>
              </w:rPr>
              <w:t xml:space="preserve">(nilai ambang lebih 10% atau lebih 20%) </w:t>
            </w:r>
            <w:r w:rsidR="0066057A" w:rsidRPr="00354D63">
              <w:rPr>
                <w:rFonts w:ascii="Times New Roman" w:hAnsi="Times New Roman" w:cs="Times New Roman"/>
              </w:rPr>
              <w:t xml:space="preserve">dikod sebagai 1 dan syarikat yang diaudit oleh bukan </w:t>
            </w:r>
            <w:r w:rsidR="001455C7" w:rsidRPr="00354D63">
              <w:rPr>
                <w:rFonts w:ascii="Times New Roman" w:hAnsi="Times New Roman" w:cs="Times New Roman"/>
              </w:rPr>
              <w:t>FAPI</w:t>
            </w:r>
            <w:r w:rsidR="0066057A" w:rsidRPr="00354D63">
              <w:rPr>
                <w:rFonts w:ascii="Times New Roman" w:hAnsi="Times New Roman" w:cs="Times New Roman"/>
              </w:rPr>
              <w:t xml:space="preserve"> </w:t>
            </w:r>
            <w:r w:rsidR="0059430C" w:rsidRPr="00354D63">
              <w:rPr>
                <w:rFonts w:ascii="Times New Roman" w:hAnsi="Times New Roman" w:cs="Times New Roman"/>
              </w:rPr>
              <w:t xml:space="preserve">(nilai ambang kurang 10% atau kurang 20%) </w:t>
            </w:r>
            <w:r w:rsidR="0066057A" w:rsidRPr="00354D63">
              <w:rPr>
                <w:rFonts w:ascii="Times New Roman" w:hAnsi="Times New Roman" w:cs="Times New Roman"/>
              </w:rPr>
              <w:t xml:space="preserve">dikodkan sebagai 0. </w:t>
            </w:r>
          </w:p>
          <w:p w14:paraId="1124B223" w14:textId="3743B379" w:rsidR="00524F19" w:rsidRPr="00354D63" w:rsidRDefault="00524F19" w:rsidP="00524F19">
            <w:pPr>
              <w:jc w:val="both"/>
              <w:rPr>
                <w:rFonts w:ascii="Times New Roman" w:hAnsi="Times New Roman" w:cs="Times New Roman"/>
              </w:rPr>
            </w:pPr>
          </w:p>
        </w:tc>
      </w:tr>
      <w:tr w:rsidR="0066057A" w:rsidRPr="00354D63" w14:paraId="74E8CB48" w14:textId="77777777" w:rsidTr="00354D63">
        <w:tc>
          <w:tcPr>
            <w:tcW w:w="1622" w:type="dxa"/>
          </w:tcPr>
          <w:p w14:paraId="7648CF43" w14:textId="56CE90FB" w:rsidR="0066057A" w:rsidRPr="00354D63" w:rsidRDefault="0066057A" w:rsidP="00346674">
            <w:pPr>
              <w:jc w:val="both"/>
              <w:rPr>
                <w:rFonts w:ascii="Times New Roman" w:hAnsi="Times New Roman" w:cs="Times New Roman"/>
              </w:rPr>
            </w:pPr>
            <w:r w:rsidRPr="00354D63">
              <w:rPr>
                <w:rFonts w:ascii="Times New Roman" w:hAnsi="Times New Roman" w:cs="Times New Roman"/>
              </w:rPr>
              <w:t>Saiz</w:t>
            </w:r>
          </w:p>
        </w:tc>
        <w:tc>
          <w:tcPr>
            <w:tcW w:w="1927" w:type="dxa"/>
          </w:tcPr>
          <w:p w14:paraId="62443719" w14:textId="415E2EE9" w:rsidR="0066057A" w:rsidRPr="00354D63" w:rsidRDefault="0066057A" w:rsidP="00346674">
            <w:pPr>
              <w:jc w:val="both"/>
              <w:rPr>
                <w:rFonts w:ascii="Times New Roman" w:hAnsi="Times New Roman" w:cs="Times New Roman"/>
              </w:rPr>
            </w:pPr>
            <w:r w:rsidRPr="00354D63">
              <w:rPr>
                <w:rFonts w:ascii="Times New Roman" w:hAnsi="Times New Roman" w:cs="Times New Roman"/>
              </w:rPr>
              <w:t>Saiz syarikat</w:t>
            </w:r>
          </w:p>
        </w:tc>
        <w:tc>
          <w:tcPr>
            <w:tcW w:w="5523" w:type="dxa"/>
          </w:tcPr>
          <w:p w14:paraId="715FB3F2" w14:textId="39A01E43" w:rsidR="00BF0716" w:rsidRPr="00354D63" w:rsidRDefault="00524F19" w:rsidP="00346674">
            <w:pPr>
              <w:jc w:val="both"/>
              <w:rPr>
                <w:rFonts w:ascii="Times New Roman" w:hAnsi="Times New Roman" w:cs="Times New Roman"/>
              </w:rPr>
            </w:pPr>
            <w:r w:rsidRPr="00354D63">
              <w:rPr>
                <w:rFonts w:ascii="Times New Roman" w:hAnsi="Times New Roman" w:cs="Times New Roman"/>
              </w:rPr>
              <w:t>B</w:t>
            </w:r>
            <w:r w:rsidR="0066057A" w:rsidRPr="00354D63">
              <w:rPr>
                <w:rFonts w:ascii="Times New Roman" w:hAnsi="Times New Roman" w:cs="Times New Roman"/>
              </w:rPr>
              <w:t>erdasarkan logaritma asli kepada jumlah aset</w:t>
            </w:r>
            <w:r w:rsidR="00BF0716" w:rsidRPr="00354D63">
              <w:rPr>
                <w:rFonts w:ascii="Times New Roman" w:hAnsi="Times New Roman" w:cs="Times New Roman"/>
              </w:rPr>
              <w:t xml:space="preserve"> (</w:t>
            </w:r>
            <w:r w:rsidR="00D760DE" w:rsidRPr="00354D63">
              <w:rPr>
                <w:rFonts w:ascii="Times New Roman" w:hAnsi="Times New Roman" w:cs="Times New Roman"/>
              </w:rPr>
              <w:t xml:space="preserve">Md </w:t>
            </w:r>
            <w:proofErr w:type="gramStart"/>
            <w:r w:rsidR="00D760DE" w:rsidRPr="00354D63">
              <w:rPr>
                <w:rFonts w:ascii="Times New Roman" w:hAnsi="Times New Roman" w:cs="Times New Roman"/>
              </w:rPr>
              <w:t>Nor</w:t>
            </w:r>
            <w:proofErr w:type="gramEnd"/>
            <w:r w:rsidR="00D760DE" w:rsidRPr="00354D63">
              <w:rPr>
                <w:rFonts w:ascii="Times New Roman" w:hAnsi="Times New Roman" w:cs="Times New Roman"/>
              </w:rPr>
              <w:t xml:space="preserve"> &amp; Ku Ismail</w:t>
            </w:r>
            <w:r w:rsidR="00BF0716" w:rsidRPr="00354D63">
              <w:rPr>
                <w:rFonts w:ascii="Times New Roman" w:hAnsi="Times New Roman" w:cs="Times New Roman"/>
              </w:rPr>
              <w:t xml:space="preserve"> 2017). </w:t>
            </w:r>
          </w:p>
          <w:p w14:paraId="6E029A5D" w14:textId="7F8751DB" w:rsidR="0066057A" w:rsidRPr="00354D63" w:rsidRDefault="0066057A" w:rsidP="00346674">
            <w:pPr>
              <w:jc w:val="both"/>
              <w:rPr>
                <w:rFonts w:ascii="Times New Roman" w:hAnsi="Times New Roman" w:cs="Times New Roman"/>
              </w:rPr>
            </w:pPr>
          </w:p>
        </w:tc>
      </w:tr>
      <w:tr w:rsidR="0066057A" w:rsidRPr="00354D63" w14:paraId="51691A55" w14:textId="77777777" w:rsidTr="00354D63">
        <w:tc>
          <w:tcPr>
            <w:tcW w:w="1622" w:type="dxa"/>
          </w:tcPr>
          <w:p w14:paraId="21CB7FC5" w14:textId="01EA5ECA" w:rsidR="0066057A" w:rsidRPr="00354D63" w:rsidRDefault="0066057A" w:rsidP="00346674">
            <w:pPr>
              <w:jc w:val="both"/>
              <w:rPr>
                <w:rFonts w:ascii="Times New Roman" w:hAnsi="Times New Roman" w:cs="Times New Roman"/>
              </w:rPr>
            </w:pPr>
            <w:r w:rsidRPr="00354D63">
              <w:rPr>
                <w:rFonts w:ascii="Times New Roman" w:hAnsi="Times New Roman" w:cs="Times New Roman"/>
              </w:rPr>
              <w:t>Umpil</w:t>
            </w:r>
            <w:r w:rsidRPr="00354D63">
              <w:rPr>
                <w:rFonts w:ascii="Times New Roman" w:hAnsi="Times New Roman" w:cs="Times New Roman"/>
              </w:rPr>
              <w:tab/>
            </w:r>
          </w:p>
        </w:tc>
        <w:tc>
          <w:tcPr>
            <w:tcW w:w="1927" w:type="dxa"/>
          </w:tcPr>
          <w:p w14:paraId="16F170BA" w14:textId="04DE8A2A" w:rsidR="0066057A" w:rsidRPr="00354D63" w:rsidRDefault="0066057A" w:rsidP="00346674">
            <w:pPr>
              <w:jc w:val="both"/>
              <w:rPr>
                <w:rFonts w:ascii="Times New Roman" w:hAnsi="Times New Roman" w:cs="Times New Roman"/>
              </w:rPr>
            </w:pPr>
            <w:r w:rsidRPr="00354D63">
              <w:rPr>
                <w:rFonts w:ascii="Times New Roman" w:hAnsi="Times New Roman" w:cs="Times New Roman"/>
              </w:rPr>
              <w:t>Keumpilan/Leveraj</w:t>
            </w:r>
          </w:p>
        </w:tc>
        <w:tc>
          <w:tcPr>
            <w:tcW w:w="5523" w:type="dxa"/>
          </w:tcPr>
          <w:p w14:paraId="35E0257E" w14:textId="5C9E6F38" w:rsidR="0066057A" w:rsidRPr="00354D63" w:rsidRDefault="00524F19" w:rsidP="00346674">
            <w:pPr>
              <w:jc w:val="both"/>
              <w:rPr>
                <w:rFonts w:ascii="Times New Roman" w:hAnsi="Times New Roman" w:cs="Times New Roman"/>
              </w:rPr>
            </w:pPr>
            <w:r w:rsidRPr="00354D63">
              <w:rPr>
                <w:rFonts w:ascii="Times New Roman" w:hAnsi="Times New Roman" w:cs="Times New Roman"/>
              </w:rPr>
              <w:t>J</w:t>
            </w:r>
            <w:r w:rsidR="0066057A" w:rsidRPr="00354D63">
              <w:rPr>
                <w:rFonts w:ascii="Times New Roman" w:hAnsi="Times New Roman" w:cs="Times New Roman"/>
              </w:rPr>
              <w:t xml:space="preserve">umlah hutang </w:t>
            </w:r>
            <w:r w:rsidRPr="00354D63">
              <w:rPr>
                <w:rFonts w:ascii="Times New Roman" w:hAnsi="Times New Roman" w:cs="Times New Roman"/>
              </w:rPr>
              <w:t xml:space="preserve">dibahagikan </w:t>
            </w:r>
            <w:r w:rsidR="0066057A" w:rsidRPr="00354D63">
              <w:rPr>
                <w:rFonts w:ascii="Times New Roman" w:hAnsi="Times New Roman" w:cs="Times New Roman"/>
              </w:rPr>
              <w:t>dengan jumlah aset</w:t>
            </w:r>
            <w:r w:rsidR="00BF0716" w:rsidRPr="00354D63">
              <w:rPr>
                <w:rFonts w:ascii="Times New Roman" w:hAnsi="Times New Roman" w:cs="Times New Roman"/>
              </w:rPr>
              <w:t xml:space="preserve"> (Bhuiyan &amp; Roudaki 2018)</w:t>
            </w:r>
          </w:p>
          <w:p w14:paraId="477E3FF9" w14:textId="6F589F32" w:rsidR="00BF0716" w:rsidRPr="00354D63" w:rsidRDefault="00BF0716" w:rsidP="00346674">
            <w:pPr>
              <w:jc w:val="both"/>
              <w:rPr>
                <w:rFonts w:ascii="Times New Roman" w:hAnsi="Times New Roman" w:cs="Times New Roman"/>
              </w:rPr>
            </w:pPr>
          </w:p>
        </w:tc>
      </w:tr>
      <w:tr w:rsidR="0066057A" w:rsidRPr="00354D63" w14:paraId="4C441FF3" w14:textId="77777777" w:rsidTr="00354D63">
        <w:tc>
          <w:tcPr>
            <w:tcW w:w="1622" w:type="dxa"/>
          </w:tcPr>
          <w:p w14:paraId="482417C7" w14:textId="4EF4218E" w:rsidR="0066057A" w:rsidRPr="00354D63" w:rsidRDefault="0066057A" w:rsidP="00346674">
            <w:pPr>
              <w:jc w:val="both"/>
              <w:rPr>
                <w:rFonts w:ascii="Times New Roman" w:hAnsi="Times New Roman" w:cs="Times New Roman"/>
              </w:rPr>
            </w:pPr>
            <w:r w:rsidRPr="00354D63">
              <w:rPr>
                <w:rFonts w:ascii="Times New Roman" w:hAnsi="Times New Roman" w:cs="Times New Roman"/>
              </w:rPr>
              <w:t>PAA</w:t>
            </w:r>
          </w:p>
        </w:tc>
        <w:tc>
          <w:tcPr>
            <w:tcW w:w="1927" w:type="dxa"/>
          </w:tcPr>
          <w:p w14:paraId="2BB11286" w14:textId="53C17852" w:rsidR="0066057A" w:rsidRPr="00354D63" w:rsidRDefault="0066057A" w:rsidP="00346674">
            <w:pPr>
              <w:jc w:val="both"/>
              <w:rPr>
                <w:rFonts w:ascii="Times New Roman" w:hAnsi="Times New Roman" w:cs="Times New Roman"/>
              </w:rPr>
            </w:pPr>
            <w:r w:rsidRPr="00354D63">
              <w:rPr>
                <w:rFonts w:ascii="Times New Roman" w:hAnsi="Times New Roman" w:cs="Times New Roman"/>
              </w:rPr>
              <w:t>Pulangan atas aset</w:t>
            </w:r>
          </w:p>
        </w:tc>
        <w:tc>
          <w:tcPr>
            <w:tcW w:w="5523" w:type="dxa"/>
          </w:tcPr>
          <w:p w14:paraId="1BE10924" w14:textId="33C621A9" w:rsidR="0066057A" w:rsidRPr="00354D63" w:rsidRDefault="00524F19" w:rsidP="00346674">
            <w:pPr>
              <w:jc w:val="both"/>
              <w:rPr>
                <w:rFonts w:ascii="Times New Roman" w:hAnsi="Times New Roman" w:cs="Times New Roman"/>
              </w:rPr>
            </w:pPr>
            <w:r w:rsidRPr="00354D63">
              <w:rPr>
                <w:rFonts w:ascii="Times New Roman" w:hAnsi="Times New Roman" w:cs="Times New Roman"/>
              </w:rPr>
              <w:t>P</w:t>
            </w:r>
            <w:r w:rsidR="0066057A" w:rsidRPr="00354D63">
              <w:rPr>
                <w:rFonts w:ascii="Times New Roman" w:hAnsi="Times New Roman" w:cs="Times New Roman"/>
              </w:rPr>
              <w:t xml:space="preserve">endapatan bersih </w:t>
            </w:r>
            <w:r w:rsidRPr="00354D63">
              <w:rPr>
                <w:rFonts w:ascii="Times New Roman" w:hAnsi="Times New Roman" w:cs="Times New Roman"/>
              </w:rPr>
              <w:t xml:space="preserve">dibahagikan dengan </w:t>
            </w:r>
            <w:r w:rsidR="0066057A" w:rsidRPr="00354D63">
              <w:rPr>
                <w:rFonts w:ascii="Times New Roman" w:hAnsi="Times New Roman" w:cs="Times New Roman"/>
              </w:rPr>
              <w:t>jumlah aset</w:t>
            </w:r>
            <w:r w:rsidR="00BF0716" w:rsidRPr="00354D63">
              <w:rPr>
                <w:rFonts w:ascii="Times New Roman" w:hAnsi="Times New Roman" w:cs="Times New Roman"/>
              </w:rPr>
              <w:t xml:space="preserve"> (</w:t>
            </w:r>
            <w:r w:rsidR="00D760DE" w:rsidRPr="00354D63">
              <w:rPr>
                <w:rFonts w:ascii="Times New Roman" w:hAnsi="Times New Roman" w:cs="Times New Roman"/>
              </w:rPr>
              <w:t>Rahmat et al. 2021</w:t>
            </w:r>
            <w:r w:rsidR="00BF0716" w:rsidRPr="00354D63">
              <w:rPr>
                <w:rFonts w:ascii="Times New Roman" w:hAnsi="Times New Roman" w:cs="Times New Roman"/>
              </w:rPr>
              <w:t>).</w:t>
            </w:r>
          </w:p>
          <w:p w14:paraId="4320615E" w14:textId="5A7028FB" w:rsidR="00524F19" w:rsidRPr="00354D63" w:rsidRDefault="00524F19" w:rsidP="00346674">
            <w:pPr>
              <w:jc w:val="both"/>
              <w:rPr>
                <w:rFonts w:ascii="Times New Roman" w:hAnsi="Times New Roman" w:cs="Times New Roman"/>
              </w:rPr>
            </w:pPr>
          </w:p>
        </w:tc>
      </w:tr>
      <w:tr w:rsidR="0066057A" w:rsidRPr="00354D63" w14:paraId="26E751EA" w14:textId="77777777" w:rsidTr="00354D63">
        <w:tc>
          <w:tcPr>
            <w:tcW w:w="1622" w:type="dxa"/>
          </w:tcPr>
          <w:p w14:paraId="6C8A8E15" w14:textId="406B8051" w:rsidR="0066057A" w:rsidRPr="00354D63" w:rsidRDefault="0066057A" w:rsidP="00346674">
            <w:pPr>
              <w:jc w:val="both"/>
              <w:rPr>
                <w:rFonts w:ascii="Times New Roman" w:hAnsi="Times New Roman" w:cs="Times New Roman"/>
              </w:rPr>
            </w:pPr>
            <w:r w:rsidRPr="00354D63">
              <w:rPr>
                <w:rFonts w:ascii="Times New Roman" w:hAnsi="Times New Roman" w:cs="Times New Roman"/>
              </w:rPr>
              <w:t>Tumbuh</w:t>
            </w:r>
          </w:p>
        </w:tc>
        <w:tc>
          <w:tcPr>
            <w:tcW w:w="1927" w:type="dxa"/>
          </w:tcPr>
          <w:p w14:paraId="1A79AF8C" w14:textId="5F5BDD56" w:rsidR="0066057A" w:rsidRPr="00354D63" w:rsidRDefault="0066057A" w:rsidP="00346674">
            <w:pPr>
              <w:jc w:val="both"/>
              <w:rPr>
                <w:rFonts w:ascii="Times New Roman" w:hAnsi="Times New Roman" w:cs="Times New Roman"/>
              </w:rPr>
            </w:pPr>
            <w:r w:rsidRPr="00354D63">
              <w:rPr>
                <w:rFonts w:ascii="Times New Roman" w:hAnsi="Times New Roman" w:cs="Times New Roman"/>
              </w:rPr>
              <w:t>Pertumbuhan</w:t>
            </w:r>
          </w:p>
        </w:tc>
        <w:tc>
          <w:tcPr>
            <w:tcW w:w="5523" w:type="dxa"/>
          </w:tcPr>
          <w:p w14:paraId="10353733" w14:textId="56084E58" w:rsidR="00BF0716" w:rsidRPr="00354D63" w:rsidRDefault="00524F19" w:rsidP="00346674">
            <w:pPr>
              <w:jc w:val="both"/>
              <w:rPr>
                <w:rFonts w:ascii="Times New Roman" w:hAnsi="Times New Roman" w:cs="Times New Roman"/>
              </w:rPr>
            </w:pPr>
            <w:r w:rsidRPr="00354D63">
              <w:rPr>
                <w:rFonts w:ascii="Times New Roman" w:hAnsi="Times New Roman" w:cs="Times New Roman"/>
              </w:rPr>
              <w:t>J</w:t>
            </w:r>
            <w:r w:rsidR="0066057A" w:rsidRPr="00354D63">
              <w:rPr>
                <w:rFonts w:ascii="Times New Roman" w:hAnsi="Times New Roman" w:cs="Times New Roman"/>
              </w:rPr>
              <w:t>umlah jualan pada akhir tahun dibahagikan dengan jumlah jualan tahun sebelumnya</w:t>
            </w:r>
            <w:r w:rsidR="00BF0716" w:rsidRPr="00354D63">
              <w:rPr>
                <w:rFonts w:ascii="Times New Roman" w:hAnsi="Times New Roman" w:cs="Times New Roman"/>
              </w:rPr>
              <w:t xml:space="preserve"> (</w:t>
            </w:r>
            <w:r w:rsidR="00D760DE" w:rsidRPr="00354D63">
              <w:rPr>
                <w:rFonts w:ascii="Times New Roman" w:hAnsi="Times New Roman" w:cs="Times New Roman"/>
              </w:rPr>
              <w:t>Rahmat et al. 2021</w:t>
            </w:r>
            <w:r w:rsidR="00BF0716" w:rsidRPr="00354D63">
              <w:rPr>
                <w:rFonts w:ascii="Times New Roman" w:hAnsi="Times New Roman" w:cs="Times New Roman"/>
              </w:rPr>
              <w:t xml:space="preserve">). </w:t>
            </w:r>
          </w:p>
          <w:p w14:paraId="49504156" w14:textId="649367AE" w:rsidR="0066057A" w:rsidRPr="00354D63" w:rsidRDefault="0066057A" w:rsidP="00346674">
            <w:pPr>
              <w:jc w:val="both"/>
              <w:rPr>
                <w:rFonts w:ascii="Times New Roman" w:hAnsi="Times New Roman" w:cs="Times New Roman"/>
              </w:rPr>
            </w:pPr>
          </w:p>
        </w:tc>
      </w:tr>
      <w:tr w:rsidR="0066057A" w:rsidRPr="00354D63" w14:paraId="6B17999F" w14:textId="77777777" w:rsidTr="00354D63">
        <w:tc>
          <w:tcPr>
            <w:tcW w:w="1622" w:type="dxa"/>
          </w:tcPr>
          <w:p w14:paraId="133E5766" w14:textId="0E1E8FA4" w:rsidR="0066057A" w:rsidRPr="00354D63" w:rsidRDefault="0066057A" w:rsidP="00346674">
            <w:pPr>
              <w:jc w:val="both"/>
              <w:rPr>
                <w:rFonts w:ascii="Times New Roman" w:hAnsi="Times New Roman" w:cs="Times New Roman"/>
              </w:rPr>
            </w:pPr>
            <w:r w:rsidRPr="00354D63">
              <w:rPr>
                <w:rFonts w:ascii="Times New Roman" w:hAnsi="Times New Roman" w:cs="Times New Roman"/>
              </w:rPr>
              <w:t>LPSaiz</w:t>
            </w:r>
            <w:r w:rsidRPr="00354D63">
              <w:rPr>
                <w:rFonts w:ascii="Times New Roman" w:hAnsi="Times New Roman" w:cs="Times New Roman"/>
              </w:rPr>
              <w:tab/>
            </w:r>
          </w:p>
        </w:tc>
        <w:tc>
          <w:tcPr>
            <w:tcW w:w="1927" w:type="dxa"/>
          </w:tcPr>
          <w:p w14:paraId="59ABB247" w14:textId="08120E8D" w:rsidR="0066057A" w:rsidRPr="00354D63" w:rsidRDefault="0066057A" w:rsidP="00524F19">
            <w:pPr>
              <w:rPr>
                <w:rFonts w:ascii="Times New Roman" w:hAnsi="Times New Roman" w:cs="Times New Roman"/>
              </w:rPr>
            </w:pPr>
            <w:r w:rsidRPr="00354D63">
              <w:rPr>
                <w:rFonts w:ascii="Times New Roman" w:hAnsi="Times New Roman" w:cs="Times New Roman"/>
              </w:rPr>
              <w:t>Saiz lembaga pengarah</w:t>
            </w:r>
          </w:p>
        </w:tc>
        <w:tc>
          <w:tcPr>
            <w:tcW w:w="5523" w:type="dxa"/>
          </w:tcPr>
          <w:p w14:paraId="64A2AB1B" w14:textId="56F31886" w:rsidR="00BF0716" w:rsidRPr="00354D63" w:rsidRDefault="00826494" w:rsidP="00346674">
            <w:pPr>
              <w:jc w:val="both"/>
              <w:rPr>
                <w:rFonts w:ascii="Times New Roman" w:hAnsi="Times New Roman" w:cs="Times New Roman"/>
              </w:rPr>
            </w:pPr>
            <w:r w:rsidRPr="00354D63">
              <w:rPr>
                <w:rFonts w:ascii="Times New Roman" w:hAnsi="Times New Roman" w:cs="Times New Roman"/>
              </w:rPr>
              <w:t>B</w:t>
            </w:r>
            <w:r w:rsidR="0066057A" w:rsidRPr="00354D63">
              <w:rPr>
                <w:rFonts w:ascii="Times New Roman" w:hAnsi="Times New Roman" w:cs="Times New Roman"/>
              </w:rPr>
              <w:t xml:space="preserve">ilangan individu yang </w:t>
            </w:r>
            <w:r w:rsidRPr="00354D63">
              <w:rPr>
                <w:rFonts w:ascii="Times New Roman" w:hAnsi="Times New Roman" w:cs="Times New Roman"/>
              </w:rPr>
              <w:t xml:space="preserve">dilantik sebagai </w:t>
            </w:r>
            <w:r w:rsidR="0066057A" w:rsidRPr="00354D63">
              <w:rPr>
                <w:rFonts w:ascii="Times New Roman" w:hAnsi="Times New Roman" w:cs="Times New Roman"/>
              </w:rPr>
              <w:t>ahli lembaga pengarah</w:t>
            </w:r>
            <w:r w:rsidR="00BF0716" w:rsidRPr="00354D63">
              <w:rPr>
                <w:rFonts w:ascii="Times New Roman" w:hAnsi="Times New Roman" w:cs="Times New Roman"/>
              </w:rPr>
              <w:t xml:space="preserve"> (</w:t>
            </w:r>
            <w:r w:rsidR="00D760DE" w:rsidRPr="00354D63">
              <w:rPr>
                <w:rFonts w:ascii="Times New Roman" w:hAnsi="Times New Roman" w:cs="Times New Roman"/>
              </w:rPr>
              <w:t xml:space="preserve">Md </w:t>
            </w:r>
            <w:proofErr w:type="gramStart"/>
            <w:r w:rsidR="00D760DE" w:rsidRPr="00354D63">
              <w:rPr>
                <w:rFonts w:ascii="Times New Roman" w:hAnsi="Times New Roman" w:cs="Times New Roman"/>
              </w:rPr>
              <w:t>Nor</w:t>
            </w:r>
            <w:proofErr w:type="gramEnd"/>
            <w:r w:rsidR="00D760DE" w:rsidRPr="00354D63">
              <w:rPr>
                <w:rFonts w:ascii="Times New Roman" w:hAnsi="Times New Roman" w:cs="Times New Roman"/>
              </w:rPr>
              <w:t xml:space="preserve"> &amp; Ku Ismail 2017</w:t>
            </w:r>
            <w:r w:rsidR="00BF0716" w:rsidRPr="00354D63">
              <w:rPr>
                <w:rFonts w:ascii="Times New Roman" w:hAnsi="Times New Roman" w:cs="Times New Roman"/>
              </w:rPr>
              <w:t xml:space="preserve">). </w:t>
            </w:r>
          </w:p>
          <w:p w14:paraId="2AE33FE9" w14:textId="4F8B1DF9" w:rsidR="0066057A" w:rsidRPr="00354D63" w:rsidRDefault="0066057A" w:rsidP="00346674">
            <w:pPr>
              <w:jc w:val="both"/>
              <w:rPr>
                <w:rFonts w:ascii="Times New Roman" w:hAnsi="Times New Roman" w:cs="Times New Roman"/>
              </w:rPr>
            </w:pPr>
          </w:p>
        </w:tc>
      </w:tr>
      <w:tr w:rsidR="0066057A" w:rsidRPr="00354D63" w14:paraId="0491B590" w14:textId="77777777" w:rsidTr="00354D63">
        <w:tc>
          <w:tcPr>
            <w:tcW w:w="1622" w:type="dxa"/>
          </w:tcPr>
          <w:p w14:paraId="036D49A6" w14:textId="744F0DD6" w:rsidR="0066057A" w:rsidRPr="00354D63" w:rsidRDefault="0066057A" w:rsidP="00346674">
            <w:pPr>
              <w:jc w:val="both"/>
              <w:rPr>
                <w:rFonts w:ascii="Times New Roman" w:hAnsi="Times New Roman" w:cs="Times New Roman"/>
              </w:rPr>
            </w:pPr>
            <w:r w:rsidRPr="00354D63">
              <w:rPr>
                <w:rFonts w:ascii="Times New Roman" w:hAnsi="Times New Roman" w:cs="Times New Roman"/>
              </w:rPr>
              <w:t>PBebas</w:t>
            </w:r>
          </w:p>
        </w:tc>
        <w:tc>
          <w:tcPr>
            <w:tcW w:w="1927" w:type="dxa"/>
          </w:tcPr>
          <w:p w14:paraId="12AF138A" w14:textId="74A7C16C" w:rsidR="0066057A" w:rsidRPr="00354D63" w:rsidRDefault="0066057A" w:rsidP="00826494">
            <w:pPr>
              <w:rPr>
                <w:rFonts w:ascii="Times New Roman" w:hAnsi="Times New Roman" w:cs="Times New Roman"/>
              </w:rPr>
            </w:pPr>
            <w:r w:rsidRPr="00354D63">
              <w:rPr>
                <w:rFonts w:ascii="Times New Roman" w:hAnsi="Times New Roman" w:cs="Times New Roman"/>
              </w:rPr>
              <w:t>Lembaga pengarah bebas</w:t>
            </w:r>
          </w:p>
        </w:tc>
        <w:tc>
          <w:tcPr>
            <w:tcW w:w="5523" w:type="dxa"/>
          </w:tcPr>
          <w:p w14:paraId="1526CD4E" w14:textId="1120054E" w:rsidR="0066057A" w:rsidRPr="00354D63" w:rsidRDefault="00826494" w:rsidP="00346674">
            <w:pPr>
              <w:jc w:val="both"/>
              <w:rPr>
                <w:rFonts w:ascii="Times New Roman" w:hAnsi="Times New Roman" w:cs="Times New Roman"/>
              </w:rPr>
            </w:pPr>
            <w:r w:rsidRPr="00354D63">
              <w:rPr>
                <w:rFonts w:ascii="Times New Roman" w:hAnsi="Times New Roman" w:cs="Times New Roman"/>
              </w:rPr>
              <w:t>Bilangan p</w:t>
            </w:r>
            <w:r w:rsidR="0066057A" w:rsidRPr="00354D63">
              <w:rPr>
                <w:rFonts w:ascii="Times New Roman" w:hAnsi="Times New Roman" w:cs="Times New Roman"/>
              </w:rPr>
              <w:t xml:space="preserve">engarah bukan eksekutif bebas </w:t>
            </w:r>
            <w:r w:rsidRPr="00354D63">
              <w:rPr>
                <w:rFonts w:ascii="Times New Roman" w:hAnsi="Times New Roman" w:cs="Times New Roman"/>
              </w:rPr>
              <w:t xml:space="preserve">dibahagikan dengan </w:t>
            </w:r>
            <w:r w:rsidR="0066057A" w:rsidRPr="00354D63">
              <w:rPr>
                <w:rFonts w:ascii="Times New Roman" w:hAnsi="Times New Roman" w:cs="Times New Roman"/>
              </w:rPr>
              <w:t>jumlah ahli lembaga pengarah</w:t>
            </w:r>
            <w:r w:rsidR="00BF0716" w:rsidRPr="00354D63">
              <w:rPr>
                <w:rFonts w:ascii="Times New Roman" w:hAnsi="Times New Roman" w:cs="Times New Roman"/>
              </w:rPr>
              <w:t xml:space="preserve"> (</w:t>
            </w:r>
            <w:r w:rsidR="00D760DE" w:rsidRPr="00354D63">
              <w:rPr>
                <w:rFonts w:ascii="Times New Roman" w:hAnsi="Times New Roman" w:cs="Times New Roman"/>
              </w:rPr>
              <w:t>Rahmat et al. 2021</w:t>
            </w:r>
            <w:r w:rsidR="00BF0716" w:rsidRPr="00354D63">
              <w:rPr>
                <w:rFonts w:ascii="Times New Roman" w:hAnsi="Times New Roman" w:cs="Times New Roman"/>
              </w:rPr>
              <w:t>).</w:t>
            </w:r>
          </w:p>
          <w:p w14:paraId="618D4B61" w14:textId="55DCDD68" w:rsidR="00826494" w:rsidRPr="00354D63" w:rsidRDefault="00826494" w:rsidP="00346674">
            <w:pPr>
              <w:jc w:val="both"/>
              <w:rPr>
                <w:rFonts w:ascii="Times New Roman" w:hAnsi="Times New Roman" w:cs="Times New Roman"/>
              </w:rPr>
            </w:pPr>
          </w:p>
        </w:tc>
      </w:tr>
      <w:tr w:rsidR="0066057A" w:rsidRPr="00354D63" w14:paraId="3D621700" w14:textId="77777777" w:rsidTr="00354D63">
        <w:tc>
          <w:tcPr>
            <w:tcW w:w="1622" w:type="dxa"/>
          </w:tcPr>
          <w:p w14:paraId="2E117154" w14:textId="6C04412F" w:rsidR="0066057A" w:rsidRPr="00354D63" w:rsidRDefault="0066057A" w:rsidP="00346674">
            <w:pPr>
              <w:jc w:val="both"/>
              <w:rPr>
                <w:rFonts w:ascii="Times New Roman" w:hAnsi="Times New Roman" w:cs="Times New Roman"/>
              </w:rPr>
            </w:pPr>
            <w:r w:rsidRPr="00354D63">
              <w:rPr>
                <w:rFonts w:ascii="Times New Roman" w:hAnsi="Times New Roman" w:cs="Times New Roman"/>
              </w:rPr>
              <w:t>JKAudit</w:t>
            </w:r>
          </w:p>
        </w:tc>
        <w:tc>
          <w:tcPr>
            <w:tcW w:w="1927" w:type="dxa"/>
          </w:tcPr>
          <w:p w14:paraId="6E356C7E" w14:textId="6F1BF181" w:rsidR="0066057A" w:rsidRPr="00354D63" w:rsidRDefault="0066057A" w:rsidP="00346674">
            <w:pPr>
              <w:jc w:val="both"/>
              <w:rPr>
                <w:rFonts w:ascii="Times New Roman" w:hAnsi="Times New Roman" w:cs="Times New Roman"/>
              </w:rPr>
            </w:pPr>
            <w:r w:rsidRPr="00354D63">
              <w:rPr>
                <w:rFonts w:ascii="Times New Roman" w:hAnsi="Times New Roman" w:cs="Times New Roman"/>
              </w:rPr>
              <w:t>Jawatankuasa audit bebas</w:t>
            </w:r>
          </w:p>
        </w:tc>
        <w:tc>
          <w:tcPr>
            <w:tcW w:w="5523" w:type="dxa"/>
          </w:tcPr>
          <w:p w14:paraId="260E78B2" w14:textId="60276BE2" w:rsidR="00BF0716" w:rsidRPr="00354D63" w:rsidRDefault="00826494" w:rsidP="00346674">
            <w:pPr>
              <w:jc w:val="both"/>
              <w:rPr>
                <w:rFonts w:ascii="Times New Roman" w:hAnsi="Times New Roman" w:cs="Times New Roman"/>
              </w:rPr>
            </w:pPr>
            <w:r w:rsidRPr="00354D63">
              <w:rPr>
                <w:rFonts w:ascii="Times New Roman" w:hAnsi="Times New Roman" w:cs="Times New Roman"/>
              </w:rPr>
              <w:t>Bilangan</w:t>
            </w:r>
            <w:r w:rsidR="0066057A" w:rsidRPr="00354D63">
              <w:rPr>
                <w:rFonts w:ascii="Times New Roman" w:hAnsi="Times New Roman" w:cs="Times New Roman"/>
              </w:rPr>
              <w:t xml:space="preserve"> ahli bukan eksekutif bebas </w:t>
            </w:r>
            <w:r w:rsidRPr="00354D63">
              <w:rPr>
                <w:rFonts w:ascii="Times New Roman" w:hAnsi="Times New Roman" w:cs="Times New Roman"/>
              </w:rPr>
              <w:t xml:space="preserve">dibahagikan dengan </w:t>
            </w:r>
            <w:r w:rsidR="0066057A" w:rsidRPr="00354D63">
              <w:rPr>
                <w:rFonts w:ascii="Times New Roman" w:hAnsi="Times New Roman" w:cs="Times New Roman"/>
              </w:rPr>
              <w:t>jumlah keseluruhan ahli jawatankuasa audit</w:t>
            </w:r>
            <w:r w:rsidRPr="00354D63">
              <w:rPr>
                <w:rFonts w:ascii="Times New Roman" w:hAnsi="Times New Roman" w:cs="Times New Roman"/>
              </w:rPr>
              <w:t xml:space="preserve"> </w:t>
            </w:r>
            <w:r w:rsidR="00BF0716" w:rsidRPr="00354D63">
              <w:rPr>
                <w:rFonts w:ascii="Times New Roman" w:hAnsi="Times New Roman" w:cs="Times New Roman"/>
              </w:rPr>
              <w:t>(</w:t>
            </w:r>
            <w:r w:rsidR="003E6DC5" w:rsidRPr="00354D63">
              <w:rPr>
                <w:rFonts w:ascii="Times New Roman" w:hAnsi="Times New Roman" w:cs="Times New Roman"/>
              </w:rPr>
              <w:t>Rahmat</w:t>
            </w:r>
            <w:r w:rsidR="00BF0716" w:rsidRPr="00354D63">
              <w:rPr>
                <w:rFonts w:ascii="Times New Roman" w:hAnsi="Times New Roman" w:cs="Times New Roman"/>
              </w:rPr>
              <w:t xml:space="preserve"> et al. 201</w:t>
            </w:r>
            <w:r w:rsidR="003E6DC5" w:rsidRPr="00354D63">
              <w:rPr>
                <w:rFonts w:ascii="Times New Roman" w:hAnsi="Times New Roman" w:cs="Times New Roman"/>
              </w:rPr>
              <w:t>8</w:t>
            </w:r>
            <w:r w:rsidR="00BF0716" w:rsidRPr="00354D63">
              <w:rPr>
                <w:rFonts w:ascii="Times New Roman" w:hAnsi="Times New Roman" w:cs="Times New Roman"/>
              </w:rPr>
              <w:t xml:space="preserve">). </w:t>
            </w:r>
          </w:p>
          <w:p w14:paraId="12901AD5" w14:textId="1438F9CB" w:rsidR="0066057A" w:rsidRPr="00354D63" w:rsidRDefault="00BF0716" w:rsidP="00346674">
            <w:pPr>
              <w:jc w:val="both"/>
              <w:rPr>
                <w:rFonts w:ascii="Times New Roman" w:hAnsi="Times New Roman" w:cs="Times New Roman"/>
              </w:rPr>
            </w:pPr>
            <w:r w:rsidRPr="00354D63">
              <w:rPr>
                <w:rFonts w:ascii="Times New Roman" w:hAnsi="Times New Roman" w:cs="Times New Roman"/>
              </w:rPr>
              <w:t xml:space="preserve">  </w:t>
            </w:r>
          </w:p>
        </w:tc>
      </w:tr>
      <w:tr w:rsidR="0066057A" w:rsidRPr="00354D63" w14:paraId="5BFF325D" w14:textId="77777777" w:rsidTr="00354D63">
        <w:tc>
          <w:tcPr>
            <w:tcW w:w="1622" w:type="dxa"/>
          </w:tcPr>
          <w:p w14:paraId="4DFC38F5" w14:textId="39939968" w:rsidR="0066057A" w:rsidRPr="00354D63" w:rsidRDefault="0066057A" w:rsidP="00346674">
            <w:pPr>
              <w:jc w:val="both"/>
              <w:rPr>
                <w:rFonts w:ascii="Times New Roman" w:hAnsi="Times New Roman" w:cs="Times New Roman"/>
              </w:rPr>
            </w:pPr>
            <w:r w:rsidRPr="00354D63">
              <w:rPr>
                <w:rFonts w:ascii="Times New Roman" w:hAnsi="Times New Roman" w:cs="Times New Roman"/>
              </w:rPr>
              <w:t>Industri</w:t>
            </w:r>
          </w:p>
        </w:tc>
        <w:tc>
          <w:tcPr>
            <w:tcW w:w="1927" w:type="dxa"/>
          </w:tcPr>
          <w:p w14:paraId="6021F282" w14:textId="47D9C49B" w:rsidR="0066057A" w:rsidRPr="00354D63" w:rsidRDefault="0066057A" w:rsidP="00346674">
            <w:pPr>
              <w:jc w:val="both"/>
              <w:rPr>
                <w:rFonts w:ascii="Times New Roman" w:hAnsi="Times New Roman" w:cs="Times New Roman"/>
              </w:rPr>
            </w:pPr>
            <w:r w:rsidRPr="00354D63">
              <w:rPr>
                <w:rFonts w:ascii="Times New Roman" w:hAnsi="Times New Roman" w:cs="Times New Roman"/>
              </w:rPr>
              <w:t>Industri</w:t>
            </w:r>
          </w:p>
        </w:tc>
        <w:tc>
          <w:tcPr>
            <w:tcW w:w="5523" w:type="dxa"/>
          </w:tcPr>
          <w:p w14:paraId="58D1335C" w14:textId="660F488C" w:rsidR="0066057A" w:rsidRPr="00354D63" w:rsidRDefault="0066057A" w:rsidP="00346674">
            <w:pPr>
              <w:jc w:val="both"/>
              <w:rPr>
                <w:rFonts w:ascii="Times New Roman" w:hAnsi="Times New Roman" w:cs="Times New Roman"/>
              </w:rPr>
            </w:pPr>
            <w:r w:rsidRPr="00354D63">
              <w:rPr>
                <w:rFonts w:ascii="Times New Roman" w:hAnsi="Times New Roman" w:cs="Times New Roman"/>
              </w:rPr>
              <w:t>Pembolehubah pepatung mengikut setiap jenis industri berdasarkan pengkelasan oleh Bursa Malaysia</w:t>
            </w:r>
            <w:r w:rsidR="00BF0716" w:rsidRPr="00354D63">
              <w:rPr>
                <w:rFonts w:ascii="Times New Roman" w:hAnsi="Times New Roman" w:cs="Times New Roman"/>
              </w:rPr>
              <w:t xml:space="preserve"> (</w:t>
            </w:r>
            <w:r w:rsidR="00D760DE" w:rsidRPr="00354D63">
              <w:rPr>
                <w:rFonts w:ascii="Times New Roman" w:hAnsi="Times New Roman" w:cs="Times New Roman"/>
              </w:rPr>
              <w:t xml:space="preserve">Md </w:t>
            </w:r>
            <w:proofErr w:type="gramStart"/>
            <w:r w:rsidR="00D760DE" w:rsidRPr="00354D63">
              <w:rPr>
                <w:rFonts w:ascii="Times New Roman" w:hAnsi="Times New Roman" w:cs="Times New Roman"/>
              </w:rPr>
              <w:t>Nor</w:t>
            </w:r>
            <w:proofErr w:type="gramEnd"/>
            <w:r w:rsidR="00D760DE" w:rsidRPr="00354D63">
              <w:rPr>
                <w:rFonts w:ascii="Times New Roman" w:hAnsi="Times New Roman" w:cs="Times New Roman"/>
              </w:rPr>
              <w:t xml:space="preserve"> &amp; Ku Ismail 2017</w:t>
            </w:r>
            <w:r w:rsidR="00BF0716" w:rsidRPr="00354D63">
              <w:rPr>
                <w:rFonts w:ascii="Times New Roman" w:hAnsi="Times New Roman" w:cs="Times New Roman"/>
              </w:rPr>
              <w:t>)</w:t>
            </w:r>
          </w:p>
          <w:p w14:paraId="11614776" w14:textId="195E7C3F" w:rsidR="00826494" w:rsidRPr="00354D63" w:rsidRDefault="00826494" w:rsidP="00346674">
            <w:pPr>
              <w:jc w:val="both"/>
              <w:rPr>
                <w:rFonts w:ascii="Times New Roman" w:hAnsi="Times New Roman" w:cs="Times New Roman"/>
              </w:rPr>
            </w:pPr>
          </w:p>
        </w:tc>
      </w:tr>
      <w:tr w:rsidR="0066057A" w:rsidRPr="00354D63" w14:paraId="3FF0A8E2" w14:textId="77777777" w:rsidTr="00354D63">
        <w:tc>
          <w:tcPr>
            <w:tcW w:w="1622" w:type="dxa"/>
          </w:tcPr>
          <w:p w14:paraId="39372CDF" w14:textId="4A58CB03" w:rsidR="0066057A" w:rsidRPr="00354D63" w:rsidRDefault="0066057A" w:rsidP="00346674">
            <w:pPr>
              <w:jc w:val="both"/>
              <w:rPr>
                <w:rFonts w:ascii="Times New Roman" w:hAnsi="Times New Roman" w:cs="Times New Roman"/>
              </w:rPr>
            </w:pPr>
            <w:r w:rsidRPr="00354D63">
              <w:rPr>
                <w:rFonts w:ascii="Times New Roman" w:hAnsi="Times New Roman" w:cs="Times New Roman"/>
              </w:rPr>
              <w:t>Tahun</w:t>
            </w:r>
          </w:p>
        </w:tc>
        <w:tc>
          <w:tcPr>
            <w:tcW w:w="1927" w:type="dxa"/>
          </w:tcPr>
          <w:p w14:paraId="14C13EE8" w14:textId="08B1A6B3" w:rsidR="0066057A" w:rsidRPr="00354D63" w:rsidRDefault="0066057A" w:rsidP="00346674">
            <w:pPr>
              <w:jc w:val="both"/>
              <w:rPr>
                <w:rFonts w:ascii="Times New Roman" w:hAnsi="Times New Roman" w:cs="Times New Roman"/>
              </w:rPr>
            </w:pPr>
            <w:r w:rsidRPr="00354D63">
              <w:rPr>
                <w:rFonts w:ascii="Times New Roman" w:hAnsi="Times New Roman" w:cs="Times New Roman"/>
              </w:rPr>
              <w:t>Tahun</w:t>
            </w:r>
          </w:p>
        </w:tc>
        <w:tc>
          <w:tcPr>
            <w:tcW w:w="5523" w:type="dxa"/>
          </w:tcPr>
          <w:p w14:paraId="5497003B" w14:textId="5BC690EB" w:rsidR="0066057A" w:rsidRPr="00354D63" w:rsidRDefault="0066057A" w:rsidP="00346674">
            <w:pPr>
              <w:jc w:val="both"/>
              <w:rPr>
                <w:rFonts w:ascii="Times New Roman" w:hAnsi="Times New Roman" w:cs="Times New Roman"/>
              </w:rPr>
            </w:pPr>
            <w:r w:rsidRPr="00354D63">
              <w:rPr>
                <w:rFonts w:ascii="Times New Roman" w:hAnsi="Times New Roman" w:cs="Times New Roman"/>
              </w:rPr>
              <w:t>Pembolehubah pepatung bagi setiap tahun yang berkaitan (2014, 2015, 2016, 2017, 2018)</w:t>
            </w:r>
            <w:r w:rsidR="00BF0716" w:rsidRPr="00354D63">
              <w:rPr>
                <w:rFonts w:ascii="Times New Roman" w:hAnsi="Times New Roman" w:cs="Times New Roman"/>
              </w:rPr>
              <w:t xml:space="preserve"> (</w:t>
            </w:r>
            <w:r w:rsidR="003E6DC5" w:rsidRPr="00354D63">
              <w:rPr>
                <w:rFonts w:ascii="Times New Roman" w:hAnsi="Times New Roman" w:cs="Times New Roman"/>
              </w:rPr>
              <w:t>Rahmat</w:t>
            </w:r>
            <w:r w:rsidR="00BF0716" w:rsidRPr="00354D63">
              <w:rPr>
                <w:rFonts w:ascii="Times New Roman" w:hAnsi="Times New Roman" w:cs="Times New Roman"/>
              </w:rPr>
              <w:t xml:space="preserve"> et al. 201</w:t>
            </w:r>
            <w:r w:rsidR="003E6DC5" w:rsidRPr="00354D63">
              <w:rPr>
                <w:rFonts w:ascii="Times New Roman" w:hAnsi="Times New Roman" w:cs="Times New Roman"/>
              </w:rPr>
              <w:t>8</w:t>
            </w:r>
            <w:r w:rsidR="00BF0716" w:rsidRPr="00354D63">
              <w:rPr>
                <w:rFonts w:ascii="Times New Roman" w:hAnsi="Times New Roman" w:cs="Times New Roman"/>
              </w:rPr>
              <w:t>)</w:t>
            </w:r>
          </w:p>
        </w:tc>
      </w:tr>
    </w:tbl>
    <w:p w14:paraId="5E5FF297" w14:textId="6FBE4631" w:rsidR="00346674" w:rsidRDefault="00346674" w:rsidP="00701609">
      <w:pPr>
        <w:spacing w:after="0" w:line="360" w:lineRule="auto"/>
        <w:jc w:val="both"/>
        <w:rPr>
          <w:rFonts w:ascii="Times New Roman" w:hAnsi="Times New Roman" w:cs="Times New Roman"/>
          <w:sz w:val="24"/>
          <w:szCs w:val="24"/>
        </w:rPr>
      </w:pPr>
    </w:p>
    <w:p w14:paraId="78DC4505" w14:textId="77777777" w:rsidR="00C11A8C" w:rsidRDefault="00C11A8C" w:rsidP="00701609">
      <w:pPr>
        <w:spacing w:after="0" w:line="360" w:lineRule="auto"/>
        <w:jc w:val="both"/>
        <w:rPr>
          <w:rFonts w:ascii="Times New Roman" w:hAnsi="Times New Roman" w:cs="Times New Roman"/>
          <w:sz w:val="24"/>
          <w:szCs w:val="24"/>
        </w:rPr>
      </w:pPr>
    </w:p>
    <w:p w14:paraId="3C981F20" w14:textId="2C1592E2" w:rsidR="00346674" w:rsidRDefault="00346674" w:rsidP="00701609">
      <w:pPr>
        <w:spacing w:after="0" w:line="360" w:lineRule="auto"/>
        <w:jc w:val="both"/>
        <w:rPr>
          <w:rFonts w:ascii="Times New Roman" w:hAnsi="Times New Roman" w:cs="Times New Roman"/>
          <w:sz w:val="24"/>
          <w:szCs w:val="24"/>
        </w:rPr>
      </w:pPr>
    </w:p>
    <w:p w14:paraId="52B0BF64" w14:textId="61AB509E" w:rsidR="00354D63" w:rsidRDefault="00354D63" w:rsidP="00701609">
      <w:pPr>
        <w:spacing w:after="0" w:line="360" w:lineRule="auto"/>
        <w:jc w:val="both"/>
        <w:rPr>
          <w:rFonts w:ascii="Times New Roman" w:hAnsi="Times New Roman" w:cs="Times New Roman"/>
          <w:sz w:val="24"/>
          <w:szCs w:val="24"/>
        </w:rPr>
      </w:pPr>
    </w:p>
    <w:p w14:paraId="0440AFD1" w14:textId="40A5A66A" w:rsidR="00354D63" w:rsidRDefault="00354D63" w:rsidP="00701609">
      <w:pPr>
        <w:spacing w:after="0" w:line="360" w:lineRule="auto"/>
        <w:jc w:val="both"/>
        <w:rPr>
          <w:rFonts w:ascii="Times New Roman" w:hAnsi="Times New Roman" w:cs="Times New Roman"/>
          <w:sz w:val="24"/>
          <w:szCs w:val="24"/>
        </w:rPr>
      </w:pPr>
    </w:p>
    <w:p w14:paraId="2DEE00E8" w14:textId="77777777" w:rsidR="00354D63" w:rsidRPr="00137BB4" w:rsidRDefault="00354D63" w:rsidP="00701609">
      <w:pPr>
        <w:spacing w:after="0" w:line="360" w:lineRule="auto"/>
        <w:jc w:val="both"/>
        <w:rPr>
          <w:rFonts w:ascii="Times New Roman" w:hAnsi="Times New Roman" w:cs="Times New Roman"/>
          <w:sz w:val="24"/>
          <w:szCs w:val="24"/>
        </w:rPr>
      </w:pPr>
    </w:p>
    <w:p w14:paraId="57C7CE3A" w14:textId="77777777" w:rsidR="00F12CB7" w:rsidRDefault="00346674" w:rsidP="00F12CB7">
      <w:pPr>
        <w:spacing w:after="0" w:line="360" w:lineRule="auto"/>
        <w:jc w:val="center"/>
        <w:rPr>
          <w:rFonts w:ascii="Times New Roman" w:hAnsi="Times New Roman" w:cs="Times New Roman"/>
          <w:b/>
          <w:bCs/>
          <w:sz w:val="24"/>
          <w:szCs w:val="24"/>
        </w:rPr>
      </w:pPr>
      <w:r w:rsidRPr="00346674">
        <w:rPr>
          <w:rFonts w:ascii="Times New Roman" w:hAnsi="Times New Roman" w:cs="Times New Roman"/>
          <w:b/>
          <w:bCs/>
          <w:sz w:val="24"/>
          <w:szCs w:val="24"/>
        </w:rPr>
        <w:lastRenderedPageBreak/>
        <w:t>HASIL KAJIAN</w:t>
      </w:r>
      <w:bookmarkStart w:id="12" w:name="_Toc36497546"/>
    </w:p>
    <w:p w14:paraId="58B4533E" w14:textId="28C41823" w:rsidR="00137BB4" w:rsidRPr="00F12CB7" w:rsidRDefault="00137BB4" w:rsidP="00F12CB7">
      <w:pPr>
        <w:spacing w:after="0" w:line="360" w:lineRule="auto"/>
        <w:rPr>
          <w:rFonts w:ascii="Times New Roman" w:hAnsi="Times New Roman" w:cs="Times New Roman"/>
          <w:b/>
          <w:bCs/>
          <w:sz w:val="24"/>
          <w:szCs w:val="24"/>
        </w:rPr>
      </w:pPr>
      <w:r w:rsidRPr="00137BB4">
        <w:rPr>
          <w:rFonts w:ascii="Times New Roman" w:eastAsiaTheme="majorEastAsia" w:hAnsi="Times New Roman" w:cs="Times New Roman"/>
          <w:b/>
          <w:sz w:val="24"/>
          <w:szCs w:val="24"/>
        </w:rPr>
        <w:t>Statistik Deskriptif</w:t>
      </w:r>
      <w:bookmarkEnd w:id="12"/>
      <w:r w:rsidRPr="00137BB4">
        <w:rPr>
          <w:rFonts w:ascii="Times New Roman" w:eastAsiaTheme="majorEastAsia" w:hAnsi="Times New Roman" w:cs="Times New Roman"/>
          <w:b/>
          <w:sz w:val="24"/>
          <w:szCs w:val="24"/>
        </w:rPr>
        <w:t xml:space="preserve"> </w:t>
      </w:r>
    </w:p>
    <w:p w14:paraId="18EA6451" w14:textId="16AEFF60" w:rsidR="00137BB4" w:rsidRPr="00137BB4" w:rsidRDefault="00D52C58" w:rsidP="00740E96">
      <w:pPr>
        <w:spacing w:after="0" w:line="240" w:lineRule="auto"/>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Jadual </w:t>
      </w:r>
      <w:r w:rsidR="0032709D">
        <w:rPr>
          <w:rFonts w:ascii="Times New Roman" w:eastAsiaTheme="majorEastAsia" w:hAnsi="Times New Roman" w:cs="Times New Roman"/>
          <w:sz w:val="24"/>
          <w:szCs w:val="24"/>
        </w:rPr>
        <w:t>3</w:t>
      </w:r>
      <w:r>
        <w:rPr>
          <w:rFonts w:ascii="Times New Roman" w:eastAsiaTheme="majorEastAsia" w:hAnsi="Times New Roman" w:cs="Times New Roman"/>
          <w:sz w:val="24"/>
          <w:szCs w:val="24"/>
        </w:rPr>
        <w:t xml:space="preserve"> menunjukkan analisis deskriptif untuk </w:t>
      </w:r>
      <w:r>
        <w:rPr>
          <w:rFonts w:ascii="Times New Roman" w:hAnsi="Times New Roman" w:cs="Times New Roman"/>
          <w:sz w:val="24"/>
          <w:szCs w:val="24"/>
        </w:rPr>
        <w:t>3,</w:t>
      </w:r>
      <w:r w:rsidR="005E7DA1">
        <w:rPr>
          <w:rFonts w:ascii="Times New Roman" w:hAnsi="Times New Roman" w:cs="Times New Roman"/>
          <w:sz w:val="24"/>
          <w:szCs w:val="24"/>
        </w:rPr>
        <w:t>230</w:t>
      </w:r>
      <w:r>
        <w:rPr>
          <w:rFonts w:ascii="Times New Roman" w:hAnsi="Times New Roman" w:cs="Times New Roman"/>
          <w:sz w:val="24"/>
          <w:szCs w:val="24"/>
        </w:rPr>
        <w:t xml:space="preserve"> pemerhatian</w:t>
      </w:r>
      <w:r>
        <w:rPr>
          <w:rFonts w:ascii="Times New Roman" w:eastAsiaTheme="majorEastAsia" w:hAnsi="Times New Roman" w:cs="Times New Roman"/>
          <w:sz w:val="24"/>
          <w:szCs w:val="24"/>
        </w:rPr>
        <w:t xml:space="preserve">. </w:t>
      </w:r>
      <w:r w:rsidR="00DE37BB" w:rsidRPr="00137BB4">
        <w:rPr>
          <w:rFonts w:ascii="Times New Roman" w:eastAsiaTheme="majorEastAsia" w:hAnsi="Times New Roman" w:cs="Times New Roman"/>
          <w:sz w:val="24"/>
          <w:szCs w:val="24"/>
        </w:rPr>
        <w:t>Panel A</w:t>
      </w:r>
      <w:r w:rsidR="00DE37BB" w:rsidRPr="00137BB4">
        <w:rPr>
          <w:rFonts w:ascii="Times New Roman" w:hAnsi="Times New Roman" w:cs="Times New Roman"/>
          <w:sz w:val="24"/>
          <w:szCs w:val="24"/>
        </w:rPr>
        <w:t xml:space="preserve"> </w:t>
      </w:r>
      <w:r w:rsidR="00137BB4" w:rsidRPr="00137BB4">
        <w:rPr>
          <w:rFonts w:ascii="Times New Roman" w:hAnsi="Times New Roman" w:cs="Times New Roman"/>
          <w:sz w:val="24"/>
          <w:szCs w:val="24"/>
        </w:rPr>
        <w:t xml:space="preserve">Jadual </w:t>
      </w:r>
      <w:r w:rsidR="0032709D">
        <w:rPr>
          <w:rFonts w:ascii="Times New Roman" w:hAnsi="Times New Roman" w:cs="Times New Roman"/>
          <w:sz w:val="24"/>
          <w:szCs w:val="24"/>
        </w:rPr>
        <w:t>3</w:t>
      </w:r>
      <w:r w:rsidR="00137BB4" w:rsidRPr="00137BB4">
        <w:rPr>
          <w:rFonts w:ascii="Times New Roman" w:hAnsi="Times New Roman" w:cs="Times New Roman"/>
          <w:sz w:val="24"/>
          <w:szCs w:val="24"/>
        </w:rPr>
        <w:t xml:space="preserve"> </w:t>
      </w:r>
      <w:r w:rsidR="00137BB4" w:rsidRPr="00137BB4">
        <w:rPr>
          <w:rFonts w:ascii="Times New Roman" w:eastAsiaTheme="majorEastAsia" w:hAnsi="Times New Roman" w:cs="Times New Roman"/>
          <w:sz w:val="24"/>
          <w:szCs w:val="24"/>
        </w:rPr>
        <w:t>menunjukkan nilai min, median, maksimum, minimum dan sisihan piawai bagi pemboleh ubah bersandar iaitu UPB</w:t>
      </w:r>
      <w:r w:rsidR="00DE37BB">
        <w:rPr>
          <w:rFonts w:ascii="Times New Roman" w:eastAsiaTheme="majorEastAsia" w:hAnsi="Times New Roman" w:cs="Times New Roman"/>
          <w:sz w:val="24"/>
          <w:szCs w:val="24"/>
        </w:rPr>
        <w:t xml:space="preserve"> </w:t>
      </w:r>
      <w:r w:rsidR="00137BB4" w:rsidRPr="00137BB4">
        <w:rPr>
          <w:rFonts w:ascii="Times New Roman" w:eastAsiaTheme="majorEastAsia" w:hAnsi="Times New Roman" w:cs="Times New Roman"/>
          <w:sz w:val="24"/>
          <w:szCs w:val="24"/>
        </w:rPr>
        <w:t xml:space="preserve">(urusniaga pihak berkaitan); dan pemboleh ubah kawalan iaitu </w:t>
      </w:r>
      <w:r w:rsidR="00782DC0">
        <w:rPr>
          <w:rFonts w:ascii="Times New Roman" w:eastAsiaTheme="majorEastAsia" w:hAnsi="Times New Roman" w:cs="Times New Roman"/>
          <w:sz w:val="24"/>
          <w:szCs w:val="24"/>
        </w:rPr>
        <w:t>JKAudit</w:t>
      </w:r>
      <w:r w:rsidR="00137BB4" w:rsidRPr="00137BB4">
        <w:rPr>
          <w:rFonts w:ascii="Times New Roman" w:eastAsiaTheme="majorEastAsia" w:hAnsi="Times New Roman" w:cs="Times New Roman"/>
          <w:sz w:val="24"/>
          <w:szCs w:val="24"/>
        </w:rPr>
        <w:t xml:space="preserve"> (jawatankuasa audit bebas), </w:t>
      </w:r>
      <w:r w:rsidR="00782DC0">
        <w:rPr>
          <w:rFonts w:ascii="Times New Roman" w:eastAsiaTheme="majorEastAsia" w:hAnsi="Times New Roman" w:cs="Times New Roman"/>
          <w:sz w:val="24"/>
          <w:szCs w:val="24"/>
        </w:rPr>
        <w:t>PBebas</w:t>
      </w:r>
      <w:r w:rsidR="00137BB4" w:rsidRPr="00137BB4">
        <w:rPr>
          <w:rFonts w:ascii="Times New Roman" w:eastAsiaTheme="majorEastAsia" w:hAnsi="Times New Roman" w:cs="Times New Roman"/>
          <w:sz w:val="24"/>
          <w:szCs w:val="24"/>
        </w:rPr>
        <w:t xml:space="preserve"> (pengarah bebas), </w:t>
      </w:r>
      <w:r w:rsidR="00782DC0">
        <w:rPr>
          <w:rFonts w:ascii="Times New Roman" w:eastAsiaTheme="majorEastAsia" w:hAnsi="Times New Roman" w:cs="Times New Roman"/>
          <w:sz w:val="24"/>
          <w:szCs w:val="24"/>
        </w:rPr>
        <w:t>LPSaiz</w:t>
      </w:r>
      <w:r w:rsidR="00137BB4" w:rsidRPr="00137BB4">
        <w:rPr>
          <w:rFonts w:ascii="Times New Roman" w:eastAsiaTheme="majorEastAsia" w:hAnsi="Times New Roman" w:cs="Times New Roman"/>
          <w:sz w:val="24"/>
          <w:szCs w:val="24"/>
        </w:rPr>
        <w:t xml:space="preserve"> (saiz lembaga pengarah), </w:t>
      </w:r>
      <w:r w:rsidR="00782DC0">
        <w:rPr>
          <w:rFonts w:ascii="Times New Roman" w:eastAsiaTheme="majorEastAsia" w:hAnsi="Times New Roman" w:cs="Times New Roman"/>
          <w:sz w:val="24"/>
          <w:szCs w:val="24"/>
        </w:rPr>
        <w:t>Saiz</w:t>
      </w:r>
      <w:r w:rsidR="00137BB4" w:rsidRPr="00137BB4">
        <w:rPr>
          <w:rFonts w:ascii="Times New Roman" w:eastAsiaTheme="majorEastAsia" w:hAnsi="Times New Roman" w:cs="Times New Roman"/>
          <w:sz w:val="24"/>
          <w:szCs w:val="24"/>
        </w:rPr>
        <w:t xml:space="preserve"> (saiz syarikat), PAA (pulangan atas aset), Tumbuh (pertumbuhan syarikat) dan Umpil (keumpilan syarikat). Panel B menunjukkan nilai kekerapan bagi pemboleh ubah bebas </w:t>
      </w:r>
      <w:r w:rsidR="004D7323">
        <w:rPr>
          <w:rFonts w:ascii="Times New Roman" w:eastAsiaTheme="majorEastAsia" w:hAnsi="Times New Roman" w:cs="Times New Roman"/>
          <w:sz w:val="24"/>
          <w:szCs w:val="24"/>
        </w:rPr>
        <w:t>FAPI</w:t>
      </w:r>
      <w:r w:rsidR="00137BB4" w:rsidRPr="00137BB4">
        <w:rPr>
          <w:rFonts w:ascii="Times New Roman" w:eastAsiaTheme="majorEastAsia" w:hAnsi="Times New Roman" w:cs="Times New Roman"/>
          <w:sz w:val="24"/>
          <w:szCs w:val="24"/>
        </w:rPr>
        <w:t xml:space="preserve"> (</w:t>
      </w:r>
      <w:r w:rsidR="00F12CB7">
        <w:rPr>
          <w:rFonts w:ascii="Times New Roman" w:eastAsiaTheme="majorEastAsia" w:hAnsi="Times New Roman" w:cs="Times New Roman"/>
          <w:sz w:val="24"/>
          <w:szCs w:val="24"/>
        </w:rPr>
        <w:t>firma audit pakar industri</w:t>
      </w:r>
      <w:r w:rsidR="00137BB4" w:rsidRPr="00137BB4">
        <w:rPr>
          <w:rFonts w:ascii="Times New Roman" w:eastAsiaTheme="majorEastAsia" w:hAnsi="Times New Roman" w:cs="Times New Roman"/>
          <w:sz w:val="24"/>
          <w:szCs w:val="24"/>
        </w:rPr>
        <w:t>)</w:t>
      </w:r>
      <w:r>
        <w:rPr>
          <w:rFonts w:ascii="Times New Roman" w:eastAsiaTheme="majorEastAsia" w:hAnsi="Times New Roman" w:cs="Times New Roman"/>
          <w:sz w:val="24"/>
          <w:szCs w:val="24"/>
        </w:rPr>
        <w:t xml:space="preserve"> pada nilai ambang 10% dan 20%</w:t>
      </w:r>
      <w:r w:rsidR="00137BB4" w:rsidRPr="00137BB4">
        <w:rPr>
          <w:rFonts w:ascii="Times New Roman" w:eastAsiaTheme="majorEastAsia" w:hAnsi="Times New Roman" w:cs="Times New Roman"/>
          <w:sz w:val="24"/>
          <w:szCs w:val="24"/>
        </w:rPr>
        <w:t xml:space="preserve">. </w:t>
      </w:r>
    </w:p>
    <w:p w14:paraId="73173564" w14:textId="77777777" w:rsidR="00137BB4" w:rsidRPr="00137BB4" w:rsidRDefault="00137BB4" w:rsidP="00740E96">
      <w:pPr>
        <w:spacing w:after="0" w:line="240" w:lineRule="auto"/>
        <w:jc w:val="both"/>
        <w:rPr>
          <w:rFonts w:ascii="Times New Roman" w:eastAsiaTheme="majorEastAsia" w:hAnsi="Times New Roman" w:cs="Times New Roman"/>
          <w:sz w:val="24"/>
          <w:szCs w:val="24"/>
        </w:rPr>
      </w:pPr>
      <w:r w:rsidRPr="00137BB4">
        <w:rPr>
          <w:rFonts w:ascii="Times New Roman" w:eastAsiaTheme="majorEastAsia" w:hAnsi="Times New Roman" w:cs="Times New Roman"/>
          <w:sz w:val="24"/>
          <w:szCs w:val="24"/>
        </w:rPr>
        <w:t xml:space="preserve"> </w:t>
      </w:r>
    </w:p>
    <w:p w14:paraId="3CBED58E" w14:textId="783D9F17" w:rsidR="009141C4" w:rsidRPr="00D52C58" w:rsidRDefault="00137BB4" w:rsidP="00740E96">
      <w:pPr>
        <w:spacing w:after="0" w:line="240" w:lineRule="auto"/>
        <w:jc w:val="both"/>
        <w:rPr>
          <w:rFonts w:ascii="Times New Roman" w:eastAsiaTheme="majorEastAsia" w:hAnsi="Times New Roman" w:cs="Times New Roman"/>
          <w:color w:val="FF0000"/>
          <w:sz w:val="24"/>
          <w:szCs w:val="24"/>
        </w:rPr>
      </w:pPr>
      <w:r w:rsidRPr="00137BB4">
        <w:rPr>
          <w:rFonts w:ascii="Times New Roman" w:eastAsiaTheme="majorEastAsia" w:hAnsi="Times New Roman" w:cs="Times New Roman"/>
          <w:sz w:val="24"/>
          <w:szCs w:val="24"/>
        </w:rPr>
        <w:tab/>
      </w:r>
      <w:r w:rsidRPr="00354D63">
        <w:rPr>
          <w:rFonts w:ascii="Times New Roman" w:eastAsiaTheme="majorEastAsia" w:hAnsi="Times New Roman" w:cs="Times New Roman"/>
          <w:sz w:val="24"/>
          <w:szCs w:val="24"/>
        </w:rPr>
        <w:t xml:space="preserve">Berdasarkan Jadual </w:t>
      </w:r>
      <w:r w:rsidR="0032709D" w:rsidRPr="00354D63">
        <w:rPr>
          <w:rFonts w:ascii="Times New Roman" w:eastAsiaTheme="majorEastAsia" w:hAnsi="Times New Roman" w:cs="Times New Roman"/>
          <w:sz w:val="24"/>
          <w:szCs w:val="24"/>
        </w:rPr>
        <w:t>3</w:t>
      </w:r>
      <w:r w:rsidRPr="00354D63">
        <w:rPr>
          <w:rFonts w:ascii="Times New Roman" w:eastAsiaTheme="majorEastAsia" w:hAnsi="Times New Roman" w:cs="Times New Roman"/>
          <w:sz w:val="24"/>
          <w:szCs w:val="24"/>
        </w:rPr>
        <w:t xml:space="preserve">, </w:t>
      </w:r>
      <w:r w:rsidR="00DE37BB" w:rsidRPr="00354D63">
        <w:rPr>
          <w:rFonts w:ascii="Times New Roman" w:eastAsiaTheme="majorEastAsia" w:hAnsi="Times New Roman" w:cs="Times New Roman"/>
          <w:sz w:val="24"/>
          <w:szCs w:val="24"/>
        </w:rPr>
        <w:t xml:space="preserve">nilai purata </w:t>
      </w:r>
      <w:r w:rsidRPr="00354D63">
        <w:rPr>
          <w:rFonts w:ascii="Times New Roman" w:eastAsiaTheme="majorEastAsia" w:hAnsi="Times New Roman" w:cs="Times New Roman"/>
          <w:sz w:val="24"/>
          <w:szCs w:val="24"/>
        </w:rPr>
        <w:t xml:space="preserve">UPB </w:t>
      </w:r>
      <w:r w:rsidR="00DE37BB" w:rsidRPr="00354D63">
        <w:rPr>
          <w:rFonts w:ascii="Times New Roman" w:eastAsiaTheme="majorEastAsia" w:hAnsi="Times New Roman" w:cs="Times New Roman"/>
          <w:sz w:val="24"/>
          <w:szCs w:val="24"/>
        </w:rPr>
        <w:t>ialah</w:t>
      </w:r>
      <w:r w:rsidRPr="00354D63">
        <w:rPr>
          <w:rFonts w:ascii="Times New Roman" w:eastAsiaTheme="majorEastAsia" w:hAnsi="Times New Roman" w:cs="Times New Roman"/>
          <w:sz w:val="24"/>
          <w:szCs w:val="24"/>
        </w:rPr>
        <w:t xml:space="preserve"> </w:t>
      </w:r>
      <w:r w:rsidR="003E6DC5" w:rsidRPr="00354D63">
        <w:rPr>
          <w:rFonts w:ascii="Times New Roman" w:eastAsiaTheme="majorEastAsia" w:hAnsi="Times New Roman" w:cs="Times New Roman"/>
          <w:sz w:val="24"/>
          <w:szCs w:val="24"/>
        </w:rPr>
        <w:t>14.011</w:t>
      </w:r>
      <w:r w:rsidRPr="00354D63">
        <w:rPr>
          <w:rFonts w:ascii="Times New Roman" w:eastAsiaTheme="majorEastAsia" w:hAnsi="Times New Roman" w:cs="Times New Roman"/>
          <w:sz w:val="24"/>
          <w:szCs w:val="24"/>
        </w:rPr>
        <w:t xml:space="preserve">. Nilai minimum adalah 0.000 yang menunjukkan bahawa sesetengah syarikat tersenarai tidak mendedahkan sebarang </w:t>
      </w:r>
      <w:r w:rsidR="00DE37BB" w:rsidRPr="00354D63">
        <w:rPr>
          <w:rFonts w:ascii="Times New Roman" w:eastAsiaTheme="majorEastAsia" w:hAnsi="Times New Roman" w:cs="Times New Roman"/>
          <w:sz w:val="24"/>
          <w:szCs w:val="24"/>
        </w:rPr>
        <w:t>UPB</w:t>
      </w:r>
      <w:r w:rsidRPr="00354D63">
        <w:rPr>
          <w:rFonts w:ascii="Times New Roman" w:eastAsiaTheme="majorEastAsia" w:hAnsi="Times New Roman" w:cs="Times New Roman"/>
          <w:sz w:val="24"/>
          <w:szCs w:val="24"/>
        </w:rPr>
        <w:t xml:space="preserve"> manakala nilai maksimum UPB adalah </w:t>
      </w:r>
      <w:r w:rsidR="003E6DC5" w:rsidRPr="00354D63">
        <w:rPr>
          <w:rFonts w:ascii="Times New Roman" w:eastAsiaTheme="majorEastAsia" w:hAnsi="Times New Roman" w:cs="Times New Roman"/>
          <w:sz w:val="24"/>
          <w:szCs w:val="24"/>
        </w:rPr>
        <w:t>24.359</w:t>
      </w:r>
      <w:r w:rsidRPr="00354D63">
        <w:rPr>
          <w:rFonts w:ascii="Times New Roman" w:eastAsiaTheme="majorEastAsia" w:hAnsi="Times New Roman" w:cs="Times New Roman"/>
          <w:sz w:val="24"/>
          <w:szCs w:val="24"/>
        </w:rPr>
        <w:t xml:space="preserve">. </w:t>
      </w:r>
      <w:r w:rsidR="00D52C58" w:rsidRPr="00354D63">
        <w:rPr>
          <w:rFonts w:ascii="Times New Roman" w:eastAsiaTheme="majorEastAsia" w:hAnsi="Times New Roman" w:cs="Times New Roman"/>
          <w:sz w:val="24"/>
          <w:szCs w:val="24"/>
        </w:rPr>
        <w:t xml:space="preserve">Berdasarkan trend, kajian ini mendapati berlaku penurunan dalam pendedahan UPB dan dapatan ini selari dengan hasil kajian oleh MSWG (2018). </w:t>
      </w:r>
      <w:r w:rsidRPr="00354D63">
        <w:rPr>
          <w:rFonts w:ascii="Times New Roman" w:eastAsiaTheme="majorEastAsia" w:hAnsi="Times New Roman" w:cs="Times New Roman"/>
          <w:sz w:val="24"/>
          <w:szCs w:val="24"/>
        </w:rPr>
        <w:t xml:space="preserve">Panel B menerangkan pemboleh ubah bebas iaitu </w:t>
      </w:r>
      <w:r w:rsidR="001455C7" w:rsidRPr="00354D63">
        <w:rPr>
          <w:rFonts w:ascii="Times New Roman" w:eastAsiaTheme="majorEastAsia" w:hAnsi="Times New Roman" w:cs="Times New Roman"/>
          <w:sz w:val="24"/>
          <w:szCs w:val="24"/>
        </w:rPr>
        <w:t>FAPI</w:t>
      </w:r>
      <w:r w:rsidRPr="00354D63">
        <w:rPr>
          <w:rFonts w:ascii="Times New Roman" w:eastAsiaTheme="majorEastAsia" w:hAnsi="Times New Roman" w:cs="Times New Roman"/>
          <w:sz w:val="24"/>
          <w:szCs w:val="24"/>
        </w:rPr>
        <w:t xml:space="preserve"> (</w:t>
      </w:r>
      <w:r w:rsidR="00041DA3" w:rsidRPr="00354D63">
        <w:rPr>
          <w:rFonts w:ascii="Times New Roman" w:eastAsiaTheme="majorEastAsia" w:hAnsi="Times New Roman" w:cs="Times New Roman"/>
          <w:sz w:val="24"/>
          <w:szCs w:val="24"/>
        </w:rPr>
        <w:t>firma audit pakar industri</w:t>
      </w:r>
      <w:r w:rsidR="009141C4" w:rsidRPr="00354D63">
        <w:rPr>
          <w:rFonts w:ascii="Times New Roman" w:eastAsiaTheme="majorEastAsia" w:hAnsi="Times New Roman" w:cs="Times New Roman"/>
          <w:sz w:val="24"/>
          <w:szCs w:val="24"/>
        </w:rPr>
        <w:t xml:space="preserve">). Pada </w:t>
      </w:r>
      <w:r w:rsidR="000E0452" w:rsidRPr="00354D63">
        <w:rPr>
          <w:rFonts w:ascii="Times New Roman" w:eastAsiaTheme="majorEastAsia" w:hAnsi="Times New Roman" w:cs="Times New Roman"/>
          <w:sz w:val="24"/>
          <w:szCs w:val="24"/>
        </w:rPr>
        <w:t xml:space="preserve">tahap </w:t>
      </w:r>
      <w:r w:rsidR="004D7323" w:rsidRPr="000269EE">
        <w:rPr>
          <w:rFonts w:ascii="Times New Roman" w:eastAsiaTheme="majorEastAsia" w:hAnsi="Times New Roman" w:cs="Times New Roman"/>
          <w:sz w:val="24"/>
          <w:szCs w:val="24"/>
        </w:rPr>
        <w:t>FAPI</w:t>
      </w:r>
      <w:r w:rsidR="009141C4" w:rsidRPr="000269EE">
        <w:rPr>
          <w:rFonts w:ascii="Times New Roman" w:eastAsiaTheme="majorEastAsia" w:hAnsi="Times New Roman" w:cs="Times New Roman"/>
          <w:sz w:val="24"/>
          <w:szCs w:val="24"/>
        </w:rPr>
        <w:t xml:space="preserve"> 10%</w:t>
      </w:r>
      <w:r w:rsidR="00041DA3" w:rsidRPr="000269EE">
        <w:rPr>
          <w:rFonts w:ascii="Times New Roman" w:eastAsiaTheme="majorEastAsia" w:hAnsi="Times New Roman" w:cs="Times New Roman"/>
          <w:sz w:val="24"/>
          <w:szCs w:val="24"/>
        </w:rPr>
        <w:t xml:space="preserve"> dan 20%, bilangan syarikat yang diaudit oleh firma audit pakar adalah masing-masing sebanyak 1,626 (50.34%) dan </w:t>
      </w:r>
      <w:r w:rsidRPr="000269EE">
        <w:rPr>
          <w:rFonts w:ascii="Times New Roman" w:eastAsiaTheme="majorEastAsia" w:hAnsi="Times New Roman" w:cs="Times New Roman"/>
          <w:sz w:val="24"/>
          <w:szCs w:val="24"/>
        </w:rPr>
        <w:t xml:space="preserve">414 </w:t>
      </w:r>
      <w:r w:rsidR="00041DA3" w:rsidRPr="000269EE">
        <w:rPr>
          <w:rFonts w:ascii="Times New Roman" w:eastAsiaTheme="majorEastAsia" w:hAnsi="Times New Roman" w:cs="Times New Roman"/>
          <w:sz w:val="24"/>
          <w:szCs w:val="24"/>
        </w:rPr>
        <w:t xml:space="preserve">(12.82%) </w:t>
      </w:r>
      <w:r w:rsidRPr="000269EE">
        <w:rPr>
          <w:rFonts w:ascii="Times New Roman" w:eastAsiaTheme="majorEastAsia" w:hAnsi="Times New Roman" w:cs="Times New Roman"/>
          <w:sz w:val="24"/>
          <w:szCs w:val="24"/>
        </w:rPr>
        <w:t>daripada 3,230 pemerhatian</w:t>
      </w:r>
      <w:r w:rsidR="00041DA3" w:rsidRPr="000269EE">
        <w:rPr>
          <w:rFonts w:ascii="Times New Roman" w:eastAsiaTheme="majorEastAsia" w:hAnsi="Times New Roman" w:cs="Times New Roman"/>
          <w:sz w:val="24"/>
          <w:szCs w:val="24"/>
        </w:rPr>
        <w:t xml:space="preserve">. Lain-lain keputusan untuk pembolehubah kawalan boleh dirujuk dalam Jadual </w:t>
      </w:r>
      <w:r w:rsidR="00823DEE">
        <w:rPr>
          <w:rFonts w:ascii="Times New Roman" w:eastAsiaTheme="majorEastAsia" w:hAnsi="Times New Roman" w:cs="Times New Roman"/>
          <w:sz w:val="24"/>
          <w:szCs w:val="24"/>
        </w:rPr>
        <w:t>3</w:t>
      </w:r>
      <w:r w:rsidR="000269EE" w:rsidRPr="000269EE">
        <w:rPr>
          <w:rFonts w:ascii="Times New Roman" w:eastAsiaTheme="majorEastAsia" w:hAnsi="Times New Roman" w:cs="Times New Roman"/>
          <w:sz w:val="24"/>
          <w:szCs w:val="24"/>
        </w:rPr>
        <w:t>.</w:t>
      </w:r>
      <w:r w:rsidR="00041DA3">
        <w:rPr>
          <w:rFonts w:ascii="Times New Roman" w:eastAsiaTheme="majorEastAsia" w:hAnsi="Times New Roman" w:cs="Times New Roman"/>
          <w:sz w:val="24"/>
          <w:szCs w:val="24"/>
        </w:rPr>
        <w:t xml:space="preserve"> </w:t>
      </w:r>
      <w:r w:rsidRPr="00137BB4">
        <w:rPr>
          <w:rFonts w:ascii="Times New Roman" w:eastAsiaTheme="majorEastAsia" w:hAnsi="Times New Roman" w:cs="Times New Roman"/>
          <w:sz w:val="24"/>
          <w:szCs w:val="24"/>
        </w:rPr>
        <w:t xml:space="preserve"> </w:t>
      </w:r>
    </w:p>
    <w:p w14:paraId="093A0D5B" w14:textId="5E15DFE7" w:rsidR="009141C4" w:rsidRDefault="009141C4" w:rsidP="00740E96">
      <w:pPr>
        <w:spacing w:after="0" w:line="240" w:lineRule="auto"/>
        <w:jc w:val="both"/>
        <w:rPr>
          <w:rFonts w:ascii="Times New Roman" w:eastAsiaTheme="majorEastAsia" w:hAnsi="Times New Roman" w:cs="Times New Roman"/>
          <w:sz w:val="24"/>
          <w:szCs w:val="24"/>
        </w:rPr>
      </w:pPr>
    </w:p>
    <w:p w14:paraId="38E13807" w14:textId="77777777" w:rsidR="00823DEE" w:rsidRPr="00137BB4" w:rsidRDefault="00823DEE" w:rsidP="00823DEE">
      <w:pPr>
        <w:spacing w:after="0" w:line="240" w:lineRule="auto"/>
        <w:jc w:val="both"/>
        <w:rPr>
          <w:rFonts w:ascii="Times New Roman" w:eastAsiaTheme="majorEastAsia" w:hAnsi="Times New Roman" w:cs="Times New Roman"/>
          <w:sz w:val="24"/>
          <w:szCs w:val="24"/>
        </w:rPr>
      </w:pPr>
    </w:p>
    <w:p w14:paraId="332F3970" w14:textId="5287BC46" w:rsidR="00823DEE" w:rsidRDefault="00823DEE" w:rsidP="00823DEE">
      <w:pPr>
        <w:spacing w:after="0" w:line="240" w:lineRule="auto"/>
        <w:jc w:val="center"/>
        <w:rPr>
          <w:rFonts w:ascii="Times New Roman" w:hAnsi="Times New Roman" w:cs="Times New Roman"/>
          <w:sz w:val="24"/>
          <w:szCs w:val="24"/>
        </w:rPr>
      </w:pPr>
      <w:r w:rsidRPr="00137BB4">
        <w:rPr>
          <w:rFonts w:ascii="Times New Roman" w:hAnsi="Times New Roman" w:cs="Times New Roman"/>
          <w:sz w:val="24"/>
          <w:szCs w:val="24"/>
        </w:rPr>
        <w:t xml:space="preserve">Jadual </w:t>
      </w:r>
      <w:r>
        <w:rPr>
          <w:rFonts w:ascii="Times New Roman" w:hAnsi="Times New Roman" w:cs="Times New Roman"/>
          <w:sz w:val="24"/>
          <w:szCs w:val="24"/>
        </w:rPr>
        <w:t>3</w:t>
      </w:r>
      <w:r w:rsidRPr="00137BB4">
        <w:rPr>
          <w:rFonts w:ascii="Times New Roman" w:hAnsi="Times New Roman" w:cs="Times New Roman"/>
          <w:sz w:val="24"/>
          <w:szCs w:val="24"/>
        </w:rPr>
        <w:t xml:space="preserve"> Statistik Deskriptif Pemboleh Ubah (n=3230)</w:t>
      </w:r>
    </w:p>
    <w:p w14:paraId="3C4E9E53" w14:textId="77777777" w:rsidR="005E7DA1" w:rsidRPr="00137BB4" w:rsidRDefault="005E7DA1" w:rsidP="00823DEE">
      <w:pPr>
        <w:spacing w:after="0" w:line="240" w:lineRule="auto"/>
        <w:jc w:val="center"/>
        <w:rPr>
          <w:rFonts w:ascii="Times New Roman" w:hAnsi="Times New Roman" w:cs="Times New Roman"/>
          <w:sz w:val="24"/>
          <w:szCs w:val="24"/>
        </w:rPr>
      </w:pPr>
    </w:p>
    <w:tbl>
      <w:tblPr>
        <w:tblStyle w:val="TableGrid1"/>
        <w:tblW w:w="8364" w:type="dxa"/>
        <w:jc w:val="center"/>
        <w:tblLook w:val="04A0" w:firstRow="1" w:lastRow="0" w:firstColumn="1" w:lastColumn="0" w:noHBand="0" w:noVBand="1"/>
      </w:tblPr>
      <w:tblGrid>
        <w:gridCol w:w="1785"/>
        <w:gridCol w:w="1176"/>
        <w:gridCol w:w="1130"/>
        <w:gridCol w:w="1310"/>
        <w:gridCol w:w="1413"/>
        <w:gridCol w:w="1550"/>
      </w:tblGrid>
      <w:tr w:rsidR="00823DEE" w:rsidRPr="00DE37BB" w14:paraId="309E94ED" w14:textId="77777777" w:rsidTr="00823DEE">
        <w:trPr>
          <w:jc w:val="center"/>
        </w:trPr>
        <w:tc>
          <w:tcPr>
            <w:tcW w:w="1785" w:type="dxa"/>
            <w:tcBorders>
              <w:top w:val="single" w:sz="4" w:space="0" w:color="auto"/>
              <w:left w:val="single" w:sz="4" w:space="0" w:color="auto"/>
              <w:bottom w:val="single" w:sz="4" w:space="0" w:color="auto"/>
              <w:right w:val="single" w:sz="4" w:space="0" w:color="auto"/>
            </w:tcBorders>
            <w:hideMark/>
          </w:tcPr>
          <w:p w14:paraId="35BB4FCF"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Pemboleh Ubah</w:t>
            </w:r>
          </w:p>
        </w:tc>
        <w:tc>
          <w:tcPr>
            <w:tcW w:w="1176" w:type="dxa"/>
            <w:tcBorders>
              <w:top w:val="single" w:sz="4" w:space="0" w:color="auto"/>
              <w:left w:val="single" w:sz="4" w:space="0" w:color="auto"/>
              <w:bottom w:val="single" w:sz="4" w:space="0" w:color="auto"/>
              <w:right w:val="single" w:sz="4" w:space="0" w:color="auto"/>
            </w:tcBorders>
            <w:hideMark/>
          </w:tcPr>
          <w:p w14:paraId="6DF19508"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Min</w:t>
            </w:r>
          </w:p>
        </w:tc>
        <w:tc>
          <w:tcPr>
            <w:tcW w:w="1130" w:type="dxa"/>
            <w:tcBorders>
              <w:top w:val="single" w:sz="4" w:space="0" w:color="auto"/>
              <w:left w:val="single" w:sz="4" w:space="0" w:color="auto"/>
              <w:bottom w:val="single" w:sz="4" w:space="0" w:color="auto"/>
              <w:right w:val="single" w:sz="4" w:space="0" w:color="auto"/>
            </w:tcBorders>
            <w:hideMark/>
          </w:tcPr>
          <w:p w14:paraId="67EF5621"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Median</w:t>
            </w:r>
          </w:p>
        </w:tc>
        <w:tc>
          <w:tcPr>
            <w:tcW w:w="1310" w:type="dxa"/>
            <w:tcBorders>
              <w:top w:val="single" w:sz="4" w:space="0" w:color="auto"/>
              <w:left w:val="single" w:sz="4" w:space="0" w:color="auto"/>
              <w:bottom w:val="single" w:sz="4" w:space="0" w:color="auto"/>
              <w:right w:val="single" w:sz="4" w:space="0" w:color="auto"/>
            </w:tcBorders>
            <w:hideMark/>
          </w:tcPr>
          <w:p w14:paraId="63C82480"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Maksimum</w:t>
            </w:r>
          </w:p>
        </w:tc>
        <w:tc>
          <w:tcPr>
            <w:tcW w:w="1413" w:type="dxa"/>
            <w:tcBorders>
              <w:top w:val="single" w:sz="4" w:space="0" w:color="auto"/>
              <w:left w:val="single" w:sz="4" w:space="0" w:color="auto"/>
              <w:bottom w:val="single" w:sz="4" w:space="0" w:color="auto"/>
              <w:right w:val="single" w:sz="4" w:space="0" w:color="auto"/>
            </w:tcBorders>
            <w:hideMark/>
          </w:tcPr>
          <w:p w14:paraId="102D2DA7"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Minimum</w:t>
            </w:r>
          </w:p>
        </w:tc>
        <w:tc>
          <w:tcPr>
            <w:tcW w:w="1550" w:type="dxa"/>
            <w:tcBorders>
              <w:top w:val="single" w:sz="4" w:space="0" w:color="auto"/>
              <w:left w:val="single" w:sz="4" w:space="0" w:color="auto"/>
              <w:bottom w:val="single" w:sz="4" w:space="0" w:color="auto"/>
              <w:right w:val="single" w:sz="4" w:space="0" w:color="auto"/>
            </w:tcBorders>
            <w:hideMark/>
          </w:tcPr>
          <w:p w14:paraId="303D0968"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Sisihan Piawai</w:t>
            </w:r>
          </w:p>
        </w:tc>
      </w:tr>
      <w:tr w:rsidR="00823DEE" w:rsidRPr="00DE37BB" w14:paraId="5511C8F6" w14:textId="77777777" w:rsidTr="00823DEE">
        <w:trPr>
          <w:jc w:val="center"/>
        </w:trPr>
        <w:tc>
          <w:tcPr>
            <w:tcW w:w="8364" w:type="dxa"/>
            <w:gridSpan w:val="6"/>
            <w:tcBorders>
              <w:top w:val="single" w:sz="4" w:space="0" w:color="auto"/>
              <w:left w:val="single" w:sz="4" w:space="0" w:color="auto"/>
              <w:bottom w:val="single" w:sz="4" w:space="0" w:color="auto"/>
              <w:right w:val="single" w:sz="4" w:space="0" w:color="auto"/>
            </w:tcBorders>
          </w:tcPr>
          <w:p w14:paraId="4EC42023"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b/>
              </w:rPr>
              <w:t>Panel A: Pemboleh Ubah Berterusan</w:t>
            </w:r>
          </w:p>
        </w:tc>
      </w:tr>
      <w:tr w:rsidR="00823DEE" w:rsidRPr="00DE37BB" w14:paraId="644DE4FE" w14:textId="77777777" w:rsidTr="00823DEE">
        <w:trPr>
          <w:jc w:val="center"/>
        </w:trPr>
        <w:tc>
          <w:tcPr>
            <w:tcW w:w="1785" w:type="dxa"/>
            <w:tcBorders>
              <w:top w:val="single" w:sz="4" w:space="0" w:color="auto"/>
              <w:left w:val="single" w:sz="4" w:space="0" w:color="auto"/>
              <w:bottom w:val="single" w:sz="4" w:space="0" w:color="auto"/>
              <w:right w:val="single" w:sz="4" w:space="0" w:color="auto"/>
            </w:tcBorders>
            <w:hideMark/>
          </w:tcPr>
          <w:p w14:paraId="265774F0"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UPB</w:t>
            </w:r>
          </w:p>
        </w:tc>
        <w:tc>
          <w:tcPr>
            <w:tcW w:w="1176" w:type="dxa"/>
            <w:tcBorders>
              <w:top w:val="single" w:sz="4" w:space="0" w:color="auto"/>
              <w:left w:val="single" w:sz="4" w:space="0" w:color="auto"/>
              <w:bottom w:val="single" w:sz="4" w:space="0" w:color="auto"/>
              <w:right w:val="single" w:sz="4" w:space="0" w:color="auto"/>
            </w:tcBorders>
            <w:hideMark/>
          </w:tcPr>
          <w:p w14:paraId="042DE06D"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14.011</w:t>
            </w:r>
          </w:p>
        </w:tc>
        <w:tc>
          <w:tcPr>
            <w:tcW w:w="1130" w:type="dxa"/>
            <w:tcBorders>
              <w:top w:val="single" w:sz="4" w:space="0" w:color="auto"/>
              <w:left w:val="single" w:sz="4" w:space="0" w:color="auto"/>
              <w:bottom w:val="single" w:sz="4" w:space="0" w:color="auto"/>
              <w:right w:val="single" w:sz="4" w:space="0" w:color="auto"/>
            </w:tcBorders>
            <w:hideMark/>
          </w:tcPr>
          <w:p w14:paraId="6F0762C7"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15.979</w:t>
            </w:r>
          </w:p>
        </w:tc>
        <w:tc>
          <w:tcPr>
            <w:tcW w:w="1310" w:type="dxa"/>
            <w:tcBorders>
              <w:top w:val="single" w:sz="4" w:space="0" w:color="auto"/>
              <w:left w:val="single" w:sz="4" w:space="0" w:color="auto"/>
              <w:bottom w:val="single" w:sz="4" w:space="0" w:color="auto"/>
              <w:right w:val="single" w:sz="4" w:space="0" w:color="auto"/>
            </w:tcBorders>
            <w:hideMark/>
          </w:tcPr>
          <w:p w14:paraId="09655A71"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24.359</w:t>
            </w:r>
          </w:p>
        </w:tc>
        <w:tc>
          <w:tcPr>
            <w:tcW w:w="1413" w:type="dxa"/>
            <w:tcBorders>
              <w:top w:val="single" w:sz="4" w:space="0" w:color="auto"/>
              <w:left w:val="single" w:sz="4" w:space="0" w:color="auto"/>
              <w:bottom w:val="single" w:sz="4" w:space="0" w:color="auto"/>
              <w:right w:val="single" w:sz="4" w:space="0" w:color="auto"/>
            </w:tcBorders>
            <w:hideMark/>
          </w:tcPr>
          <w:p w14:paraId="104B5521"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0.000</w:t>
            </w:r>
          </w:p>
        </w:tc>
        <w:tc>
          <w:tcPr>
            <w:tcW w:w="1550" w:type="dxa"/>
            <w:tcBorders>
              <w:top w:val="single" w:sz="4" w:space="0" w:color="auto"/>
              <w:left w:val="single" w:sz="4" w:space="0" w:color="auto"/>
              <w:bottom w:val="single" w:sz="4" w:space="0" w:color="auto"/>
              <w:right w:val="single" w:sz="4" w:space="0" w:color="auto"/>
            </w:tcBorders>
            <w:hideMark/>
          </w:tcPr>
          <w:p w14:paraId="350D8FAE"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6.064</w:t>
            </w:r>
          </w:p>
        </w:tc>
      </w:tr>
      <w:tr w:rsidR="00823DEE" w:rsidRPr="00DE37BB" w14:paraId="189AC6CE" w14:textId="77777777" w:rsidTr="00823DEE">
        <w:trPr>
          <w:jc w:val="center"/>
        </w:trPr>
        <w:tc>
          <w:tcPr>
            <w:tcW w:w="1785" w:type="dxa"/>
            <w:tcBorders>
              <w:top w:val="single" w:sz="4" w:space="0" w:color="auto"/>
              <w:left w:val="single" w:sz="4" w:space="0" w:color="auto"/>
              <w:bottom w:val="single" w:sz="4" w:space="0" w:color="auto"/>
              <w:right w:val="single" w:sz="4" w:space="0" w:color="auto"/>
            </w:tcBorders>
            <w:hideMark/>
          </w:tcPr>
          <w:p w14:paraId="1B56DBDD"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JKAudit</w:t>
            </w:r>
          </w:p>
        </w:tc>
        <w:tc>
          <w:tcPr>
            <w:tcW w:w="1176" w:type="dxa"/>
            <w:tcBorders>
              <w:top w:val="single" w:sz="4" w:space="0" w:color="auto"/>
              <w:left w:val="single" w:sz="4" w:space="0" w:color="auto"/>
              <w:bottom w:val="single" w:sz="4" w:space="0" w:color="auto"/>
              <w:right w:val="single" w:sz="4" w:space="0" w:color="auto"/>
            </w:tcBorders>
            <w:hideMark/>
          </w:tcPr>
          <w:p w14:paraId="6E3D5CDD"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0.896</w:t>
            </w:r>
          </w:p>
        </w:tc>
        <w:tc>
          <w:tcPr>
            <w:tcW w:w="1130" w:type="dxa"/>
            <w:tcBorders>
              <w:top w:val="single" w:sz="4" w:space="0" w:color="auto"/>
              <w:left w:val="single" w:sz="4" w:space="0" w:color="auto"/>
              <w:bottom w:val="single" w:sz="4" w:space="0" w:color="auto"/>
              <w:right w:val="single" w:sz="4" w:space="0" w:color="auto"/>
            </w:tcBorders>
            <w:hideMark/>
          </w:tcPr>
          <w:p w14:paraId="4320713D"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1.000</w:t>
            </w:r>
          </w:p>
        </w:tc>
        <w:tc>
          <w:tcPr>
            <w:tcW w:w="1310" w:type="dxa"/>
            <w:tcBorders>
              <w:top w:val="single" w:sz="4" w:space="0" w:color="auto"/>
              <w:left w:val="single" w:sz="4" w:space="0" w:color="auto"/>
              <w:bottom w:val="single" w:sz="4" w:space="0" w:color="auto"/>
              <w:right w:val="single" w:sz="4" w:space="0" w:color="auto"/>
            </w:tcBorders>
            <w:hideMark/>
          </w:tcPr>
          <w:p w14:paraId="4EA4FAD0"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1.000</w:t>
            </w:r>
          </w:p>
        </w:tc>
        <w:tc>
          <w:tcPr>
            <w:tcW w:w="1413" w:type="dxa"/>
            <w:tcBorders>
              <w:top w:val="single" w:sz="4" w:space="0" w:color="auto"/>
              <w:left w:val="single" w:sz="4" w:space="0" w:color="auto"/>
              <w:bottom w:val="single" w:sz="4" w:space="0" w:color="auto"/>
              <w:right w:val="single" w:sz="4" w:space="0" w:color="auto"/>
            </w:tcBorders>
            <w:hideMark/>
          </w:tcPr>
          <w:p w14:paraId="2A36EC9C"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0.500</w:t>
            </w:r>
          </w:p>
        </w:tc>
        <w:tc>
          <w:tcPr>
            <w:tcW w:w="1550" w:type="dxa"/>
            <w:tcBorders>
              <w:top w:val="single" w:sz="4" w:space="0" w:color="auto"/>
              <w:left w:val="single" w:sz="4" w:space="0" w:color="auto"/>
              <w:bottom w:val="single" w:sz="4" w:space="0" w:color="auto"/>
              <w:right w:val="single" w:sz="4" w:space="0" w:color="auto"/>
            </w:tcBorders>
            <w:hideMark/>
          </w:tcPr>
          <w:p w14:paraId="181FD77E"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0.147</w:t>
            </w:r>
          </w:p>
        </w:tc>
      </w:tr>
      <w:tr w:rsidR="00823DEE" w:rsidRPr="00DE37BB" w14:paraId="3C72B483" w14:textId="77777777" w:rsidTr="00823DEE">
        <w:trPr>
          <w:jc w:val="center"/>
        </w:trPr>
        <w:tc>
          <w:tcPr>
            <w:tcW w:w="1785" w:type="dxa"/>
            <w:tcBorders>
              <w:top w:val="single" w:sz="4" w:space="0" w:color="auto"/>
              <w:left w:val="single" w:sz="4" w:space="0" w:color="auto"/>
              <w:bottom w:val="single" w:sz="4" w:space="0" w:color="auto"/>
              <w:right w:val="single" w:sz="4" w:space="0" w:color="auto"/>
            </w:tcBorders>
            <w:hideMark/>
          </w:tcPr>
          <w:p w14:paraId="04C99200"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PBebas</w:t>
            </w:r>
          </w:p>
        </w:tc>
        <w:tc>
          <w:tcPr>
            <w:tcW w:w="1176" w:type="dxa"/>
            <w:tcBorders>
              <w:top w:val="single" w:sz="4" w:space="0" w:color="auto"/>
              <w:left w:val="single" w:sz="4" w:space="0" w:color="auto"/>
              <w:bottom w:val="single" w:sz="4" w:space="0" w:color="auto"/>
              <w:right w:val="single" w:sz="4" w:space="0" w:color="auto"/>
            </w:tcBorders>
            <w:hideMark/>
          </w:tcPr>
          <w:p w14:paraId="43F2B037"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0.491</w:t>
            </w:r>
          </w:p>
        </w:tc>
        <w:tc>
          <w:tcPr>
            <w:tcW w:w="1130" w:type="dxa"/>
            <w:tcBorders>
              <w:top w:val="single" w:sz="4" w:space="0" w:color="auto"/>
              <w:left w:val="single" w:sz="4" w:space="0" w:color="auto"/>
              <w:bottom w:val="single" w:sz="4" w:space="0" w:color="auto"/>
              <w:right w:val="single" w:sz="4" w:space="0" w:color="auto"/>
            </w:tcBorders>
            <w:hideMark/>
          </w:tcPr>
          <w:p w14:paraId="505EF9E2"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0.500</w:t>
            </w:r>
          </w:p>
        </w:tc>
        <w:tc>
          <w:tcPr>
            <w:tcW w:w="1310" w:type="dxa"/>
            <w:tcBorders>
              <w:top w:val="single" w:sz="4" w:space="0" w:color="auto"/>
              <w:left w:val="single" w:sz="4" w:space="0" w:color="auto"/>
              <w:bottom w:val="single" w:sz="4" w:space="0" w:color="auto"/>
              <w:right w:val="single" w:sz="4" w:space="0" w:color="auto"/>
            </w:tcBorders>
            <w:hideMark/>
          </w:tcPr>
          <w:p w14:paraId="66A52D03"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0.875</w:t>
            </w:r>
          </w:p>
        </w:tc>
        <w:tc>
          <w:tcPr>
            <w:tcW w:w="1413" w:type="dxa"/>
            <w:tcBorders>
              <w:top w:val="single" w:sz="4" w:space="0" w:color="auto"/>
              <w:left w:val="single" w:sz="4" w:space="0" w:color="auto"/>
              <w:bottom w:val="single" w:sz="4" w:space="0" w:color="auto"/>
              <w:right w:val="single" w:sz="4" w:space="0" w:color="auto"/>
            </w:tcBorders>
            <w:hideMark/>
          </w:tcPr>
          <w:p w14:paraId="69BCCB17"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0.167</w:t>
            </w:r>
          </w:p>
        </w:tc>
        <w:tc>
          <w:tcPr>
            <w:tcW w:w="1550" w:type="dxa"/>
            <w:tcBorders>
              <w:top w:val="single" w:sz="4" w:space="0" w:color="auto"/>
              <w:left w:val="single" w:sz="4" w:space="0" w:color="auto"/>
              <w:bottom w:val="single" w:sz="4" w:space="0" w:color="auto"/>
              <w:right w:val="single" w:sz="4" w:space="0" w:color="auto"/>
            </w:tcBorders>
            <w:hideMark/>
          </w:tcPr>
          <w:p w14:paraId="0AC82CFE"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0.124</w:t>
            </w:r>
          </w:p>
        </w:tc>
      </w:tr>
      <w:tr w:rsidR="00823DEE" w:rsidRPr="00DE37BB" w14:paraId="5D56D5B0" w14:textId="77777777" w:rsidTr="00823DEE">
        <w:trPr>
          <w:jc w:val="center"/>
        </w:trPr>
        <w:tc>
          <w:tcPr>
            <w:tcW w:w="1785" w:type="dxa"/>
            <w:tcBorders>
              <w:top w:val="single" w:sz="4" w:space="0" w:color="auto"/>
              <w:left w:val="single" w:sz="4" w:space="0" w:color="auto"/>
              <w:bottom w:val="single" w:sz="4" w:space="0" w:color="auto"/>
              <w:right w:val="single" w:sz="4" w:space="0" w:color="auto"/>
            </w:tcBorders>
            <w:hideMark/>
          </w:tcPr>
          <w:p w14:paraId="1783CDD3"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LPSaiz</w:t>
            </w:r>
          </w:p>
        </w:tc>
        <w:tc>
          <w:tcPr>
            <w:tcW w:w="1176" w:type="dxa"/>
            <w:tcBorders>
              <w:top w:val="single" w:sz="4" w:space="0" w:color="auto"/>
              <w:left w:val="single" w:sz="4" w:space="0" w:color="auto"/>
              <w:bottom w:val="single" w:sz="4" w:space="0" w:color="auto"/>
              <w:right w:val="single" w:sz="4" w:space="0" w:color="auto"/>
            </w:tcBorders>
            <w:hideMark/>
          </w:tcPr>
          <w:p w14:paraId="367BCF06"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7.254</w:t>
            </w:r>
          </w:p>
        </w:tc>
        <w:tc>
          <w:tcPr>
            <w:tcW w:w="1130" w:type="dxa"/>
            <w:tcBorders>
              <w:top w:val="single" w:sz="4" w:space="0" w:color="auto"/>
              <w:left w:val="single" w:sz="4" w:space="0" w:color="auto"/>
              <w:bottom w:val="single" w:sz="4" w:space="0" w:color="auto"/>
              <w:right w:val="single" w:sz="4" w:space="0" w:color="auto"/>
            </w:tcBorders>
            <w:hideMark/>
          </w:tcPr>
          <w:p w14:paraId="46C1FBEF"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7.000</w:t>
            </w:r>
          </w:p>
        </w:tc>
        <w:tc>
          <w:tcPr>
            <w:tcW w:w="1310" w:type="dxa"/>
            <w:tcBorders>
              <w:top w:val="single" w:sz="4" w:space="0" w:color="auto"/>
              <w:left w:val="single" w:sz="4" w:space="0" w:color="auto"/>
              <w:bottom w:val="single" w:sz="4" w:space="0" w:color="auto"/>
              <w:right w:val="single" w:sz="4" w:space="0" w:color="auto"/>
            </w:tcBorders>
            <w:hideMark/>
          </w:tcPr>
          <w:p w14:paraId="1AEAE91A"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13.000</w:t>
            </w:r>
          </w:p>
        </w:tc>
        <w:tc>
          <w:tcPr>
            <w:tcW w:w="1413" w:type="dxa"/>
            <w:tcBorders>
              <w:top w:val="single" w:sz="4" w:space="0" w:color="auto"/>
              <w:left w:val="single" w:sz="4" w:space="0" w:color="auto"/>
              <w:bottom w:val="single" w:sz="4" w:space="0" w:color="auto"/>
              <w:right w:val="single" w:sz="4" w:space="0" w:color="auto"/>
            </w:tcBorders>
            <w:hideMark/>
          </w:tcPr>
          <w:p w14:paraId="40FD45CA"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3.000</w:t>
            </w:r>
          </w:p>
        </w:tc>
        <w:tc>
          <w:tcPr>
            <w:tcW w:w="1550" w:type="dxa"/>
            <w:tcBorders>
              <w:top w:val="single" w:sz="4" w:space="0" w:color="auto"/>
              <w:left w:val="single" w:sz="4" w:space="0" w:color="auto"/>
              <w:bottom w:val="single" w:sz="4" w:space="0" w:color="auto"/>
              <w:right w:val="single" w:sz="4" w:space="0" w:color="auto"/>
            </w:tcBorders>
            <w:hideMark/>
          </w:tcPr>
          <w:p w14:paraId="4F6B2AD4"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1.718</w:t>
            </w:r>
          </w:p>
        </w:tc>
      </w:tr>
      <w:tr w:rsidR="00823DEE" w:rsidRPr="00DE37BB" w14:paraId="21D76EB3" w14:textId="77777777" w:rsidTr="00823DEE">
        <w:trPr>
          <w:jc w:val="center"/>
        </w:trPr>
        <w:tc>
          <w:tcPr>
            <w:tcW w:w="1785" w:type="dxa"/>
            <w:tcBorders>
              <w:top w:val="single" w:sz="4" w:space="0" w:color="auto"/>
              <w:left w:val="single" w:sz="4" w:space="0" w:color="auto"/>
              <w:bottom w:val="single" w:sz="4" w:space="0" w:color="auto"/>
              <w:right w:val="single" w:sz="4" w:space="0" w:color="auto"/>
            </w:tcBorders>
            <w:hideMark/>
          </w:tcPr>
          <w:p w14:paraId="6750B67F"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Saiz</w:t>
            </w:r>
          </w:p>
        </w:tc>
        <w:tc>
          <w:tcPr>
            <w:tcW w:w="1176" w:type="dxa"/>
            <w:tcBorders>
              <w:top w:val="single" w:sz="4" w:space="0" w:color="auto"/>
              <w:left w:val="single" w:sz="4" w:space="0" w:color="auto"/>
              <w:bottom w:val="single" w:sz="4" w:space="0" w:color="auto"/>
              <w:right w:val="single" w:sz="4" w:space="0" w:color="auto"/>
            </w:tcBorders>
            <w:hideMark/>
          </w:tcPr>
          <w:p w14:paraId="1E76261E"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13.240</w:t>
            </w:r>
          </w:p>
        </w:tc>
        <w:tc>
          <w:tcPr>
            <w:tcW w:w="1130" w:type="dxa"/>
            <w:tcBorders>
              <w:top w:val="single" w:sz="4" w:space="0" w:color="auto"/>
              <w:left w:val="single" w:sz="4" w:space="0" w:color="auto"/>
              <w:bottom w:val="single" w:sz="4" w:space="0" w:color="auto"/>
              <w:right w:val="single" w:sz="4" w:space="0" w:color="auto"/>
            </w:tcBorders>
            <w:hideMark/>
          </w:tcPr>
          <w:p w14:paraId="35A109AB"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13.109</w:t>
            </w:r>
          </w:p>
        </w:tc>
        <w:tc>
          <w:tcPr>
            <w:tcW w:w="1310" w:type="dxa"/>
            <w:tcBorders>
              <w:top w:val="single" w:sz="4" w:space="0" w:color="auto"/>
              <w:left w:val="single" w:sz="4" w:space="0" w:color="auto"/>
              <w:bottom w:val="single" w:sz="4" w:space="0" w:color="auto"/>
              <w:right w:val="single" w:sz="4" w:space="0" w:color="auto"/>
            </w:tcBorders>
            <w:hideMark/>
          </w:tcPr>
          <w:p w14:paraId="7DFCA482"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17.591</w:t>
            </w:r>
          </w:p>
        </w:tc>
        <w:tc>
          <w:tcPr>
            <w:tcW w:w="1413" w:type="dxa"/>
            <w:tcBorders>
              <w:top w:val="single" w:sz="4" w:space="0" w:color="auto"/>
              <w:left w:val="single" w:sz="4" w:space="0" w:color="auto"/>
              <w:bottom w:val="single" w:sz="4" w:space="0" w:color="auto"/>
              <w:right w:val="single" w:sz="4" w:space="0" w:color="auto"/>
            </w:tcBorders>
            <w:hideMark/>
          </w:tcPr>
          <w:p w14:paraId="604002B0"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10.313</w:t>
            </w:r>
          </w:p>
        </w:tc>
        <w:tc>
          <w:tcPr>
            <w:tcW w:w="1550" w:type="dxa"/>
            <w:tcBorders>
              <w:top w:val="single" w:sz="4" w:space="0" w:color="auto"/>
              <w:left w:val="single" w:sz="4" w:space="0" w:color="auto"/>
              <w:bottom w:val="single" w:sz="4" w:space="0" w:color="auto"/>
              <w:right w:val="single" w:sz="4" w:space="0" w:color="auto"/>
            </w:tcBorders>
            <w:hideMark/>
          </w:tcPr>
          <w:p w14:paraId="12B416B2"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1.509</w:t>
            </w:r>
          </w:p>
        </w:tc>
      </w:tr>
      <w:tr w:rsidR="00823DEE" w:rsidRPr="00DE37BB" w14:paraId="39304A84" w14:textId="77777777" w:rsidTr="00823DEE">
        <w:trPr>
          <w:jc w:val="center"/>
        </w:trPr>
        <w:tc>
          <w:tcPr>
            <w:tcW w:w="1785" w:type="dxa"/>
            <w:tcBorders>
              <w:top w:val="single" w:sz="4" w:space="0" w:color="auto"/>
              <w:left w:val="single" w:sz="4" w:space="0" w:color="auto"/>
              <w:bottom w:val="single" w:sz="4" w:space="0" w:color="auto"/>
              <w:right w:val="single" w:sz="4" w:space="0" w:color="auto"/>
            </w:tcBorders>
            <w:hideMark/>
          </w:tcPr>
          <w:p w14:paraId="60BEA02B"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PAA</w:t>
            </w:r>
          </w:p>
        </w:tc>
        <w:tc>
          <w:tcPr>
            <w:tcW w:w="1176" w:type="dxa"/>
            <w:tcBorders>
              <w:top w:val="single" w:sz="4" w:space="0" w:color="auto"/>
              <w:left w:val="single" w:sz="4" w:space="0" w:color="auto"/>
              <w:bottom w:val="single" w:sz="4" w:space="0" w:color="auto"/>
              <w:right w:val="single" w:sz="4" w:space="0" w:color="auto"/>
            </w:tcBorders>
            <w:hideMark/>
          </w:tcPr>
          <w:p w14:paraId="0C1374FB"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0.048</w:t>
            </w:r>
          </w:p>
        </w:tc>
        <w:tc>
          <w:tcPr>
            <w:tcW w:w="1130" w:type="dxa"/>
            <w:tcBorders>
              <w:top w:val="single" w:sz="4" w:space="0" w:color="auto"/>
              <w:left w:val="single" w:sz="4" w:space="0" w:color="auto"/>
              <w:bottom w:val="single" w:sz="4" w:space="0" w:color="auto"/>
              <w:right w:val="single" w:sz="4" w:space="0" w:color="auto"/>
            </w:tcBorders>
            <w:hideMark/>
          </w:tcPr>
          <w:p w14:paraId="617B6F1D"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0.048</w:t>
            </w:r>
          </w:p>
        </w:tc>
        <w:tc>
          <w:tcPr>
            <w:tcW w:w="1310" w:type="dxa"/>
            <w:tcBorders>
              <w:top w:val="single" w:sz="4" w:space="0" w:color="auto"/>
              <w:left w:val="single" w:sz="4" w:space="0" w:color="auto"/>
              <w:bottom w:val="single" w:sz="4" w:space="0" w:color="auto"/>
              <w:right w:val="single" w:sz="4" w:space="0" w:color="auto"/>
            </w:tcBorders>
            <w:hideMark/>
          </w:tcPr>
          <w:p w14:paraId="576292A3"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0.352</w:t>
            </w:r>
          </w:p>
        </w:tc>
        <w:tc>
          <w:tcPr>
            <w:tcW w:w="1413" w:type="dxa"/>
            <w:tcBorders>
              <w:top w:val="single" w:sz="4" w:space="0" w:color="auto"/>
              <w:left w:val="single" w:sz="4" w:space="0" w:color="auto"/>
              <w:bottom w:val="single" w:sz="4" w:space="0" w:color="auto"/>
              <w:right w:val="single" w:sz="4" w:space="0" w:color="auto"/>
            </w:tcBorders>
            <w:hideMark/>
          </w:tcPr>
          <w:p w14:paraId="7BA04EA7"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-0.343</w:t>
            </w:r>
          </w:p>
        </w:tc>
        <w:tc>
          <w:tcPr>
            <w:tcW w:w="1550" w:type="dxa"/>
            <w:tcBorders>
              <w:top w:val="single" w:sz="4" w:space="0" w:color="auto"/>
              <w:left w:val="single" w:sz="4" w:space="0" w:color="auto"/>
              <w:bottom w:val="single" w:sz="4" w:space="0" w:color="auto"/>
              <w:right w:val="single" w:sz="4" w:space="0" w:color="auto"/>
            </w:tcBorders>
            <w:hideMark/>
          </w:tcPr>
          <w:p w14:paraId="4FF65BE5"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0.092</w:t>
            </w:r>
          </w:p>
        </w:tc>
      </w:tr>
      <w:tr w:rsidR="00823DEE" w:rsidRPr="00DE37BB" w14:paraId="3A4BC2F6" w14:textId="77777777" w:rsidTr="00823DEE">
        <w:trPr>
          <w:jc w:val="center"/>
        </w:trPr>
        <w:tc>
          <w:tcPr>
            <w:tcW w:w="1785" w:type="dxa"/>
            <w:tcBorders>
              <w:top w:val="single" w:sz="4" w:space="0" w:color="auto"/>
              <w:left w:val="single" w:sz="4" w:space="0" w:color="auto"/>
              <w:bottom w:val="single" w:sz="4" w:space="0" w:color="auto"/>
              <w:right w:val="single" w:sz="4" w:space="0" w:color="auto"/>
            </w:tcBorders>
            <w:hideMark/>
          </w:tcPr>
          <w:p w14:paraId="0CA77A21"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Tumbuh</w:t>
            </w:r>
          </w:p>
        </w:tc>
        <w:tc>
          <w:tcPr>
            <w:tcW w:w="1176" w:type="dxa"/>
            <w:tcBorders>
              <w:top w:val="single" w:sz="4" w:space="0" w:color="auto"/>
              <w:left w:val="single" w:sz="4" w:space="0" w:color="auto"/>
              <w:bottom w:val="single" w:sz="4" w:space="0" w:color="auto"/>
              <w:right w:val="single" w:sz="4" w:space="0" w:color="auto"/>
            </w:tcBorders>
            <w:hideMark/>
          </w:tcPr>
          <w:p w14:paraId="1005051B"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0.852</w:t>
            </w:r>
          </w:p>
        </w:tc>
        <w:tc>
          <w:tcPr>
            <w:tcW w:w="1130" w:type="dxa"/>
            <w:tcBorders>
              <w:top w:val="single" w:sz="4" w:space="0" w:color="auto"/>
              <w:left w:val="single" w:sz="4" w:space="0" w:color="auto"/>
              <w:bottom w:val="single" w:sz="4" w:space="0" w:color="auto"/>
              <w:right w:val="single" w:sz="4" w:space="0" w:color="auto"/>
            </w:tcBorders>
            <w:hideMark/>
          </w:tcPr>
          <w:p w14:paraId="2BA18A5E"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0.975</w:t>
            </w:r>
          </w:p>
        </w:tc>
        <w:tc>
          <w:tcPr>
            <w:tcW w:w="1310" w:type="dxa"/>
            <w:tcBorders>
              <w:top w:val="single" w:sz="4" w:space="0" w:color="auto"/>
              <w:left w:val="single" w:sz="4" w:space="0" w:color="auto"/>
              <w:bottom w:val="single" w:sz="4" w:space="0" w:color="auto"/>
              <w:right w:val="single" w:sz="4" w:space="0" w:color="auto"/>
            </w:tcBorders>
            <w:hideMark/>
          </w:tcPr>
          <w:p w14:paraId="6F45FC68"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2.623</w:t>
            </w:r>
          </w:p>
        </w:tc>
        <w:tc>
          <w:tcPr>
            <w:tcW w:w="1413" w:type="dxa"/>
            <w:tcBorders>
              <w:top w:val="single" w:sz="4" w:space="0" w:color="auto"/>
              <w:left w:val="single" w:sz="4" w:space="0" w:color="auto"/>
              <w:bottom w:val="single" w:sz="4" w:space="0" w:color="auto"/>
              <w:right w:val="single" w:sz="4" w:space="0" w:color="auto"/>
            </w:tcBorders>
            <w:hideMark/>
          </w:tcPr>
          <w:p w14:paraId="6AF10DD3"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0.000</w:t>
            </w:r>
          </w:p>
        </w:tc>
        <w:tc>
          <w:tcPr>
            <w:tcW w:w="1550" w:type="dxa"/>
            <w:tcBorders>
              <w:top w:val="single" w:sz="4" w:space="0" w:color="auto"/>
              <w:left w:val="single" w:sz="4" w:space="0" w:color="auto"/>
              <w:bottom w:val="single" w:sz="4" w:space="0" w:color="auto"/>
              <w:right w:val="single" w:sz="4" w:space="0" w:color="auto"/>
            </w:tcBorders>
            <w:hideMark/>
          </w:tcPr>
          <w:p w14:paraId="3CAC5528"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0.546</w:t>
            </w:r>
          </w:p>
        </w:tc>
      </w:tr>
      <w:tr w:rsidR="00823DEE" w:rsidRPr="00DE37BB" w14:paraId="6EB1295A" w14:textId="77777777" w:rsidTr="00823DEE">
        <w:trPr>
          <w:jc w:val="center"/>
        </w:trPr>
        <w:tc>
          <w:tcPr>
            <w:tcW w:w="1785" w:type="dxa"/>
            <w:tcBorders>
              <w:top w:val="single" w:sz="4" w:space="0" w:color="auto"/>
              <w:left w:val="single" w:sz="4" w:space="0" w:color="auto"/>
              <w:bottom w:val="single" w:sz="4" w:space="0" w:color="auto"/>
              <w:right w:val="single" w:sz="4" w:space="0" w:color="auto"/>
            </w:tcBorders>
            <w:hideMark/>
          </w:tcPr>
          <w:p w14:paraId="078332A2"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Umpil</w:t>
            </w:r>
          </w:p>
        </w:tc>
        <w:tc>
          <w:tcPr>
            <w:tcW w:w="1176" w:type="dxa"/>
            <w:tcBorders>
              <w:top w:val="single" w:sz="4" w:space="0" w:color="auto"/>
              <w:left w:val="single" w:sz="4" w:space="0" w:color="auto"/>
              <w:bottom w:val="single" w:sz="4" w:space="0" w:color="auto"/>
              <w:right w:val="single" w:sz="4" w:space="0" w:color="auto"/>
            </w:tcBorders>
            <w:hideMark/>
          </w:tcPr>
          <w:p w14:paraId="4F3A2D78"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0.380</w:t>
            </w:r>
          </w:p>
        </w:tc>
        <w:tc>
          <w:tcPr>
            <w:tcW w:w="1130" w:type="dxa"/>
            <w:tcBorders>
              <w:top w:val="single" w:sz="4" w:space="0" w:color="auto"/>
              <w:left w:val="single" w:sz="4" w:space="0" w:color="auto"/>
              <w:bottom w:val="single" w:sz="4" w:space="0" w:color="auto"/>
              <w:right w:val="single" w:sz="4" w:space="0" w:color="auto"/>
            </w:tcBorders>
            <w:hideMark/>
          </w:tcPr>
          <w:p w14:paraId="05EF2C6A"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0.371</w:t>
            </w:r>
          </w:p>
        </w:tc>
        <w:tc>
          <w:tcPr>
            <w:tcW w:w="1310" w:type="dxa"/>
            <w:tcBorders>
              <w:top w:val="single" w:sz="4" w:space="0" w:color="auto"/>
              <w:left w:val="single" w:sz="4" w:space="0" w:color="auto"/>
              <w:bottom w:val="single" w:sz="4" w:space="0" w:color="auto"/>
              <w:right w:val="single" w:sz="4" w:space="0" w:color="auto"/>
            </w:tcBorders>
            <w:hideMark/>
          </w:tcPr>
          <w:p w14:paraId="43878D7D"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0.993</w:t>
            </w:r>
          </w:p>
        </w:tc>
        <w:tc>
          <w:tcPr>
            <w:tcW w:w="1413" w:type="dxa"/>
            <w:tcBorders>
              <w:top w:val="single" w:sz="4" w:space="0" w:color="auto"/>
              <w:left w:val="single" w:sz="4" w:space="0" w:color="auto"/>
              <w:bottom w:val="single" w:sz="4" w:space="0" w:color="auto"/>
              <w:right w:val="single" w:sz="4" w:space="0" w:color="auto"/>
            </w:tcBorders>
            <w:hideMark/>
          </w:tcPr>
          <w:p w14:paraId="424BC9FA"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0.010</w:t>
            </w:r>
          </w:p>
        </w:tc>
        <w:tc>
          <w:tcPr>
            <w:tcW w:w="1550" w:type="dxa"/>
            <w:tcBorders>
              <w:top w:val="single" w:sz="4" w:space="0" w:color="auto"/>
              <w:left w:val="single" w:sz="4" w:space="0" w:color="auto"/>
              <w:bottom w:val="single" w:sz="4" w:space="0" w:color="auto"/>
              <w:right w:val="single" w:sz="4" w:space="0" w:color="auto"/>
            </w:tcBorders>
            <w:hideMark/>
          </w:tcPr>
          <w:p w14:paraId="7090664A"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0.197</w:t>
            </w:r>
          </w:p>
        </w:tc>
      </w:tr>
      <w:tr w:rsidR="00823DEE" w:rsidRPr="00DE37BB" w14:paraId="6AB5CD94" w14:textId="77777777" w:rsidTr="00823DEE">
        <w:trPr>
          <w:jc w:val="center"/>
        </w:trPr>
        <w:tc>
          <w:tcPr>
            <w:tcW w:w="5401" w:type="dxa"/>
            <w:gridSpan w:val="4"/>
            <w:tcBorders>
              <w:top w:val="single" w:sz="4" w:space="0" w:color="auto"/>
              <w:left w:val="single" w:sz="4" w:space="0" w:color="auto"/>
              <w:bottom w:val="single" w:sz="4" w:space="0" w:color="auto"/>
              <w:right w:val="single" w:sz="4" w:space="0" w:color="auto"/>
            </w:tcBorders>
          </w:tcPr>
          <w:p w14:paraId="1D8C674B" w14:textId="77777777" w:rsidR="00823DEE" w:rsidRPr="00DE37BB" w:rsidRDefault="00823DEE" w:rsidP="00823DEE">
            <w:pPr>
              <w:jc w:val="center"/>
              <w:rPr>
                <w:rFonts w:ascii="Times New Roman" w:eastAsiaTheme="majorEastAsia" w:hAnsi="Times New Roman" w:cs="Times New Roman"/>
              </w:rPr>
            </w:pPr>
          </w:p>
        </w:tc>
        <w:tc>
          <w:tcPr>
            <w:tcW w:w="1413" w:type="dxa"/>
            <w:tcBorders>
              <w:top w:val="single" w:sz="4" w:space="0" w:color="auto"/>
              <w:left w:val="single" w:sz="4" w:space="0" w:color="auto"/>
              <w:right w:val="single" w:sz="4" w:space="0" w:color="auto"/>
            </w:tcBorders>
            <w:hideMark/>
          </w:tcPr>
          <w:p w14:paraId="2E637CFE"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Kekerapan</w:t>
            </w:r>
          </w:p>
        </w:tc>
        <w:tc>
          <w:tcPr>
            <w:tcW w:w="1550" w:type="dxa"/>
            <w:tcBorders>
              <w:top w:val="single" w:sz="4" w:space="0" w:color="auto"/>
              <w:left w:val="single" w:sz="4" w:space="0" w:color="auto"/>
              <w:right w:val="single" w:sz="4" w:space="0" w:color="auto"/>
            </w:tcBorders>
          </w:tcPr>
          <w:p w14:paraId="39BEE075"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Peratus (%)</w:t>
            </w:r>
          </w:p>
        </w:tc>
      </w:tr>
      <w:tr w:rsidR="00823DEE" w:rsidRPr="00DE37BB" w14:paraId="23EF2792" w14:textId="77777777" w:rsidTr="00823DEE">
        <w:trPr>
          <w:jc w:val="center"/>
        </w:trPr>
        <w:tc>
          <w:tcPr>
            <w:tcW w:w="8364" w:type="dxa"/>
            <w:gridSpan w:val="6"/>
            <w:tcBorders>
              <w:top w:val="single" w:sz="4" w:space="0" w:color="auto"/>
              <w:left w:val="single" w:sz="4" w:space="0" w:color="auto"/>
              <w:bottom w:val="single" w:sz="4" w:space="0" w:color="auto"/>
              <w:right w:val="single" w:sz="4" w:space="0" w:color="auto"/>
            </w:tcBorders>
          </w:tcPr>
          <w:p w14:paraId="5B9CA83E"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b/>
              </w:rPr>
              <w:t>Panel B: Pemboleh Ubah Pepatung</w:t>
            </w:r>
          </w:p>
        </w:tc>
      </w:tr>
      <w:tr w:rsidR="00823DEE" w:rsidRPr="00DE37BB" w14:paraId="7B5B1A01" w14:textId="77777777" w:rsidTr="00823DEE">
        <w:trPr>
          <w:jc w:val="center"/>
        </w:trPr>
        <w:tc>
          <w:tcPr>
            <w:tcW w:w="5401" w:type="dxa"/>
            <w:gridSpan w:val="4"/>
            <w:tcBorders>
              <w:top w:val="single" w:sz="4" w:space="0" w:color="auto"/>
              <w:left w:val="single" w:sz="4" w:space="0" w:color="auto"/>
              <w:bottom w:val="single" w:sz="4" w:space="0" w:color="auto"/>
              <w:right w:val="single" w:sz="4" w:space="0" w:color="auto"/>
            </w:tcBorders>
            <w:shd w:val="clear" w:color="auto" w:fill="auto"/>
          </w:tcPr>
          <w:p w14:paraId="28CDC5BC" w14:textId="77777777" w:rsidR="00823DEE" w:rsidRPr="00834189" w:rsidRDefault="00823DEE" w:rsidP="00823DEE">
            <w:pPr>
              <w:jc w:val="center"/>
              <w:rPr>
                <w:rFonts w:ascii="Times New Roman" w:eastAsiaTheme="majorEastAsia" w:hAnsi="Times New Roman" w:cs="Times New Roman"/>
              </w:rPr>
            </w:pPr>
            <w:r w:rsidRPr="00834189">
              <w:rPr>
                <w:rFonts w:ascii="Times New Roman" w:eastAsiaTheme="majorEastAsia" w:hAnsi="Times New Roman" w:cs="Times New Roman"/>
              </w:rPr>
              <w:t>FAPI10%</w:t>
            </w:r>
          </w:p>
        </w:tc>
        <w:tc>
          <w:tcPr>
            <w:tcW w:w="1413" w:type="dxa"/>
            <w:tcBorders>
              <w:left w:val="single" w:sz="4" w:space="0" w:color="auto"/>
              <w:right w:val="single" w:sz="4" w:space="0" w:color="auto"/>
            </w:tcBorders>
            <w:shd w:val="clear" w:color="auto" w:fill="auto"/>
          </w:tcPr>
          <w:p w14:paraId="792791E3" w14:textId="77777777" w:rsidR="00823DEE" w:rsidRPr="00834189" w:rsidRDefault="00823DEE" w:rsidP="00823DEE">
            <w:pPr>
              <w:jc w:val="center"/>
              <w:rPr>
                <w:rFonts w:ascii="Times New Roman" w:eastAsiaTheme="majorEastAsia" w:hAnsi="Times New Roman" w:cs="Times New Roman"/>
              </w:rPr>
            </w:pPr>
            <w:r w:rsidRPr="00834189">
              <w:rPr>
                <w:rFonts w:ascii="Times New Roman" w:eastAsiaTheme="majorEastAsia" w:hAnsi="Times New Roman" w:cs="Times New Roman"/>
              </w:rPr>
              <w:t>1,626</w:t>
            </w:r>
          </w:p>
        </w:tc>
        <w:tc>
          <w:tcPr>
            <w:tcW w:w="1550" w:type="dxa"/>
            <w:tcBorders>
              <w:left w:val="single" w:sz="4" w:space="0" w:color="auto"/>
              <w:right w:val="single" w:sz="4" w:space="0" w:color="auto"/>
            </w:tcBorders>
            <w:shd w:val="clear" w:color="auto" w:fill="auto"/>
          </w:tcPr>
          <w:p w14:paraId="7E14B470" w14:textId="77777777" w:rsidR="00823DEE" w:rsidRPr="00834189" w:rsidRDefault="00823DEE" w:rsidP="00823DEE">
            <w:pPr>
              <w:jc w:val="center"/>
              <w:rPr>
                <w:rFonts w:ascii="Times New Roman" w:eastAsiaTheme="majorEastAsia" w:hAnsi="Times New Roman" w:cs="Times New Roman"/>
              </w:rPr>
            </w:pPr>
            <w:r w:rsidRPr="00834189">
              <w:rPr>
                <w:rFonts w:ascii="Times New Roman" w:eastAsiaTheme="majorEastAsia" w:hAnsi="Times New Roman" w:cs="Times New Roman"/>
              </w:rPr>
              <w:t>50.34</w:t>
            </w:r>
          </w:p>
        </w:tc>
      </w:tr>
      <w:tr w:rsidR="00823DEE" w:rsidRPr="00DE37BB" w14:paraId="5E9549D0" w14:textId="77777777" w:rsidTr="00823DEE">
        <w:trPr>
          <w:jc w:val="center"/>
        </w:trPr>
        <w:tc>
          <w:tcPr>
            <w:tcW w:w="5401" w:type="dxa"/>
            <w:gridSpan w:val="4"/>
            <w:tcBorders>
              <w:top w:val="single" w:sz="4" w:space="0" w:color="auto"/>
              <w:left w:val="single" w:sz="4" w:space="0" w:color="auto"/>
              <w:bottom w:val="single" w:sz="4" w:space="0" w:color="auto"/>
              <w:right w:val="single" w:sz="4" w:space="0" w:color="auto"/>
            </w:tcBorders>
          </w:tcPr>
          <w:p w14:paraId="7101992A" w14:textId="77777777" w:rsidR="00823DEE" w:rsidRPr="00DE37BB" w:rsidRDefault="00823DEE" w:rsidP="00823DEE">
            <w:pPr>
              <w:jc w:val="center"/>
              <w:rPr>
                <w:rFonts w:ascii="Times New Roman" w:eastAsiaTheme="majorEastAsia" w:hAnsi="Times New Roman" w:cs="Times New Roman"/>
              </w:rPr>
            </w:pPr>
            <w:r>
              <w:rPr>
                <w:rFonts w:ascii="Times New Roman" w:eastAsiaTheme="majorEastAsia" w:hAnsi="Times New Roman" w:cs="Times New Roman"/>
              </w:rPr>
              <w:t>FAPI</w:t>
            </w:r>
            <w:r w:rsidRPr="00DE37BB">
              <w:rPr>
                <w:rFonts w:ascii="Times New Roman" w:eastAsiaTheme="majorEastAsia" w:hAnsi="Times New Roman" w:cs="Times New Roman"/>
              </w:rPr>
              <w:t>20%</w:t>
            </w:r>
          </w:p>
        </w:tc>
        <w:tc>
          <w:tcPr>
            <w:tcW w:w="1413" w:type="dxa"/>
            <w:tcBorders>
              <w:left w:val="single" w:sz="4" w:space="0" w:color="auto"/>
              <w:right w:val="single" w:sz="4" w:space="0" w:color="auto"/>
            </w:tcBorders>
          </w:tcPr>
          <w:p w14:paraId="655DC363"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414</w:t>
            </w:r>
          </w:p>
        </w:tc>
        <w:tc>
          <w:tcPr>
            <w:tcW w:w="1550" w:type="dxa"/>
            <w:tcBorders>
              <w:left w:val="single" w:sz="4" w:space="0" w:color="auto"/>
              <w:right w:val="single" w:sz="4" w:space="0" w:color="auto"/>
            </w:tcBorders>
          </w:tcPr>
          <w:p w14:paraId="591D92CB" w14:textId="77777777" w:rsidR="00823DEE" w:rsidRPr="00DE37BB" w:rsidRDefault="00823DEE" w:rsidP="00823DEE">
            <w:pPr>
              <w:jc w:val="center"/>
              <w:rPr>
                <w:rFonts w:ascii="Times New Roman" w:eastAsiaTheme="majorEastAsia" w:hAnsi="Times New Roman" w:cs="Times New Roman"/>
              </w:rPr>
            </w:pPr>
            <w:r w:rsidRPr="00DE37BB">
              <w:rPr>
                <w:rFonts w:ascii="Times New Roman" w:eastAsiaTheme="majorEastAsia" w:hAnsi="Times New Roman" w:cs="Times New Roman"/>
              </w:rPr>
              <w:t>12.82</w:t>
            </w:r>
          </w:p>
        </w:tc>
      </w:tr>
    </w:tbl>
    <w:p w14:paraId="203DA920" w14:textId="77777777" w:rsidR="00823DEE" w:rsidRDefault="00823DEE" w:rsidP="00823DEE">
      <w:pPr>
        <w:spacing w:after="0" w:line="240" w:lineRule="auto"/>
        <w:jc w:val="both"/>
        <w:rPr>
          <w:rFonts w:ascii="Times New Roman" w:hAnsi="Times New Roman" w:cs="Times New Roman"/>
          <w:bCs/>
          <w:sz w:val="24"/>
          <w:szCs w:val="24"/>
        </w:rPr>
      </w:pPr>
    </w:p>
    <w:p w14:paraId="083B94D6" w14:textId="77777777" w:rsidR="00823DEE" w:rsidRDefault="00823DEE" w:rsidP="00740E96">
      <w:pPr>
        <w:spacing w:after="0" w:line="240" w:lineRule="auto"/>
        <w:jc w:val="both"/>
        <w:rPr>
          <w:rFonts w:ascii="Times New Roman" w:eastAsiaTheme="majorEastAsia" w:hAnsi="Times New Roman" w:cs="Times New Roman"/>
          <w:sz w:val="24"/>
          <w:szCs w:val="24"/>
        </w:rPr>
      </w:pPr>
    </w:p>
    <w:p w14:paraId="4D2F0C95" w14:textId="2A9B5323" w:rsidR="0032709D" w:rsidRDefault="00041DA3" w:rsidP="00740E96">
      <w:pPr>
        <w:spacing w:after="0" w:line="240" w:lineRule="auto"/>
        <w:jc w:val="both"/>
        <w:rPr>
          <w:rFonts w:ascii="Times New Roman" w:eastAsiaTheme="majorEastAsia" w:hAnsi="Times New Roman" w:cs="Times New Roman"/>
          <w:sz w:val="24"/>
          <w:szCs w:val="24"/>
        </w:rPr>
      </w:pPr>
      <w:r w:rsidRPr="000269EE">
        <w:rPr>
          <w:rFonts w:ascii="Times New Roman" w:eastAsiaTheme="majorEastAsia" w:hAnsi="Times New Roman" w:cs="Times New Roman"/>
          <w:sz w:val="24"/>
          <w:szCs w:val="24"/>
        </w:rPr>
        <w:t xml:space="preserve">Jadual </w:t>
      </w:r>
      <w:r w:rsidR="0032709D">
        <w:rPr>
          <w:rFonts w:ascii="Times New Roman" w:eastAsiaTheme="majorEastAsia" w:hAnsi="Times New Roman" w:cs="Times New Roman"/>
          <w:sz w:val="24"/>
          <w:szCs w:val="24"/>
        </w:rPr>
        <w:t>4</w:t>
      </w:r>
      <w:r w:rsidRPr="000269EE">
        <w:rPr>
          <w:rFonts w:ascii="Times New Roman" w:eastAsiaTheme="majorEastAsia" w:hAnsi="Times New Roman" w:cs="Times New Roman"/>
          <w:sz w:val="24"/>
          <w:szCs w:val="24"/>
        </w:rPr>
        <w:t xml:space="preserve"> menunjukkan analisis </w:t>
      </w:r>
      <w:r w:rsidR="0032709D">
        <w:rPr>
          <w:rFonts w:ascii="Times New Roman" w:eastAsiaTheme="majorEastAsia" w:hAnsi="Times New Roman" w:cs="Times New Roman"/>
          <w:sz w:val="24"/>
          <w:szCs w:val="24"/>
        </w:rPr>
        <w:t>f</w:t>
      </w:r>
      <w:r w:rsidRPr="000269EE">
        <w:rPr>
          <w:rFonts w:ascii="Times New Roman" w:eastAsiaTheme="majorEastAsia" w:hAnsi="Times New Roman" w:cs="Times New Roman"/>
          <w:sz w:val="24"/>
          <w:szCs w:val="24"/>
        </w:rPr>
        <w:t>irma audit pakar indusri pada nilai ambang 10%</w:t>
      </w:r>
      <w:r w:rsidR="0032709D">
        <w:rPr>
          <w:rFonts w:ascii="Times New Roman" w:eastAsiaTheme="majorEastAsia" w:hAnsi="Times New Roman" w:cs="Times New Roman"/>
          <w:sz w:val="24"/>
          <w:szCs w:val="24"/>
        </w:rPr>
        <w:t xml:space="preserve"> pe</w:t>
      </w:r>
      <w:r w:rsidRPr="000269EE">
        <w:rPr>
          <w:rFonts w:ascii="Times New Roman" w:eastAsiaTheme="majorEastAsia" w:hAnsi="Times New Roman" w:cs="Times New Roman"/>
          <w:sz w:val="24"/>
          <w:szCs w:val="24"/>
        </w:rPr>
        <w:t xml:space="preserve">nguasaan pasaran audit (dikira berdasarkan bilangan pelanggan yang diaudit dalam industri sama). </w:t>
      </w:r>
      <w:r w:rsidR="00137BB4" w:rsidRPr="000269EE">
        <w:rPr>
          <w:rFonts w:ascii="Times New Roman" w:eastAsiaTheme="majorEastAsia" w:hAnsi="Times New Roman" w:cs="Times New Roman"/>
          <w:sz w:val="24"/>
          <w:szCs w:val="24"/>
        </w:rPr>
        <w:t xml:space="preserve"> </w:t>
      </w:r>
      <w:r w:rsidRPr="000269EE">
        <w:rPr>
          <w:rFonts w:ascii="Times New Roman" w:eastAsiaTheme="majorEastAsia" w:hAnsi="Times New Roman" w:cs="Times New Roman"/>
          <w:sz w:val="24"/>
          <w:szCs w:val="24"/>
        </w:rPr>
        <w:t>P</w:t>
      </w:r>
      <w:r w:rsidR="00310EE6" w:rsidRPr="000269EE">
        <w:rPr>
          <w:rFonts w:ascii="Times New Roman" w:eastAsiaTheme="majorEastAsia" w:hAnsi="Times New Roman" w:cs="Times New Roman"/>
          <w:sz w:val="24"/>
          <w:szCs w:val="24"/>
        </w:rPr>
        <w:t xml:space="preserve">ada </w:t>
      </w:r>
      <w:r w:rsidRPr="000269EE">
        <w:rPr>
          <w:rFonts w:ascii="Times New Roman" w:eastAsiaTheme="majorEastAsia" w:hAnsi="Times New Roman" w:cs="Times New Roman"/>
          <w:sz w:val="24"/>
          <w:szCs w:val="24"/>
        </w:rPr>
        <w:t xml:space="preserve">nilai ambang </w:t>
      </w:r>
      <w:r w:rsidR="00310EE6" w:rsidRPr="000269EE">
        <w:rPr>
          <w:rFonts w:ascii="Times New Roman" w:eastAsiaTheme="majorEastAsia" w:hAnsi="Times New Roman" w:cs="Times New Roman"/>
          <w:sz w:val="24"/>
          <w:szCs w:val="24"/>
        </w:rPr>
        <w:t xml:space="preserve">10%, terdapat beberapa firma audit </w:t>
      </w:r>
      <w:r w:rsidR="000269EE" w:rsidRPr="000269EE">
        <w:rPr>
          <w:rFonts w:ascii="Times New Roman" w:eastAsiaTheme="majorEastAsia" w:hAnsi="Times New Roman" w:cs="Times New Roman"/>
          <w:sz w:val="24"/>
          <w:szCs w:val="24"/>
        </w:rPr>
        <w:t xml:space="preserve">Big 4 dan bukan Big 4 </w:t>
      </w:r>
      <w:r w:rsidR="00310EE6" w:rsidRPr="000269EE">
        <w:rPr>
          <w:rFonts w:ascii="Times New Roman" w:eastAsiaTheme="majorEastAsia" w:hAnsi="Times New Roman" w:cs="Times New Roman"/>
          <w:sz w:val="24"/>
          <w:szCs w:val="24"/>
        </w:rPr>
        <w:t xml:space="preserve">yang memenuhi definisi </w:t>
      </w:r>
      <w:r w:rsidR="004D7323" w:rsidRPr="000269EE">
        <w:rPr>
          <w:rFonts w:ascii="Times New Roman" w:eastAsiaTheme="majorEastAsia" w:hAnsi="Times New Roman" w:cs="Times New Roman"/>
          <w:sz w:val="24"/>
          <w:szCs w:val="24"/>
        </w:rPr>
        <w:t>FAPI</w:t>
      </w:r>
      <w:r w:rsidR="00310EE6" w:rsidRPr="000269EE">
        <w:rPr>
          <w:rFonts w:ascii="Times New Roman" w:eastAsiaTheme="majorEastAsia" w:hAnsi="Times New Roman" w:cs="Times New Roman"/>
          <w:sz w:val="24"/>
          <w:szCs w:val="24"/>
        </w:rPr>
        <w:t>.  Contohnya, bagi industri</w:t>
      </w:r>
      <w:r w:rsidR="00F84A57" w:rsidRPr="000269EE">
        <w:rPr>
          <w:rFonts w:ascii="Times New Roman" w:eastAsiaTheme="majorEastAsia" w:hAnsi="Times New Roman" w:cs="Times New Roman"/>
          <w:sz w:val="24"/>
          <w:szCs w:val="24"/>
        </w:rPr>
        <w:t xml:space="preserve"> produk perindustrian dikuasai oleh firma audit </w:t>
      </w:r>
      <w:r w:rsidR="00F84A57" w:rsidRPr="000269EE">
        <w:rPr>
          <w:rFonts w:ascii="Times New Roman" w:hAnsi="Times New Roman" w:cs="Times New Roman"/>
          <w:bCs/>
          <w:sz w:val="24"/>
          <w:szCs w:val="24"/>
        </w:rPr>
        <w:t>Crowe Malaysia, EY dan KPMG semenjak tahun 2014 sehingga 2018.  Baker Tilly, BDO, Crowe Malaysia, KPMG, dan UHY pula menguasai industr</w:t>
      </w:r>
      <w:r w:rsidRPr="000269EE">
        <w:rPr>
          <w:rFonts w:ascii="Times New Roman" w:hAnsi="Times New Roman" w:cs="Times New Roman"/>
          <w:bCs/>
          <w:sz w:val="24"/>
          <w:szCs w:val="24"/>
        </w:rPr>
        <w:t>i</w:t>
      </w:r>
      <w:r w:rsidR="00F84A57" w:rsidRPr="000269EE">
        <w:rPr>
          <w:rFonts w:ascii="Times New Roman" w:hAnsi="Times New Roman" w:cs="Times New Roman"/>
          <w:bCs/>
          <w:sz w:val="24"/>
          <w:szCs w:val="24"/>
        </w:rPr>
        <w:t xml:space="preserve"> pembinaan dari tahun 2017 sehingga 2018.</w:t>
      </w:r>
      <w:r w:rsidRPr="000269EE">
        <w:rPr>
          <w:rFonts w:ascii="Times New Roman" w:eastAsiaTheme="majorEastAsia" w:hAnsi="Times New Roman" w:cs="Times New Roman"/>
          <w:sz w:val="24"/>
          <w:szCs w:val="24"/>
        </w:rPr>
        <w:t xml:space="preserve">  </w:t>
      </w:r>
      <w:r w:rsidR="000269EE" w:rsidRPr="000269EE">
        <w:rPr>
          <w:rFonts w:ascii="Times New Roman" w:eastAsiaTheme="majorEastAsia" w:hAnsi="Times New Roman" w:cs="Times New Roman"/>
          <w:sz w:val="24"/>
          <w:szCs w:val="24"/>
        </w:rPr>
        <w:t>EY</w:t>
      </w:r>
      <w:r w:rsidR="000269EE">
        <w:rPr>
          <w:rFonts w:ascii="Times New Roman" w:eastAsiaTheme="majorEastAsia" w:hAnsi="Times New Roman" w:cs="Times New Roman"/>
          <w:sz w:val="24"/>
          <w:szCs w:val="24"/>
        </w:rPr>
        <w:t xml:space="preserve"> dan KPMG secara konsisten menguasai pasaran audit dalam industri perladangan</w:t>
      </w:r>
      <w:r w:rsidR="0032709D">
        <w:rPr>
          <w:rFonts w:ascii="Times New Roman" w:eastAsiaTheme="majorEastAsia" w:hAnsi="Times New Roman" w:cs="Times New Roman"/>
          <w:sz w:val="24"/>
          <w:szCs w:val="24"/>
        </w:rPr>
        <w:t xml:space="preserve">.  </w:t>
      </w:r>
      <w:r w:rsidR="000269EE">
        <w:rPr>
          <w:rFonts w:ascii="Times New Roman" w:eastAsiaTheme="majorEastAsia" w:hAnsi="Times New Roman" w:cs="Times New Roman"/>
          <w:sz w:val="24"/>
          <w:szCs w:val="24"/>
        </w:rPr>
        <w:t>Manaka</w:t>
      </w:r>
      <w:r w:rsidR="0032709D">
        <w:rPr>
          <w:rFonts w:ascii="Times New Roman" w:eastAsiaTheme="majorEastAsia" w:hAnsi="Times New Roman" w:cs="Times New Roman"/>
          <w:sz w:val="24"/>
          <w:szCs w:val="24"/>
        </w:rPr>
        <w:t>la</w:t>
      </w:r>
      <w:r w:rsidR="000269EE">
        <w:rPr>
          <w:rFonts w:ascii="Times New Roman" w:eastAsiaTheme="majorEastAsia" w:hAnsi="Times New Roman" w:cs="Times New Roman"/>
          <w:sz w:val="24"/>
          <w:szCs w:val="24"/>
        </w:rPr>
        <w:t xml:space="preserve"> BDO dan KPMG pula menguasai industri produk pengguna.</w:t>
      </w:r>
      <w:r w:rsidR="0032709D">
        <w:rPr>
          <w:rFonts w:ascii="Times New Roman" w:eastAsiaTheme="majorEastAsia" w:hAnsi="Times New Roman" w:cs="Times New Roman"/>
          <w:sz w:val="24"/>
          <w:szCs w:val="24"/>
        </w:rPr>
        <w:t xml:space="preserve"> </w:t>
      </w:r>
    </w:p>
    <w:p w14:paraId="7B5F4AA6" w14:textId="77777777" w:rsidR="0032709D" w:rsidRDefault="0032709D" w:rsidP="00740E96">
      <w:pPr>
        <w:spacing w:after="0" w:line="240" w:lineRule="auto"/>
        <w:jc w:val="both"/>
        <w:rPr>
          <w:rFonts w:ascii="Times New Roman" w:eastAsiaTheme="majorEastAsia" w:hAnsi="Times New Roman" w:cs="Times New Roman"/>
          <w:sz w:val="24"/>
          <w:szCs w:val="24"/>
        </w:rPr>
      </w:pPr>
    </w:p>
    <w:p w14:paraId="768FAD2A" w14:textId="79706243" w:rsidR="00137BB4" w:rsidRPr="00137BB4" w:rsidRDefault="0032709D" w:rsidP="00740E96">
      <w:pPr>
        <w:spacing w:after="0" w:line="240" w:lineRule="auto"/>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Jadual </w:t>
      </w:r>
      <w:proofErr w:type="gramStart"/>
      <w:r>
        <w:rPr>
          <w:rFonts w:ascii="Times New Roman" w:eastAsiaTheme="majorEastAsia" w:hAnsi="Times New Roman" w:cs="Times New Roman"/>
          <w:sz w:val="24"/>
          <w:szCs w:val="24"/>
        </w:rPr>
        <w:t>5</w:t>
      </w:r>
      <w:r w:rsidR="005E7DA1">
        <w:rPr>
          <w:rFonts w:ascii="Times New Roman" w:eastAsiaTheme="majorEastAsia" w:hAnsi="Times New Roman" w:cs="Times New Roman"/>
          <w:sz w:val="24"/>
          <w:szCs w:val="24"/>
        </w:rPr>
        <w:t xml:space="preserve"> </w:t>
      </w:r>
      <w:r>
        <w:rPr>
          <w:rFonts w:ascii="Times New Roman" w:eastAsiaTheme="majorEastAsia" w:hAnsi="Times New Roman" w:cs="Times New Roman"/>
          <w:sz w:val="24"/>
          <w:szCs w:val="24"/>
        </w:rPr>
        <w:t>pula</w:t>
      </w:r>
      <w:proofErr w:type="gramEnd"/>
      <w:r>
        <w:rPr>
          <w:rFonts w:ascii="Times New Roman" w:eastAsiaTheme="majorEastAsia" w:hAnsi="Times New Roman" w:cs="Times New Roman"/>
          <w:sz w:val="24"/>
          <w:szCs w:val="24"/>
        </w:rPr>
        <w:t xml:space="preserve"> menunjukkan analisis firma audit pakar industri pada nilai ambang 20%. Bilangan FIPA didapati semakin berkurang.</w:t>
      </w:r>
      <w:r w:rsidR="00823DEE">
        <w:rPr>
          <w:rFonts w:ascii="Times New Roman" w:eastAsiaTheme="majorEastAsia" w:hAnsi="Times New Roman" w:cs="Times New Roman"/>
          <w:sz w:val="24"/>
          <w:szCs w:val="24"/>
        </w:rPr>
        <w:t xml:space="preserve"> Hanya 3 firma audit iaitu EY, KPMG dan Crowe Horward yang memenuhi definisi FIPA 20%. </w:t>
      </w:r>
      <w:r>
        <w:rPr>
          <w:rFonts w:ascii="Times New Roman" w:eastAsiaTheme="majorEastAsia" w:hAnsi="Times New Roman" w:cs="Times New Roman"/>
          <w:sz w:val="24"/>
          <w:szCs w:val="24"/>
        </w:rPr>
        <w:t xml:space="preserve"> F</w:t>
      </w:r>
      <w:r w:rsidR="00137BB4" w:rsidRPr="00137BB4">
        <w:rPr>
          <w:rFonts w:ascii="Times New Roman" w:eastAsiaTheme="majorEastAsia" w:hAnsi="Times New Roman" w:cs="Times New Roman"/>
          <w:sz w:val="24"/>
          <w:szCs w:val="24"/>
        </w:rPr>
        <w:t xml:space="preserve">irma audit EY </w:t>
      </w:r>
      <w:r w:rsidR="009F7A81">
        <w:rPr>
          <w:rFonts w:ascii="Times New Roman" w:eastAsiaTheme="majorEastAsia" w:hAnsi="Times New Roman" w:cs="Times New Roman"/>
          <w:sz w:val="24"/>
          <w:szCs w:val="24"/>
        </w:rPr>
        <w:t xml:space="preserve">menguasai pasaran audit bagi </w:t>
      </w:r>
      <w:r w:rsidR="009F7A81">
        <w:rPr>
          <w:rFonts w:ascii="Times New Roman" w:eastAsiaTheme="majorEastAsia" w:hAnsi="Times New Roman" w:cs="Times New Roman"/>
          <w:sz w:val="24"/>
          <w:szCs w:val="24"/>
        </w:rPr>
        <w:lastRenderedPageBreak/>
        <w:t>industr</w:t>
      </w:r>
      <w:r w:rsidR="00F84A57">
        <w:rPr>
          <w:rFonts w:ascii="Times New Roman" w:eastAsiaTheme="majorEastAsia" w:hAnsi="Times New Roman" w:cs="Times New Roman"/>
          <w:sz w:val="24"/>
          <w:szCs w:val="24"/>
        </w:rPr>
        <w:t>i</w:t>
      </w:r>
      <w:r w:rsidR="009F7A81">
        <w:rPr>
          <w:rFonts w:ascii="Times New Roman" w:eastAsiaTheme="majorEastAsia" w:hAnsi="Times New Roman" w:cs="Times New Roman"/>
          <w:sz w:val="24"/>
          <w:szCs w:val="24"/>
        </w:rPr>
        <w:t xml:space="preserve"> perladangan, </w:t>
      </w:r>
      <w:r w:rsidR="009F7A81" w:rsidRPr="00137BB4">
        <w:rPr>
          <w:rFonts w:ascii="Times New Roman" w:eastAsiaTheme="majorEastAsia" w:hAnsi="Times New Roman" w:cs="Times New Roman"/>
          <w:sz w:val="24"/>
          <w:szCs w:val="24"/>
        </w:rPr>
        <w:t>produk perindustrian, perdagangan, hartanah dan lain-lain.</w:t>
      </w:r>
      <w:r w:rsidR="009F7A81">
        <w:rPr>
          <w:rFonts w:ascii="Times New Roman" w:eastAsiaTheme="majorEastAsia" w:hAnsi="Times New Roman" w:cs="Times New Roman"/>
          <w:sz w:val="24"/>
          <w:szCs w:val="24"/>
        </w:rPr>
        <w:t xml:space="preserve"> </w:t>
      </w:r>
      <w:r w:rsidR="00137BB4" w:rsidRPr="00137BB4">
        <w:rPr>
          <w:rFonts w:ascii="Times New Roman" w:eastAsiaTheme="majorEastAsia" w:hAnsi="Times New Roman" w:cs="Times New Roman"/>
          <w:sz w:val="24"/>
          <w:szCs w:val="24"/>
        </w:rPr>
        <w:t xml:space="preserve">Crowe Horward </w:t>
      </w:r>
      <w:r w:rsidR="009F7A81">
        <w:rPr>
          <w:rFonts w:ascii="Times New Roman" w:eastAsiaTheme="majorEastAsia" w:hAnsi="Times New Roman" w:cs="Times New Roman"/>
          <w:sz w:val="24"/>
          <w:szCs w:val="24"/>
        </w:rPr>
        <w:t xml:space="preserve">pula menguasai </w:t>
      </w:r>
      <w:r w:rsidR="00137BB4" w:rsidRPr="00137BB4">
        <w:rPr>
          <w:rFonts w:ascii="Times New Roman" w:eastAsiaTheme="majorEastAsia" w:hAnsi="Times New Roman" w:cs="Times New Roman"/>
          <w:sz w:val="24"/>
          <w:szCs w:val="24"/>
        </w:rPr>
        <w:t xml:space="preserve">industri teknologi </w:t>
      </w:r>
      <w:r w:rsidR="009F7A81">
        <w:rPr>
          <w:rFonts w:ascii="Times New Roman" w:eastAsiaTheme="majorEastAsia" w:hAnsi="Times New Roman" w:cs="Times New Roman"/>
          <w:sz w:val="24"/>
          <w:szCs w:val="24"/>
        </w:rPr>
        <w:t xml:space="preserve">semenjak tahun 2014 sehingga </w:t>
      </w:r>
      <w:r w:rsidR="00137BB4" w:rsidRPr="00137BB4">
        <w:rPr>
          <w:rFonts w:ascii="Times New Roman" w:eastAsiaTheme="majorEastAsia" w:hAnsi="Times New Roman" w:cs="Times New Roman"/>
          <w:sz w:val="24"/>
          <w:szCs w:val="24"/>
        </w:rPr>
        <w:t xml:space="preserve">tahun </w:t>
      </w:r>
      <w:r w:rsidR="009F7A81">
        <w:rPr>
          <w:rFonts w:ascii="Times New Roman" w:eastAsiaTheme="majorEastAsia" w:hAnsi="Times New Roman" w:cs="Times New Roman"/>
          <w:sz w:val="24"/>
          <w:szCs w:val="24"/>
        </w:rPr>
        <w:t xml:space="preserve">2018 dan </w:t>
      </w:r>
      <w:r w:rsidR="00137BB4" w:rsidRPr="00137BB4">
        <w:rPr>
          <w:rFonts w:ascii="Times New Roman" w:eastAsiaTheme="majorEastAsia" w:hAnsi="Times New Roman" w:cs="Times New Roman"/>
          <w:sz w:val="24"/>
          <w:szCs w:val="24"/>
        </w:rPr>
        <w:t xml:space="preserve">KPMG </w:t>
      </w:r>
      <w:r w:rsidR="00485201">
        <w:rPr>
          <w:rFonts w:ascii="Times New Roman" w:eastAsiaTheme="majorEastAsia" w:hAnsi="Times New Roman" w:cs="Times New Roman"/>
          <w:sz w:val="24"/>
          <w:szCs w:val="24"/>
        </w:rPr>
        <w:t xml:space="preserve">pula </w:t>
      </w:r>
      <w:r w:rsidR="009F7A81">
        <w:rPr>
          <w:rFonts w:ascii="Times New Roman" w:eastAsiaTheme="majorEastAsia" w:hAnsi="Times New Roman" w:cs="Times New Roman"/>
          <w:sz w:val="24"/>
          <w:szCs w:val="24"/>
        </w:rPr>
        <w:t xml:space="preserve">menguasai industi </w:t>
      </w:r>
      <w:r w:rsidR="00137BB4" w:rsidRPr="00137BB4">
        <w:rPr>
          <w:rFonts w:ascii="Times New Roman" w:eastAsiaTheme="majorEastAsia" w:hAnsi="Times New Roman" w:cs="Times New Roman"/>
          <w:sz w:val="24"/>
          <w:szCs w:val="24"/>
        </w:rPr>
        <w:t xml:space="preserve">produk pengguna </w:t>
      </w:r>
      <w:r w:rsidR="009F7A81">
        <w:rPr>
          <w:rFonts w:ascii="Times New Roman" w:eastAsiaTheme="majorEastAsia" w:hAnsi="Times New Roman" w:cs="Times New Roman"/>
          <w:sz w:val="24"/>
          <w:szCs w:val="24"/>
        </w:rPr>
        <w:t xml:space="preserve">dalam tahun </w:t>
      </w:r>
      <w:r w:rsidR="00137BB4" w:rsidRPr="00137BB4">
        <w:rPr>
          <w:rFonts w:ascii="Times New Roman" w:eastAsiaTheme="majorEastAsia" w:hAnsi="Times New Roman" w:cs="Times New Roman"/>
          <w:sz w:val="24"/>
          <w:szCs w:val="24"/>
        </w:rPr>
        <w:t xml:space="preserve">2014 dan lain-lain </w:t>
      </w:r>
      <w:r w:rsidR="009F7A81">
        <w:rPr>
          <w:rFonts w:ascii="Times New Roman" w:eastAsiaTheme="majorEastAsia" w:hAnsi="Times New Roman" w:cs="Times New Roman"/>
          <w:sz w:val="24"/>
          <w:szCs w:val="24"/>
        </w:rPr>
        <w:t>industr</w:t>
      </w:r>
      <w:r w:rsidR="007F6E65">
        <w:rPr>
          <w:rFonts w:ascii="Times New Roman" w:eastAsiaTheme="majorEastAsia" w:hAnsi="Times New Roman" w:cs="Times New Roman"/>
          <w:sz w:val="24"/>
          <w:szCs w:val="24"/>
        </w:rPr>
        <w:t>i</w:t>
      </w:r>
      <w:r w:rsidR="009F7A81">
        <w:rPr>
          <w:rFonts w:ascii="Times New Roman" w:eastAsiaTheme="majorEastAsia" w:hAnsi="Times New Roman" w:cs="Times New Roman"/>
          <w:sz w:val="24"/>
          <w:szCs w:val="24"/>
        </w:rPr>
        <w:t xml:space="preserve"> dari tahun </w:t>
      </w:r>
      <w:r w:rsidR="00137BB4" w:rsidRPr="00137BB4">
        <w:rPr>
          <w:rFonts w:ascii="Times New Roman" w:eastAsiaTheme="majorEastAsia" w:hAnsi="Times New Roman" w:cs="Times New Roman"/>
          <w:sz w:val="24"/>
          <w:szCs w:val="24"/>
        </w:rPr>
        <w:t xml:space="preserve">2014 </w:t>
      </w:r>
      <w:r w:rsidR="009F7A81">
        <w:rPr>
          <w:rFonts w:ascii="Times New Roman" w:eastAsiaTheme="majorEastAsia" w:hAnsi="Times New Roman" w:cs="Times New Roman"/>
          <w:sz w:val="24"/>
          <w:szCs w:val="24"/>
        </w:rPr>
        <w:t>sehingga tahun</w:t>
      </w:r>
      <w:r w:rsidR="00137BB4" w:rsidRPr="00137BB4">
        <w:rPr>
          <w:rFonts w:ascii="Times New Roman" w:eastAsiaTheme="majorEastAsia" w:hAnsi="Times New Roman" w:cs="Times New Roman"/>
          <w:sz w:val="24"/>
          <w:szCs w:val="24"/>
        </w:rPr>
        <w:t xml:space="preserve"> 2017.</w:t>
      </w:r>
      <w:r w:rsidR="00485201">
        <w:rPr>
          <w:rFonts w:ascii="Times New Roman" w:eastAsiaTheme="majorEastAsia" w:hAnsi="Times New Roman" w:cs="Times New Roman"/>
          <w:sz w:val="24"/>
          <w:szCs w:val="24"/>
        </w:rPr>
        <w:t xml:space="preserve"> </w:t>
      </w:r>
      <w:r w:rsidR="00823DEE">
        <w:rPr>
          <w:rFonts w:ascii="Times New Roman" w:eastAsiaTheme="majorEastAsia" w:hAnsi="Times New Roman" w:cs="Times New Roman"/>
          <w:sz w:val="24"/>
          <w:szCs w:val="24"/>
        </w:rPr>
        <w:t xml:space="preserve"> Firma audit </w:t>
      </w:r>
      <w:r w:rsidR="00823DEE" w:rsidRPr="00823DEE">
        <w:rPr>
          <w:rFonts w:ascii="Times New Roman" w:hAnsi="Times New Roman" w:cs="Times New Roman"/>
          <w:sz w:val="24"/>
          <w:szCs w:val="24"/>
        </w:rPr>
        <w:t>PricewaterhouseCoopers, Deloitte &amp; Touche Tohmatsu, dan semua firma audit bukan Big 4 kecuali Crowe Horwath tidak menguasai pasaran mana-mana industri.</w:t>
      </w:r>
    </w:p>
    <w:p w14:paraId="00F31268" w14:textId="1E4DA73E" w:rsidR="00137BB4" w:rsidRPr="00137BB4" w:rsidRDefault="00137BB4" w:rsidP="00740E96">
      <w:pPr>
        <w:spacing w:after="0" w:line="240" w:lineRule="auto"/>
        <w:jc w:val="both"/>
        <w:rPr>
          <w:rFonts w:ascii="Times New Roman" w:hAnsi="Times New Roman" w:cs="Times New Roman"/>
          <w:sz w:val="24"/>
          <w:szCs w:val="24"/>
        </w:rPr>
      </w:pPr>
      <w:r w:rsidRPr="00137BB4">
        <w:rPr>
          <w:rFonts w:ascii="Times New Roman" w:hAnsi="Times New Roman" w:cs="Times New Roman"/>
          <w:sz w:val="24"/>
          <w:szCs w:val="24"/>
        </w:rPr>
        <w:tab/>
        <w:t xml:space="preserve"> </w:t>
      </w:r>
    </w:p>
    <w:p w14:paraId="4F755646" w14:textId="0D8852FB" w:rsidR="00011B30" w:rsidRDefault="0008267D" w:rsidP="00823DE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Jadual 4 Senarai Firma Audit Pakar Industri Pada Nilai Ambang 10%</w:t>
      </w:r>
    </w:p>
    <w:p w14:paraId="770AE9E4" w14:textId="77777777" w:rsidR="0008267D" w:rsidRPr="00137BB4" w:rsidRDefault="0008267D" w:rsidP="00740E96">
      <w:pPr>
        <w:spacing w:after="0" w:line="240" w:lineRule="auto"/>
        <w:jc w:val="both"/>
        <w:rPr>
          <w:rFonts w:ascii="Times New Roman" w:hAnsi="Times New Roman" w:cs="Times New Roman"/>
          <w:bCs/>
          <w:sz w:val="24"/>
          <w:szCs w:val="24"/>
        </w:rPr>
      </w:pPr>
    </w:p>
    <w:tbl>
      <w:tblPr>
        <w:tblStyle w:val="TableGrid1"/>
        <w:tblW w:w="8440" w:type="dxa"/>
        <w:jc w:val="center"/>
        <w:tblLook w:val="04A0" w:firstRow="1" w:lastRow="0" w:firstColumn="1" w:lastColumn="0" w:noHBand="0" w:noVBand="1"/>
      </w:tblPr>
      <w:tblGrid>
        <w:gridCol w:w="1975"/>
        <w:gridCol w:w="1362"/>
        <w:gridCol w:w="1275"/>
        <w:gridCol w:w="1276"/>
        <w:gridCol w:w="1276"/>
        <w:gridCol w:w="1276"/>
      </w:tblGrid>
      <w:tr w:rsidR="00011B30" w:rsidRPr="00823DEE" w14:paraId="680D9345" w14:textId="77777777" w:rsidTr="00823DEE">
        <w:trPr>
          <w:jc w:val="center"/>
        </w:trPr>
        <w:tc>
          <w:tcPr>
            <w:tcW w:w="1975" w:type="dxa"/>
          </w:tcPr>
          <w:p w14:paraId="637B8947" w14:textId="77777777" w:rsidR="00011B30" w:rsidRPr="00823DEE" w:rsidRDefault="00011B30" w:rsidP="00740E96">
            <w:pPr>
              <w:jc w:val="both"/>
              <w:rPr>
                <w:rFonts w:ascii="Times New Roman" w:hAnsi="Times New Roman" w:cs="Times New Roman"/>
                <w:b/>
                <w:bCs/>
                <w:sz w:val="20"/>
                <w:szCs w:val="20"/>
              </w:rPr>
            </w:pPr>
            <w:r w:rsidRPr="00823DEE">
              <w:rPr>
                <w:rFonts w:ascii="Times New Roman" w:hAnsi="Times New Roman" w:cs="Times New Roman"/>
                <w:b/>
                <w:bCs/>
                <w:sz w:val="20"/>
                <w:szCs w:val="20"/>
              </w:rPr>
              <w:t>Tahun</w:t>
            </w:r>
          </w:p>
        </w:tc>
        <w:tc>
          <w:tcPr>
            <w:tcW w:w="1362" w:type="dxa"/>
          </w:tcPr>
          <w:p w14:paraId="154E5E6F" w14:textId="77777777" w:rsidR="00011B30" w:rsidRPr="00823DEE" w:rsidRDefault="00011B30" w:rsidP="00740E96">
            <w:pPr>
              <w:jc w:val="both"/>
              <w:rPr>
                <w:rFonts w:ascii="Times New Roman" w:hAnsi="Times New Roman" w:cs="Times New Roman"/>
                <w:bCs/>
                <w:sz w:val="20"/>
                <w:szCs w:val="20"/>
              </w:rPr>
            </w:pPr>
            <w:r w:rsidRPr="00823DEE">
              <w:rPr>
                <w:rFonts w:ascii="Times New Roman" w:hAnsi="Times New Roman" w:cs="Times New Roman"/>
                <w:bCs/>
                <w:sz w:val="20"/>
                <w:szCs w:val="20"/>
              </w:rPr>
              <w:t>2014</w:t>
            </w:r>
          </w:p>
        </w:tc>
        <w:tc>
          <w:tcPr>
            <w:tcW w:w="1275" w:type="dxa"/>
          </w:tcPr>
          <w:p w14:paraId="7A89828A" w14:textId="77777777" w:rsidR="00011B30" w:rsidRPr="00823DEE" w:rsidRDefault="00011B30" w:rsidP="00740E96">
            <w:pPr>
              <w:jc w:val="both"/>
              <w:rPr>
                <w:rFonts w:ascii="Times New Roman" w:hAnsi="Times New Roman" w:cs="Times New Roman"/>
                <w:bCs/>
                <w:sz w:val="20"/>
                <w:szCs w:val="20"/>
              </w:rPr>
            </w:pPr>
            <w:r w:rsidRPr="00823DEE">
              <w:rPr>
                <w:rFonts w:ascii="Times New Roman" w:hAnsi="Times New Roman" w:cs="Times New Roman"/>
                <w:bCs/>
                <w:sz w:val="20"/>
                <w:szCs w:val="20"/>
              </w:rPr>
              <w:t>2015</w:t>
            </w:r>
          </w:p>
        </w:tc>
        <w:tc>
          <w:tcPr>
            <w:tcW w:w="1276" w:type="dxa"/>
          </w:tcPr>
          <w:p w14:paraId="0861ED82" w14:textId="77777777" w:rsidR="00011B30" w:rsidRPr="00823DEE" w:rsidRDefault="00011B30" w:rsidP="00740E96">
            <w:pPr>
              <w:jc w:val="both"/>
              <w:rPr>
                <w:rFonts w:ascii="Times New Roman" w:hAnsi="Times New Roman" w:cs="Times New Roman"/>
                <w:bCs/>
                <w:sz w:val="20"/>
                <w:szCs w:val="20"/>
              </w:rPr>
            </w:pPr>
            <w:r w:rsidRPr="00823DEE">
              <w:rPr>
                <w:rFonts w:ascii="Times New Roman" w:hAnsi="Times New Roman" w:cs="Times New Roman"/>
                <w:bCs/>
                <w:sz w:val="20"/>
                <w:szCs w:val="20"/>
              </w:rPr>
              <w:t>2016</w:t>
            </w:r>
          </w:p>
        </w:tc>
        <w:tc>
          <w:tcPr>
            <w:tcW w:w="1276" w:type="dxa"/>
          </w:tcPr>
          <w:p w14:paraId="2FE153FE" w14:textId="77777777" w:rsidR="00011B30" w:rsidRPr="00823DEE" w:rsidRDefault="00011B30" w:rsidP="00740E96">
            <w:pPr>
              <w:jc w:val="both"/>
              <w:rPr>
                <w:rFonts w:ascii="Times New Roman" w:hAnsi="Times New Roman" w:cs="Times New Roman"/>
                <w:bCs/>
                <w:sz w:val="20"/>
                <w:szCs w:val="20"/>
              </w:rPr>
            </w:pPr>
            <w:r w:rsidRPr="00823DEE">
              <w:rPr>
                <w:rFonts w:ascii="Times New Roman" w:hAnsi="Times New Roman" w:cs="Times New Roman"/>
                <w:bCs/>
                <w:sz w:val="20"/>
                <w:szCs w:val="20"/>
              </w:rPr>
              <w:t>2017</w:t>
            </w:r>
          </w:p>
        </w:tc>
        <w:tc>
          <w:tcPr>
            <w:tcW w:w="1276" w:type="dxa"/>
          </w:tcPr>
          <w:p w14:paraId="726000DA" w14:textId="77777777" w:rsidR="00011B30" w:rsidRPr="00823DEE" w:rsidRDefault="00011B30" w:rsidP="00740E96">
            <w:pPr>
              <w:jc w:val="both"/>
              <w:rPr>
                <w:rFonts w:ascii="Times New Roman" w:hAnsi="Times New Roman" w:cs="Times New Roman"/>
                <w:bCs/>
                <w:sz w:val="20"/>
                <w:szCs w:val="20"/>
              </w:rPr>
            </w:pPr>
            <w:r w:rsidRPr="00823DEE">
              <w:rPr>
                <w:rFonts w:ascii="Times New Roman" w:hAnsi="Times New Roman" w:cs="Times New Roman"/>
                <w:bCs/>
                <w:sz w:val="20"/>
                <w:szCs w:val="20"/>
              </w:rPr>
              <w:t>2018</w:t>
            </w:r>
          </w:p>
        </w:tc>
      </w:tr>
      <w:tr w:rsidR="00011B30" w:rsidRPr="00823DEE" w14:paraId="3553D58F" w14:textId="77777777" w:rsidTr="00823DEE">
        <w:trPr>
          <w:jc w:val="center"/>
        </w:trPr>
        <w:tc>
          <w:tcPr>
            <w:tcW w:w="1975" w:type="dxa"/>
          </w:tcPr>
          <w:p w14:paraId="6BD7A371" w14:textId="77777777" w:rsidR="00011B30" w:rsidRPr="00823DEE" w:rsidRDefault="00011B30" w:rsidP="00740E96">
            <w:pPr>
              <w:jc w:val="both"/>
              <w:rPr>
                <w:rFonts w:ascii="Times New Roman" w:hAnsi="Times New Roman" w:cs="Times New Roman"/>
                <w:b/>
                <w:bCs/>
                <w:sz w:val="20"/>
                <w:szCs w:val="20"/>
              </w:rPr>
            </w:pPr>
            <w:r w:rsidRPr="00823DEE">
              <w:rPr>
                <w:rFonts w:ascii="Times New Roman" w:hAnsi="Times New Roman" w:cs="Times New Roman"/>
                <w:b/>
                <w:bCs/>
                <w:sz w:val="20"/>
                <w:szCs w:val="20"/>
              </w:rPr>
              <w:t>Industri</w:t>
            </w:r>
          </w:p>
        </w:tc>
        <w:tc>
          <w:tcPr>
            <w:tcW w:w="1362" w:type="dxa"/>
          </w:tcPr>
          <w:p w14:paraId="4AA61D09" w14:textId="77777777" w:rsidR="00011B30" w:rsidRPr="00823DEE" w:rsidRDefault="00011B30" w:rsidP="00740E96">
            <w:pPr>
              <w:jc w:val="both"/>
              <w:rPr>
                <w:rFonts w:ascii="Times New Roman" w:hAnsi="Times New Roman" w:cs="Times New Roman"/>
                <w:bCs/>
                <w:sz w:val="20"/>
                <w:szCs w:val="20"/>
              </w:rPr>
            </w:pPr>
          </w:p>
        </w:tc>
        <w:tc>
          <w:tcPr>
            <w:tcW w:w="1275" w:type="dxa"/>
          </w:tcPr>
          <w:p w14:paraId="61B4CD31" w14:textId="77777777" w:rsidR="00011B30" w:rsidRPr="00823DEE" w:rsidRDefault="00011B30" w:rsidP="00740E96">
            <w:pPr>
              <w:jc w:val="both"/>
              <w:rPr>
                <w:rFonts w:ascii="Times New Roman" w:hAnsi="Times New Roman" w:cs="Times New Roman"/>
                <w:bCs/>
                <w:sz w:val="20"/>
                <w:szCs w:val="20"/>
              </w:rPr>
            </w:pPr>
          </w:p>
        </w:tc>
        <w:tc>
          <w:tcPr>
            <w:tcW w:w="1276" w:type="dxa"/>
          </w:tcPr>
          <w:p w14:paraId="7030B25B" w14:textId="77777777" w:rsidR="00011B30" w:rsidRPr="00823DEE" w:rsidRDefault="00011B30" w:rsidP="00740E96">
            <w:pPr>
              <w:jc w:val="both"/>
              <w:rPr>
                <w:rFonts w:ascii="Times New Roman" w:hAnsi="Times New Roman" w:cs="Times New Roman"/>
                <w:bCs/>
                <w:sz w:val="20"/>
                <w:szCs w:val="20"/>
              </w:rPr>
            </w:pPr>
          </w:p>
        </w:tc>
        <w:tc>
          <w:tcPr>
            <w:tcW w:w="1276" w:type="dxa"/>
          </w:tcPr>
          <w:p w14:paraId="173739EF" w14:textId="77777777" w:rsidR="00011B30" w:rsidRPr="00823DEE" w:rsidRDefault="00011B30" w:rsidP="00740E96">
            <w:pPr>
              <w:jc w:val="both"/>
              <w:rPr>
                <w:rFonts w:ascii="Times New Roman" w:hAnsi="Times New Roman" w:cs="Times New Roman"/>
                <w:bCs/>
                <w:sz w:val="20"/>
                <w:szCs w:val="20"/>
              </w:rPr>
            </w:pPr>
          </w:p>
        </w:tc>
        <w:tc>
          <w:tcPr>
            <w:tcW w:w="1276" w:type="dxa"/>
          </w:tcPr>
          <w:p w14:paraId="3CB63674" w14:textId="77777777" w:rsidR="00011B30" w:rsidRPr="00823DEE" w:rsidRDefault="00011B30" w:rsidP="00740E96">
            <w:pPr>
              <w:jc w:val="both"/>
              <w:rPr>
                <w:rFonts w:ascii="Times New Roman" w:hAnsi="Times New Roman" w:cs="Times New Roman"/>
                <w:bCs/>
                <w:sz w:val="20"/>
                <w:szCs w:val="20"/>
              </w:rPr>
            </w:pPr>
          </w:p>
        </w:tc>
      </w:tr>
      <w:tr w:rsidR="00011B30" w:rsidRPr="00823DEE" w14:paraId="0B3A5846" w14:textId="77777777" w:rsidTr="00823DEE">
        <w:trPr>
          <w:jc w:val="center"/>
        </w:trPr>
        <w:tc>
          <w:tcPr>
            <w:tcW w:w="1975" w:type="dxa"/>
            <w:tcBorders>
              <w:top w:val="single" w:sz="4" w:space="0" w:color="auto"/>
              <w:left w:val="single" w:sz="4" w:space="0" w:color="auto"/>
              <w:bottom w:val="single" w:sz="4" w:space="0" w:color="auto"/>
              <w:right w:val="single" w:sz="4" w:space="0" w:color="auto"/>
            </w:tcBorders>
            <w:vAlign w:val="center"/>
          </w:tcPr>
          <w:p w14:paraId="6C34AB7C" w14:textId="77777777" w:rsidR="00011B30" w:rsidRPr="00823DEE" w:rsidRDefault="00011B30" w:rsidP="00740E96">
            <w:pPr>
              <w:jc w:val="both"/>
              <w:rPr>
                <w:rFonts w:ascii="Times New Roman" w:hAnsi="Times New Roman" w:cs="Times New Roman"/>
                <w:bCs/>
                <w:sz w:val="20"/>
                <w:szCs w:val="20"/>
              </w:rPr>
            </w:pPr>
            <w:r w:rsidRPr="00823DEE">
              <w:rPr>
                <w:rFonts w:ascii="Times New Roman" w:eastAsia="Times New Roman" w:hAnsi="Times New Roman" w:cs="Times New Roman"/>
                <w:sz w:val="20"/>
                <w:szCs w:val="20"/>
                <w:lang w:eastAsia="en-MY"/>
              </w:rPr>
              <w:t xml:space="preserve">Perladangan </w:t>
            </w:r>
          </w:p>
        </w:tc>
        <w:tc>
          <w:tcPr>
            <w:tcW w:w="1362" w:type="dxa"/>
          </w:tcPr>
          <w:p w14:paraId="3BA39A66" w14:textId="77777777" w:rsidR="00011B30" w:rsidRPr="00823DEE" w:rsidRDefault="00011B30" w:rsidP="005E7DA1">
            <w:pPr>
              <w:rPr>
                <w:rFonts w:ascii="Times New Roman" w:hAnsi="Times New Roman" w:cs="Times New Roman"/>
                <w:bCs/>
                <w:sz w:val="20"/>
                <w:szCs w:val="20"/>
              </w:rPr>
            </w:pPr>
            <w:r w:rsidRPr="00823DEE">
              <w:rPr>
                <w:rFonts w:ascii="Times New Roman" w:hAnsi="Times New Roman" w:cs="Times New Roman"/>
                <w:bCs/>
                <w:sz w:val="20"/>
                <w:szCs w:val="20"/>
              </w:rPr>
              <w:t>EY &amp; KPMG</w:t>
            </w:r>
          </w:p>
        </w:tc>
        <w:tc>
          <w:tcPr>
            <w:tcW w:w="1275" w:type="dxa"/>
          </w:tcPr>
          <w:p w14:paraId="0E6719B1" w14:textId="77777777" w:rsidR="00011B30" w:rsidRPr="00823DEE" w:rsidRDefault="00011B30" w:rsidP="005E7DA1">
            <w:pPr>
              <w:rPr>
                <w:rFonts w:ascii="Times New Roman" w:hAnsi="Times New Roman" w:cs="Times New Roman"/>
                <w:bCs/>
                <w:sz w:val="20"/>
                <w:szCs w:val="20"/>
              </w:rPr>
            </w:pPr>
            <w:r w:rsidRPr="00823DEE">
              <w:rPr>
                <w:rFonts w:ascii="Times New Roman" w:hAnsi="Times New Roman" w:cs="Times New Roman"/>
                <w:bCs/>
                <w:sz w:val="20"/>
                <w:szCs w:val="20"/>
              </w:rPr>
              <w:t>EY &amp; KPMG</w:t>
            </w:r>
          </w:p>
        </w:tc>
        <w:tc>
          <w:tcPr>
            <w:tcW w:w="1276" w:type="dxa"/>
          </w:tcPr>
          <w:p w14:paraId="24515E97" w14:textId="77777777" w:rsidR="00011B30" w:rsidRPr="00823DEE" w:rsidRDefault="00011B30" w:rsidP="005E7DA1">
            <w:pPr>
              <w:rPr>
                <w:rFonts w:ascii="Times New Roman" w:hAnsi="Times New Roman" w:cs="Times New Roman"/>
                <w:bCs/>
                <w:sz w:val="20"/>
                <w:szCs w:val="20"/>
              </w:rPr>
            </w:pPr>
            <w:r w:rsidRPr="00823DEE">
              <w:rPr>
                <w:rFonts w:ascii="Times New Roman" w:hAnsi="Times New Roman" w:cs="Times New Roman"/>
                <w:bCs/>
                <w:sz w:val="20"/>
                <w:szCs w:val="20"/>
              </w:rPr>
              <w:t>EY &amp; KPMG</w:t>
            </w:r>
          </w:p>
        </w:tc>
        <w:tc>
          <w:tcPr>
            <w:tcW w:w="1276" w:type="dxa"/>
          </w:tcPr>
          <w:p w14:paraId="60A67EAD" w14:textId="77777777" w:rsidR="00011B30" w:rsidRPr="00823DEE" w:rsidRDefault="00011B30" w:rsidP="005E7DA1">
            <w:pPr>
              <w:rPr>
                <w:rFonts w:ascii="Times New Roman" w:hAnsi="Times New Roman" w:cs="Times New Roman"/>
                <w:bCs/>
                <w:sz w:val="20"/>
                <w:szCs w:val="20"/>
              </w:rPr>
            </w:pPr>
            <w:r w:rsidRPr="00823DEE">
              <w:rPr>
                <w:rFonts w:ascii="Times New Roman" w:hAnsi="Times New Roman" w:cs="Times New Roman"/>
                <w:bCs/>
                <w:sz w:val="20"/>
                <w:szCs w:val="20"/>
              </w:rPr>
              <w:t>EY &amp; KPMG</w:t>
            </w:r>
          </w:p>
        </w:tc>
        <w:tc>
          <w:tcPr>
            <w:tcW w:w="1276" w:type="dxa"/>
          </w:tcPr>
          <w:p w14:paraId="6E56990C" w14:textId="77777777" w:rsidR="00011B30" w:rsidRPr="00823DEE" w:rsidRDefault="00011B30" w:rsidP="005E7DA1">
            <w:pPr>
              <w:rPr>
                <w:rFonts w:ascii="Times New Roman" w:hAnsi="Times New Roman" w:cs="Times New Roman"/>
                <w:bCs/>
                <w:sz w:val="20"/>
                <w:szCs w:val="20"/>
              </w:rPr>
            </w:pPr>
            <w:r w:rsidRPr="00823DEE">
              <w:rPr>
                <w:rFonts w:ascii="Times New Roman" w:hAnsi="Times New Roman" w:cs="Times New Roman"/>
                <w:bCs/>
                <w:sz w:val="20"/>
                <w:szCs w:val="20"/>
              </w:rPr>
              <w:t>EY &amp; KPMG</w:t>
            </w:r>
          </w:p>
        </w:tc>
      </w:tr>
      <w:tr w:rsidR="00011B30" w:rsidRPr="00823DEE" w14:paraId="449EEC30" w14:textId="77777777" w:rsidTr="00823DEE">
        <w:trPr>
          <w:jc w:val="center"/>
        </w:trPr>
        <w:tc>
          <w:tcPr>
            <w:tcW w:w="1975" w:type="dxa"/>
            <w:tcBorders>
              <w:top w:val="single" w:sz="4" w:space="0" w:color="auto"/>
              <w:left w:val="single" w:sz="4" w:space="0" w:color="auto"/>
              <w:bottom w:val="single" w:sz="4" w:space="0" w:color="auto"/>
              <w:right w:val="single" w:sz="4" w:space="0" w:color="auto"/>
            </w:tcBorders>
            <w:vAlign w:val="center"/>
          </w:tcPr>
          <w:p w14:paraId="58593318" w14:textId="77777777" w:rsidR="00011B30" w:rsidRPr="00823DEE" w:rsidRDefault="00011B30" w:rsidP="00740E96">
            <w:pPr>
              <w:jc w:val="both"/>
              <w:rPr>
                <w:rFonts w:ascii="Times New Roman" w:hAnsi="Times New Roman" w:cs="Times New Roman"/>
                <w:bCs/>
                <w:sz w:val="20"/>
                <w:szCs w:val="20"/>
              </w:rPr>
            </w:pPr>
            <w:r w:rsidRPr="00823DEE">
              <w:rPr>
                <w:rFonts w:ascii="Times New Roman" w:eastAsia="Times New Roman" w:hAnsi="Times New Roman" w:cs="Times New Roman"/>
                <w:sz w:val="20"/>
                <w:szCs w:val="20"/>
                <w:lang w:eastAsia="en-MY"/>
              </w:rPr>
              <w:t xml:space="preserve">Produk Perindustrian </w:t>
            </w:r>
          </w:p>
        </w:tc>
        <w:tc>
          <w:tcPr>
            <w:tcW w:w="1362" w:type="dxa"/>
          </w:tcPr>
          <w:p w14:paraId="710A0C5D" w14:textId="77777777" w:rsidR="00011B30" w:rsidRPr="00823DEE" w:rsidRDefault="00011B30" w:rsidP="005E7DA1">
            <w:pPr>
              <w:rPr>
                <w:rFonts w:ascii="Times New Roman" w:hAnsi="Times New Roman" w:cs="Times New Roman"/>
                <w:bCs/>
                <w:sz w:val="20"/>
                <w:szCs w:val="20"/>
              </w:rPr>
            </w:pPr>
            <w:r w:rsidRPr="00823DEE">
              <w:rPr>
                <w:rFonts w:ascii="Times New Roman" w:hAnsi="Times New Roman" w:cs="Times New Roman"/>
                <w:bCs/>
                <w:sz w:val="20"/>
                <w:szCs w:val="20"/>
              </w:rPr>
              <w:t>Crowe Malaysia, EY, KPMG</w:t>
            </w:r>
          </w:p>
        </w:tc>
        <w:tc>
          <w:tcPr>
            <w:tcW w:w="1275" w:type="dxa"/>
          </w:tcPr>
          <w:p w14:paraId="29893429" w14:textId="77777777" w:rsidR="00011B30" w:rsidRPr="00823DEE" w:rsidRDefault="00011B30" w:rsidP="005E7DA1">
            <w:pPr>
              <w:rPr>
                <w:rFonts w:ascii="Times New Roman" w:hAnsi="Times New Roman" w:cs="Times New Roman"/>
                <w:bCs/>
                <w:sz w:val="20"/>
                <w:szCs w:val="20"/>
              </w:rPr>
            </w:pPr>
            <w:r w:rsidRPr="00823DEE">
              <w:rPr>
                <w:rFonts w:ascii="Times New Roman" w:hAnsi="Times New Roman" w:cs="Times New Roman"/>
                <w:bCs/>
                <w:sz w:val="20"/>
                <w:szCs w:val="20"/>
              </w:rPr>
              <w:t>Crowe Malaysia, EY, KPMG</w:t>
            </w:r>
          </w:p>
        </w:tc>
        <w:tc>
          <w:tcPr>
            <w:tcW w:w="1276" w:type="dxa"/>
          </w:tcPr>
          <w:p w14:paraId="0FA2E3C9" w14:textId="77777777" w:rsidR="00011B30" w:rsidRPr="00823DEE" w:rsidRDefault="00011B30" w:rsidP="005E7DA1">
            <w:pPr>
              <w:rPr>
                <w:rFonts w:ascii="Times New Roman" w:hAnsi="Times New Roman" w:cs="Times New Roman"/>
                <w:bCs/>
                <w:sz w:val="20"/>
                <w:szCs w:val="20"/>
              </w:rPr>
            </w:pPr>
            <w:r w:rsidRPr="00823DEE">
              <w:rPr>
                <w:rFonts w:ascii="Times New Roman" w:hAnsi="Times New Roman" w:cs="Times New Roman"/>
                <w:bCs/>
                <w:sz w:val="20"/>
                <w:szCs w:val="20"/>
              </w:rPr>
              <w:t>Crowe Malaysia, EY, KPMG</w:t>
            </w:r>
          </w:p>
        </w:tc>
        <w:tc>
          <w:tcPr>
            <w:tcW w:w="1276" w:type="dxa"/>
          </w:tcPr>
          <w:p w14:paraId="77095628" w14:textId="77777777" w:rsidR="00011B30" w:rsidRPr="00823DEE" w:rsidRDefault="00011B30" w:rsidP="005E7DA1">
            <w:pPr>
              <w:rPr>
                <w:rFonts w:ascii="Times New Roman" w:hAnsi="Times New Roman" w:cs="Times New Roman"/>
                <w:bCs/>
                <w:sz w:val="20"/>
                <w:szCs w:val="20"/>
              </w:rPr>
            </w:pPr>
            <w:r w:rsidRPr="00823DEE">
              <w:rPr>
                <w:rFonts w:ascii="Times New Roman" w:hAnsi="Times New Roman" w:cs="Times New Roman"/>
                <w:bCs/>
                <w:sz w:val="20"/>
                <w:szCs w:val="20"/>
              </w:rPr>
              <w:t>Crowe Malaysia, EY, KPMG</w:t>
            </w:r>
          </w:p>
        </w:tc>
        <w:tc>
          <w:tcPr>
            <w:tcW w:w="1276" w:type="dxa"/>
          </w:tcPr>
          <w:p w14:paraId="3C3B28F4" w14:textId="77777777" w:rsidR="00011B30" w:rsidRPr="00823DEE" w:rsidRDefault="00011B30" w:rsidP="005E7DA1">
            <w:pPr>
              <w:rPr>
                <w:rFonts w:ascii="Times New Roman" w:hAnsi="Times New Roman" w:cs="Times New Roman"/>
                <w:bCs/>
                <w:sz w:val="20"/>
                <w:szCs w:val="20"/>
              </w:rPr>
            </w:pPr>
            <w:r w:rsidRPr="00823DEE">
              <w:rPr>
                <w:rFonts w:ascii="Times New Roman" w:hAnsi="Times New Roman" w:cs="Times New Roman"/>
                <w:bCs/>
                <w:sz w:val="20"/>
                <w:szCs w:val="20"/>
              </w:rPr>
              <w:t>Crowe Malaysia, EY, KPMG</w:t>
            </w:r>
          </w:p>
        </w:tc>
      </w:tr>
      <w:tr w:rsidR="00011B30" w:rsidRPr="00823DEE" w14:paraId="57295FF5" w14:textId="77777777" w:rsidTr="00823DEE">
        <w:trPr>
          <w:jc w:val="center"/>
        </w:trPr>
        <w:tc>
          <w:tcPr>
            <w:tcW w:w="1975" w:type="dxa"/>
            <w:tcBorders>
              <w:top w:val="single" w:sz="4" w:space="0" w:color="auto"/>
              <w:left w:val="single" w:sz="4" w:space="0" w:color="auto"/>
              <w:bottom w:val="single" w:sz="4" w:space="0" w:color="auto"/>
              <w:right w:val="single" w:sz="4" w:space="0" w:color="auto"/>
            </w:tcBorders>
            <w:vAlign w:val="center"/>
          </w:tcPr>
          <w:p w14:paraId="1FD7B539" w14:textId="77777777" w:rsidR="00011B30" w:rsidRPr="00823DEE" w:rsidRDefault="00011B30" w:rsidP="00740E96">
            <w:pPr>
              <w:jc w:val="both"/>
              <w:rPr>
                <w:rFonts w:ascii="Times New Roman" w:hAnsi="Times New Roman" w:cs="Times New Roman"/>
                <w:bCs/>
                <w:sz w:val="20"/>
                <w:szCs w:val="20"/>
              </w:rPr>
            </w:pPr>
            <w:r w:rsidRPr="00823DEE">
              <w:rPr>
                <w:rFonts w:ascii="Times New Roman" w:eastAsia="Times New Roman" w:hAnsi="Times New Roman" w:cs="Times New Roman"/>
                <w:sz w:val="20"/>
                <w:szCs w:val="20"/>
                <w:lang w:eastAsia="en-MY"/>
              </w:rPr>
              <w:t>Perdagangan</w:t>
            </w:r>
          </w:p>
        </w:tc>
        <w:tc>
          <w:tcPr>
            <w:tcW w:w="1362" w:type="dxa"/>
          </w:tcPr>
          <w:p w14:paraId="314FFFA2" w14:textId="77777777" w:rsidR="00011B30" w:rsidRPr="00823DEE" w:rsidRDefault="00011B30" w:rsidP="005E7DA1">
            <w:pPr>
              <w:rPr>
                <w:rFonts w:ascii="Times New Roman" w:hAnsi="Times New Roman" w:cs="Times New Roman"/>
                <w:bCs/>
                <w:sz w:val="20"/>
                <w:szCs w:val="20"/>
              </w:rPr>
            </w:pPr>
            <w:r w:rsidRPr="00823DEE">
              <w:rPr>
                <w:rFonts w:ascii="Times New Roman" w:hAnsi="Times New Roman" w:cs="Times New Roman"/>
                <w:bCs/>
                <w:sz w:val="20"/>
                <w:szCs w:val="20"/>
              </w:rPr>
              <w:t>EY, KPMG, PWC</w:t>
            </w:r>
          </w:p>
        </w:tc>
        <w:tc>
          <w:tcPr>
            <w:tcW w:w="1275" w:type="dxa"/>
          </w:tcPr>
          <w:p w14:paraId="650EBEF8" w14:textId="77777777" w:rsidR="00011B30" w:rsidRPr="00823DEE" w:rsidRDefault="00011B30" w:rsidP="005E7DA1">
            <w:pPr>
              <w:rPr>
                <w:rFonts w:ascii="Times New Roman" w:hAnsi="Times New Roman" w:cs="Times New Roman"/>
                <w:bCs/>
                <w:sz w:val="20"/>
                <w:szCs w:val="20"/>
              </w:rPr>
            </w:pPr>
            <w:r w:rsidRPr="00823DEE">
              <w:rPr>
                <w:rFonts w:ascii="Times New Roman" w:hAnsi="Times New Roman" w:cs="Times New Roman"/>
                <w:bCs/>
                <w:sz w:val="20"/>
                <w:szCs w:val="20"/>
              </w:rPr>
              <w:t>Crowe Malaysia, EY, KPMG, PWC</w:t>
            </w:r>
          </w:p>
        </w:tc>
        <w:tc>
          <w:tcPr>
            <w:tcW w:w="1276" w:type="dxa"/>
          </w:tcPr>
          <w:p w14:paraId="01C11720" w14:textId="77777777" w:rsidR="00011B30" w:rsidRPr="00823DEE" w:rsidRDefault="00011B30" w:rsidP="005E7DA1">
            <w:pPr>
              <w:rPr>
                <w:rFonts w:ascii="Times New Roman" w:hAnsi="Times New Roman" w:cs="Times New Roman"/>
                <w:bCs/>
                <w:sz w:val="20"/>
                <w:szCs w:val="20"/>
              </w:rPr>
            </w:pPr>
            <w:r w:rsidRPr="00823DEE">
              <w:rPr>
                <w:rFonts w:ascii="Times New Roman" w:hAnsi="Times New Roman" w:cs="Times New Roman"/>
                <w:bCs/>
                <w:sz w:val="20"/>
                <w:szCs w:val="20"/>
              </w:rPr>
              <w:t>Crowe Malaysia, EY, KPMG, PWC</w:t>
            </w:r>
          </w:p>
        </w:tc>
        <w:tc>
          <w:tcPr>
            <w:tcW w:w="1276" w:type="dxa"/>
          </w:tcPr>
          <w:p w14:paraId="67A0D0BC" w14:textId="77777777" w:rsidR="00011B30" w:rsidRPr="00823DEE" w:rsidRDefault="00011B30" w:rsidP="005E7DA1">
            <w:pPr>
              <w:rPr>
                <w:rFonts w:ascii="Times New Roman" w:hAnsi="Times New Roman" w:cs="Times New Roman"/>
                <w:bCs/>
                <w:sz w:val="20"/>
                <w:szCs w:val="20"/>
              </w:rPr>
            </w:pPr>
            <w:r w:rsidRPr="00823DEE">
              <w:rPr>
                <w:rFonts w:ascii="Times New Roman" w:hAnsi="Times New Roman" w:cs="Times New Roman"/>
                <w:bCs/>
                <w:sz w:val="20"/>
                <w:szCs w:val="20"/>
              </w:rPr>
              <w:t>EY, KPMG, PWC</w:t>
            </w:r>
          </w:p>
        </w:tc>
        <w:tc>
          <w:tcPr>
            <w:tcW w:w="1276" w:type="dxa"/>
          </w:tcPr>
          <w:p w14:paraId="1F74994A" w14:textId="77777777" w:rsidR="00011B30" w:rsidRPr="00823DEE" w:rsidRDefault="00011B30" w:rsidP="005E7DA1">
            <w:pPr>
              <w:rPr>
                <w:rFonts w:ascii="Times New Roman" w:hAnsi="Times New Roman" w:cs="Times New Roman"/>
                <w:bCs/>
                <w:sz w:val="20"/>
                <w:szCs w:val="20"/>
              </w:rPr>
            </w:pPr>
          </w:p>
        </w:tc>
      </w:tr>
      <w:tr w:rsidR="00011B30" w:rsidRPr="00823DEE" w14:paraId="073FCB57" w14:textId="77777777" w:rsidTr="00823DEE">
        <w:trPr>
          <w:jc w:val="center"/>
        </w:trPr>
        <w:tc>
          <w:tcPr>
            <w:tcW w:w="1975" w:type="dxa"/>
            <w:tcBorders>
              <w:top w:val="single" w:sz="4" w:space="0" w:color="auto"/>
              <w:left w:val="single" w:sz="4" w:space="0" w:color="auto"/>
              <w:bottom w:val="single" w:sz="4" w:space="0" w:color="auto"/>
              <w:right w:val="single" w:sz="4" w:space="0" w:color="auto"/>
            </w:tcBorders>
            <w:vAlign w:val="center"/>
          </w:tcPr>
          <w:p w14:paraId="69531D0F" w14:textId="77777777" w:rsidR="00011B30" w:rsidRPr="00823DEE" w:rsidRDefault="00011B30" w:rsidP="00740E96">
            <w:pPr>
              <w:jc w:val="both"/>
              <w:rPr>
                <w:rFonts w:ascii="Times New Roman" w:hAnsi="Times New Roman" w:cs="Times New Roman"/>
                <w:bCs/>
                <w:sz w:val="20"/>
                <w:szCs w:val="20"/>
              </w:rPr>
            </w:pPr>
            <w:r w:rsidRPr="00823DEE">
              <w:rPr>
                <w:rFonts w:ascii="Times New Roman" w:eastAsia="Times New Roman" w:hAnsi="Times New Roman" w:cs="Times New Roman"/>
                <w:sz w:val="20"/>
                <w:szCs w:val="20"/>
                <w:lang w:eastAsia="en-MY"/>
              </w:rPr>
              <w:t xml:space="preserve">Hartanah </w:t>
            </w:r>
          </w:p>
        </w:tc>
        <w:tc>
          <w:tcPr>
            <w:tcW w:w="1362" w:type="dxa"/>
          </w:tcPr>
          <w:p w14:paraId="348EA73C" w14:textId="77777777" w:rsidR="00011B30" w:rsidRPr="00823DEE" w:rsidRDefault="00011B30" w:rsidP="005E7DA1">
            <w:pPr>
              <w:rPr>
                <w:rFonts w:ascii="Times New Roman" w:hAnsi="Times New Roman" w:cs="Times New Roman"/>
                <w:bCs/>
                <w:sz w:val="20"/>
                <w:szCs w:val="20"/>
              </w:rPr>
            </w:pPr>
            <w:r w:rsidRPr="00823DEE">
              <w:rPr>
                <w:rFonts w:ascii="Times New Roman" w:hAnsi="Times New Roman" w:cs="Times New Roman"/>
                <w:bCs/>
                <w:sz w:val="20"/>
                <w:szCs w:val="20"/>
              </w:rPr>
              <w:t>Baker Tilly &amp; EY</w:t>
            </w:r>
          </w:p>
        </w:tc>
        <w:tc>
          <w:tcPr>
            <w:tcW w:w="1275" w:type="dxa"/>
          </w:tcPr>
          <w:p w14:paraId="5FB27A04" w14:textId="77777777" w:rsidR="00011B30" w:rsidRPr="00823DEE" w:rsidRDefault="00011B30" w:rsidP="005E7DA1">
            <w:pPr>
              <w:rPr>
                <w:rFonts w:ascii="Times New Roman" w:hAnsi="Times New Roman" w:cs="Times New Roman"/>
                <w:bCs/>
                <w:sz w:val="20"/>
                <w:szCs w:val="20"/>
              </w:rPr>
            </w:pPr>
            <w:r w:rsidRPr="00823DEE">
              <w:rPr>
                <w:rFonts w:ascii="Times New Roman" w:hAnsi="Times New Roman" w:cs="Times New Roman"/>
                <w:bCs/>
                <w:sz w:val="20"/>
                <w:szCs w:val="20"/>
              </w:rPr>
              <w:t>EY, KPMG, UHY</w:t>
            </w:r>
          </w:p>
        </w:tc>
        <w:tc>
          <w:tcPr>
            <w:tcW w:w="1276" w:type="dxa"/>
          </w:tcPr>
          <w:p w14:paraId="5CFFE7C2" w14:textId="77777777" w:rsidR="00011B30" w:rsidRPr="00823DEE" w:rsidRDefault="00011B30" w:rsidP="005E7DA1">
            <w:pPr>
              <w:rPr>
                <w:rFonts w:ascii="Times New Roman" w:hAnsi="Times New Roman" w:cs="Times New Roman"/>
                <w:bCs/>
                <w:sz w:val="20"/>
                <w:szCs w:val="20"/>
              </w:rPr>
            </w:pPr>
            <w:r w:rsidRPr="00823DEE">
              <w:rPr>
                <w:rFonts w:ascii="Times New Roman" w:hAnsi="Times New Roman" w:cs="Times New Roman"/>
                <w:bCs/>
                <w:sz w:val="20"/>
                <w:szCs w:val="20"/>
              </w:rPr>
              <w:t>EY, KPMG, UHY</w:t>
            </w:r>
          </w:p>
        </w:tc>
        <w:tc>
          <w:tcPr>
            <w:tcW w:w="1276" w:type="dxa"/>
          </w:tcPr>
          <w:p w14:paraId="606AE46D" w14:textId="77777777" w:rsidR="00011B30" w:rsidRPr="00823DEE" w:rsidRDefault="00011B30" w:rsidP="005E7DA1">
            <w:pPr>
              <w:rPr>
                <w:rFonts w:ascii="Times New Roman" w:hAnsi="Times New Roman" w:cs="Times New Roman"/>
                <w:bCs/>
                <w:sz w:val="20"/>
                <w:szCs w:val="20"/>
              </w:rPr>
            </w:pPr>
            <w:r w:rsidRPr="00823DEE">
              <w:rPr>
                <w:rFonts w:ascii="Times New Roman" w:hAnsi="Times New Roman" w:cs="Times New Roman"/>
                <w:bCs/>
                <w:sz w:val="20"/>
                <w:szCs w:val="20"/>
              </w:rPr>
              <w:t>Baker Tilly, EY, UHY</w:t>
            </w:r>
          </w:p>
        </w:tc>
        <w:tc>
          <w:tcPr>
            <w:tcW w:w="1276" w:type="dxa"/>
          </w:tcPr>
          <w:p w14:paraId="7FCA1976" w14:textId="77777777" w:rsidR="00011B30" w:rsidRPr="00823DEE" w:rsidRDefault="00011B30" w:rsidP="005E7DA1">
            <w:pPr>
              <w:rPr>
                <w:rFonts w:ascii="Times New Roman" w:hAnsi="Times New Roman" w:cs="Times New Roman"/>
                <w:bCs/>
                <w:sz w:val="20"/>
                <w:szCs w:val="20"/>
              </w:rPr>
            </w:pPr>
            <w:r w:rsidRPr="00823DEE">
              <w:rPr>
                <w:rFonts w:ascii="Times New Roman" w:hAnsi="Times New Roman" w:cs="Times New Roman"/>
                <w:bCs/>
                <w:sz w:val="20"/>
                <w:szCs w:val="20"/>
              </w:rPr>
              <w:t>EY &amp; UHY</w:t>
            </w:r>
          </w:p>
        </w:tc>
      </w:tr>
      <w:tr w:rsidR="00011B30" w:rsidRPr="00823DEE" w14:paraId="7BA0364A" w14:textId="77777777" w:rsidTr="00823DEE">
        <w:trPr>
          <w:jc w:val="center"/>
        </w:trPr>
        <w:tc>
          <w:tcPr>
            <w:tcW w:w="1975" w:type="dxa"/>
            <w:tcBorders>
              <w:top w:val="single" w:sz="4" w:space="0" w:color="auto"/>
              <w:left w:val="single" w:sz="4" w:space="0" w:color="auto"/>
              <w:bottom w:val="single" w:sz="4" w:space="0" w:color="auto"/>
              <w:right w:val="single" w:sz="4" w:space="0" w:color="auto"/>
            </w:tcBorders>
            <w:vAlign w:val="center"/>
          </w:tcPr>
          <w:p w14:paraId="35688BAB" w14:textId="77777777" w:rsidR="00011B30" w:rsidRPr="00823DEE" w:rsidRDefault="00011B30" w:rsidP="00740E96">
            <w:pPr>
              <w:jc w:val="both"/>
              <w:rPr>
                <w:rFonts w:ascii="Times New Roman" w:hAnsi="Times New Roman" w:cs="Times New Roman"/>
                <w:bCs/>
                <w:sz w:val="20"/>
                <w:szCs w:val="20"/>
              </w:rPr>
            </w:pPr>
            <w:r w:rsidRPr="00823DEE">
              <w:rPr>
                <w:rFonts w:ascii="Times New Roman" w:eastAsia="Times New Roman" w:hAnsi="Times New Roman" w:cs="Times New Roman"/>
                <w:sz w:val="20"/>
                <w:szCs w:val="20"/>
                <w:lang w:eastAsia="en-MY"/>
              </w:rPr>
              <w:t xml:space="preserve">Pembinaan </w:t>
            </w:r>
          </w:p>
        </w:tc>
        <w:tc>
          <w:tcPr>
            <w:tcW w:w="1362" w:type="dxa"/>
          </w:tcPr>
          <w:p w14:paraId="06C2E868" w14:textId="77777777" w:rsidR="00011B30" w:rsidRPr="00823DEE" w:rsidRDefault="00011B30" w:rsidP="005E7DA1">
            <w:pPr>
              <w:rPr>
                <w:rFonts w:ascii="Times New Roman" w:hAnsi="Times New Roman" w:cs="Times New Roman"/>
                <w:bCs/>
                <w:sz w:val="20"/>
                <w:szCs w:val="20"/>
              </w:rPr>
            </w:pPr>
            <w:r w:rsidRPr="00823DEE">
              <w:rPr>
                <w:rFonts w:ascii="Times New Roman" w:hAnsi="Times New Roman" w:cs="Times New Roman"/>
                <w:bCs/>
                <w:sz w:val="20"/>
                <w:szCs w:val="20"/>
              </w:rPr>
              <w:t>Baker Tilly, BDO, Crowe Malaysia, EY</w:t>
            </w:r>
          </w:p>
        </w:tc>
        <w:tc>
          <w:tcPr>
            <w:tcW w:w="1275" w:type="dxa"/>
          </w:tcPr>
          <w:p w14:paraId="7E5A839E" w14:textId="77777777" w:rsidR="00011B30" w:rsidRPr="00823DEE" w:rsidRDefault="00011B30" w:rsidP="005E7DA1">
            <w:pPr>
              <w:rPr>
                <w:rFonts w:ascii="Times New Roman" w:hAnsi="Times New Roman" w:cs="Times New Roman"/>
                <w:bCs/>
                <w:sz w:val="20"/>
                <w:szCs w:val="20"/>
              </w:rPr>
            </w:pPr>
            <w:r w:rsidRPr="00823DEE">
              <w:rPr>
                <w:rFonts w:ascii="Times New Roman" w:hAnsi="Times New Roman" w:cs="Times New Roman"/>
                <w:bCs/>
                <w:sz w:val="20"/>
                <w:szCs w:val="20"/>
              </w:rPr>
              <w:t>Baker Tilly, BDO, Crowe Malaysia, EY, KPMG</w:t>
            </w:r>
          </w:p>
        </w:tc>
        <w:tc>
          <w:tcPr>
            <w:tcW w:w="1276" w:type="dxa"/>
          </w:tcPr>
          <w:p w14:paraId="71783A2F" w14:textId="77777777" w:rsidR="00011B30" w:rsidRPr="00823DEE" w:rsidRDefault="00011B30" w:rsidP="005E7DA1">
            <w:pPr>
              <w:rPr>
                <w:rFonts w:ascii="Times New Roman" w:hAnsi="Times New Roman" w:cs="Times New Roman"/>
                <w:bCs/>
                <w:sz w:val="20"/>
                <w:szCs w:val="20"/>
              </w:rPr>
            </w:pPr>
            <w:r w:rsidRPr="00823DEE">
              <w:rPr>
                <w:rFonts w:ascii="Times New Roman" w:hAnsi="Times New Roman" w:cs="Times New Roman"/>
                <w:bCs/>
                <w:sz w:val="20"/>
                <w:szCs w:val="20"/>
              </w:rPr>
              <w:t>Baker Tilly, BDO, Crowe Malaysia, KPMG</w:t>
            </w:r>
          </w:p>
        </w:tc>
        <w:tc>
          <w:tcPr>
            <w:tcW w:w="1276" w:type="dxa"/>
          </w:tcPr>
          <w:p w14:paraId="2C5D0B98" w14:textId="77777777" w:rsidR="00011B30" w:rsidRPr="00823DEE" w:rsidRDefault="00011B30" w:rsidP="005E7DA1">
            <w:pPr>
              <w:rPr>
                <w:rFonts w:ascii="Times New Roman" w:hAnsi="Times New Roman" w:cs="Times New Roman"/>
                <w:bCs/>
                <w:sz w:val="20"/>
                <w:szCs w:val="20"/>
              </w:rPr>
            </w:pPr>
            <w:r w:rsidRPr="00823DEE">
              <w:rPr>
                <w:rFonts w:ascii="Times New Roman" w:hAnsi="Times New Roman" w:cs="Times New Roman"/>
                <w:bCs/>
                <w:sz w:val="20"/>
                <w:szCs w:val="20"/>
              </w:rPr>
              <w:t>Baker Tilly, BDO, Crowe Malaysia, KPMG, UHY</w:t>
            </w:r>
          </w:p>
        </w:tc>
        <w:tc>
          <w:tcPr>
            <w:tcW w:w="1276" w:type="dxa"/>
          </w:tcPr>
          <w:p w14:paraId="08929D10" w14:textId="77777777" w:rsidR="00011B30" w:rsidRPr="00823DEE" w:rsidRDefault="00011B30" w:rsidP="005E7DA1">
            <w:pPr>
              <w:rPr>
                <w:rFonts w:ascii="Times New Roman" w:hAnsi="Times New Roman" w:cs="Times New Roman"/>
                <w:bCs/>
                <w:sz w:val="20"/>
                <w:szCs w:val="20"/>
              </w:rPr>
            </w:pPr>
            <w:r w:rsidRPr="00823DEE">
              <w:rPr>
                <w:rFonts w:ascii="Times New Roman" w:hAnsi="Times New Roman" w:cs="Times New Roman"/>
                <w:bCs/>
                <w:sz w:val="20"/>
                <w:szCs w:val="20"/>
              </w:rPr>
              <w:t>Baker Tilly, BDO, Crowe Malaysia, KPMG, UHY</w:t>
            </w:r>
          </w:p>
        </w:tc>
      </w:tr>
      <w:tr w:rsidR="00011B30" w:rsidRPr="00823DEE" w14:paraId="10613124" w14:textId="77777777" w:rsidTr="00823DEE">
        <w:trPr>
          <w:jc w:val="center"/>
        </w:trPr>
        <w:tc>
          <w:tcPr>
            <w:tcW w:w="1975" w:type="dxa"/>
            <w:tcBorders>
              <w:top w:val="single" w:sz="4" w:space="0" w:color="auto"/>
              <w:left w:val="single" w:sz="4" w:space="0" w:color="auto"/>
              <w:bottom w:val="single" w:sz="4" w:space="0" w:color="auto"/>
              <w:right w:val="single" w:sz="4" w:space="0" w:color="auto"/>
            </w:tcBorders>
            <w:vAlign w:val="center"/>
          </w:tcPr>
          <w:p w14:paraId="4C4FC006" w14:textId="77777777" w:rsidR="00011B30" w:rsidRPr="00823DEE" w:rsidRDefault="00011B30" w:rsidP="00740E96">
            <w:pPr>
              <w:jc w:val="both"/>
              <w:rPr>
                <w:rFonts w:ascii="Times New Roman" w:hAnsi="Times New Roman" w:cs="Times New Roman"/>
                <w:bCs/>
                <w:sz w:val="20"/>
                <w:szCs w:val="20"/>
              </w:rPr>
            </w:pPr>
            <w:r w:rsidRPr="00823DEE">
              <w:rPr>
                <w:rFonts w:ascii="Times New Roman" w:eastAsia="Times New Roman" w:hAnsi="Times New Roman" w:cs="Times New Roman"/>
                <w:sz w:val="20"/>
                <w:szCs w:val="20"/>
                <w:lang w:eastAsia="en-MY"/>
              </w:rPr>
              <w:t xml:space="preserve">Produk Pengguna </w:t>
            </w:r>
          </w:p>
        </w:tc>
        <w:tc>
          <w:tcPr>
            <w:tcW w:w="1362" w:type="dxa"/>
          </w:tcPr>
          <w:p w14:paraId="2A868BDC" w14:textId="77777777" w:rsidR="00011B30" w:rsidRPr="00823DEE" w:rsidRDefault="00011B30" w:rsidP="005E7DA1">
            <w:pPr>
              <w:rPr>
                <w:rFonts w:ascii="Times New Roman" w:hAnsi="Times New Roman" w:cs="Times New Roman"/>
                <w:bCs/>
                <w:sz w:val="20"/>
                <w:szCs w:val="20"/>
              </w:rPr>
            </w:pPr>
            <w:r w:rsidRPr="00823DEE">
              <w:rPr>
                <w:rFonts w:ascii="Times New Roman" w:hAnsi="Times New Roman" w:cs="Times New Roman"/>
                <w:bCs/>
                <w:sz w:val="20"/>
                <w:szCs w:val="20"/>
              </w:rPr>
              <w:t>BDO, Crowe Malaysia, KPMG</w:t>
            </w:r>
          </w:p>
        </w:tc>
        <w:tc>
          <w:tcPr>
            <w:tcW w:w="1275" w:type="dxa"/>
          </w:tcPr>
          <w:p w14:paraId="06B03D0F" w14:textId="77777777" w:rsidR="00011B30" w:rsidRPr="00823DEE" w:rsidRDefault="00011B30" w:rsidP="005E7DA1">
            <w:pPr>
              <w:rPr>
                <w:rFonts w:ascii="Times New Roman" w:hAnsi="Times New Roman" w:cs="Times New Roman"/>
                <w:bCs/>
                <w:sz w:val="20"/>
                <w:szCs w:val="20"/>
              </w:rPr>
            </w:pPr>
            <w:r w:rsidRPr="00823DEE">
              <w:rPr>
                <w:rFonts w:ascii="Times New Roman" w:hAnsi="Times New Roman" w:cs="Times New Roman"/>
                <w:bCs/>
                <w:sz w:val="20"/>
                <w:szCs w:val="20"/>
              </w:rPr>
              <w:t xml:space="preserve">BDO, Crowe </w:t>
            </w:r>
            <w:proofErr w:type="gramStart"/>
            <w:r w:rsidRPr="00823DEE">
              <w:rPr>
                <w:rFonts w:ascii="Times New Roman" w:hAnsi="Times New Roman" w:cs="Times New Roman"/>
                <w:bCs/>
                <w:sz w:val="20"/>
                <w:szCs w:val="20"/>
              </w:rPr>
              <w:t>Malaysia,  EY</w:t>
            </w:r>
            <w:proofErr w:type="gramEnd"/>
            <w:r w:rsidRPr="00823DEE">
              <w:rPr>
                <w:rFonts w:ascii="Times New Roman" w:hAnsi="Times New Roman" w:cs="Times New Roman"/>
                <w:bCs/>
                <w:sz w:val="20"/>
                <w:szCs w:val="20"/>
              </w:rPr>
              <w:t>, KPMG</w:t>
            </w:r>
          </w:p>
        </w:tc>
        <w:tc>
          <w:tcPr>
            <w:tcW w:w="1276" w:type="dxa"/>
          </w:tcPr>
          <w:p w14:paraId="32231C87" w14:textId="77777777" w:rsidR="00011B30" w:rsidRPr="00823DEE" w:rsidRDefault="00011B30" w:rsidP="005E7DA1">
            <w:pPr>
              <w:rPr>
                <w:rFonts w:ascii="Times New Roman" w:hAnsi="Times New Roman" w:cs="Times New Roman"/>
                <w:bCs/>
                <w:sz w:val="20"/>
                <w:szCs w:val="20"/>
              </w:rPr>
            </w:pPr>
            <w:r w:rsidRPr="00823DEE">
              <w:rPr>
                <w:rFonts w:ascii="Times New Roman" w:hAnsi="Times New Roman" w:cs="Times New Roman"/>
                <w:bCs/>
                <w:sz w:val="20"/>
                <w:szCs w:val="20"/>
              </w:rPr>
              <w:t>BDO, Crowe Malaysia, KPMG</w:t>
            </w:r>
          </w:p>
        </w:tc>
        <w:tc>
          <w:tcPr>
            <w:tcW w:w="1276" w:type="dxa"/>
          </w:tcPr>
          <w:p w14:paraId="080A23BD" w14:textId="77777777" w:rsidR="00011B30" w:rsidRPr="00823DEE" w:rsidRDefault="00011B30" w:rsidP="005E7DA1">
            <w:pPr>
              <w:rPr>
                <w:rFonts w:ascii="Times New Roman" w:hAnsi="Times New Roman" w:cs="Times New Roman"/>
                <w:bCs/>
                <w:sz w:val="20"/>
                <w:szCs w:val="20"/>
              </w:rPr>
            </w:pPr>
            <w:r w:rsidRPr="00823DEE">
              <w:rPr>
                <w:rFonts w:ascii="Times New Roman" w:hAnsi="Times New Roman" w:cs="Times New Roman"/>
                <w:bCs/>
                <w:sz w:val="20"/>
                <w:szCs w:val="20"/>
              </w:rPr>
              <w:t>BDO &amp; KPMG</w:t>
            </w:r>
          </w:p>
        </w:tc>
        <w:tc>
          <w:tcPr>
            <w:tcW w:w="1276" w:type="dxa"/>
          </w:tcPr>
          <w:p w14:paraId="0809C216" w14:textId="77777777" w:rsidR="00011B30" w:rsidRPr="00823DEE" w:rsidRDefault="00011B30" w:rsidP="005E7DA1">
            <w:pPr>
              <w:rPr>
                <w:rFonts w:ascii="Times New Roman" w:hAnsi="Times New Roman" w:cs="Times New Roman"/>
                <w:bCs/>
                <w:sz w:val="20"/>
                <w:szCs w:val="20"/>
              </w:rPr>
            </w:pPr>
            <w:r w:rsidRPr="00823DEE">
              <w:rPr>
                <w:rFonts w:ascii="Times New Roman" w:hAnsi="Times New Roman" w:cs="Times New Roman"/>
                <w:bCs/>
                <w:sz w:val="20"/>
                <w:szCs w:val="20"/>
              </w:rPr>
              <w:t>BDO,</w:t>
            </w:r>
          </w:p>
          <w:p w14:paraId="796770D9" w14:textId="77777777" w:rsidR="00011B30" w:rsidRPr="00823DEE" w:rsidRDefault="00011B30" w:rsidP="005E7DA1">
            <w:pPr>
              <w:rPr>
                <w:rFonts w:ascii="Times New Roman" w:hAnsi="Times New Roman" w:cs="Times New Roman"/>
                <w:bCs/>
                <w:sz w:val="20"/>
                <w:szCs w:val="20"/>
              </w:rPr>
            </w:pPr>
            <w:r w:rsidRPr="00823DEE">
              <w:rPr>
                <w:rFonts w:ascii="Times New Roman" w:hAnsi="Times New Roman" w:cs="Times New Roman"/>
                <w:bCs/>
                <w:sz w:val="20"/>
                <w:szCs w:val="20"/>
              </w:rPr>
              <w:t>EY, KPMG</w:t>
            </w:r>
          </w:p>
        </w:tc>
      </w:tr>
      <w:tr w:rsidR="00011B30" w:rsidRPr="00823DEE" w14:paraId="4C7B70F7" w14:textId="77777777" w:rsidTr="00823DEE">
        <w:trPr>
          <w:jc w:val="center"/>
        </w:trPr>
        <w:tc>
          <w:tcPr>
            <w:tcW w:w="1975" w:type="dxa"/>
            <w:tcBorders>
              <w:top w:val="single" w:sz="4" w:space="0" w:color="auto"/>
              <w:left w:val="single" w:sz="4" w:space="0" w:color="auto"/>
              <w:bottom w:val="single" w:sz="4" w:space="0" w:color="auto"/>
              <w:right w:val="single" w:sz="4" w:space="0" w:color="auto"/>
            </w:tcBorders>
            <w:vAlign w:val="center"/>
          </w:tcPr>
          <w:p w14:paraId="7BA6F2BD" w14:textId="77777777" w:rsidR="00011B30" w:rsidRPr="00823DEE" w:rsidRDefault="00011B30" w:rsidP="00740E96">
            <w:pPr>
              <w:jc w:val="both"/>
              <w:rPr>
                <w:rFonts w:ascii="Times New Roman" w:hAnsi="Times New Roman" w:cs="Times New Roman"/>
                <w:bCs/>
                <w:sz w:val="20"/>
                <w:szCs w:val="20"/>
              </w:rPr>
            </w:pPr>
            <w:r w:rsidRPr="00823DEE">
              <w:rPr>
                <w:rFonts w:ascii="Times New Roman" w:eastAsia="Times New Roman" w:hAnsi="Times New Roman" w:cs="Times New Roman"/>
                <w:sz w:val="20"/>
                <w:szCs w:val="20"/>
                <w:lang w:eastAsia="en-MY"/>
              </w:rPr>
              <w:t xml:space="preserve">Teknologi </w:t>
            </w:r>
          </w:p>
        </w:tc>
        <w:tc>
          <w:tcPr>
            <w:tcW w:w="1362" w:type="dxa"/>
          </w:tcPr>
          <w:p w14:paraId="4EBB337F" w14:textId="77777777" w:rsidR="00011B30" w:rsidRPr="00823DEE" w:rsidRDefault="00011B30" w:rsidP="005E7DA1">
            <w:pPr>
              <w:rPr>
                <w:rFonts w:ascii="Times New Roman" w:hAnsi="Times New Roman" w:cs="Times New Roman"/>
                <w:bCs/>
                <w:sz w:val="20"/>
                <w:szCs w:val="20"/>
              </w:rPr>
            </w:pPr>
            <w:r w:rsidRPr="00823DEE">
              <w:rPr>
                <w:rFonts w:ascii="Times New Roman" w:hAnsi="Times New Roman" w:cs="Times New Roman"/>
                <w:bCs/>
                <w:sz w:val="20"/>
                <w:szCs w:val="20"/>
              </w:rPr>
              <w:t>Baker Tilly, BDO, Crowe Malaysia, Grant Thornton</w:t>
            </w:r>
          </w:p>
        </w:tc>
        <w:tc>
          <w:tcPr>
            <w:tcW w:w="1275" w:type="dxa"/>
          </w:tcPr>
          <w:p w14:paraId="7EB36C45" w14:textId="77777777" w:rsidR="00011B30" w:rsidRPr="00823DEE" w:rsidRDefault="00011B30" w:rsidP="005E7DA1">
            <w:pPr>
              <w:rPr>
                <w:rFonts w:ascii="Times New Roman" w:hAnsi="Times New Roman" w:cs="Times New Roman"/>
                <w:bCs/>
                <w:sz w:val="20"/>
                <w:szCs w:val="20"/>
              </w:rPr>
            </w:pPr>
            <w:r w:rsidRPr="00823DEE">
              <w:rPr>
                <w:rFonts w:ascii="Times New Roman" w:hAnsi="Times New Roman" w:cs="Times New Roman"/>
                <w:bCs/>
                <w:sz w:val="20"/>
                <w:szCs w:val="20"/>
              </w:rPr>
              <w:t>Baker Tilly, BDO, Crowe Malaysia, Grant Thornton, KPMG</w:t>
            </w:r>
          </w:p>
        </w:tc>
        <w:tc>
          <w:tcPr>
            <w:tcW w:w="1276" w:type="dxa"/>
          </w:tcPr>
          <w:p w14:paraId="444D8ACD" w14:textId="77777777" w:rsidR="00011B30" w:rsidRPr="00823DEE" w:rsidRDefault="00011B30" w:rsidP="005E7DA1">
            <w:pPr>
              <w:rPr>
                <w:rFonts w:ascii="Times New Roman" w:hAnsi="Times New Roman" w:cs="Times New Roman"/>
                <w:bCs/>
                <w:sz w:val="20"/>
                <w:szCs w:val="20"/>
              </w:rPr>
            </w:pPr>
            <w:r w:rsidRPr="00823DEE">
              <w:rPr>
                <w:rFonts w:ascii="Times New Roman" w:hAnsi="Times New Roman" w:cs="Times New Roman"/>
                <w:bCs/>
                <w:sz w:val="20"/>
                <w:szCs w:val="20"/>
              </w:rPr>
              <w:t>Baker Tilly, BDO, Crowe Malaysia, Grant Thornton, KPMG</w:t>
            </w:r>
          </w:p>
        </w:tc>
        <w:tc>
          <w:tcPr>
            <w:tcW w:w="1276" w:type="dxa"/>
          </w:tcPr>
          <w:p w14:paraId="6DD2BE80" w14:textId="77777777" w:rsidR="00011B30" w:rsidRPr="00823DEE" w:rsidRDefault="00011B30" w:rsidP="005E7DA1">
            <w:pPr>
              <w:rPr>
                <w:rFonts w:ascii="Times New Roman" w:hAnsi="Times New Roman" w:cs="Times New Roman"/>
                <w:bCs/>
                <w:sz w:val="20"/>
                <w:szCs w:val="20"/>
              </w:rPr>
            </w:pPr>
            <w:r w:rsidRPr="00823DEE">
              <w:rPr>
                <w:rFonts w:ascii="Times New Roman" w:hAnsi="Times New Roman" w:cs="Times New Roman"/>
                <w:bCs/>
                <w:sz w:val="20"/>
                <w:szCs w:val="20"/>
              </w:rPr>
              <w:t>Baker Tilly, Crowe Malaysia, KPMG</w:t>
            </w:r>
          </w:p>
        </w:tc>
        <w:tc>
          <w:tcPr>
            <w:tcW w:w="1276" w:type="dxa"/>
          </w:tcPr>
          <w:p w14:paraId="48E32125" w14:textId="77777777" w:rsidR="00011B30" w:rsidRPr="00823DEE" w:rsidRDefault="00011B30" w:rsidP="005E7DA1">
            <w:pPr>
              <w:rPr>
                <w:rFonts w:ascii="Times New Roman" w:hAnsi="Times New Roman" w:cs="Times New Roman"/>
                <w:bCs/>
                <w:sz w:val="20"/>
                <w:szCs w:val="20"/>
              </w:rPr>
            </w:pPr>
            <w:r w:rsidRPr="00823DEE">
              <w:rPr>
                <w:rFonts w:ascii="Times New Roman" w:hAnsi="Times New Roman" w:cs="Times New Roman"/>
                <w:bCs/>
                <w:sz w:val="20"/>
                <w:szCs w:val="20"/>
              </w:rPr>
              <w:t>Baker Tilly, BDO, Crowe Malaysia, Grant Thornton, KPMG</w:t>
            </w:r>
          </w:p>
        </w:tc>
      </w:tr>
      <w:tr w:rsidR="00011B30" w:rsidRPr="00823DEE" w14:paraId="576999FB" w14:textId="77777777" w:rsidTr="00823DEE">
        <w:trPr>
          <w:jc w:val="center"/>
        </w:trPr>
        <w:tc>
          <w:tcPr>
            <w:tcW w:w="1975" w:type="dxa"/>
            <w:tcBorders>
              <w:top w:val="single" w:sz="4" w:space="0" w:color="auto"/>
              <w:left w:val="single" w:sz="4" w:space="0" w:color="auto"/>
              <w:bottom w:val="single" w:sz="4" w:space="0" w:color="auto"/>
              <w:right w:val="single" w:sz="4" w:space="0" w:color="auto"/>
            </w:tcBorders>
            <w:vAlign w:val="center"/>
          </w:tcPr>
          <w:p w14:paraId="36A99C7B" w14:textId="77777777" w:rsidR="00011B30" w:rsidRPr="00823DEE" w:rsidRDefault="00011B30" w:rsidP="00740E96">
            <w:pPr>
              <w:jc w:val="both"/>
              <w:rPr>
                <w:rFonts w:ascii="Times New Roman" w:hAnsi="Times New Roman" w:cs="Times New Roman"/>
                <w:bCs/>
                <w:sz w:val="20"/>
                <w:szCs w:val="20"/>
              </w:rPr>
            </w:pPr>
            <w:r w:rsidRPr="00823DEE">
              <w:rPr>
                <w:rFonts w:ascii="Times New Roman" w:eastAsia="Times New Roman" w:hAnsi="Times New Roman" w:cs="Times New Roman"/>
                <w:sz w:val="20"/>
                <w:szCs w:val="20"/>
                <w:lang w:eastAsia="en-MY"/>
              </w:rPr>
              <w:t>Lain-lain</w:t>
            </w:r>
          </w:p>
        </w:tc>
        <w:tc>
          <w:tcPr>
            <w:tcW w:w="1362" w:type="dxa"/>
          </w:tcPr>
          <w:p w14:paraId="23E4F1FA" w14:textId="77777777" w:rsidR="00011B30" w:rsidRPr="00823DEE" w:rsidRDefault="00011B30" w:rsidP="005E7DA1">
            <w:pPr>
              <w:rPr>
                <w:rFonts w:ascii="Times New Roman" w:hAnsi="Times New Roman" w:cs="Times New Roman"/>
                <w:bCs/>
                <w:sz w:val="20"/>
                <w:szCs w:val="20"/>
              </w:rPr>
            </w:pPr>
            <w:r w:rsidRPr="00823DEE">
              <w:rPr>
                <w:rFonts w:ascii="Times New Roman" w:hAnsi="Times New Roman" w:cs="Times New Roman"/>
                <w:bCs/>
                <w:sz w:val="20"/>
                <w:szCs w:val="20"/>
              </w:rPr>
              <w:t>Crowe Malaysia, EY &amp; KPMG, PWC</w:t>
            </w:r>
          </w:p>
        </w:tc>
        <w:tc>
          <w:tcPr>
            <w:tcW w:w="1275" w:type="dxa"/>
          </w:tcPr>
          <w:p w14:paraId="2123CEC0" w14:textId="77777777" w:rsidR="00011B30" w:rsidRPr="00823DEE" w:rsidRDefault="00011B30" w:rsidP="005E7DA1">
            <w:pPr>
              <w:rPr>
                <w:rFonts w:ascii="Times New Roman" w:hAnsi="Times New Roman" w:cs="Times New Roman"/>
                <w:bCs/>
                <w:sz w:val="20"/>
                <w:szCs w:val="20"/>
              </w:rPr>
            </w:pPr>
            <w:r w:rsidRPr="00823DEE">
              <w:rPr>
                <w:rFonts w:ascii="Times New Roman" w:hAnsi="Times New Roman" w:cs="Times New Roman"/>
                <w:bCs/>
                <w:sz w:val="20"/>
                <w:szCs w:val="20"/>
              </w:rPr>
              <w:t>Crowe Malaysia, EY &amp; KPMG, PWC</w:t>
            </w:r>
          </w:p>
        </w:tc>
        <w:tc>
          <w:tcPr>
            <w:tcW w:w="1276" w:type="dxa"/>
          </w:tcPr>
          <w:p w14:paraId="75BF67CD" w14:textId="77777777" w:rsidR="00011B30" w:rsidRPr="00823DEE" w:rsidRDefault="00011B30" w:rsidP="005E7DA1">
            <w:pPr>
              <w:rPr>
                <w:rFonts w:ascii="Times New Roman" w:hAnsi="Times New Roman" w:cs="Times New Roman"/>
                <w:bCs/>
                <w:sz w:val="20"/>
                <w:szCs w:val="20"/>
              </w:rPr>
            </w:pPr>
            <w:r w:rsidRPr="00823DEE">
              <w:rPr>
                <w:rFonts w:ascii="Times New Roman" w:hAnsi="Times New Roman" w:cs="Times New Roman"/>
                <w:bCs/>
                <w:sz w:val="20"/>
                <w:szCs w:val="20"/>
              </w:rPr>
              <w:t>Crowe Malaysia, EY &amp; KPMG, PWC</w:t>
            </w:r>
          </w:p>
        </w:tc>
        <w:tc>
          <w:tcPr>
            <w:tcW w:w="1276" w:type="dxa"/>
          </w:tcPr>
          <w:p w14:paraId="4AFE0B53" w14:textId="77777777" w:rsidR="00011B30" w:rsidRPr="00823DEE" w:rsidRDefault="00011B30" w:rsidP="005E7DA1">
            <w:pPr>
              <w:rPr>
                <w:rFonts w:ascii="Times New Roman" w:hAnsi="Times New Roman" w:cs="Times New Roman"/>
                <w:bCs/>
                <w:sz w:val="20"/>
                <w:szCs w:val="20"/>
              </w:rPr>
            </w:pPr>
            <w:r w:rsidRPr="00823DEE">
              <w:rPr>
                <w:rFonts w:ascii="Times New Roman" w:hAnsi="Times New Roman" w:cs="Times New Roman"/>
                <w:bCs/>
                <w:sz w:val="20"/>
                <w:szCs w:val="20"/>
              </w:rPr>
              <w:t>Crowe Malaysia, EY &amp; KPMG, PWC</w:t>
            </w:r>
          </w:p>
        </w:tc>
        <w:tc>
          <w:tcPr>
            <w:tcW w:w="1276" w:type="dxa"/>
          </w:tcPr>
          <w:p w14:paraId="0F053FB4" w14:textId="77777777" w:rsidR="00011B30" w:rsidRPr="00823DEE" w:rsidRDefault="00011B30" w:rsidP="005E7DA1">
            <w:pPr>
              <w:rPr>
                <w:rFonts w:ascii="Times New Roman" w:hAnsi="Times New Roman" w:cs="Times New Roman"/>
                <w:bCs/>
                <w:sz w:val="20"/>
                <w:szCs w:val="20"/>
              </w:rPr>
            </w:pPr>
            <w:r w:rsidRPr="00823DEE">
              <w:rPr>
                <w:rFonts w:ascii="Times New Roman" w:hAnsi="Times New Roman" w:cs="Times New Roman"/>
                <w:bCs/>
                <w:sz w:val="20"/>
                <w:szCs w:val="20"/>
              </w:rPr>
              <w:t>EY &amp; KPMG, PWC</w:t>
            </w:r>
          </w:p>
        </w:tc>
      </w:tr>
    </w:tbl>
    <w:p w14:paraId="094517DD" w14:textId="67328FB3" w:rsidR="00011B30" w:rsidRPr="00823DEE" w:rsidRDefault="00823DEE" w:rsidP="00740E96">
      <w:pPr>
        <w:spacing w:after="0" w:line="240" w:lineRule="auto"/>
        <w:jc w:val="both"/>
        <w:rPr>
          <w:rFonts w:ascii="Times New Roman" w:hAnsi="Times New Roman" w:cs="Times New Roman"/>
          <w:sz w:val="20"/>
          <w:szCs w:val="20"/>
          <w:shd w:val="clear" w:color="auto" w:fill="FFFFFF"/>
        </w:rPr>
      </w:pPr>
      <w:r w:rsidRPr="00823DEE">
        <w:rPr>
          <w:rFonts w:ascii="Times New Roman" w:hAnsi="Times New Roman" w:cs="Times New Roman"/>
          <w:bCs/>
          <w:sz w:val="20"/>
          <w:szCs w:val="20"/>
        </w:rPr>
        <w:t xml:space="preserve">Nota: </w:t>
      </w:r>
      <w:r w:rsidR="00011B30" w:rsidRPr="00823DEE">
        <w:rPr>
          <w:rFonts w:ascii="Times New Roman" w:hAnsi="Times New Roman" w:cs="Times New Roman"/>
          <w:bCs/>
          <w:sz w:val="20"/>
          <w:szCs w:val="20"/>
        </w:rPr>
        <w:t xml:space="preserve">EY ialah firma audit Ernst &amp; Young, KPMG ialah KPMG Peat Marwicks, PWC ialah </w:t>
      </w:r>
      <w:r w:rsidR="00011B30" w:rsidRPr="00823DEE">
        <w:rPr>
          <w:rFonts w:ascii="Times New Roman" w:hAnsi="Times New Roman" w:cs="Times New Roman"/>
          <w:sz w:val="20"/>
          <w:szCs w:val="20"/>
          <w:shd w:val="clear" w:color="auto" w:fill="FFFFFF"/>
        </w:rPr>
        <w:t>Price WaterhouseCoopers</w:t>
      </w:r>
      <w:r w:rsidRPr="00823DEE">
        <w:rPr>
          <w:rFonts w:ascii="Times New Roman" w:hAnsi="Times New Roman" w:cs="Times New Roman"/>
          <w:sz w:val="20"/>
          <w:szCs w:val="20"/>
          <w:shd w:val="clear" w:color="auto" w:fill="FFFFFF"/>
        </w:rPr>
        <w:t>, UHY ialah Urbach Hacker Young, BDO ialah Binder Dijker &amp; Otte Co</w:t>
      </w:r>
    </w:p>
    <w:p w14:paraId="62C2FF61" w14:textId="60274303" w:rsidR="00137BB4" w:rsidRDefault="00137BB4" w:rsidP="00740E96">
      <w:pPr>
        <w:spacing w:after="0" w:line="240" w:lineRule="auto"/>
        <w:jc w:val="both"/>
        <w:rPr>
          <w:rFonts w:ascii="Times New Roman" w:eastAsiaTheme="majorEastAsia" w:hAnsi="Times New Roman" w:cs="Times New Roman"/>
          <w:sz w:val="24"/>
          <w:szCs w:val="24"/>
        </w:rPr>
      </w:pPr>
    </w:p>
    <w:p w14:paraId="5D42BCBB" w14:textId="644F2853" w:rsidR="006112D3" w:rsidRDefault="006112D3" w:rsidP="00740E96">
      <w:pPr>
        <w:spacing w:after="0" w:line="240" w:lineRule="auto"/>
        <w:jc w:val="both"/>
        <w:rPr>
          <w:rFonts w:ascii="Times New Roman" w:eastAsiaTheme="majorEastAsia" w:hAnsi="Times New Roman" w:cs="Times New Roman"/>
          <w:sz w:val="24"/>
          <w:szCs w:val="24"/>
        </w:rPr>
      </w:pPr>
    </w:p>
    <w:p w14:paraId="4BCAE28D" w14:textId="4162125D" w:rsidR="006112D3" w:rsidRDefault="006112D3" w:rsidP="00740E96">
      <w:pPr>
        <w:spacing w:after="0" w:line="240" w:lineRule="auto"/>
        <w:jc w:val="both"/>
        <w:rPr>
          <w:rFonts w:ascii="Times New Roman" w:eastAsiaTheme="majorEastAsia" w:hAnsi="Times New Roman" w:cs="Times New Roman"/>
          <w:sz w:val="24"/>
          <w:szCs w:val="24"/>
        </w:rPr>
      </w:pPr>
    </w:p>
    <w:p w14:paraId="6A675D23" w14:textId="1D95F27E" w:rsidR="006112D3" w:rsidRDefault="006112D3" w:rsidP="00740E96">
      <w:pPr>
        <w:spacing w:after="0" w:line="240" w:lineRule="auto"/>
        <w:jc w:val="both"/>
        <w:rPr>
          <w:rFonts w:ascii="Times New Roman" w:eastAsiaTheme="majorEastAsia" w:hAnsi="Times New Roman" w:cs="Times New Roman"/>
          <w:sz w:val="24"/>
          <w:szCs w:val="24"/>
        </w:rPr>
      </w:pPr>
    </w:p>
    <w:p w14:paraId="1C848B3D" w14:textId="07A748ED" w:rsidR="002723BC" w:rsidRDefault="002723BC" w:rsidP="00740E96">
      <w:pPr>
        <w:spacing w:after="0" w:line="240" w:lineRule="auto"/>
        <w:jc w:val="both"/>
        <w:rPr>
          <w:rFonts w:ascii="Times New Roman" w:eastAsiaTheme="majorEastAsia" w:hAnsi="Times New Roman" w:cs="Times New Roman"/>
          <w:sz w:val="24"/>
          <w:szCs w:val="24"/>
        </w:rPr>
      </w:pPr>
    </w:p>
    <w:p w14:paraId="37A57408" w14:textId="616118C4" w:rsidR="00823DEE" w:rsidRDefault="00823DEE" w:rsidP="00740E96">
      <w:pPr>
        <w:spacing w:after="0" w:line="240" w:lineRule="auto"/>
        <w:jc w:val="both"/>
        <w:rPr>
          <w:rFonts w:ascii="Times New Roman" w:eastAsiaTheme="majorEastAsia" w:hAnsi="Times New Roman" w:cs="Times New Roman"/>
          <w:sz w:val="24"/>
          <w:szCs w:val="24"/>
        </w:rPr>
      </w:pPr>
    </w:p>
    <w:p w14:paraId="65000A71" w14:textId="4D9D78D3" w:rsidR="00823DEE" w:rsidRDefault="00823DEE" w:rsidP="00740E96">
      <w:pPr>
        <w:spacing w:after="0" w:line="240" w:lineRule="auto"/>
        <w:jc w:val="both"/>
        <w:rPr>
          <w:rFonts w:ascii="Times New Roman" w:eastAsiaTheme="majorEastAsia" w:hAnsi="Times New Roman" w:cs="Times New Roman"/>
          <w:sz w:val="24"/>
          <w:szCs w:val="24"/>
        </w:rPr>
      </w:pPr>
    </w:p>
    <w:p w14:paraId="2D312672" w14:textId="47B47DCA" w:rsidR="00823DEE" w:rsidRDefault="00823DEE" w:rsidP="00740E96">
      <w:pPr>
        <w:spacing w:after="0" w:line="240" w:lineRule="auto"/>
        <w:jc w:val="both"/>
        <w:rPr>
          <w:rFonts w:ascii="Times New Roman" w:eastAsiaTheme="majorEastAsia" w:hAnsi="Times New Roman" w:cs="Times New Roman"/>
          <w:sz w:val="24"/>
          <w:szCs w:val="24"/>
        </w:rPr>
      </w:pPr>
    </w:p>
    <w:p w14:paraId="724A8FDD" w14:textId="317DF730" w:rsidR="00354D63" w:rsidRDefault="00354D63" w:rsidP="00740E96">
      <w:pPr>
        <w:spacing w:after="0" w:line="240" w:lineRule="auto"/>
        <w:jc w:val="both"/>
        <w:rPr>
          <w:rFonts w:ascii="Times New Roman" w:eastAsiaTheme="majorEastAsia" w:hAnsi="Times New Roman" w:cs="Times New Roman"/>
          <w:sz w:val="24"/>
          <w:szCs w:val="24"/>
        </w:rPr>
      </w:pPr>
    </w:p>
    <w:p w14:paraId="4880C77A" w14:textId="0F716166" w:rsidR="00354D63" w:rsidRDefault="00354D63" w:rsidP="00740E96">
      <w:pPr>
        <w:spacing w:after="0" w:line="240" w:lineRule="auto"/>
        <w:jc w:val="both"/>
        <w:rPr>
          <w:rFonts w:ascii="Times New Roman" w:eastAsiaTheme="majorEastAsia" w:hAnsi="Times New Roman" w:cs="Times New Roman"/>
          <w:sz w:val="24"/>
          <w:szCs w:val="24"/>
        </w:rPr>
      </w:pPr>
    </w:p>
    <w:p w14:paraId="0BB243E0" w14:textId="50E2963B" w:rsidR="00354D63" w:rsidRDefault="00354D63" w:rsidP="00740E96">
      <w:pPr>
        <w:spacing w:after="0" w:line="240" w:lineRule="auto"/>
        <w:jc w:val="both"/>
        <w:rPr>
          <w:rFonts w:ascii="Times New Roman" w:eastAsiaTheme="majorEastAsia" w:hAnsi="Times New Roman" w:cs="Times New Roman"/>
          <w:sz w:val="24"/>
          <w:szCs w:val="24"/>
        </w:rPr>
      </w:pPr>
    </w:p>
    <w:p w14:paraId="1FAA3592" w14:textId="5FD5D73D" w:rsidR="00354D63" w:rsidRDefault="00354D63" w:rsidP="00740E96">
      <w:pPr>
        <w:spacing w:after="0" w:line="240" w:lineRule="auto"/>
        <w:jc w:val="both"/>
        <w:rPr>
          <w:rFonts w:ascii="Times New Roman" w:eastAsiaTheme="majorEastAsia" w:hAnsi="Times New Roman" w:cs="Times New Roman"/>
          <w:sz w:val="24"/>
          <w:szCs w:val="24"/>
        </w:rPr>
      </w:pPr>
    </w:p>
    <w:p w14:paraId="29AF17A7" w14:textId="77777777" w:rsidR="00354D63" w:rsidRPr="00137BB4" w:rsidRDefault="00354D63" w:rsidP="00740E96">
      <w:pPr>
        <w:spacing w:after="0" w:line="240" w:lineRule="auto"/>
        <w:jc w:val="both"/>
        <w:rPr>
          <w:rFonts w:ascii="Times New Roman" w:eastAsiaTheme="majorEastAsia" w:hAnsi="Times New Roman" w:cs="Times New Roman"/>
          <w:sz w:val="24"/>
          <w:szCs w:val="24"/>
        </w:rPr>
      </w:pPr>
    </w:p>
    <w:p w14:paraId="6DCC1BCE" w14:textId="519CBD8D" w:rsidR="00137BB4" w:rsidRDefault="00137BB4" w:rsidP="00823DEE">
      <w:pPr>
        <w:spacing w:after="0" w:line="240" w:lineRule="auto"/>
        <w:jc w:val="center"/>
        <w:rPr>
          <w:rFonts w:ascii="Times New Roman" w:hAnsi="Times New Roman" w:cs="Times New Roman"/>
          <w:bCs/>
          <w:sz w:val="24"/>
          <w:szCs w:val="24"/>
        </w:rPr>
      </w:pPr>
      <w:r w:rsidRPr="00137BB4">
        <w:rPr>
          <w:rFonts w:ascii="Times New Roman" w:hAnsi="Times New Roman" w:cs="Times New Roman"/>
          <w:bCs/>
          <w:sz w:val="24"/>
          <w:szCs w:val="24"/>
        </w:rPr>
        <w:t xml:space="preserve">Jadual </w:t>
      </w:r>
      <w:r w:rsidR="0008267D">
        <w:rPr>
          <w:rFonts w:ascii="Times New Roman" w:hAnsi="Times New Roman" w:cs="Times New Roman"/>
          <w:bCs/>
          <w:sz w:val="24"/>
          <w:szCs w:val="24"/>
        </w:rPr>
        <w:t>5</w:t>
      </w:r>
      <w:r w:rsidRPr="00137BB4">
        <w:rPr>
          <w:rFonts w:ascii="Times New Roman" w:hAnsi="Times New Roman" w:cs="Times New Roman"/>
          <w:bCs/>
          <w:sz w:val="24"/>
          <w:szCs w:val="24"/>
        </w:rPr>
        <w:t xml:space="preserve"> </w:t>
      </w:r>
      <w:r w:rsidR="001455C7">
        <w:rPr>
          <w:rFonts w:ascii="Times New Roman" w:hAnsi="Times New Roman" w:cs="Times New Roman"/>
          <w:bCs/>
          <w:sz w:val="24"/>
          <w:szCs w:val="24"/>
        </w:rPr>
        <w:t>F</w:t>
      </w:r>
      <w:r w:rsidR="0008267D">
        <w:rPr>
          <w:rFonts w:ascii="Times New Roman" w:hAnsi="Times New Roman" w:cs="Times New Roman"/>
          <w:bCs/>
          <w:sz w:val="24"/>
          <w:szCs w:val="24"/>
        </w:rPr>
        <w:t xml:space="preserve">irma Audit Pakar Industri Pada Nilai Ambang </w:t>
      </w:r>
      <w:r w:rsidRPr="00137BB4">
        <w:rPr>
          <w:rFonts w:ascii="Times New Roman" w:hAnsi="Times New Roman" w:cs="Times New Roman"/>
          <w:bCs/>
          <w:sz w:val="24"/>
          <w:szCs w:val="24"/>
        </w:rPr>
        <w:t>20%</w:t>
      </w:r>
    </w:p>
    <w:p w14:paraId="6C62DC4F" w14:textId="77777777" w:rsidR="0008267D" w:rsidRPr="00137BB4" w:rsidRDefault="0008267D" w:rsidP="00740E96">
      <w:pPr>
        <w:spacing w:after="0" w:line="240" w:lineRule="auto"/>
        <w:jc w:val="both"/>
        <w:rPr>
          <w:rFonts w:ascii="Times New Roman" w:hAnsi="Times New Roman" w:cs="Times New Roman"/>
          <w:bCs/>
          <w:sz w:val="24"/>
          <w:szCs w:val="24"/>
        </w:rPr>
      </w:pPr>
    </w:p>
    <w:tbl>
      <w:tblPr>
        <w:tblStyle w:val="TableGrid1"/>
        <w:tblW w:w="8359" w:type="dxa"/>
        <w:jc w:val="center"/>
        <w:tblLook w:val="04A0" w:firstRow="1" w:lastRow="0" w:firstColumn="1" w:lastColumn="0" w:noHBand="0" w:noVBand="1"/>
      </w:tblPr>
      <w:tblGrid>
        <w:gridCol w:w="1980"/>
        <w:gridCol w:w="1276"/>
        <w:gridCol w:w="1275"/>
        <w:gridCol w:w="1276"/>
        <w:gridCol w:w="1276"/>
        <w:gridCol w:w="1276"/>
      </w:tblGrid>
      <w:tr w:rsidR="00137BB4" w:rsidRPr="00823DEE" w14:paraId="174EBCC0" w14:textId="77777777" w:rsidTr="0008267D">
        <w:trPr>
          <w:jc w:val="center"/>
        </w:trPr>
        <w:tc>
          <w:tcPr>
            <w:tcW w:w="1980" w:type="dxa"/>
          </w:tcPr>
          <w:p w14:paraId="4A53996F" w14:textId="77777777" w:rsidR="00137BB4" w:rsidRPr="00823DEE" w:rsidRDefault="00137BB4" w:rsidP="00740E96">
            <w:pPr>
              <w:jc w:val="both"/>
              <w:rPr>
                <w:rFonts w:ascii="Times New Roman" w:hAnsi="Times New Roman" w:cs="Times New Roman"/>
                <w:b/>
                <w:bCs/>
                <w:sz w:val="20"/>
                <w:szCs w:val="20"/>
              </w:rPr>
            </w:pPr>
            <w:r w:rsidRPr="00823DEE">
              <w:rPr>
                <w:rFonts w:ascii="Times New Roman" w:hAnsi="Times New Roman" w:cs="Times New Roman"/>
                <w:b/>
                <w:bCs/>
                <w:sz w:val="20"/>
                <w:szCs w:val="20"/>
              </w:rPr>
              <w:t>Tahun</w:t>
            </w:r>
          </w:p>
        </w:tc>
        <w:tc>
          <w:tcPr>
            <w:tcW w:w="1276" w:type="dxa"/>
          </w:tcPr>
          <w:p w14:paraId="04320AE0" w14:textId="77777777" w:rsidR="00137BB4" w:rsidRPr="00823DEE" w:rsidRDefault="00137BB4" w:rsidP="00740E96">
            <w:pPr>
              <w:jc w:val="both"/>
              <w:rPr>
                <w:rFonts w:ascii="Times New Roman" w:hAnsi="Times New Roman" w:cs="Times New Roman"/>
                <w:bCs/>
                <w:sz w:val="20"/>
                <w:szCs w:val="20"/>
              </w:rPr>
            </w:pPr>
            <w:r w:rsidRPr="00823DEE">
              <w:rPr>
                <w:rFonts w:ascii="Times New Roman" w:hAnsi="Times New Roman" w:cs="Times New Roman"/>
                <w:bCs/>
                <w:sz w:val="20"/>
                <w:szCs w:val="20"/>
              </w:rPr>
              <w:t>2014</w:t>
            </w:r>
          </w:p>
        </w:tc>
        <w:tc>
          <w:tcPr>
            <w:tcW w:w="1275" w:type="dxa"/>
          </w:tcPr>
          <w:p w14:paraId="0ED7D4CC" w14:textId="77777777" w:rsidR="00137BB4" w:rsidRPr="00823DEE" w:rsidRDefault="00137BB4" w:rsidP="00740E96">
            <w:pPr>
              <w:jc w:val="both"/>
              <w:rPr>
                <w:rFonts w:ascii="Times New Roman" w:hAnsi="Times New Roman" w:cs="Times New Roman"/>
                <w:bCs/>
                <w:sz w:val="20"/>
                <w:szCs w:val="20"/>
              </w:rPr>
            </w:pPr>
            <w:r w:rsidRPr="00823DEE">
              <w:rPr>
                <w:rFonts w:ascii="Times New Roman" w:hAnsi="Times New Roman" w:cs="Times New Roman"/>
                <w:bCs/>
                <w:sz w:val="20"/>
                <w:szCs w:val="20"/>
              </w:rPr>
              <w:t>2015</w:t>
            </w:r>
          </w:p>
        </w:tc>
        <w:tc>
          <w:tcPr>
            <w:tcW w:w="1276" w:type="dxa"/>
          </w:tcPr>
          <w:p w14:paraId="090B4A0A" w14:textId="77777777" w:rsidR="00137BB4" w:rsidRPr="00823DEE" w:rsidRDefault="00137BB4" w:rsidP="00740E96">
            <w:pPr>
              <w:jc w:val="both"/>
              <w:rPr>
                <w:rFonts w:ascii="Times New Roman" w:hAnsi="Times New Roman" w:cs="Times New Roman"/>
                <w:bCs/>
                <w:sz w:val="20"/>
                <w:szCs w:val="20"/>
              </w:rPr>
            </w:pPr>
            <w:r w:rsidRPr="00823DEE">
              <w:rPr>
                <w:rFonts w:ascii="Times New Roman" w:hAnsi="Times New Roman" w:cs="Times New Roman"/>
                <w:bCs/>
                <w:sz w:val="20"/>
                <w:szCs w:val="20"/>
              </w:rPr>
              <w:t>2016</w:t>
            </w:r>
          </w:p>
        </w:tc>
        <w:tc>
          <w:tcPr>
            <w:tcW w:w="1276" w:type="dxa"/>
          </w:tcPr>
          <w:p w14:paraId="11241064" w14:textId="77777777" w:rsidR="00137BB4" w:rsidRPr="00823DEE" w:rsidRDefault="00137BB4" w:rsidP="00740E96">
            <w:pPr>
              <w:jc w:val="both"/>
              <w:rPr>
                <w:rFonts w:ascii="Times New Roman" w:hAnsi="Times New Roman" w:cs="Times New Roman"/>
                <w:bCs/>
                <w:sz w:val="20"/>
                <w:szCs w:val="20"/>
              </w:rPr>
            </w:pPr>
            <w:r w:rsidRPr="00823DEE">
              <w:rPr>
                <w:rFonts w:ascii="Times New Roman" w:hAnsi="Times New Roman" w:cs="Times New Roman"/>
                <w:bCs/>
                <w:sz w:val="20"/>
                <w:szCs w:val="20"/>
              </w:rPr>
              <w:t>2017</w:t>
            </w:r>
          </w:p>
        </w:tc>
        <w:tc>
          <w:tcPr>
            <w:tcW w:w="1276" w:type="dxa"/>
          </w:tcPr>
          <w:p w14:paraId="2F958CFE" w14:textId="77777777" w:rsidR="00137BB4" w:rsidRPr="00823DEE" w:rsidRDefault="00137BB4" w:rsidP="00740E96">
            <w:pPr>
              <w:jc w:val="both"/>
              <w:rPr>
                <w:rFonts w:ascii="Times New Roman" w:hAnsi="Times New Roman" w:cs="Times New Roman"/>
                <w:bCs/>
                <w:sz w:val="20"/>
                <w:szCs w:val="20"/>
              </w:rPr>
            </w:pPr>
            <w:r w:rsidRPr="00823DEE">
              <w:rPr>
                <w:rFonts w:ascii="Times New Roman" w:hAnsi="Times New Roman" w:cs="Times New Roman"/>
                <w:bCs/>
                <w:sz w:val="20"/>
                <w:szCs w:val="20"/>
              </w:rPr>
              <w:t>2018</w:t>
            </w:r>
          </w:p>
        </w:tc>
      </w:tr>
      <w:tr w:rsidR="00137BB4" w:rsidRPr="00823DEE" w14:paraId="1F61F166" w14:textId="77777777" w:rsidTr="0008267D">
        <w:trPr>
          <w:jc w:val="center"/>
        </w:trPr>
        <w:tc>
          <w:tcPr>
            <w:tcW w:w="1980" w:type="dxa"/>
          </w:tcPr>
          <w:p w14:paraId="42ABC85F" w14:textId="77777777" w:rsidR="00137BB4" w:rsidRPr="00823DEE" w:rsidRDefault="00137BB4" w:rsidP="00740E96">
            <w:pPr>
              <w:jc w:val="both"/>
              <w:rPr>
                <w:rFonts w:ascii="Times New Roman" w:hAnsi="Times New Roman" w:cs="Times New Roman"/>
                <w:b/>
                <w:bCs/>
                <w:sz w:val="20"/>
                <w:szCs w:val="20"/>
              </w:rPr>
            </w:pPr>
            <w:r w:rsidRPr="00823DEE">
              <w:rPr>
                <w:rFonts w:ascii="Times New Roman" w:hAnsi="Times New Roman" w:cs="Times New Roman"/>
                <w:b/>
                <w:bCs/>
                <w:sz w:val="20"/>
                <w:szCs w:val="20"/>
              </w:rPr>
              <w:t>Industri</w:t>
            </w:r>
          </w:p>
        </w:tc>
        <w:tc>
          <w:tcPr>
            <w:tcW w:w="1276" w:type="dxa"/>
          </w:tcPr>
          <w:p w14:paraId="5332CE4F" w14:textId="77777777" w:rsidR="00137BB4" w:rsidRPr="00823DEE" w:rsidRDefault="00137BB4" w:rsidP="00740E96">
            <w:pPr>
              <w:jc w:val="both"/>
              <w:rPr>
                <w:rFonts w:ascii="Times New Roman" w:hAnsi="Times New Roman" w:cs="Times New Roman"/>
                <w:bCs/>
                <w:sz w:val="20"/>
                <w:szCs w:val="20"/>
              </w:rPr>
            </w:pPr>
          </w:p>
        </w:tc>
        <w:tc>
          <w:tcPr>
            <w:tcW w:w="1275" w:type="dxa"/>
          </w:tcPr>
          <w:p w14:paraId="5F2198D2" w14:textId="77777777" w:rsidR="00137BB4" w:rsidRPr="00823DEE" w:rsidRDefault="00137BB4" w:rsidP="00740E96">
            <w:pPr>
              <w:jc w:val="both"/>
              <w:rPr>
                <w:rFonts w:ascii="Times New Roman" w:hAnsi="Times New Roman" w:cs="Times New Roman"/>
                <w:bCs/>
                <w:sz w:val="20"/>
                <w:szCs w:val="20"/>
              </w:rPr>
            </w:pPr>
          </w:p>
        </w:tc>
        <w:tc>
          <w:tcPr>
            <w:tcW w:w="1276" w:type="dxa"/>
          </w:tcPr>
          <w:p w14:paraId="26F08E40" w14:textId="77777777" w:rsidR="00137BB4" w:rsidRPr="00823DEE" w:rsidRDefault="00137BB4" w:rsidP="00740E96">
            <w:pPr>
              <w:jc w:val="both"/>
              <w:rPr>
                <w:rFonts w:ascii="Times New Roman" w:hAnsi="Times New Roman" w:cs="Times New Roman"/>
                <w:bCs/>
                <w:sz w:val="20"/>
                <w:szCs w:val="20"/>
              </w:rPr>
            </w:pPr>
          </w:p>
        </w:tc>
        <w:tc>
          <w:tcPr>
            <w:tcW w:w="1276" w:type="dxa"/>
          </w:tcPr>
          <w:p w14:paraId="758DFE8B" w14:textId="77777777" w:rsidR="00137BB4" w:rsidRPr="00823DEE" w:rsidRDefault="00137BB4" w:rsidP="00740E96">
            <w:pPr>
              <w:jc w:val="both"/>
              <w:rPr>
                <w:rFonts w:ascii="Times New Roman" w:hAnsi="Times New Roman" w:cs="Times New Roman"/>
                <w:bCs/>
                <w:sz w:val="20"/>
                <w:szCs w:val="20"/>
              </w:rPr>
            </w:pPr>
          </w:p>
        </w:tc>
        <w:tc>
          <w:tcPr>
            <w:tcW w:w="1276" w:type="dxa"/>
          </w:tcPr>
          <w:p w14:paraId="636B1DC5" w14:textId="77777777" w:rsidR="00137BB4" w:rsidRPr="00823DEE" w:rsidRDefault="00137BB4" w:rsidP="00740E96">
            <w:pPr>
              <w:jc w:val="both"/>
              <w:rPr>
                <w:rFonts w:ascii="Times New Roman" w:hAnsi="Times New Roman" w:cs="Times New Roman"/>
                <w:bCs/>
                <w:sz w:val="20"/>
                <w:szCs w:val="20"/>
              </w:rPr>
            </w:pPr>
          </w:p>
        </w:tc>
      </w:tr>
      <w:tr w:rsidR="00137BB4" w:rsidRPr="00823DEE" w14:paraId="2F0964B6" w14:textId="77777777" w:rsidTr="0008267D">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0B769FF0" w14:textId="77777777" w:rsidR="00137BB4" w:rsidRPr="00823DEE" w:rsidRDefault="00137BB4" w:rsidP="00740E96">
            <w:pPr>
              <w:jc w:val="both"/>
              <w:rPr>
                <w:rFonts w:ascii="Times New Roman" w:hAnsi="Times New Roman" w:cs="Times New Roman"/>
                <w:bCs/>
                <w:sz w:val="20"/>
                <w:szCs w:val="20"/>
              </w:rPr>
            </w:pPr>
            <w:r w:rsidRPr="00823DEE">
              <w:rPr>
                <w:rFonts w:ascii="Times New Roman" w:eastAsia="Times New Roman" w:hAnsi="Times New Roman" w:cs="Times New Roman"/>
                <w:sz w:val="20"/>
                <w:szCs w:val="20"/>
                <w:lang w:eastAsia="en-MY"/>
              </w:rPr>
              <w:t xml:space="preserve">Perladangan </w:t>
            </w:r>
          </w:p>
        </w:tc>
        <w:tc>
          <w:tcPr>
            <w:tcW w:w="1276" w:type="dxa"/>
          </w:tcPr>
          <w:p w14:paraId="60E27168" w14:textId="77777777" w:rsidR="00137BB4" w:rsidRPr="00823DEE" w:rsidRDefault="00137BB4" w:rsidP="0008267D">
            <w:pPr>
              <w:jc w:val="center"/>
              <w:rPr>
                <w:rFonts w:ascii="Times New Roman" w:hAnsi="Times New Roman" w:cs="Times New Roman"/>
                <w:bCs/>
                <w:sz w:val="20"/>
                <w:szCs w:val="20"/>
              </w:rPr>
            </w:pPr>
            <w:r w:rsidRPr="00823DEE">
              <w:rPr>
                <w:rFonts w:ascii="Times New Roman" w:hAnsi="Times New Roman" w:cs="Times New Roman"/>
                <w:bCs/>
                <w:sz w:val="20"/>
                <w:szCs w:val="20"/>
              </w:rPr>
              <w:t>EY</w:t>
            </w:r>
          </w:p>
        </w:tc>
        <w:tc>
          <w:tcPr>
            <w:tcW w:w="1275" w:type="dxa"/>
          </w:tcPr>
          <w:p w14:paraId="6A259DF6" w14:textId="77777777" w:rsidR="00137BB4" w:rsidRPr="00823DEE" w:rsidRDefault="00137BB4" w:rsidP="0008267D">
            <w:pPr>
              <w:jc w:val="center"/>
              <w:rPr>
                <w:rFonts w:ascii="Times New Roman" w:hAnsi="Times New Roman" w:cs="Times New Roman"/>
                <w:bCs/>
                <w:sz w:val="20"/>
                <w:szCs w:val="20"/>
              </w:rPr>
            </w:pPr>
            <w:r w:rsidRPr="00823DEE">
              <w:rPr>
                <w:rFonts w:ascii="Times New Roman" w:hAnsi="Times New Roman" w:cs="Times New Roman"/>
                <w:bCs/>
                <w:sz w:val="20"/>
                <w:szCs w:val="20"/>
              </w:rPr>
              <w:t>EY</w:t>
            </w:r>
          </w:p>
        </w:tc>
        <w:tc>
          <w:tcPr>
            <w:tcW w:w="1276" w:type="dxa"/>
          </w:tcPr>
          <w:p w14:paraId="4029D7E2" w14:textId="77777777" w:rsidR="00137BB4" w:rsidRPr="00823DEE" w:rsidRDefault="00137BB4" w:rsidP="0008267D">
            <w:pPr>
              <w:jc w:val="center"/>
              <w:rPr>
                <w:rFonts w:ascii="Times New Roman" w:hAnsi="Times New Roman" w:cs="Times New Roman"/>
                <w:bCs/>
                <w:sz w:val="20"/>
                <w:szCs w:val="20"/>
              </w:rPr>
            </w:pPr>
            <w:r w:rsidRPr="00823DEE">
              <w:rPr>
                <w:rFonts w:ascii="Times New Roman" w:hAnsi="Times New Roman" w:cs="Times New Roman"/>
                <w:bCs/>
                <w:sz w:val="20"/>
                <w:szCs w:val="20"/>
              </w:rPr>
              <w:t>EY</w:t>
            </w:r>
          </w:p>
        </w:tc>
        <w:tc>
          <w:tcPr>
            <w:tcW w:w="1276" w:type="dxa"/>
          </w:tcPr>
          <w:p w14:paraId="204BDA10" w14:textId="77777777" w:rsidR="00137BB4" w:rsidRPr="00823DEE" w:rsidRDefault="00137BB4" w:rsidP="0008267D">
            <w:pPr>
              <w:jc w:val="center"/>
              <w:rPr>
                <w:rFonts w:ascii="Times New Roman" w:hAnsi="Times New Roman" w:cs="Times New Roman"/>
                <w:bCs/>
                <w:sz w:val="20"/>
                <w:szCs w:val="20"/>
              </w:rPr>
            </w:pPr>
            <w:r w:rsidRPr="00823DEE">
              <w:rPr>
                <w:rFonts w:ascii="Times New Roman" w:hAnsi="Times New Roman" w:cs="Times New Roman"/>
                <w:bCs/>
                <w:sz w:val="20"/>
                <w:szCs w:val="20"/>
              </w:rPr>
              <w:t>EY</w:t>
            </w:r>
          </w:p>
        </w:tc>
        <w:tc>
          <w:tcPr>
            <w:tcW w:w="1276" w:type="dxa"/>
          </w:tcPr>
          <w:p w14:paraId="18F94CF0" w14:textId="77777777" w:rsidR="00137BB4" w:rsidRPr="00823DEE" w:rsidRDefault="00137BB4" w:rsidP="0008267D">
            <w:pPr>
              <w:jc w:val="center"/>
              <w:rPr>
                <w:rFonts w:ascii="Times New Roman" w:hAnsi="Times New Roman" w:cs="Times New Roman"/>
                <w:bCs/>
                <w:sz w:val="20"/>
                <w:szCs w:val="20"/>
              </w:rPr>
            </w:pPr>
            <w:r w:rsidRPr="00823DEE">
              <w:rPr>
                <w:rFonts w:ascii="Times New Roman" w:hAnsi="Times New Roman" w:cs="Times New Roman"/>
                <w:bCs/>
                <w:sz w:val="20"/>
                <w:szCs w:val="20"/>
              </w:rPr>
              <w:t>EY</w:t>
            </w:r>
          </w:p>
        </w:tc>
      </w:tr>
      <w:tr w:rsidR="00137BB4" w:rsidRPr="00823DEE" w14:paraId="350F4D84" w14:textId="77777777" w:rsidTr="0008267D">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16696593" w14:textId="77777777" w:rsidR="00137BB4" w:rsidRPr="00823DEE" w:rsidRDefault="00137BB4" w:rsidP="00740E96">
            <w:pPr>
              <w:jc w:val="both"/>
              <w:rPr>
                <w:rFonts w:ascii="Times New Roman" w:hAnsi="Times New Roman" w:cs="Times New Roman"/>
                <w:bCs/>
                <w:sz w:val="20"/>
                <w:szCs w:val="20"/>
              </w:rPr>
            </w:pPr>
            <w:r w:rsidRPr="00823DEE">
              <w:rPr>
                <w:rFonts w:ascii="Times New Roman" w:eastAsia="Times New Roman" w:hAnsi="Times New Roman" w:cs="Times New Roman"/>
                <w:sz w:val="20"/>
                <w:szCs w:val="20"/>
                <w:lang w:eastAsia="en-MY"/>
              </w:rPr>
              <w:t xml:space="preserve">Produk Perindustrian </w:t>
            </w:r>
          </w:p>
        </w:tc>
        <w:tc>
          <w:tcPr>
            <w:tcW w:w="1276" w:type="dxa"/>
          </w:tcPr>
          <w:p w14:paraId="646A6881" w14:textId="77777777" w:rsidR="00137BB4" w:rsidRPr="00823DEE" w:rsidRDefault="00137BB4" w:rsidP="0008267D">
            <w:pPr>
              <w:jc w:val="center"/>
              <w:rPr>
                <w:rFonts w:ascii="Times New Roman" w:hAnsi="Times New Roman" w:cs="Times New Roman"/>
                <w:bCs/>
                <w:sz w:val="20"/>
                <w:szCs w:val="20"/>
              </w:rPr>
            </w:pPr>
            <w:r w:rsidRPr="00823DEE">
              <w:rPr>
                <w:rFonts w:ascii="Times New Roman" w:hAnsi="Times New Roman" w:cs="Times New Roman"/>
                <w:bCs/>
                <w:sz w:val="20"/>
                <w:szCs w:val="20"/>
              </w:rPr>
              <w:t>EY</w:t>
            </w:r>
          </w:p>
        </w:tc>
        <w:tc>
          <w:tcPr>
            <w:tcW w:w="1275" w:type="dxa"/>
          </w:tcPr>
          <w:p w14:paraId="61380E3A" w14:textId="77777777" w:rsidR="00137BB4" w:rsidRPr="00823DEE" w:rsidRDefault="00137BB4" w:rsidP="0008267D">
            <w:pPr>
              <w:jc w:val="center"/>
              <w:rPr>
                <w:rFonts w:ascii="Times New Roman" w:hAnsi="Times New Roman" w:cs="Times New Roman"/>
                <w:bCs/>
                <w:sz w:val="20"/>
                <w:szCs w:val="20"/>
              </w:rPr>
            </w:pPr>
          </w:p>
        </w:tc>
        <w:tc>
          <w:tcPr>
            <w:tcW w:w="1276" w:type="dxa"/>
          </w:tcPr>
          <w:p w14:paraId="3E86C074" w14:textId="77777777" w:rsidR="00137BB4" w:rsidRPr="00823DEE" w:rsidRDefault="00137BB4" w:rsidP="0008267D">
            <w:pPr>
              <w:jc w:val="center"/>
              <w:rPr>
                <w:rFonts w:ascii="Times New Roman" w:hAnsi="Times New Roman" w:cs="Times New Roman"/>
                <w:bCs/>
                <w:sz w:val="20"/>
                <w:szCs w:val="20"/>
              </w:rPr>
            </w:pPr>
          </w:p>
        </w:tc>
        <w:tc>
          <w:tcPr>
            <w:tcW w:w="1276" w:type="dxa"/>
          </w:tcPr>
          <w:p w14:paraId="529205DF" w14:textId="77777777" w:rsidR="00137BB4" w:rsidRPr="00823DEE" w:rsidRDefault="00137BB4" w:rsidP="0008267D">
            <w:pPr>
              <w:jc w:val="center"/>
              <w:rPr>
                <w:rFonts w:ascii="Times New Roman" w:hAnsi="Times New Roman" w:cs="Times New Roman"/>
                <w:bCs/>
                <w:sz w:val="20"/>
                <w:szCs w:val="20"/>
              </w:rPr>
            </w:pPr>
          </w:p>
        </w:tc>
        <w:tc>
          <w:tcPr>
            <w:tcW w:w="1276" w:type="dxa"/>
          </w:tcPr>
          <w:p w14:paraId="46F80CC9" w14:textId="77777777" w:rsidR="00137BB4" w:rsidRPr="00823DEE" w:rsidRDefault="00137BB4" w:rsidP="0008267D">
            <w:pPr>
              <w:jc w:val="center"/>
              <w:rPr>
                <w:rFonts w:ascii="Times New Roman" w:hAnsi="Times New Roman" w:cs="Times New Roman"/>
                <w:bCs/>
                <w:sz w:val="20"/>
                <w:szCs w:val="20"/>
              </w:rPr>
            </w:pPr>
          </w:p>
        </w:tc>
      </w:tr>
      <w:tr w:rsidR="00137BB4" w:rsidRPr="00823DEE" w14:paraId="5D61D4FD" w14:textId="77777777" w:rsidTr="0008267D">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271D9A45" w14:textId="77777777" w:rsidR="00137BB4" w:rsidRPr="00823DEE" w:rsidRDefault="00137BB4" w:rsidP="00740E96">
            <w:pPr>
              <w:jc w:val="both"/>
              <w:rPr>
                <w:rFonts w:ascii="Times New Roman" w:hAnsi="Times New Roman" w:cs="Times New Roman"/>
                <w:bCs/>
                <w:sz w:val="20"/>
                <w:szCs w:val="20"/>
              </w:rPr>
            </w:pPr>
            <w:r w:rsidRPr="00823DEE">
              <w:rPr>
                <w:rFonts w:ascii="Times New Roman" w:eastAsia="Times New Roman" w:hAnsi="Times New Roman" w:cs="Times New Roman"/>
                <w:sz w:val="20"/>
                <w:szCs w:val="20"/>
                <w:lang w:eastAsia="en-MY"/>
              </w:rPr>
              <w:t>Perdagangan</w:t>
            </w:r>
          </w:p>
        </w:tc>
        <w:tc>
          <w:tcPr>
            <w:tcW w:w="1276" w:type="dxa"/>
          </w:tcPr>
          <w:p w14:paraId="35B41053" w14:textId="77777777" w:rsidR="00137BB4" w:rsidRPr="00823DEE" w:rsidRDefault="00137BB4" w:rsidP="0008267D">
            <w:pPr>
              <w:jc w:val="center"/>
              <w:rPr>
                <w:rFonts w:ascii="Times New Roman" w:hAnsi="Times New Roman" w:cs="Times New Roman"/>
                <w:bCs/>
                <w:sz w:val="20"/>
                <w:szCs w:val="20"/>
              </w:rPr>
            </w:pPr>
            <w:r w:rsidRPr="00823DEE">
              <w:rPr>
                <w:rFonts w:ascii="Times New Roman" w:hAnsi="Times New Roman" w:cs="Times New Roman"/>
                <w:bCs/>
                <w:sz w:val="20"/>
                <w:szCs w:val="20"/>
              </w:rPr>
              <w:t>EY</w:t>
            </w:r>
          </w:p>
        </w:tc>
        <w:tc>
          <w:tcPr>
            <w:tcW w:w="1275" w:type="dxa"/>
          </w:tcPr>
          <w:p w14:paraId="57E31006" w14:textId="77777777" w:rsidR="00137BB4" w:rsidRPr="00823DEE" w:rsidRDefault="00137BB4" w:rsidP="0008267D">
            <w:pPr>
              <w:jc w:val="center"/>
              <w:rPr>
                <w:rFonts w:ascii="Times New Roman" w:hAnsi="Times New Roman" w:cs="Times New Roman"/>
                <w:bCs/>
                <w:sz w:val="20"/>
                <w:szCs w:val="20"/>
              </w:rPr>
            </w:pPr>
            <w:r w:rsidRPr="00823DEE">
              <w:rPr>
                <w:rFonts w:ascii="Times New Roman" w:hAnsi="Times New Roman" w:cs="Times New Roman"/>
                <w:bCs/>
                <w:sz w:val="20"/>
                <w:szCs w:val="20"/>
              </w:rPr>
              <w:t>EY</w:t>
            </w:r>
          </w:p>
        </w:tc>
        <w:tc>
          <w:tcPr>
            <w:tcW w:w="1276" w:type="dxa"/>
          </w:tcPr>
          <w:p w14:paraId="3CEAA825" w14:textId="77777777" w:rsidR="00137BB4" w:rsidRPr="00823DEE" w:rsidRDefault="00137BB4" w:rsidP="0008267D">
            <w:pPr>
              <w:jc w:val="center"/>
              <w:rPr>
                <w:rFonts w:ascii="Times New Roman" w:hAnsi="Times New Roman" w:cs="Times New Roman"/>
                <w:bCs/>
                <w:sz w:val="20"/>
                <w:szCs w:val="20"/>
              </w:rPr>
            </w:pPr>
            <w:r w:rsidRPr="00823DEE">
              <w:rPr>
                <w:rFonts w:ascii="Times New Roman" w:hAnsi="Times New Roman" w:cs="Times New Roman"/>
                <w:bCs/>
                <w:sz w:val="20"/>
                <w:szCs w:val="20"/>
              </w:rPr>
              <w:t>EY</w:t>
            </w:r>
          </w:p>
        </w:tc>
        <w:tc>
          <w:tcPr>
            <w:tcW w:w="1276" w:type="dxa"/>
          </w:tcPr>
          <w:p w14:paraId="114177D9" w14:textId="77777777" w:rsidR="00137BB4" w:rsidRPr="00823DEE" w:rsidRDefault="00137BB4" w:rsidP="0008267D">
            <w:pPr>
              <w:jc w:val="center"/>
              <w:rPr>
                <w:rFonts w:ascii="Times New Roman" w:hAnsi="Times New Roman" w:cs="Times New Roman"/>
                <w:bCs/>
                <w:sz w:val="20"/>
                <w:szCs w:val="20"/>
              </w:rPr>
            </w:pPr>
            <w:r w:rsidRPr="00823DEE">
              <w:rPr>
                <w:rFonts w:ascii="Times New Roman" w:hAnsi="Times New Roman" w:cs="Times New Roman"/>
                <w:bCs/>
                <w:sz w:val="20"/>
                <w:szCs w:val="20"/>
              </w:rPr>
              <w:t>EY</w:t>
            </w:r>
          </w:p>
        </w:tc>
        <w:tc>
          <w:tcPr>
            <w:tcW w:w="1276" w:type="dxa"/>
          </w:tcPr>
          <w:p w14:paraId="179F8299" w14:textId="77777777" w:rsidR="00137BB4" w:rsidRPr="00823DEE" w:rsidRDefault="00137BB4" w:rsidP="0008267D">
            <w:pPr>
              <w:jc w:val="center"/>
              <w:rPr>
                <w:rFonts w:ascii="Times New Roman" w:hAnsi="Times New Roman" w:cs="Times New Roman"/>
                <w:bCs/>
                <w:sz w:val="20"/>
                <w:szCs w:val="20"/>
              </w:rPr>
            </w:pPr>
          </w:p>
        </w:tc>
      </w:tr>
      <w:tr w:rsidR="00137BB4" w:rsidRPr="00823DEE" w14:paraId="641DEFCF" w14:textId="77777777" w:rsidTr="0008267D">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0D34CA9A" w14:textId="77777777" w:rsidR="00137BB4" w:rsidRPr="00823DEE" w:rsidRDefault="00137BB4" w:rsidP="00740E96">
            <w:pPr>
              <w:jc w:val="both"/>
              <w:rPr>
                <w:rFonts w:ascii="Times New Roman" w:hAnsi="Times New Roman" w:cs="Times New Roman"/>
                <w:bCs/>
                <w:sz w:val="20"/>
                <w:szCs w:val="20"/>
              </w:rPr>
            </w:pPr>
            <w:r w:rsidRPr="00823DEE">
              <w:rPr>
                <w:rFonts w:ascii="Times New Roman" w:eastAsia="Times New Roman" w:hAnsi="Times New Roman" w:cs="Times New Roman"/>
                <w:sz w:val="20"/>
                <w:szCs w:val="20"/>
                <w:lang w:eastAsia="en-MY"/>
              </w:rPr>
              <w:t xml:space="preserve">Hartanah </w:t>
            </w:r>
          </w:p>
        </w:tc>
        <w:tc>
          <w:tcPr>
            <w:tcW w:w="1276" w:type="dxa"/>
          </w:tcPr>
          <w:p w14:paraId="3D4D1D82" w14:textId="77777777" w:rsidR="00137BB4" w:rsidRPr="00823DEE" w:rsidRDefault="00137BB4" w:rsidP="0008267D">
            <w:pPr>
              <w:jc w:val="center"/>
              <w:rPr>
                <w:rFonts w:ascii="Times New Roman" w:hAnsi="Times New Roman" w:cs="Times New Roman"/>
                <w:bCs/>
                <w:sz w:val="20"/>
                <w:szCs w:val="20"/>
              </w:rPr>
            </w:pPr>
            <w:r w:rsidRPr="00823DEE">
              <w:rPr>
                <w:rFonts w:ascii="Times New Roman" w:hAnsi="Times New Roman" w:cs="Times New Roman"/>
                <w:bCs/>
                <w:sz w:val="20"/>
                <w:szCs w:val="20"/>
              </w:rPr>
              <w:t>EY</w:t>
            </w:r>
          </w:p>
        </w:tc>
        <w:tc>
          <w:tcPr>
            <w:tcW w:w="1275" w:type="dxa"/>
          </w:tcPr>
          <w:p w14:paraId="5271DA78" w14:textId="77777777" w:rsidR="00137BB4" w:rsidRPr="00823DEE" w:rsidRDefault="00137BB4" w:rsidP="0008267D">
            <w:pPr>
              <w:jc w:val="center"/>
              <w:rPr>
                <w:rFonts w:ascii="Times New Roman" w:hAnsi="Times New Roman" w:cs="Times New Roman"/>
                <w:bCs/>
                <w:sz w:val="20"/>
                <w:szCs w:val="20"/>
              </w:rPr>
            </w:pPr>
            <w:r w:rsidRPr="00823DEE">
              <w:rPr>
                <w:rFonts w:ascii="Times New Roman" w:hAnsi="Times New Roman" w:cs="Times New Roman"/>
                <w:bCs/>
                <w:sz w:val="20"/>
                <w:szCs w:val="20"/>
              </w:rPr>
              <w:t>EY</w:t>
            </w:r>
          </w:p>
        </w:tc>
        <w:tc>
          <w:tcPr>
            <w:tcW w:w="1276" w:type="dxa"/>
          </w:tcPr>
          <w:p w14:paraId="74D70A0D" w14:textId="77777777" w:rsidR="00137BB4" w:rsidRPr="00823DEE" w:rsidRDefault="00137BB4" w:rsidP="0008267D">
            <w:pPr>
              <w:jc w:val="center"/>
              <w:rPr>
                <w:rFonts w:ascii="Times New Roman" w:hAnsi="Times New Roman" w:cs="Times New Roman"/>
                <w:bCs/>
                <w:sz w:val="20"/>
                <w:szCs w:val="20"/>
              </w:rPr>
            </w:pPr>
            <w:r w:rsidRPr="00823DEE">
              <w:rPr>
                <w:rFonts w:ascii="Times New Roman" w:hAnsi="Times New Roman" w:cs="Times New Roman"/>
                <w:bCs/>
                <w:sz w:val="20"/>
                <w:szCs w:val="20"/>
              </w:rPr>
              <w:t>EY</w:t>
            </w:r>
          </w:p>
        </w:tc>
        <w:tc>
          <w:tcPr>
            <w:tcW w:w="1276" w:type="dxa"/>
          </w:tcPr>
          <w:p w14:paraId="78A99A77" w14:textId="77777777" w:rsidR="00137BB4" w:rsidRPr="00823DEE" w:rsidRDefault="00137BB4" w:rsidP="0008267D">
            <w:pPr>
              <w:jc w:val="center"/>
              <w:rPr>
                <w:rFonts w:ascii="Times New Roman" w:hAnsi="Times New Roman" w:cs="Times New Roman"/>
                <w:bCs/>
                <w:sz w:val="20"/>
                <w:szCs w:val="20"/>
              </w:rPr>
            </w:pPr>
          </w:p>
        </w:tc>
        <w:tc>
          <w:tcPr>
            <w:tcW w:w="1276" w:type="dxa"/>
          </w:tcPr>
          <w:p w14:paraId="1D97D047" w14:textId="77777777" w:rsidR="00137BB4" w:rsidRPr="00823DEE" w:rsidRDefault="00137BB4" w:rsidP="0008267D">
            <w:pPr>
              <w:jc w:val="center"/>
              <w:rPr>
                <w:rFonts w:ascii="Times New Roman" w:hAnsi="Times New Roman" w:cs="Times New Roman"/>
                <w:bCs/>
                <w:sz w:val="20"/>
                <w:szCs w:val="20"/>
              </w:rPr>
            </w:pPr>
          </w:p>
        </w:tc>
      </w:tr>
      <w:tr w:rsidR="00137BB4" w:rsidRPr="00823DEE" w14:paraId="4A6B1D73" w14:textId="77777777" w:rsidTr="0008267D">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6B85C4FE" w14:textId="77777777" w:rsidR="00137BB4" w:rsidRPr="00823DEE" w:rsidRDefault="00137BB4" w:rsidP="00740E96">
            <w:pPr>
              <w:jc w:val="both"/>
              <w:rPr>
                <w:rFonts w:ascii="Times New Roman" w:hAnsi="Times New Roman" w:cs="Times New Roman"/>
                <w:bCs/>
                <w:sz w:val="20"/>
                <w:szCs w:val="20"/>
              </w:rPr>
            </w:pPr>
            <w:r w:rsidRPr="00823DEE">
              <w:rPr>
                <w:rFonts w:ascii="Times New Roman" w:eastAsia="Times New Roman" w:hAnsi="Times New Roman" w:cs="Times New Roman"/>
                <w:sz w:val="20"/>
                <w:szCs w:val="20"/>
                <w:lang w:eastAsia="en-MY"/>
              </w:rPr>
              <w:t xml:space="preserve">Pembinaan </w:t>
            </w:r>
          </w:p>
        </w:tc>
        <w:tc>
          <w:tcPr>
            <w:tcW w:w="1276" w:type="dxa"/>
          </w:tcPr>
          <w:p w14:paraId="05E33A97" w14:textId="77777777" w:rsidR="00137BB4" w:rsidRPr="00823DEE" w:rsidRDefault="00137BB4" w:rsidP="0008267D">
            <w:pPr>
              <w:jc w:val="center"/>
              <w:rPr>
                <w:rFonts w:ascii="Times New Roman" w:hAnsi="Times New Roman" w:cs="Times New Roman"/>
                <w:bCs/>
                <w:sz w:val="20"/>
                <w:szCs w:val="20"/>
              </w:rPr>
            </w:pPr>
          </w:p>
        </w:tc>
        <w:tc>
          <w:tcPr>
            <w:tcW w:w="1275" w:type="dxa"/>
          </w:tcPr>
          <w:p w14:paraId="794B5F23" w14:textId="77777777" w:rsidR="00137BB4" w:rsidRPr="00823DEE" w:rsidRDefault="00137BB4" w:rsidP="0008267D">
            <w:pPr>
              <w:jc w:val="center"/>
              <w:rPr>
                <w:rFonts w:ascii="Times New Roman" w:hAnsi="Times New Roman" w:cs="Times New Roman"/>
                <w:bCs/>
                <w:sz w:val="20"/>
                <w:szCs w:val="20"/>
              </w:rPr>
            </w:pPr>
          </w:p>
        </w:tc>
        <w:tc>
          <w:tcPr>
            <w:tcW w:w="1276" w:type="dxa"/>
          </w:tcPr>
          <w:p w14:paraId="5B8DA8F7" w14:textId="77777777" w:rsidR="00137BB4" w:rsidRPr="00823DEE" w:rsidRDefault="00137BB4" w:rsidP="0008267D">
            <w:pPr>
              <w:jc w:val="center"/>
              <w:rPr>
                <w:rFonts w:ascii="Times New Roman" w:hAnsi="Times New Roman" w:cs="Times New Roman"/>
                <w:bCs/>
                <w:sz w:val="20"/>
                <w:szCs w:val="20"/>
              </w:rPr>
            </w:pPr>
          </w:p>
        </w:tc>
        <w:tc>
          <w:tcPr>
            <w:tcW w:w="1276" w:type="dxa"/>
          </w:tcPr>
          <w:p w14:paraId="6497F142" w14:textId="77777777" w:rsidR="00137BB4" w:rsidRPr="00823DEE" w:rsidRDefault="00137BB4" w:rsidP="0008267D">
            <w:pPr>
              <w:jc w:val="center"/>
              <w:rPr>
                <w:rFonts w:ascii="Times New Roman" w:hAnsi="Times New Roman" w:cs="Times New Roman"/>
                <w:bCs/>
                <w:sz w:val="20"/>
                <w:szCs w:val="20"/>
              </w:rPr>
            </w:pPr>
          </w:p>
        </w:tc>
        <w:tc>
          <w:tcPr>
            <w:tcW w:w="1276" w:type="dxa"/>
          </w:tcPr>
          <w:p w14:paraId="340F4F8A" w14:textId="77777777" w:rsidR="00137BB4" w:rsidRPr="00823DEE" w:rsidRDefault="00137BB4" w:rsidP="0008267D">
            <w:pPr>
              <w:jc w:val="center"/>
              <w:rPr>
                <w:rFonts w:ascii="Times New Roman" w:hAnsi="Times New Roman" w:cs="Times New Roman"/>
                <w:bCs/>
                <w:sz w:val="20"/>
                <w:szCs w:val="20"/>
              </w:rPr>
            </w:pPr>
          </w:p>
        </w:tc>
      </w:tr>
      <w:tr w:rsidR="00137BB4" w:rsidRPr="00823DEE" w14:paraId="634EB721" w14:textId="77777777" w:rsidTr="0008267D">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0A55A716" w14:textId="77777777" w:rsidR="00137BB4" w:rsidRPr="00823DEE" w:rsidRDefault="00137BB4" w:rsidP="00740E96">
            <w:pPr>
              <w:jc w:val="both"/>
              <w:rPr>
                <w:rFonts w:ascii="Times New Roman" w:hAnsi="Times New Roman" w:cs="Times New Roman"/>
                <w:bCs/>
                <w:sz w:val="20"/>
                <w:szCs w:val="20"/>
              </w:rPr>
            </w:pPr>
            <w:r w:rsidRPr="00823DEE">
              <w:rPr>
                <w:rFonts w:ascii="Times New Roman" w:eastAsia="Times New Roman" w:hAnsi="Times New Roman" w:cs="Times New Roman"/>
                <w:sz w:val="20"/>
                <w:szCs w:val="20"/>
                <w:lang w:eastAsia="en-MY"/>
              </w:rPr>
              <w:t xml:space="preserve">Produk Pengguna </w:t>
            </w:r>
          </w:p>
        </w:tc>
        <w:tc>
          <w:tcPr>
            <w:tcW w:w="1276" w:type="dxa"/>
          </w:tcPr>
          <w:p w14:paraId="12F7B676" w14:textId="77777777" w:rsidR="00137BB4" w:rsidRPr="00823DEE" w:rsidRDefault="00137BB4" w:rsidP="0008267D">
            <w:pPr>
              <w:jc w:val="center"/>
              <w:rPr>
                <w:rFonts w:ascii="Times New Roman" w:hAnsi="Times New Roman" w:cs="Times New Roman"/>
                <w:bCs/>
                <w:sz w:val="20"/>
                <w:szCs w:val="20"/>
              </w:rPr>
            </w:pPr>
            <w:r w:rsidRPr="00823DEE">
              <w:rPr>
                <w:rFonts w:ascii="Times New Roman" w:hAnsi="Times New Roman" w:cs="Times New Roman"/>
                <w:bCs/>
                <w:sz w:val="20"/>
                <w:szCs w:val="20"/>
              </w:rPr>
              <w:t>KPMG</w:t>
            </w:r>
          </w:p>
        </w:tc>
        <w:tc>
          <w:tcPr>
            <w:tcW w:w="1275" w:type="dxa"/>
          </w:tcPr>
          <w:p w14:paraId="441F7A93" w14:textId="77777777" w:rsidR="00137BB4" w:rsidRPr="00823DEE" w:rsidRDefault="00137BB4" w:rsidP="0008267D">
            <w:pPr>
              <w:jc w:val="center"/>
              <w:rPr>
                <w:rFonts w:ascii="Times New Roman" w:hAnsi="Times New Roman" w:cs="Times New Roman"/>
                <w:bCs/>
                <w:sz w:val="20"/>
                <w:szCs w:val="20"/>
              </w:rPr>
            </w:pPr>
          </w:p>
        </w:tc>
        <w:tc>
          <w:tcPr>
            <w:tcW w:w="1276" w:type="dxa"/>
          </w:tcPr>
          <w:p w14:paraId="06AE2B9A" w14:textId="77777777" w:rsidR="00137BB4" w:rsidRPr="00823DEE" w:rsidRDefault="00137BB4" w:rsidP="0008267D">
            <w:pPr>
              <w:jc w:val="center"/>
              <w:rPr>
                <w:rFonts w:ascii="Times New Roman" w:hAnsi="Times New Roman" w:cs="Times New Roman"/>
                <w:bCs/>
                <w:sz w:val="20"/>
                <w:szCs w:val="20"/>
              </w:rPr>
            </w:pPr>
          </w:p>
        </w:tc>
        <w:tc>
          <w:tcPr>
            <w:tcW w:w="1276" w:type="dxa"/>
          </w:tcPr>
          <w:p w14:paraId="62CB7062" w14:textId="77777777" w:rsidR="00137BB4" w:rsidRPr="00823DEE" w:rsidRDefault="00137BB4" w:rsidP="0008267D">
            <w:pPr>
              <w:jc w:val="center"/>
              <w:rPr>
                <w:rFonts w:ascii="Times New Roman" w:hAnsi="Times New Roman" w:cs="Times New Roman"/>
                <w:bCs/>
                <w:sz w:val="20"/>
                <w:szCs w:val="20"/>
              </w:rPr>
            </w:pPr>
          </w:p>
        </w:tc>
        <w:tc>
          <w:tcPr>
            <w:tcW w:w="1276" w:type="dxa"/>
          </w:tcPr>
          <w:p w14:paraId="31A35DB5" w14:textId="77777777" w:rsidR="00137BB4" w:rsidRPr="00823DEE" w:rsidRDefault="00137BB4" w:rsidP="0008267D">
            <w:pPr>
              <w:jc w:val="center"/>
              <w:rPr>
                <w:rFonts w:ascii="Times New Roman" w:hAnsi="Times New Roman" w:cs="Times New Roman"/>
                <w:bCs/>
                <w:sz w:val="20"/>
                <w:szCs w:val="20"/>
              </w:rPr>
            </w:pPr>
          </w:p>
        </w:tc>
      </w:tr>
      <w:tr w:rsidR="00137BB4" w:rsidRPr="00823DEE" w14:paraId="1514B2A5" w14:textId="77777777" w:rsidTr="0008267D">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5DD446AD" w14:textId="77777777" w:rsidR="00137BB4" w:rsidRPr="00823DEE" w:rsidRDefault="00137BB4" w:rsidP="00740E96">
            <w:pPr>
              <w:jc w:val="both"/>
              <w:rPr>
                <w:rFonts w:ascii="Times New Roman" w:hAnsi="Times New Roman" w:cs="Times New Roman"/>
                <w:bCs/>
                <w:sz w:val="20"/>
                <w:szCs w:val="20"/>
              </w:rPr>
            </w:pPr>
            <w:r w:rsidRPr="00823DEE">
              <w:rPr>
                <w:rFonts w:ascii="Times New Roman" w:eastAsia="Times New Roman" w:hAnsi="Times New Roman" w:cs="Times New Roman"/>
                <w:sz w:val="20"/>
                <w:szCs w:val="20"/>
                <w:lang w:eastAsia="en-MY"/>
              </w:rPr>
              <w:t xml:space="preserve">Teknologi </w:t>
            </w:r>
          </w:p>
        </w:tc>
        <w:tc>
          <w:tcPr>
            <w:tcW w:w="1276" w:type="dxa"/>
          </w:tcPr>
          <w:p w14:paraId="33A844F2" w14:textId="5D01631B" w:rsidR="00137BB4" w:rsidRPr="00823DEE" w:rsidRDefault="00137BB4" w:rsidP="0008267D">
            <w:pPr>
              <w:jc w:val="center"/>
              <w:rPr>
                <w:rFonts w:ascii="Times New Roman" w:hAnsi="Times New Roman" w:cs="Times New Roman"/>
                <w:bCs/>
                <w:sz w:val="20"/>
                <w:szCs w:val="20"/>
              </w:rPr>
            </w:pPr>
            <w:r w:rsidRPr="00823DEE">
              <w:rPr>
                <w:rFonts w:ascii="Times New Roman" w:hAnsi="Times New Roman" w:cs="Times New Roman"/>
                <w:bCs/>
                <w:sz w:val="20"/>
                <w:szCs w:val="20"/>
              </w:rPr>
              <w:t>Crowe Malaysia</w:t>
            </w:r>
          </w:p>
        </w:tc>
        <w:tc>
          <w:tcPr>
            <w:tcW w:w="1275" w:type="dxa"/>
          </w:tcPr>
          <w:p w14:paraId="5969D98B" w14:textId="1943F108" w:rsidR="00137BB4" w:rsidRPr="00823DEE" w:rsidRDefault="00137BB4" w:rsidP="0008267D">
            <w:pPr>
              <w:jc w:val="center"/>
              <w:rPr>
                <w:rFonts w:ascii="Times New Roman" w:hAnsi="Times New Roman" w:cs="Times New Roman"/>
                <w:bCs/>
                <w:sz w:val="20"/>
                <w:szCs w:val="20"/>
              </w:rPr>
            </w:pPr>
            <w:r w:rsidRPr="00823DEE">
              <w:rPr>
                <w:rFonts w:ascii="Times New Roman" w:hAnsi="Times New Roman" w:cs="Times New Roman"/>
                <w:bCs/>
                <w:sz w:val="20"/>
                <w:szCs w:val="20"/>
              </w:rPr>
              <w:t>Crowe Malaysia</w:t>
            </w:r>
          </w:p>
        </w:tc>
        <w:tc>
          <w:tcPr>
            <w:tcW w:w="1276" w:type="dxa"/>
          </w:tcPr>
          <w:p w14:paraId="4CCB9D56" w14:textId="5E827ACC" w:rsidR="00137BB4" w:rsidRPr="00823DEE" w:rsidRDefault="00137BB4" w:rsidP="0008267D">
            <w:pPr>
              <w:jc w:val="center"/>
              <w:rPr>
                <w:rFonts w:ascii="Times New Roman" w:hAnsi="Times New Roman" w:cs="Times New Roman"/>
                <w:bCs/>
                <w:sz w:val="20"/>
                <w:szCs w:val="20"/>
              </w:rPr>
            </w:pPr>
            <w:r w:rsidRPr="00823DEE">
              <w:rPr>
                <w:rFonts w:ascii="Times New Roman" w:hAnsi="Times New Roman" w:cs="Times New Roman"/>
                <w:bCs/>
                <w:sz w:val="20"/>
                <w:szCs w:val="20"/>
              </w:rPr>
              <w:t>Crowe Malaysia</w:t>
            </w:r>
          </w:p>
        </w:tc>
        <w:tc>
          <w:tcPr>
            <w:tcW w:w="1276" w:type="dxa"/>
          </w:tcPr>
          <w:p w14:paraId="3A5FBF0A" w14:textId="4EADDB78" w:rsidR="00137BB4" w:rsidRPr="00823DEE" w:rsidRDefault="00137BB4" w:rsidP="0008267D">
            <w:pPr>
              <w:jc w:val="center"/>
              <w:rPr>
                <w:rFonts w:ascii="Times New Roman" w:hAnsi="Times New Roman" w:cs="Times New Roman"/>
                <w:bCs/>
                <w:sz w:val="20"/>
                <w:szCs w:val="20"/>
              </w:rPr>
            </w:pPr>
            <w:r w:rsidRPr="00823DEE">
              <w:rPr>
                <w:rFonts w:ascii="Times New Roman" w:hAnsi="Times New Roman" w:cs="Times New Roman"/>
                <w:bCs/>
                <w:sz w:val="20"/>
                <w:szCs w:val="20"/>
              </w:rPr>
              <w:t>Crowe Malaysia</w:t>
            </w:r>
          </w:p>
        </w:tc>
        <w:tc>
          <w:tcPr>
            <w:tcW w:w="1276" w:type="dxa"/>
          </w:tcPr>
          <w:p w14:paraId="0630B176" w14:textId="7EC971FE" w:rsidR="00137BB4" w:rsidRPr="00823DEE" w:rsidRDefault="00137BB4" w:rsidP="0008267D">
            <w:pPr>
              <w:jc w:val="center"/>
              <w:rPr>
                <w:rFonts w:ascii="Times New Roman" w:hAnsi="Times New Roman" w:cs="Times New Roman"/>
                <w:bCs/>
                <w:sz w:val="20"/>
                <w:szCs w:val="20"/>
              </w:rPr>
            </w:pPr>
            <w:r w:rsidRPr="00823DEE">
              <w:rPr>
                <w:rFonts w:ascii="Times New Roman" w:hAnsi="Times New Roman" w:cs="Times New Roman"/>
                <w:bCs/>
                <w:sz w:val="20"/>
                <w:szCs w:val="20"/>
              </w:rPr>
              <w:t>Crowe Malaysia</w:t>
            </w:r>
          </w:p>
        </w:tc>
      </w:tr>
      <w:tr w:rsidR="00137BB4" w:rsidRPr="00823DEE" w14:paraId="2170703E" w14:textId="77777777" w:rsidTr="0008267D">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56160EF3" w14:textId="77777777" w:rsidR="00137BB4" w:rsidRPr="00823DEE" w:rsidRDefault="00137BB4" w:rsidP="00740E96">
            <w:pPr>
              <w:jc w:val="both"/>
              <w:rPr>
                <w:rFonts w:ascii="Times New Roman" w:hAnsi="Times New Roman" w:cs="Times New Roman"/>
                <w:bCs/>
                <w:sz w:val="20"/>
                <w:szCs w:val="20"/>
              </w:rPr>
            </w:pPr>
            <w:r w:rsidRPr="00823DEE">
              <w:rPr>
                <w:rFonts w:ascii="Times New Roman" w:eastAsia="Times New Roman" w:hAnsi="Times New Roman" w:cs="Times New Roman"/>
                <w:sz w:val="20"/>
                <w:szCs w:val="20"/>
                <w:lang w:eastAsia="en-MY"/>
              </w:rPr>
              <w:t>Lain-lain</w:t>
            </w:r>
          </w:p>
        </w:tc>
        <w:tc>
          <w:tcPr>
            <w:tcW w:w="1276" w:type="dxa"/>
          </w:tcPr>
          <w:p w14:paraId="27486429" w14:textId="77777777" w:rsidR="00137BB4" w:rsidRPr="00823DEE" w:rsidRDefault="00137BB4" w:rsidP="0008267D">
            <w:pPr>
              <w:jc w:val="center"/>
              <w:rPr>
                <w:rFonts w:ascii="Times New Roman" w:hAnsi="Times New Roman" w:cs="Times New Roman"/>
                <w:bCs/>
                <w:sz w:val="20"/>
                <w:szCs w:val="20"/>
              </w:rPr>
            </w:pPr>
            <w:r w:rsidRPr="00823DEE">
              <w:rPr>
                <w:rFonts w:ascii="Times New Roman" w:hAnsi="Times New Roman" w:cs="Times New Roman"/>
                <w:bCs/>
                <w:sz w:val="20"/>
                <w:szCs w:val="20"/>
              </w:rPr>
              <w:t>EY &amp; KPMG</w:t>
            </w:r>
          </w:p>
        </w:tc>
        <w:tc>
          <w:tcPr>
            <w:tcW w:w="1275" w:type="dxa"/>
          </w:tcPr>
          <w:p w14:paraId="1F37313E" w14:textId="77777777" w:rsidR="00137BB4" w:rsidRPr="00823DEE" w:rsidRDefault="00137BB4" w:rsidP="0008267D">
            <w:pPr>
              <w:jc w:val="center"/>
              <w:rPr>
                <w:rFonts w:ascii="Times New Roman" w:hAnsi="Times New Roman" w:cs="Times New Roman"/>
                <w:bCs/>
                <w:sz w:val="20"/>
                <w:szCs w:val="20"/>
              </w:rPr>
            </w:pPr>
            <w:r w:rsidRPr="00823DEE">
              <w:rPr>
                <w:rFonts w:ascii="Times New Roman" w:hAnsi="Times New Roman" w:cs="Times New Roman"/>
                <w:bCs/>
                <w:sz w:val="20"/>
                <w:szCs w:val="20"/>
              </w:rPr>
              <w:t>EY &amp; KPMG</w:t>
            </w:r>
          </w:p>
        </w:tc>
        <w:tc>
          <w:tcPr>
            <w:tcW w:w="1276" w:type="dxa"/>
          </w:tcPr>
          <w:p w14:paraId="2368E1C8" w14:textId="77777777" w:rsidR="00137BB4" w:rsidRPr="00823DEE" w:rsidRDefault="00137BB4" w:rsidP="0008267D">
            <w:pPr>
              <w:jc w:val="center"/>
              <w:rPr>
                <w:rFonts w:ascii="Times New Roman" w:hAnsi="Times New Roman" w:cs="Times New Roman"/>
                <w:bCs/>
                <w:sz w:val="20"/>
                <w:szCs w:val="20"/>
              </w:rPr>
            </w:pPr>
            <w:r w:rsidRPr="00823DEE">
              <w:rPr>
                <w:rFonts w:ascii="Times New Roman" w:hAnsi="Times New Roman" w:cs="Times New Roman"/>
                <w:bCs/>
                <w:sz w:val="20"/>
                <w:szCs w:val="20"/>
              </w:rPr>
              <w:t>EY &amp; KPMG</w:t>
            </w:r>
          </w:p>
        </w:tc>
        <w:tc>
          <w:tcPr>
            <w:tcW w:w="1276" w:type="dxa"/>
          </w:tcPr>
          <w:p w14:paraId="09AA695C" w14:textId="77777777" w:rsidR="00137BB4" w:rsidRPr="00823DEE" w:rsidRDefault="00137BB4" w:rsidP="0008267D">
            <w:pPr>
              <w:jc w:val="center"/>
              <w:rPr>
                <w:rFonts w:ascii="Times New Roman" w:hAnsi="Times New Roman" w:cs="Times New Roman"/>
                <w:bCs/>
                <w:sz w:val="20"/>
                <w:szCs w:val="20"/>
              </w:rPr>
            </w:pPr>
            <w:r w:rsidRPr="00823DEE">
              <w:rPr>
                <w:rFonts w:ascii="Times New Roman" w:hAnsi="Times New Roman" w:cs="Times New Roman"/>
                <w:bCs/>
                <w:sz w:val="20"/>
                <w:szCs w:val="20"/>
              </w:rPr>
              <w:t>EY &amp; KPMG</w:t>
            </w:r>
          </w:p>
        </w:tc>
        <w:tc>
          <w:tcPr>
            <w:tcW w:w="1276" w:type="dxa"/>
          </w:tcPr>
          <w:p w14:paraId="6998AEA2" w14:textId="77777777" w:rsidR="00137BB4" w:rsidRPr="00823DEE" w:rsidRDefault="00137BB4" w:rsidP="0008267D">
            <w:pPr>
              <w:jc w:val="center"/>
              <w:rPr>
                <w:rFonts w:ascii="Times New Roman" w:hAnsi="Times New Roman" w:cs="Times New Roman"/>
                <w:bCs/>
                <w:sz w:val="20"/>
                <w:szCs w:val="20"/>
              </w:rPr>
            </w:pPr>
          </w:p>
        </w:tc>
      </w:tr>
    </w:tbl>
    <w:p w14:paraId="04901A4E" w14:textId="77777777" w:rsidR="00823DEE" w:rsidRPr="00823DEE" w:rsidRDefault="00823DEE" w:rsidP="00823DEE">
      <w:pPr>
        <w:spacing w:after="0" w:line="240" w:lineRule="auto"/>
        <w:jc w:val="both"/>
        <w:rPr>
          <w:rFonts w:ascii="Times New Roman" w:hAnsi="Times New Roman" w:cs="Times New Roman"/>
          <w:sz w:val="20"/>
          <w:szCs w:val="20"/>
          <w:shd w:val="clear" w:color="auto" w:fill="FFFFFF"/>
        </w:rPr>
      </w:pPr>
      <w:r w:rsidRPr="00823DEE">
        <w:rPr>
          <w:rFonts w:ascii="Times New Roman" w:hAnsi="Times New Roman" w:cs="Times New Roman"/>
          <w:bCs/>
          <w:sz w:val="20"/>
          <w:szCs w:val="20"/>
        </w:rPr>
        <w:t xml:space="preserve">Nota: EY ialah firma audit Ernst &amp; Young, KPMG ialah KPMG Peat Marwicks, PWC ialah </w:t>
      </w:r>
      <w:r w:rsidRPr="00823DEE">
        <w:rPr>
          <w:rFonts w:ascii="Times New Roman" w:hAnsi="Times New Roman" w:cs="Times New Roman"/>
          <w:sz w:val="20"/>
          <w:szCs w:val="20"/>
          <w:shd w:val="clear" w:color="auto" w:fill="FFFFFF"/>
        </w:rPr>
        <w:t>Price WaterhouseCoopers, UHY ialah Urbach Hacker Young, BDO ialah Binder Dijker &amp; Otte Co</w:t>
      </w:r>
    </w:p>
    <w:p w14:paraId="274DE4CD" w14:textId="77777777" w:rsidR="00823DEE" w:rsidRDefault="00823DEE" w:rsidP="00823DEE">
      <w:pPr>
        <w:spacing w:after="0" w:line="240" w:lineRule="auto"/>
        <w:jc w:val="both"/>
        <w:rPr>
          <w:rFonts w:ascii="Times New Roman" w:eastAsiaTheme="majorEastAsia" w:hAnsi="Times New Roman" w:cs="Times New Roman"/>
          <w:sz w:val="24"/>
          <w:szCs w:val="24"/>
        </w:rPr>
      </w:pPr>
    </w:p>
    <w:p w14:paraId="0DE35791" w14:textId="77777777" w:rsidR="00137BB4" w:rsidRPr="00137BB4" w:rsidRDefault="00137BB4" w:rsidP="00740E96">
      <w:pPr>
        <w:spacing w:after="0" w:line="240" w:lineRule="auto"/>
        <w:jc w:val="both"/>
        <w:rPr>
          <w:rFonts w:ascii="Times New Roman" w:eastAsiaTheme="majorEastAsia" w:hAnsi="Times New Roman" w:cs="Times New Roman"/>
          <w:sz w:val="24"/>
          <w:szCs w:val="24"/>
        </w:rPr>
      </w:pPr>
    </w:p>
    <w:p w14:paraId="7C1825BE" w14:textId="5791AF2E" w:rsidR="00137BB4" w:rsidRPr="00137BB4" w:rsidRDefault="00137BB4" w:rsidP="00740E96">
      <w:pPr>
        <w:spacing w:after="0" w:line="240" w:lineRule="auto"/>
        <w:jc w:val="both"/>
        <w:rPr>
          <w:rFonts w:ascii="Times New Roman" w:hAnsi="Times New Roman" w:cs="Times New Roman"/>
          <w:sz w:val="24"/>
          <w:szCs w:val="24"/>
        </w:rPr>
      </w:pPr>
      <w:r w:rsidRPr="00137BB4">
        <w:rPr>
          <w:rFonts w:ascii="Times New Roman" w:hAnsi="Times New Roman" w:cs="Times New Roman"/>
          <w:sz w:val="24"/>
          <w:szCs w:val="24"/>
        </w:rPr>
        <w:t xml:space="preserve">Jadual </w:t>
      </w:r>
      <w:r w:rsidR="00823DEE">
        <w:rPr>
          <w:rFonts w:ascii="Times New Roman" w:hAnsi="Times New Roman" w:cs="Times New Roman"/>
          <w:sz w:val="24"/>
          <w:szCs w:val="24"/>
        </w:rPr>
        <w:t>6</w:t>
      </w:r>
      <w:r w:rsidRPr="00137BB4">
        <w:rPr>
          <w:rFonts w:ascii="Times New Roman" w:hAnsi="Times New Roman" w:cs="Times New Roman"/>
          <w:sz w:val="24"/>
          <w:szCs w:val="24"/>
        </w:rPr>
        <w:t xml:space="preserve"> menunjukkan analisis pekali korelasi Pearson yang digunakan untuk menjelaskan sama ada wujud korelasi yang tinggi antara setiap pemboleh ubah tidak bersandar (Pallant 2011). Hasil kajian menunjukkan bahawa tidak terdapat isu multikolineariti yang signifikan melibatkan pemboleh ubah kajian ini. Korelasi tertinggi adalah antara </w:t>
      </w:r>
      <w:r w:rsidR="00AC7D84">
        <w:rPr>
          <w:rFonts w:ascii="Times New Roman" w:hAnsi="Times New Roman" w:cs="Times New Roman"/>
          <w:sz w:val="24"/>
          <w:szCs w:val="24"/>
        </w:rPr>
        <w:t xml:space="preserve">saiz </w:t>
      </w:r>
      <w:r w:rsidR="00823DEE">
        <w:rPr>
          <w:rFonts w:ascii="Times New Roman" w:hAnsi="Times New Roman" w:cs="Times New Roman"/>
          <w:sz w:val="24"/>
          <w:szCs w:val="24"/>
        </w:rPr>
        <w:t>l</w:t>
      </w:r>
      <w:r w:rsidR="00AC7D84">
        <w:rPr>
          <w:rFonts w:ascii="Times New Roman" w:hAnsi="Times New Roman" w:cs="Times New Roman"/>
          <w:sz w:val="24"/>
          <w:szCs w:val="24"/>
        </w:rPr>
        <w:t>embaga pengarah</w:t>
      </w:r>
      <w:r w:rsidRPr="00137BB4">
        <w:rPr>
          <w:rFonts w:ascii="Times New Roman" w:hAnsi="Times New Roman" w:cs="Times New Roman"/>
          <w:sz w:val="24"/>
          <w:szCs w:val="24"/>
        </w:rPr>
        <w:t xml:space="preserve"> (</w:t>
      </w:r>
      <w:r w:rsidR="00AC7D84">
        <w:rPr>
          <w:rFonts w:ascii="Times New Roman" w:hAnsi="Times New Roman" w:cs="Times New Roman"/>
          <w:sz w:val="24"/>
          <w:szCs w:val="24"/>
        </w:rPr>
        <w:t>LPSaiz</w:t>
      </w:r>
      <w:r w:rsidRPr="00137BB4">
        <w:rPr>
          <w:rFonts w:ascii="Times New Roman" w:hAnsi="Times New Roman" w:cs="Times New Roman"/>
          <w:sz w:val="24"/>
          <w:szCs w:val="24"/>
        </w:rPr>
        <w:t>) dan saiz syarikat (</w:t>
      </w:r>
      <w:r w:rsidR="00782DC0">
        <w:rPr>
          <w:rFonts w:ascii="Times New Roman" w:hAnsi="Times New Roman" w:cs="Times New Roman"/>
          <w:sz w:val="24"/>
          <w:szCs w:val="24"/>
        </w:rPr>
        <w:t>Saiz</w:t>
      </w:r>
      <w:r w:rsidRPr="00137BB4">
        <w:rPr>
          <w:rFonts w:ascii="Times New Roman" w:hAnsi="Times New Roman" w:cs="Times New Roman"/>
          <w:sz w:val="24"/>
          <w:szCs w:val="24"/>
        </w:rPr>
        <w:t>) pada nilai 0.4</w:t>
      </w:r>
      <w:r w:rsidR="00AC7D84">
        <w:rPr>
          <w:rFonts w:ascii="Times New Roman" w:hAnsi="Times New Roman" w:cs="Times New Roman"/>
          <w:sz w:val="24"/>
          <w:szCs w:val="24"/>
        </w:rPr>
        <w:t>07</w:t>
      </w:r>
      <w:r w:rsidRPr="00137BB4">
        <w:rPr>
          <w:rFonts w:ascii="Times New Roman" w:hAnsi="Times New Roman" w:cs="Times New Roman"/>
          <w:sz w:val="24"/>
          <w:szCs w:val="24"/>
        </w:rPr>
        <w:t xml:space="preserve"> dan kolerasi bagi pemboleh ubah lain bernilai 0.</w:t>
      </w:r>
      <w:r w:rsidR="00AC7D84">
        <w:rPr>
          <w:rFonts w:ascii="Times New Roman" w:hAnsi="Times New Roman" w:cs="Times New Roman"/>
          <w:sz w:val="24"/>
          <w:szCs w:val="24"/>
        </w:rPr>
        <w:t>35</w:t>
      </w:r>
      <w:r w:rsidRPr="00137BB4">
        <w:rPr>
          <w:rFonts w:ascii="Times New Roman" w:hAnsi="Times New Roman" w:cs="Times New Roman"/>
          <w:sz w:val="24"/>
          <w:szCs w:val="24"/>
        </w:rPr>
        <w:t xml:space="preserve"> ke bawah. Ini menunjukkan pemboleh ubah dalam kajian ini tidak mempunyai masalah multikolineariti.</w:t>
      </w:r>
    </w:p>
    <w:p w14:paraId="456CE49B" w14:textId="77777777" w:rsidR="00137BB4" w:rsidRPr="00137BB4" w:rsidRDefault="00137BB4" w:rsidP="00740E96">
      <w:pPr>
        <w:spacing w:after="0" w:line="240" w:lineRule="auto"/>
        <w:jc w:val="both"/>
        <w:rPr>
          <w:rFonts w:ascii="Times New Roman" w:hAnsi="Times New Roman" w:cs="Times New Roman"/>
          <w:sz w:val="24"/>
          <w:szCs w:val="24"/>
        </w:rPr>
      </w:pPr>
    </w:p>
    <w:p w14:paraId="7D8AEE70" w14:textId="4011E47B" w:rsidR="00137BB4" w:rsidRPr="00137BB4" w:rsidRDefault="00137BB4" w:rsidP="00740E96">
      <w:pPr>
        <w:spacing w:after="0" w:line="240" w:lineRule="auto"/>
        <w:jc w:val="both"/>
        <w:rPr>
          <w:rFonts w:ascii="Times New Roman" w:hAnsi="Times New Roman" w:cs="Times New Roman"/>
          <w:sz w:val="24"/>
          <w:szCs w:val="24"/>
        </w:rPr>
      </w:pPr>
      <w:r w:rsidRPr="00137BB4">
        <w:rPr>
          <w:rFonts w:ascii="Times New Roman" w:hAnsi="Times New Roman" w:cs="Times New Roman"/>
          <w:sz w:val="24"/>
          <w:szCs w:val="24"/>
        </w:rPr>
        <w:tab/>
        <w:t>Selain itu, masalah multikolineariti juga boleh dikesan berdasarkan Analisis Faktor Inflasi Variasi (VIF). Kajian dijangkakan mempunyai masalah multikolineariti apabila nilai VIF lebih besar daripada 10 (Neter et al 1996). Namun, menurut Montgomery dan Peck (1982)</w:t>
      </w:r>
      <w:r w:rsidR="005E7DA1">
        <w:rPr>
          <w:rFonts w:ascii="Times New Roman" w:hAnsi="Times New Roman" w:cs="Times New Roman"/>
          <w:sz w:val="24"/>
          <w:szCs w:val="24"/>
        </w:rPr>
        <w:t xml:space="preserve">, </w:t>
      </w:r>
      <w:r w:rsidRPr="00137BB4">
        <w:rPr>
          <w:rFonts w:ascii="Times New Roman" w:hAnsi="Times New Roman" w:cs="Times New Roman"/>
          <w:sz w:val="24"/>
          <w:szCs w:val="24"/>
        </w:rPr>
        <w:t xml:space="preserve">pekali regresi tidak cukup baik apabila VIF &gt; 5-10 dan membawa kepada masalah multikolineariti. Berdasarkan </w:t>
      </w:r>
      <w:r w:rsidR="00AC7D84">
        <w:rPr>
          <w:rFonts w:ascii="Times New Roman" w:hAnsi="Times New Roman" w:cs="Times New Roman"/>
          <w:sz w:val="24"/>
          <w:szCs w:val="24"/>
        </w:rPr>
        <w:t xml:space="preserve">analisis </w:t>
      </w:r>
      <w:r w:rsidRPr="00137BB4">
        <w:rPr>
          <w:rFonts w:ascii="Times New Roman" w:hAnsi="Times New Roman" w:cs="Times New Roman"/>
          <w:sz w:val="24"/>
          <w:szCs w:val="24"/>
        </w:rPr>
        <w:t xml:space="preserve">VIF </w:t>
      </w:r>
      <w:r w:rsidR="00AC7D84">
        <w:rPr>
          <w:rFonts w:ascii="Times New Roman" w:hAnsi="Times New Roman" w:cs="Times New Roman"/>
          <w:sz w:val="24"/>
          <w:szCs w:val="24"/>
        </w:rPr>
        <w:t xml:space="preserve">(tidak dilaporkan) </w:t>
      </w:r>
      <w:r w:rsidRPr="00137BB4">
        <w:rPr>
          <w:rFonts w:ascii="Times New Roman" w:hAnsi="Times New Roman" w:cs="Times New Roman"/>
          <w:sz w:val="24"/>
          <w:szCs w:val="24"/>
        </w:rPr>
        <w:t xml:space="preserve">semua pemboleh ubah tidak bersandar tidak mempunyai masalah multikolineariti dan dikekalkan dalam model kajian ini. </w:t>
      </w:r>
    </w:p>
    <w:p w14:paraId="425E8AD1" w14:textId="77777777" w:rsidR="00137BB4" w:rsidRDefault="00137BB4" w:rsidP="00346674">
      <w:pPr>
        <w:keepNext/>
        <w:keepLines/>
        <w:spacing w:after="0" w:line="240" w:lineRule="auto"/>
        <w:jc w:val="both"/>
        <w:outlineLvl w:val="1"/>
        <w:rPr>
          <w:rFonts w:ascii="Times New Roman" w:hAnsi="Times New Roman" w:cs="Times New Roman"/>
          <w:sz w:val="24"/>
          <w:szCs w:val="24"/>
        </w:rPr>
      </w:pPr>
    </w:p>
    <w:p w14:paraId="651BFC3D" w14:textId="77777777" w:rsidR="00354D63" w:rsidRDefault="00354D63" w:rsidP="00346674">
      <w:pPr>
        <w:keepNext/>
        <w:keepLines/>
        <w:spacing w:after="0" w:line="240" w:lineRule="auto"/>
        <w:jc w:val="both"/>
        <w:outlineLvl w:val="1"/>
        <w:rPr>
          <w:rFonts w:ascii="Times New Roman" w:hAnsi="Times New Roman" w:cs="Times New Roman"/>
          <w:sz w:val="24"/>
          <w:szCs w:val="24"/>
        </w:rPr>
      </w:pPr>
    </w:p>
    <w:p w14:paraId="4D263177" w14:textId="77777777" w:rsidR="00354D63" w:rsidRDefault="00354D63" w:rsidP="00354D63">
      <w:pPr>
        <w:pStyle w:val="NormalWeb"/>
        <w:tabs>
          <w:tab w:val="left" w:pos="142"/>
          <w:tab w:val="left" w:pos="284"/>
        </w:tabs>
        <w:spacing w:before="0" w:beforeAutospacing="0" w:after="0" w:afterAutospacing="0"/>
        <w:jc w:val="center"/>
        <w:rPr>
          <w:bCs/>
        </w:rPr>
      </w:pPr>
      <w:r w:rsidRPr="00137BB4">
        <w:rPr>
          <w:bCs/>
        </w:rPr>
        <w:t xml:space="preserve">Jadual </w:t>
      </w:r>
      <w:r>
        <w:rPr>
          <w:bCs/>
        </w:rPr>
        <w:t xml:space="preserve">6 </w:t>
      </w:r>
      <w:r w:rsidRPr="00137BB4">
        <w:rPr>
          <w:bCs/>
        </w:rPr>
        <w:t>Ujian Korelasi Pearson</w:t>
      </w:r>
    </w:p>
    <w:p w14:paraId="4D44867C" w14:textId="77777777" w:rsidR="00354D63" w:rsidRPr="00137BB4" w:rsidRDefault="00354D63" w:rsidP="00354D63">
      <w:pPr>
        <w:pStyle w:val="NormalWeb"/>
        <w:tabs>
          <w:tab w:val="left" w:pos="142"/>
          <w:tab w:val="left" w:pos="284"/>
        </w:tabs>
        <w:spacing w:before="0" w:beforeAutospacing="0" w:after="0" w:afterAutospacing="0"/>
        <w:jc w:val="center"/>
        <w:rPr>
          <w:bCs/>
        </w:rPr>
      </w:pPr>
    </w:p>
    <w:tbl>
      <w:tblPr>
        <w:tblStyle w:val="TableGrid"/>
        <w:tblW w:w="10060" w:type="dxa"/>
        <w:jc w:val="center"/>
        <w:tblLayout w:type="fixed"/>
        <w:tblLook w:val="04A0" w:firstRow="1" w:lastRow="0" w:firstColumn="1" w:lastColumn="0" w:noHBand="0" w:noVBand="1"/>
      </w:tblPr>
      <w:tblGrid>
        <w:gridCol w:w="991"/>
        <w:gridCol w:w="994"/>
        <w:gridCol w:w="988"/>
        <w:gridCol w:w="992"/>
        <w:gridCol w:w="1134"/>
        <w:gridCol w:w="992"/>
        <w:gridCol w:w="992"/>
        <w:gridCol w:w="993"/>
        <w:gridCol w:w="992"/>
        <w:gridCol w:w="992"/>
      </w:tblGrid>
      <w:tr w:rsidR="00354D63" w:rsidRPr="00ED063C" w14:paraId="4639994C" w14:textId="77777777" w:rsidTr="00402F1E">
        <w:trPr>
          <w:jc w:val="center"/>
        </w:trPr>
        <w:tc>
          <w:tcPr>
            <w:tcW w:w="991" w:type="dxa"/>
          </w:tcPr>
          <w:p w14:paraId="58E81E3C" w14:textId="77777777" w:rsidR="00354D63" w:rsidRPr="00ED063C" w:rsidRDefault="00354D63" w:rsidP="00402F1E">
            <w:pPr>
              <w:pStyle w:val="NormalWeb"/>
              <w:tabs>
                <w:tab w:val="left" w:pos="142"/>
                <w:tab w:val="left" w:pos="284"/>
              </w:tabs>
              <w:spacing w:before="0" w:beforeAutospacing="0" w:after="0" w:afterAutospacing="0"/>
              <w:jc w:val="center"/>
              <w:rPr>
                <w:bCs/>
                <w:sz w:val="18"/>
                <w:szCs w:val="18"/>
              </w:rPr>
            </w:pPr>
            <w:r w:rsidRPr="00ED063C">
              <w:rPr>
                <w:bCs/>
                <w:sz w:val="18"/>
                <w:szCs w:val="18"/>
              </w:rPr>
              <w:t>Variable</w:t>
            </w:r>
          </w:p>
        </w:tc>
        <w:tc>
          <w:tcPr>
            <w:tcW w:w="994" w:type="dxa"/>
          </w:tcPr>
          <w:p w14:paraId="5BDCBFCF" w14:textId="77777777" w:rsidR="00354D63" w:rsidRPr="00ED063C" w:rsidRDefault="00354D63" w:rsidP="00402F1E">
            <w:pPr>
              <w:pStyle w:val="NormalWeb"/>
              <w:tabs>
                <w:tab w:val="left" w:pos="142"/>
                <w:tab w:val="left" w:pos="284"/>
              </w:tabs>
              <w:spacing w:before="0" w:beforeAutospacing="0" w:after="0" w:afterAutospacing="0"/>
              <w:jc w:val="center"/>
              <w:rPr>
                <w:bCs/>
                <w:sz w:val="18"/>
                <w:szCs w:val="18"/>
              </w:rPr>
            </w:pPr>
            <w:r w:rsidRPr="00ED063C">
              <w:rPr>
                <w:bCs/>
                <w:sz w:val="18"/>
                <w:szCs w:val="18"/>
              </w:rPr>
              <w:t>LNUPB</w:t>
            </w:r>
          </w:p>
        </w:tc>
        <w:tc>
          <w:tcPr>
            <w:tcW w:w="988" w:type="dxa"/>
          </w:tcPr>
          <w:p w14:paraId="3EB74423" w14:textId="77777777" w:rsidR="00354D63" w:rsidRPr="00ED063C" w:rsidRDefault="00354D63" w:rsidP="00402F1E">
            <w:pPr>
              <w:pStyle w:val="NormalWeb"/>
              <w:tabs>
                <w:tab w:val="left" w:pos="142"/>
                <w:tab w:val="left" w:pos="284"/>
              </w:tabs>
              <w:spacing w:before="0" w:beforeAutospacing="0" w:after="0" w:afterAutospacing="0"/>
              <w:jc w:val="center"/>
              <w:rPr>
                <w:bCs/>
                <w:sz w:val="18"/>
                <w:szCs w:val="18"/>
              </w:rPr>
            </w:pPr>
            <w:r w:rsidRPr="00ED063C">
              <w:rPr>
                <w:bCs/>
                <w:sz w:val="18"/>
                <w:szCs w:val="18"/>
              </w:rPr>
              <w:t>FAPI10%</w:t>
            </w:r>
          </w:p>
        </w:tc>
        <w:tc>
          <w:tcPr>
            <w:tcW w:w="992" w:type="dxa"/>
          </w:tcPr>
          <w:p w14:paraId="17BDC7B0" w14:textId="77777777" w:rsidR="00354D63" w:rsidRPr="00ED063C" w:rsidRDefault="00354D63" w:rsidP="00402F1E">
            <w:pPr>
              <w:pStyle w:val="NormalWeb"/>
              <w:tabs>
                <w:tab w:val="left" w:pos="142"/>
                <w:tab w:val="left" w:pos="284"/>
              </w:tabs>
              <w:spacing w:before="0" w:beforeAutospacing="0" w:after="0" w:afterAutospacing="0"/>
              <w:jc w:val="center"/>
              <w:rPr>
                <w:bCs/>
                <w:sz w:val="18"/>
                <w:szCs w:val="18"/>
              </w:rPr>
            </w:pPr>
            <w:r w:rsidRPr="00ED063C">
              <w:rPr>
                <w:bCs/>
                <w:sz w:val="18"/>
                <w:szCs w:val="18"/>
              </w:rPr>
              <w:t>FAPI20%</w:t>
            </w:r>
          </w:p>
        </w:tc>
        <w:tc>
          <w:tcPr>
            <w:tcW w:w="1134" w:type="dxa"/>
          </w:tcPr>
          <w:p w14:paraId="66A25DA9" w14:textId="77777777" w:rsidR="00354D63" w:rsidRPr="00ED063C" w:rsidRDefault="00354D63" w:rsidP="00402F1E">
            <w:pPr>
              <w:pStyle w:val="NormalWeb"/>
              <w:tabs>
                <w:tab w:val="left" w:pos="142"/>
                <w:tab w:val="left" w:pos="284"/>
              </w:tabs>
              <w:spacing w:before="0" w:beforeAutospacing="0" w:after="0" w:afterAutospacing="0"/>
              <w:jc w:val="center"/>
              <w:rPr>
                <w:bCs/>
                <w:sz w:val="18"/>
                <w:szCs w:val="18"/>
              </w:rPr>
            </w:pPr>
            <w:r w:rsidRPr="00ED063C">
              <w:rPr>
                <w:bCs/>
                <w:sz w:val="18"/>
                <w:szCs w:val="18"/>
              </w:rPr>
              <w:t>JKAudit</w:t>
            </w:r>
          </w:p>
        </w:tc>
        <w:tc>
          <w:tcPr>
            <w:tcW w:w="992" w:type="dxa"/>
          </w:tcPr>
          <w:p w14:paraId="7DF01B78" w14:textId="77777777" w:rsidR="00354D63" w:rsidRPr="00ED063C" w:rsidRDefault="00354D63" w:rsidP="00402F1E">
            <w:pPr>
              <w:pStyle w:val="NormalWeb"/>
              <w:tabs>
                <w:tab w:val="left" w:pos="142"/>
                <w:tab w:val="left" w:pos="284"/>
              </w:tabs>
              <w:spacing w:before="0" w:beforeAutospacing="0" w:after="0" w:afterAutospacing="0"/>
              <w:jc w:val="center"/>
              <w:rPr>
                <w:bCs/>
                <w:sz w:val="18"/>
                <w:szCs w:val="18"/>
              </w:rPr>
            </w:pPr>
            <w:r w:rsidRPr="00ED063C">
              <w:rPr>
                <w:bCs/>
                <w:sz w:val="18"/>
                <w:szCs w:val="18"/>
              </w:rPr>
              <w:t>PBebas</w:t>
            </w:r>
          </w:p>
        </w:tc>
        <w:tc>
          <w:tcPr>
            <w:tcW w:w="992" w:type="dxa"/>
          </w:tcPr>
          <w:p w14:paraId="7F5ACD31" w14:textId="77777777" w:rsidR="00354D63" w:rsidRPr="00ED063C" w:rsidRDefault="00354D63" w:rsidP="00402F1E">
            <w:pPr>
              <w:pStyle w:val="NormalWeb"/>
              <w:tabs>
                <w:tab w:val="left" w:pos="142"/>
                <w:tab w:val="left" w:pos="284"/>
              </w:tabs>
              <w:spacing w:before="0" w:beforeAutospacing="0" w:after="0" w:afterAutospacing="0"/>
              <w:jc w:val="center"/>
              <w:rPr>
                <w:bCs/>
                <w:sz w:val="18"/>
                <w:szCs w:val="18"/>
              </w:rPr>
            </w:pPr>
            <w:r w:rsidRPr="00ED063C">
              <w:rPr>
                <w:bCs/>
                <w:sz w:val="18"/>
                <w:szCs w:val="18"/>
              </w:rPr>
              <w:t>LPSaiz</w:t>
            </w:r>
          </w:p>
        </w:tc>
        <w:tc>
          <w:tcPr>
            <w:tcW w:w="993" w:type="dxa"/>
          </w:tcPr>
          <w:p w14:paraId="597EC1B7" w14:textId="77777777" w:rsidR="00354D63" w:rsidRPr="00ED063C" w:rsidRDefault="00354D63" w:rsidP="00402F1E">
            <w:pPr>
              <w:pStyle w:val="NormalWeb"/>
              <w:tabs>
                <w:tab w:val="left" w:pos="142"/>
                <w:tab w:val="left" w:pos="284"/>
              </w:tabs>
              <w:spacing w:before="0" w:beforeAutospacing="0" w:after="0" w:afterAutospacing="0"/>
              <w:jc w:val="center"/>
              <w:rPr>
                <w:bCs/>
                <w:sz w:val="18"/>
                <w:szCs w:val="18"/>
              </w:rPr>
            </w:pPr>
            <w:r w:rsidRPr="00ED063C">
              <w:rPr>
                <w:bCs/>
                <w:sz w:val="18"/>
                <w:szCs w:val="18"/>
              </w:rPr>
              <w:t>Saiz</w:t>
            </w:r>
          </w:p>
        </w:tc>
        <w:tc>
          <w:tcPr>
            <w:tcW w:w="992" w:type="dxa"/>
          </w:tcPr>
          <w:p w14:paraId="6EDA7F7D" w14:textId="77777777" w:rsidR="00354D63" w:rsidRPr="00ED063C" w:rsidRDefault="00354D63" w:rsidP="00402F1E">
            <w:pPr>
              <w:pStyle w:val="NormalWeb"/>
              <w:tabs>
                <w:tab w:val="left" w:pos="142"/>
                <w:tab w:val="left" w:pos="284"/>
              </w:tabs>
              <w:spacing w:before="0" w:beforeAutospacing="0" w:after="0" w:afterAutospacing="0"/>
              <w:jc w:val="center"/>
              <w:rPr>
                <w:bCs/>
                <w:sz w:val="18"/>
                <w:szCs w:val="18"/>
              </w:rPr>
            </w:pPr>
            <w:r w:rsidRPr="00ED063C">
              <w:rPr>
                <w:bCs/>
                <w:sz w:val="18"/>
                <w:szCs w:val="18"/>
              </w:rPr>
              <w:t>PAA</w:t>
            </w:r>
          </w:p>
        </w:tc>
        <w:tc>
          <w:tcPr>
            <w:tcW w:w="992" w:type="dxa"/>
          </w:tcPr>
          <w:p w14:paraId="4F59E1D5" w14:textId="77777777" w:rsidR="00354D63" w:rsidRPr="00ED063C" w:rsidRDefault="00354D63" w:rsidP="00402F1E">
            <w:pPr>
              <w:pStyle w:val="NormalWeb"/>
              <w:tabs>
                <w:tab w:val="left" w:pos="142"/>
                <w:tab w:val="left" w:pos="284"/>
              </w:tabs>
              <w:spacing w:before="0" w:beforeAutospacing="0" w:after="0" w:afterAutospacing="0"/>
              <w:jc w:val="center"/>
              <w:rPr>
                <w:bCs/>
                <w:sz w:val="18"/>
                <w:szCs w:val="18"/>
              </w:rPr>
            </w:pPr>
            <w:r w:rsidRPr="00ED063C">
              <w:rPr>
                <w:bCs/>
                <w:sz w:val="18"/>
                <w:szCs w:val="18"/>
              </w:rPr>
              <w:t>Tumbuh</w:t>
            </w:r>
          </w:p>
        </w:tc>
      </w:tr>
      <w:tr w:rsidR="00354D63" w:rsidRPr="00ED063C" w14:paraId="6E77DA66" w14:textId="77777777" w:rsidTr="00402F1E">
        <w:trPr>
          <w:jc w:val="center"/>
        </w:trPr>
        <w:tc>
          <w:tcPr>
            <w:tcW w:w="991" w:type="dxa"/>
          </w:tcPr>
          <w:p w14:paraId="2ABAC82F" w14:textId="77777777" w:rsidR="00354D63" w:rsidRPr="00ED063C" w:rsidRDefault="00354D63" w:rsidP="00402F1E">
            <w:pPr>
              <w:pStyle w:val="NormalWeb"/>
              <w:spacing w:line="360" w:lineRule="auto"/>
              <w:jc w:val="center"/>
              <w:rPr>
                <w:bCs/>
                <w:sz w:val="18"/>
                <w:szCs w:val="18"/>
              </w:rPr>
            </w:pPr>
            <w:r w:rsidRPr="00ED063C">
              <w:rPr>
                <w:bCs/>
                <w:sz w:val="18"/>
                <w:szCs w:val="18"/>
              </w:rPr>
              <w:t>FAPI10%</w:t>
            </w:r>
          </w:p>
        </w:tc>
        <w:tc>
          <w:tcPr>
            <w:tcW w:w="994" w:type="dxa"/>
          </w:tcPr>
          <w:p w14:paraId="5A9E892A" w14:textId="77777777" w:rsidR="00354D63" w:rsidRPr="00ED063C" w:rsidRDefault="00354D63" w:rsidP="00402F1E">
            <w:pPr>
              <w:pStyle w:val="NormalWeb"/>
              <w:tabs>
                <w:tab w:val="left" w:pos="142"/>
                <w:tab w:val="left" w:pos="284"/>
              </w:tabs>
              <w:spacing w:line="360" w:lineRule="auto"/>
              <w:jc w:val="center"/>
              <w:rPr>
                <w:bCs/>
                <w:sz w:val="18"/>
                <w:szCs w:val="18"/>
                <w:highlight w:val="lightGray"/>
              </w:rPr>
            </w:pPr>
            <w:r w:rsidRPr="00ED063C">
              <w:rPr>
                <w:bCs/>
                <w:sz w:val="18"/>
                <w:szCs w:val="18"/>
              </w:rPr>
              <w:t>0.164***</w:t>
            </w:r>
          </w:p>
        </w:tc>
        <w:tc>
          <w:tcPr>
            <w:tcW w:w="988" w:type="dxa"/>
          </w:tcPr>
          <w:p w14:paraId="0F010526" w14:textId="77777777" w:rsidR="00354D63" w:rsidRPr="00ED063C" w:rsidRDefault="00354D63" w:rsidP="00402F1E">
            <w:pPr>
              <w:pStyle w:val="NormalWeb"/>
              <w:tabs>
                <w:tab w:val="left" w:pos="142"/>
                <w:tab w:val="left" w:pos="284"/>
              </w:tabs>
              <w:spacing w:line="360" w:lineRule="auto"/>
              <w:jc w:val="center"/>
              <w:rPr>
                <w:bCs/>
                <w:sz w:val="18"/>
                <w:szCs w:val="18"/>
                <w:highlight w:val="lightGray"/>
              </w:rPr>
            </w:pPr>
          </w:p>
        </w:tc>
        <w:tc>
          <w:tcPr>
            <w:tcW w:w="992" w:type="dxa"/>
          </w:tcPr>
          <w:p w14:paraId="352F4411" w14:textId="77777777" w:rsidR="00354D63" w:rsidRPr="00ED063C" w:rsidRDefault="00354D63" w:rsidP="00402F1E">
            <w:pPr>
              <w:pStyle w:val="NormalWeb"/>
              <w:tabs>
                <w:tab w:val="left" w:pos="142"/>
                <w:tab w:val="left" w:pos="284"/>
              </w:tabs>
              <w:spacing w:line="360" w:lineRule="auto"/>
              <w:jc w:val="center"/>
              <w:rPr>
                <w:bCs/>
                <w:sz w:val="18"/>
                <w:szCs w:val="18"/>
                <w:highlight w:val="lightGray"/>
              </w:rPr>
            </w:pPr>
          </w:p>
        </w:tc>
        <w:tc>
          <w:tcPr>
            <w:tcW w:w="1134" w:type="dxa"/>
          </w:tcPr>
          <w:p w14:paraId="71532208" w14:textId="77777777" w:rsidR="00354D63" w:rsidRPr="00ED063C" w:rsidRDefault="00354D63" w:rsidP="00402F1E">
            <w:pPr>
              <w:pStyle w:val="NormalWeb"/>
              <w:tabs>
                <w:tab w:val="left" w:pos="142"/>
                <w:tab w:val="left" w:pos="284"/>
              </w:tabs>
              <w:spacing w:line="360" w:lineRule="auto"/>
              <w:jc w:val="center"/>
              <w:rPr>
                <w:bCs/>
                <w:sz w:val="18"/>
                <w:szCs w:val="18"/>
                <w:highlight w:val="lightGray"/>
              </w:rPr>
            </w:pPr>
          </w:p>
        </w:tc>
        <w:tc>
          <w:tcPr>
            <w:tcW w:w="992" w:type="dxa"/>
          </w:tcPr>
          <w:p w14:paraId="1D4D6F4A" w14:textId="77777777" w:rsidR="00354D63" w:rsidRPr="00ED063C" w:rsidRDefault="00354D63" w:rsidP="00402F1E">
            <w:pPr>
              <w:pStyle w:val="NormalWeb"/>
              <w:tabs>
                <w:tab w:val="left" w:pos="142"/>
                <w:tab w:val="left" w:pos="284"/>
              </w:tabs>
              <w:spacing w:line="360" w:lineRule="auto"/>
              <w:jc w:val="center"/>
              <w:rPr>
                <w:bCs/>
                <w:sz w:val="18"/>
                <w:szCs w:val="18"/>
                <w:highlight w:val="lightGray"/>
              </w:rPr>
            </w:pPr>
          </w:p>
        </w:tc>
        <w:tc>
          <w:tcPr>
            <w:tcW w:w="992" w:type="dxa"/>
          </w:tcPr>
          <w:p w14:paraId="3EB33064" w14:textId="77777777" w:rsidR="00354D63" w:rsidRPr="00ED063C" w:rsidRDefault="00354D63" w:rsidP="00402F1E">
            <w:pPr>
              <w:pStyle w:val="NormalWeb"/>
              <w:tabs>
                <w:tab w:val="left" w:pos="142"/>
                <w:tab w:val="left" w:pos="284"/>
              </w:tabs>
              <w:spacing w:line="360" w:lineRule="auto"/>
              <w:jc w:val="center"/>
              <w:rPr>
                <w:bCs/>
                <w:sz w:val="18"/>
                <w:szCs w:val="18"/>
                <w:highlight w:val="lightGray"/>
              </w:rPr>
            </w:pPr>
          </w:p>
        </w:tc>
        <w:tc>
          <w:tcPr>
            <w:tcW w:w="993" w:type="dxa"/>
          </w:tcPr>
          <w:p w14:paraId="7B54433E" w14:textId="77777777" w:rsidR="00354D63" w:rsidRPr="00ED063C" w:rsidRDefault="00354D63" w:rsidP="00402F1E">
            <w:pPr>
              <w:pStyle w:val="NormalWeb"/>
              <w:tabs>
                <w:tab w:val="left" w:pos="142"/>
                <w:tab w:val="left" w:pos="284"/>
              </w:tabs>
              <w:spacing w:line="360" w:lineRule="auto"/>
              <w:jc w:val="center"/>
              <w:rPr>
                <w:bCs/>
                <w:sz w:val="18"/>
                <w:szCs w:val="18"/>
              </w:rPr>
            </w:pPr>
          </w:p>
        </w:tc>
        <w:tc>
          <w:tcPr>
            <w:tcW w:w="992" w:type="dxa"/>
          </w:tcPr>
          <w:p w14:paraId="6AA49656" w14:textId="77777777" w:rsidR="00354D63" w:rsidRPr="00ED063C" w:rsidRDefault="00354D63" w:rsidP="00402F1E">
            <w:pPr>
              <w:pStyle w:val="NormalWeb"/>
              <w:tabs>
                <w:tab w:val="left" w:pos="142"/>
                <w:tab w:val="left" w:pos="284"/>
              </w:tabs>
              <w:spacing w:line="360" w:lineRule="auto"/>
              <w:jc w:val="center"/>
              <w:rPr>
                <w:bCs/>
                <w:sz w:val="18"/>
                <w:szCs w:val="18"/>
              </w:rPr>
            </w:pPr>
          </w:p>
        </w:tc>
        <w:tc>
          <w:tcPr>
            <w:tcW w:w="992" w:type="dxa"/>
          </w:tcPr>
          <w:p w14:paraId="472841F9" w14:textId="77777777" w:rsidR="00354D63" w:rsidRPr="00ED063C" w:rsidRDefault="00354D63" w:rsidP="00402F1E">
            <w:pPr>
              <w:pStyle w:val="NormalWeb"/>
              <w:tabs>
                <w:tab w:val="left" w:pos="142"/>
                <w:tab w:val="left" w:pos="284"/>
              </w:tabs>
              <w:spacing w:line="360" w:lineRule="auto"/>
              <w:jc w:val="center"/>
              <w:rPr>
                <w:bCs/>
                <w:sz w:val="18"/>
                <w:szCs w:val="18"/>
              </w:rPr>
            </w:pPr>
          </w:p>
        </w:tc>
      </w:tr>
      <w:tr w:rsidR="00354D63" w:rsidRPr="00ED063C" w14:paraId="2299E585" w14:textId="77777777" w:rsidTr="00402F1E">
        <w:trPr>
          <w:jc w:val="center"/>
        </w:trPr>
        <w:tc>
          <w:tcPr>
            <w:tcW w:w="991" w:type="dxa"/>
          </w:tcPr>
          <w:p w14:paraId="07027F4F" w14:textId="77777777" w:rsidR="00354D63" w:rsidRPr="00ED063C" w:rsidRDefault="00354D63" w:rsidP="00402F1E">
            <w:pPr>
              <w:pStyle w:val="NormalWeb"/>
              <w:tabs>
                <w:tab w:val="left" w:pos="142"/>
                <w:tab w:val="left" w:pos="284"/>
              </w:tabs>
              <w:spacing w:line="360" w:lineRule="auto"/>
              <w:jc w:val="center"/>
              <w:rPr>
                <w:bCs/>
                <w:sz w:val="18"/>
                <w:szCs w:val="18"/>
              </w:rPr>
            </w:pPr>
            <w:r w:rsidRPr="00ED063C">
              <w:rPr>
                <w:bCs/>
                <w:sz w:val="18"/>
                <w:szCs w:val="18"/>
              </w:rPr>
              <w:t>FAPI20%</w:t>
            </w:r>
          </w:p>
        </w:tc>
        <w:tc>
          <w:tcPr>
            <w:tcW w:w="994" w:type="dxa"/>
          </w:tcPr>
          <w:p w14:paraId="05DA9DBE" w14:textId="77777777" w:rsidR="00354D63" w:rsidRPr="00ED063C" w:rsidRDefault="00354D63" w:rsidP="00402F1E">
            <w:pPr>
              <w:pStyle w:val="NormalWeb"/>
              <w:tabs>
                <w:tab w:val="left" w:pos="142"/>
                <w:tab w:val="left" w:pos="284"/>
              </w:tabs>
              <w:spacing w:line="360" w:lineRule="auto"/>
              <w:jc w:val="center"/>
              <w:rPr>
                <w:bCs/>
                <w:sz w:val="18"/>
                <w:szCs w:val="18"/>
              </w:rPr>
            </w:pPr>
            <w:r w:rsidRPr="00ED063C">
              <w:rPr>
                <w:bCs/>
                <w:sz w:val="18"/>
                <w:szCs w:val="18"/>
              </w:rPr>
              <w:t>0.082***</w:t>
            </w:r>
          </w:p>
        </w:tc>
        <w:tc>
          <w:tcPr>
            <w:tcW w:w="988" w:type="dxa"/>
          </w:tcPr>
          <w:p w14:paraId="2EE243A9" w14:textId="77777777" w:rsidR="00354D63" w:rsidRPr="00ED063C" w:rsidRDefault="00354D63" w:rsidP="00402F1E">
            <w:pPr>
              <w:pStyle w:val="NormalWeb"/>
              <w:tabs>
                <w:tab w:val="left" w:pos="142"/>
                <w:tab w:val="left" w:pos="284"/>
              </w:tabs>
              <w:spacing w:line="360" w:lineRule="auto"/>
              <w:jc w:val="center"/>
              <w:rPr>
                <w:bCs/>
                <w:sz w:val="18"/>
                <w:szCs w:val="18"/>
              </w:rPr>
            </w:pPr>
          </w:p>
        </w:tc>
        <w:tc>
          <w:tcPr>
            <w:tcW w:w="992" w:type="dxa"/>
          </w:tcPr>
          <w:p w14:paraId="394A88BB" w14:textId="77777777" w:rsidR="00354D63" w:rsidRPr="00ED063C" w:rsidRDefault="00354D63" w:rsidP="00402F1E">
            <w:pPr>
              <w:pStyle w:val="NormalWeb"/>
              <w:tabs>
                <w:tab w:val="left" w:pos="142"/>
                <w:tab w:val="left" w:pos="284"/>
              </w:tabs>
              <w:spacing w:line="360" w:lineRule="auto"/>
              <w:jc w:val="center"/>
              <w:rPr>
                <w:bCs/>
                <w:sz w:val="18"/>
                <w:szCs w:val="18"/>
              </w:rPr>
            </w:pPr>
          </w:p>
        </w:tc>
        <w:tc>
          <w:tcPr>
            <w:tcW w:w="1134" w:type="dxa"/>
          </w:tcPr>
          <w:p w14:paraId="7B6C3BB5" w14:textId="77777777" w:rsidR="00354D63" w:rsidRPr="00ED063C" w:rsidRDefault="00354D63" w:rsidP="00402F1E">
            <w:pPr>
              <w:pStyle w:val="NormalWeb"/>
              <w:tabs>
                <w:tab w:val="left" w:pos="142"/>
                <w:tab w:val="left" w:pos="284"/>
              </w:tabs>
              <w:spacing w:line="360" w:lineRule="auto"/>
              <w:jc w:val="center"/>
              <w:rPr>
                <w:bCs/>
                <w:sz w:val="18"/>
                <w:szCs w:val="18"/>
                <w:highlight w:val="lightGray"/>
              </w:rPr>
            </w:pPr>
          </w:p>
        </w:tc>
        <w:tc>
          <w:tcPr>
            <w:tcW w:w="992" w:type="dxa"/>
          </w:tcPr>
          <w:p w14:paraId="023B7D6D" w14:textId="77777777" w:rsidR="00354D63" w:rsidRPr="00ED063C" w:rsidRDefault="00354D63" w:rsidP="00402F1E">
            <w:pPr>
              <w:pStyle w:val="NormalWeb"/>
              <w:tabs>
                <w:tab w:val="left" w:pos="142"/>
                <w:tab w:val="left" w:pos="284"/>
              </w:tabs>
              <w:spacing w:line="360" w:lineRule="auto"/>
              <w:jc w:val="center"/>
              <w:rPr>
                <w:bCs/>
                <w:sz w:val="18"/>
                <w:szCs w:val="18"/>
                <w:highlight w:val="lightGray"/>
              </w:rPr>
            </w:pPr>
          </w:p>
        </w:tc>
        <w:tc>
          <w:tcPr>
            <w:tcW w:w="992" w:type="dxa"/>
          </w:tcPr>
          <w:p w14:paraId="3F477D03" w14:textId="77777777" w:rsidR="00354D63" w:rsidRPr="00ED063C" w:rsidRDefault="00354D63" w:rsidP="00402F1E">
            <w:pPr>
              <w:pStyle w:val="NormalWeb"/>
              <w:tabs>
                <w:tab w:val="left" w:pos="142"/>
                <w:tab w:val="left" w:pos="284"/>
              </w:tabs>
              <w:spacing w:line="360" w:lineRule="auto"/>
              <w:jc w:val="center"/>
              <w:rPr>
                <w:bCs/>
                <w:sz w:val="18"/>
                <w:szCs w:val="18"/>
                <w:highlight w:val="lightGray"/>
              </w:rPr>
            </w:pPr>
          </w:p>
        </w:tc>
        <w:tc>
          <w:tcPr>
            <w:tcW w:w="993" w:type="dxa"/>
          </w:tcPr>
          <w:p w14:paraId="3493C1B2" w14:textId="77777777" w:rsidR="00354D63" w:rsidRPr="00ED063C" w:rsidRDefault="00354D63" w:rsidP="00402F1E">
            <w:pPr>
              <w:pStyle w:val="NormalWeb"/>
              <w:tabs>
                <w:tab w:val="left" w:pos="142"/>
                <w:tab w:val="left" w:pos="284"/>
              </w:tabs>
              <w:spacing w:line="360" w:lineRule="auto"/>
              <w:jc w:val="center"/>
              <w:rPr>
                <w:bCs/>
                <w:sz w:val="18"/>
                <w:szCs w:val="18"/>
              </w:rPr>
            </w:pPr>
          </w:p>
        </w:tc>
        <w:tc>
          <w:tcPr>
            <w:tcW w:w="992" w:type="dxa"/>
          </w:tcPr>
          <w:p w14:paraId="237A9FD5" w14:textId="77777777" w:rsidR="00354D63" w:rsidRPr="00ED063C" w:rsidRDefault="00354D63" w:rsidP="00402F1E">
            <w:pPr>
              <w:pStyle w:val="NormalWeb"/>
              <w:tabs>
                <w:tab w:val="left" w:pos="142"/>
                <w:tab w:val="left" w:pos="284"/>
              </w:tabs>
              <w:spacing w:line="360" w:lineRule="auto"/>
              <w:jc w:val="center"/>
              <w:rPr>
                <w:bCs/>
                <w:sz w:val="18"/>
                <w:szCs w:val="18"/>
              </w:rPr>
            </w:pPr>
          </w:p>
        </w:tc>
        <w:tc>
          <w:tcPr>
            <w:tcW w:w="992" w:type="dxa"/>
          </w:tcPr>
          <w:p w14:paraId="325283E0" w14:textId="77777777" w:rsidR="00354D63" w:rsidRPr="00ED063C" w:rsidRDefault="00354D63" w:rsidP="00402F1E">
            <w:pPr>
              <w:pStyle w:val="NormalWeb"/>
              <w:tabs>
                <w:tab w:val="left" w:pos="142"/>
                <w:tab w:val="left" w:pos="284"/>
              </w:tabs>
              <w:spacing w:line="360" w:lineRule="auto"/>
              <w:jc w:val="center"/>
              <w:rPr>
                <w:bCs/>
                <w:sz w:val="18"/>
                <w:szCs w:val="18"/>
              </w:rPr>
            </w:pPr>
          </w:p>
        </w:tc>
      </w:tr>
      <w:tr w:rsidR="00354D63" w:rsidRPr="00ED063C" w14:paraId="242DAF1E" w14:textId="77777777" w:rsidTr="00402F1E">
        <w:trPr>
          <w:jc w:val="center"/>
        </w:trPr>
        <w:tc>
          <w:tcPr>
            <w:tcW w:w="991" w:type="dxa"/>
          </w:tcPr>
          <w:p w14:paraId="0506DB30" w14:textId="77777777" w:rsidR="00354D63" w:rsidRPr="00ED063C" w:rsidRDefault="00354D63" w:rsidP="00402F1E">
            <w:pPr>
              <w:pStyle w:val="NormalWeb"/>
              <w:tabs>
                <w:tab w:val="left" w:pos="142"/>
                <w:tab w:val="left" w:pos="284"/>
              </w:tabs>
              <w:spacing w:line="360" w:lineRule="auto"/>
              <w:jc w:val="center"/>
              <w:rPr>
                <w:bCs/>
                <w:sz w:val="18"/>
                <w:szCs w:val="18"/>
              </w:rPr>
            </w:pPr>
            <w:r w:rsidRPr="00ED063C">
              <w:rPr>
                <w:bCs/>
                <w:sz w:val="18"/>
                <w:szCs w:val="18"/>
              </w:rPr>
              <w:t>JKAudit</w:t>
            </w:r>
          </w:p>
        </w:tc>
        <w:tc>
          <w:tcPr>
            <w:tcW w:w="994" w:type="dxa"/>
          </w:tcPr>
          <w:p w14:paraId="731378EE" w14:textId="77777777" w:rsidR="00354D63" w:rsidRPr="00ED063C" w:rsidRDefault="00354D63" w:rsidP="00402F1E">
            <w:pPr>
              <w:pStyle w:val="NormalWeb"/>
              <w:tabs>
                <w:tab w:val="left" w:pos="142"/>
                <w:tab w:val="left" w:pos="284"/>
              </w:tabs>
              <w:spacing w:line="360" w:lineRule="auto"/>
              <w:jc w:val="center"/>
              <w:rPr>
                <w:bCs/>
                <w:sz w:val="18"/>
                <w:szCs w:val="18"/>
              </w:rPr>
            </w:pPr>
            <w:r w:rsidRPr="00ED063C">
              <w:rPr>
                <w:bCs/>
                <w:sz w:val="18"/>
                <w:szCs w:val="18"/>
              </w:rPr>
              <w:t>-0.068***</w:t>
            </w:r>
          </w:p>
        </w:tc>
        <w:tc>
          <w:tcPr>
            <w:tcW w:w="988" w:type="dxa"/>
          </w:tcPr>
          <w:p w14:paraId="4D134104" w14:textId="77777777" w:rsidR="00354D63" w:rsidRPr="00ED063C" w:rsidRDefault="00354D63" w:rsidP="00402F1E">
            <w:pPr>
              <w:pStyle w:val="NormalWeb"/>
              <w:tabs>
                <w:tab w:val="left" w:pos="142"/>
                <w:tab w:val="left" w:pos="284"/>
              </w:tabs>
              <w:spacing w:line="360" w:lineRule="auto"/>
              <w:jc w:val="center"/>
              <w:rPr>
                <w:bCs/>
                <w:sz w:val="18"/>
                <w:szCs w:val="18"/>
              </w:rPr>
            </w:pPr>
            <w:r w:rsidRPr="00ED063C">
              <w:rPr>
                <w:bCs/>
                <w:sz w:val="18"/>
                <w:szCs w:val="18"/>
              </w:rPr>
              <w:t>-0.090***</w:t>
            </w:r>
          </w:p>
        </w:tc>
        <w:tc>
          <w:tcPr>
            <w:tcW w:w="992" w:type="dxa"/>
          </w:tcPr>
          <w:p w14:paraId="76B20859" w14:textId="77777777" w:rsidR="00354D63" w:rsidRPr="00ED063C" w:rsidRDefault="00354D63" w:rsidP="00402F1E">
            <w:pPr>
              <w:pStyle w:val="NormalWeb"/>
              <w:tabs>
                <w:tab w:val="left" w:pos="142"/>
                <w:tab w:val="left" w:pos="284"/>
              </w:tabs>
              <w:spacing w:line="360" w:lineRule="auto"/>
              <w:jc w:val="center"/>
              <w:rPr>
                <w:bCs/>
                <w:sz w:val="18"/>
                <w:szCs w:val="18"/>
                <w:highlight w:val="lightGray"/>
              </w:rPr>
            </w:pPr>
            <w:r w:rsidRPr="00ED063C">
              <w:rPr>
                <w:bCs/>
                <w:sz w:val="18"/>
                <w:szCs w:val="18"/>
              </w:rPr>
              <w:t>-0.099***</w:t>
            </w:r>
          </w:p>
        </w:tc>
        <w:tc>
          <w:tcPr>
            <w:tcW w:w="1134" w:type="dxa"/>
          </w:tcPr>
          <w:p w14:paraId="26F72CA1" w14:textId="77777777" w:rsidR="00354D63" w:rsidRPr="00ED063C" w:rsidRDefault="00354D63" w:rsidP="00402F1E">
            <w:pPr>
              <w:pStyle w:val="NormalWeb"/>
              <w:tabs>
                <w:tab w:val="left" w:pos="142"/>
                <w:tab w:val="left" w:pos="284"/>
              </w:tabs>
              <w:spacing w:line="360" w:lineRule="auto"/>
              <w:jc w:val="center"/>
              <w:rPr>
                <w:bCs/>
                <w:sz w:val="18"/>
                <w:szCs w:val="18"/>
                <w:highlight w:val="lightGray"/>
              </w:rPr>
            </w:pPr>
          </w:p>
        </w:tc>
        <w:tc>
          <w:tcPr>
            <w:tcW w:w="992" w:type="dxa"/>
          </w:tcPr>
          <w:p w14:paraId="7377DE59" w14:textId="77777777" w:rsidR="00354D63" w:rsidRPr="00ED063C" w:rsidRDefault="00354D63" w:rsidP="00402F1E">
            <w:pPr>
              <w:pStyle w:val="NormalWeb"/>
              <w:tabs>
                <w:tab w:val="left" w:pos="142"/>
                <w:tab w:val="left" w:pos="284"/>
              </w:tabs>
              <w:spacing w:line="360" w:lineRule="auto"/>
              <w:jc w:val="center"/>
              <w:rPr>
                <w:bCs/>
                <w:sz w:val="18"/>
                <w:szCs w:val="18"/>
                <w:highlight w:val="lightGray"/>
              </w:rPr>
            </w:pPr>
          </w:p>
        </w:tc>
        <w:tc>
          <w:tcPr>
            <w:tcW w:w="992" w:type="dxa"/>
          </w:tcPr>
          <w:p w14:paraId="5899EF92" w14:textId="77777777" w:rsidR="00354D63" w:rsidRPr="00ED063C" w:rsidRDefault="00354D63" w:rsidP="00402F1E">
            <w:pPr>
              <w:pStyle w:val="NormalWeb"/>
              <w:tabs>
                <w:tab w:val="left" w:pos="142"/>
                <w:tab w:val="left" w:pos="284"/>
              </w:tabs>
              <w:spacing w:line="360" w:lineRule="auto"/>
              <w:jc w:val="center"/>
              <w:rPr>
                <w:bCs/>
                <w:sz w:val="18"/>
                <w:szCs w:val="18"/>
                <w:highlight w:val="lightGray"/>
              </w:rPr>
            </w:pPr>
          </w:p>
        </w:tc>
        <w:tc>
          <w:tcPr>
            <w:tcW w:w="993" w:type="dxa"/>
          </w:tcPr>
          <w:p w14:paraId="24889BF7" w14:textId="77777777" w:rsidR="00354D63" w:rsidRPr="00ED063C" w:rsidRDefault="00354D63" w:rsidP="00402F1E">
            <w:pPr>
              <w:pStyle w:val="NormalWeb"/>
              <w:tabs>
                <w:tab w:val="left" w:pos="142"/>
                <w:tab w:val="left" w:pos="284"/>
              </w:tabs>
              <w:spacing w:line="360" w:lineRule="auto"/>
              <w:jc w:val="center"/>
              <w:rPr>
                <w:bCs/>
                <w:sz w:val="18"/>
                <w:szCs w:val="18"/>
              </w:rPr>
            </w:pPr>
          </w:p>
        </w:tc>
        <w:tc>
          <w:tcPr>
            <w:tcW w:w="992" w:type="dxa"/>
          </w:tcPr>
          <w:p w14:paraId="27D42A19" w14:textId="77777777" w:rsidR="00354D63" w:rsidRPr="00ED063C" w:rsidRDefault="00354D63" w:rsidP="00402F1E">
            <w:pPr>
              <w:pStyle w:val="NormalWeb"/>
              <w:tabs>
                <w:tab w:val="left" w:pos="142"/>
                <w:tab w:val="left" w:pos="284"/>
              </w:tabs>
              <w:spacing w:line="360" w:lineRule="auto"/>
              <w:jc w:val="center"/>
              <w:rPr>
                <w:bCs/>
                <w:sz w:val="18"/>
                <w:szCs w:val="18"/>
              </w:rPr>
            </w:pPr>
          </w:p>
        </w:tc>
        <w:tc>
          <w:tcPr>
            <w:tcW w:w="992" w:type="dxa"/>
          </w:tcPr>
          <w:p w14:paraId="115FD2FB" w14:textId="77777777" w:rsidR="00354D63" w:rsidRPr="00ED063C" w:rsidRDefault="00354D63" w:rsidP="00402F1E">
            <w:pPr>
              <w:pStyle w:val="NormalWeb"/>
              <w:tabs>
                <w:tab w:val="left" w:pos="142"/>
                <w:tab w:val="left" w:pos="284"/>
              </w:tabs>
              <w:spacing w:line="360" w:lineRule="auto"/>
              <w:jc w:val="center"/>
              <w:rPr>
                <w:bCs/>
                <w:sz w:val="18"/>
                <w:szCs w:val="18"/>
              </w:rPr>
            </w:pPr>
          </w:p>
        </w:tc>
      </w:tr>
      <w:tr w:rsidR="00354D63" w:rsidRPr="00ED063C" w14:paraId="2AAC208B" w14:textId="77777777" w:rsidTr="00402F1E">
        <w:trPr>
          <w:jc w:val="center"/>
        </w:trPr>
        <w:tc>
          <w:tcPr>
            <w:tcW w:w="991" w:type="dxa"/>
          </w:tcPr>
          <w:p w14:paraId="07A3D3C4" w14:textId="77777777" w:rsidR="00354D63" w:rsidRPr="00ED063C" w:rsidRDefault="00354D63" w:rsidP="00402F1E">
            <w:pPr>
              <w:pStyle w:val="NormalWeb"/>
              <w:tabs>
                <w:tab w:val="left" w:pos="142"/>
                <w:tab w:val="left" w:pos="284"/>
              </w:tabs>
              <w:spacing w:line="360" w:lineRule="auto"/>
              <w:jc w:val="center"/>
              <w:rPr>
                <w:bCs/>
                <w:sz w:val="18"/>
                <w:szCs w:val="18"/>
              </w:rPr>
            </w:pPr>
            <w:r w:rsidRPr="00ED063C">
              <w:rPr>
                <w:bCs/>
                <w:sz w:val="18"/>
                <w:szCs w:val="18"/>
              </w:rPr>
              <w:t>PBebas</w:t>
            </w:r>
          </w:p>
        </w:tc>
        <w:tc>
          <w:tcPr>
            <w:tcW w:w="994" w:type="dxa"/>
          </w:tcPr>
          <w:p w14:paraId="32FFACB8" w14:textId="77777777" w:rsidR="00354D63" w:rsidRPr="00ED063C" w:rsidRDefault="00354D63" w:rsidP="00402F1E">
            <w:pPr>
              <w:pStyle w:val="NormalWeb"/>
              <w:tabs>
                <w:tab w:val="left" w:pos="142"/>
                <w:tab w:val="left" w:pos="284"/>
              </w:tabs>
              <w:spacing w:line="360" w:lineRule="auto"/>
              <w:jc w:val="center"/>
              <w:rPr>
                <w:bCs/>
                <w:sz w:val="18"/>
                <w:szCs w:val="18"/>
                <w:highlight w:val="lightGray"/>
              </w:rPr>
            </w:pPr>
            <w:r w:rsidRPr="00ED063C">
              <w:rPr>
                <w:bCs/>
                <w:sz w:val="18"/>
                <w:szCs w:val="18"/>
              </w:rPr>
              <w:t>-0.072***</w:t>
            </w:r>
          </w:p>
        </w:tc>
        <w:tc>
          <w:tcPr>
            <w:tcW w:w="988" w:type="dxa"/>
          </w:tcPr>
          <w:p w14:paraId="1591D042" w14:textId="77777777" w:rsidR="00354D63" w:rsidRPr="00ED063C" w:rsidRDefault="00354D63" w:rsidP="00402F1E">
            <w:pPr>
              <w:pStyle w:val="NormalWeb"/>
              <w:tabs>
                <w:tab w:val="left" w:pos="142"/>
                <w:tab w:val="left" w:pos="284"/>
              </w:tabs>
              <w:spacing w:line="360" w:lineRule="auto"/>
              <w:ind w:right="-248"/>
              <w:jc w:val="center"/>
              <w:rPr>
                <w:bCs/>
                <w:sz w:val="18"/>
                <w:szCs w:val="18"/>
              </w:rPr>
            </w:pPr>
            <w:r w:rsidRPr="00ED063C">
              <w:rPr>
                <w:bCs/>
                <w:sz w:val="18"/>
                <w:szCs w:val="18"/>
              </w:rPr>
              <w:t>-0.013</w:t>
            </w:r>
          </w:p>
        </w:tc>
        <w:tc>
          <w:tcPr>
            <w:tcW w:w="992" w:type="dxa"/>
          </w:tcPr>
          <w:p w14:paraId="15EF3D69" w14:textId="77777777" w:rsidR="00354D63" w:rsidRPr="00ED063C" w:rsidRDefault="00354D63" w:rsidP="00402F1E">
            <w:pPr>
              <w:pStyle w:val="NormalWeb"/>
              <w:tabs>
                <w:tab w:val="left" w:pos="142"/>
                <w:tab w:val="left" w:pos="284"/>
              </w:tabs>
              <w:spacing w:line="360" w:lineRule="auto"/>
              <w:ind w:right="-248"/>
              <w:jc w:val="center"/>
              <w:rPr>
                <w:bCs/>
                <w:sz w:val="18"/>
                <w:szCs w:val="18"/>
                <w:highlight w:val="lightGray"/>
              </w:rPr>
            </w:pPr>
            <w:r w:rsidRPr="00ED063C">
              <w:rPr>
                <w:bCs/>
                <w:sz w:val="18"/>
                <w:szCs w:val="18"/>
              </w:rPr>
              <w:t>-0.053***</w:t>
            </w:r>
          </w:p>
        </w:tc>
        <w:tc>
          <w:tcPr>
            <w:tcW w:w="1134" w:type="dxa"/>
          </w:tcPr>
          <w:p w14:paraId="161398EC" w14:textId="77777777" w:rsidR="00354D63" w:rsidRPr="00ED063C" w:rsidRDefault="00354D63" w:rsidP="00402F1E">
            <w:pPr>
              <w:pStyle w:val="NormalWeb"/>
              <w:tabs>
                <w:tab w:val="left" w:pos="142"/>
                <w:tab w:val="left" w:pos="284"/>
              </w:tabs>
              <w:spacing w:line="360" w:lineRule="auto"/>
              <w:jc w:val="center"/>
              <w:rPr>
                <w:bCs/>
                <w:sz w:val="18"/>
                <w:szCs w:val="18"/>
              </w:rPr>
            </w:pPr>
            <w:r w:rsidRPr="00ED063C">
              <w:rPr>
                <w:bCs/>
                <w:sz w:val="18"/>
                <w:szCs w:val="18"/>
              </w:rPr>
              <w:t>0.369***</w:t>
            </w:r>
          </w:p>
        </w:tc>
        <w:tc>
          <w:tcPr>
            <w:tcW w:w="992" w:type="dxa"/>
          </w:tcPr>
          <w:p w14:paraId="08DE5CEC" w14:textId="77777777" w:rsidR="00354D63" w:rsidRPr="00ED063C" w:rsidRDefault="00354D63" w:rsidP="00402F1E">
            <w:pPr>
              <w:pStyle w:val="NormalWeb"/>
              <w:tabs>
                <w:tab w:val="left" w:pos="142"/>
                <w:tab w:val="left" w:pos="284"/>
              </w:tabs>
              <w:spacing w:line="360" w:lineRule="auto"/>
              <w:jc w:val="center"/>
              <w:rPr>
                <w:bCs/>
                <w:sz w:val="18"/>
                <w:szCs w:val="18"/>
                <w:highlight w:val="lightGray"/>
              </w:rPr>
            </w:pPr>
          </w:p>
        </w:tc>
        <w:tc>
          <w:tcPr>
            <w:tcW w:w="992" w:type="dxa"/>
          </w:tcPr>
          <w:p w14:paraId="559F6C46" w14:textId="77777777" w:rsidR="00354D63" w:rsidRPr="00ED063C" w:rsidRDefault="00354D63" w:rsidP="00402F1E">
            <w:pPr>
              <w:pStyle w:val="NormalWeb"/>
              <w:tabs>
                <w:tab w:val="left" w:pos="142"/>
                <w:tab w:val="left" w:pos="284"/>
              </w:tabs>
              <w:spacing w:line="360" w:lineRule="auto"/>
              <w:jc w:val="center"/>
              <w:rPr>
                <w:bCs/>
                <w:sz w:val="18"/>
                <w:szCs w:val="18"/>
                <w:highlight w:val="lightGray"/>
              </w:rPr>
            </w:pPr>
          </w:p>
        </w:tc>
        <w:tc>
          <w:tcPr>
            <w:tcW w:w="993" w:type="dxa"/>
          </w:tcPr>
          <w:p w14:paraId="6009AF84" w14:textId="77777777" w:rsidR="00354D63" w:rsidRPr="00ED063C" w:rsidRDefault="00354D63" w:rsidP="00402F1E">
            <w:pPr>
              <w:pStyle w:val="NormalWeb"/>
              <w:tabs>
                <w:tab w:val="left" w:pos="142"/>
                <w:tab w:val="left" w:pos="284"/>
              </w:tabs>
              <w:spacing w:line="360" w:lineRule="auto"/>
              <w:jc w:val="center"/>
              <w:rPr>
                <w:bCs/>
                <w:sz w:val="18"/>
                <w:szCs w:val="18"/>
              </w:rPr>
            </w:pPr>
          </w:p>
        </w:tc>
        <w:tc>
          <w:tcPr>
            <w:tcW w:w="992" w:type="dxa"/>
          </w:tcPr>
          <w:p w14:paraId="6E9F3EFB" w14:textId="77777777" w:rsidR="00354D63" w:rsidRPr="00ED063C" w:rsidRDefault="00354D63" w:rsidP="00402F1E">
            <w:pPr>
              <w:pStyle w:val="NormalWeb"/>
              <w:tabs>
                <w:tab w:val="left" w:pos="142"/>
                <w:tab w:val="left" w:pos="284"/>
              </w:tabs>
              <w:spacing w:line="360" w:lineRule="auto"/>
              <w:jc w:val="center"/>
              <w:rPr>
                <w:bCs/>
                <w:sz w:val="18"/>
                <w:szCs w:val="18"/>
              </w:rPr>
            </w:pPr>
          </w:p>
        </w:tc>
        <w:tc>
          <w:tcPr>
            <w:tcW w:w="992" w:type="dxa"/>
          </w:tcPr>
          <w:p w14:paraId="6E400FD4" w14:textId="77777777" w:rsidR="00354D63" w:rsidRPr="00ED063C" w:rsidRDefault="00354D63" w:rsidP="00402F1E">
            <w:pPr>
              <w:pStyle w:val="NormalWeb"/>
              <w:tabs>
                <w:tab w:val="left" w:pos="142"/>
                <w:tab w:val="left" w:pos="284"/>
              </w:tabs>
              <w:spacing w:line="360" w:lineRule="auto"/>
              <w:jc w:val="center"/>
              <w:rPr>
                <w:bCs/>
                <w:sz w:val="18"/>
                <w:szCs w:val="18"/>
              </w:rPr>
            </w:pPr>
          </w:p>
        </w:tc>
      </w:tr>
      <w:tr w:rsidR="00354D63" w:rsidRPr="00ED063C" w14:paraId="6DFEFEAB" w14:textId="77777777" w:rsidTr="00402F1E">
        <w:trPr>
          <w:trHeight w:val="301"/>
          <w:jc w:val="center"/>
        </w:trPr>
        <w:tc>
          <w:tcPr>
            <w:tcW w:w="991" w:type="dxa"/>
          </w:tcPr>
          <w:p w14:paraId="286936F6" w14:textId="77777777" w:rsidR="00354D63" w:rsidRPr="00ED063C" w:rsidRDefault="00354D63" w:rsidP="00402F1E">
            <w:pPr>
              <w:pStyle w:val="NormalWeb"/>
              <w:tabs>
                <w:tab w:val="left" w:pos="142"/>
                <w:tab w:val="left" w:pos="284"/>
              </w:tabs>
              <w:spacing w:line="360" w:lineRule="auto"/>
              <w:jc w:val="center"/>
              <w:rPr>
                <w:bCs/>
                <w:sz w:val="18"/>
                <w:szCs w:val="18"/>
              </w:rPr>
            </w:pPr>
            <w:r w:rsidRPr="00ED063C">
              <w:rPr>
                <w:bCs/>
                <w:sz w:val="18"/>
                <w:szCs w:val="18"/>
              </w:rPr>
              <w:t>LPSaiz</w:t>
            </w:r>
          </w:p>
        </w:tc>
        <w:tc>
          <w:tcPr>
            <w:tcW w:w="994" w:type="dxa"/>
          </w:tcPr>
          <w:p w14:paraId="676E3343" w14:textId="77777777" w:rsidR="00354D63" w:rsidRPr="00ED063C" w:rsidRDefault="00354D63" w:rsidP="00402F1E">
            <w:pPr>
              <w:pStyle w:val="NormalWeb"/>
              <w:tabs>
                <w:tab w:val="left" w:pos="142"/>
                <w:tab w:val="left" w:pos="284"/>
              </w:tabs>
              <w:spacing w:line="360" w:lineRule="auto"/>
              <w:jc w:val="center"/>
              <w:rPr>
                <w:bCs/>
                <w:sz w:val="18"/>
                <w:szCs w:val="18"/>
              </w:rPr>
            </w:pPr>
            <w:r w:rsidRPr="00ED063C">
              <w:rPr>
                <w:bCs/>
                <w:sz w:val="18"/>
                <w:szCs w:val="18"/>
              </w:rPr>
              <w:t>0.235***</w:t>
            </w:r>
          </w:p>
        </w:tc>
        <w:tc>
          <w:tcPr>
            <w:tcW w:w="988" w:type="dxa"/>
          </w:tcPr>
          <w:p w14:paraId="09B17E84" w14:textId="77777777" w:rsidR="00354D63" w:rsidRPr="00ED063C" w:rsidRDefault="00354D63" w:rsidP="00402F1E">
            <w:pPr>
              <w:pStyle w:val="NormalWeb"/>
              <w:tabs>
                <w:tab w:val="left" w:pos="142"/>
                <w:tab w:val="left" w:pos="284"/>
              </w:tabs>
              <w:spacing w:line="360" w:lineRule="auto"/>
              <w:jc w:val="center"/>
              <w:rPr>
                <w:bCs/>
                <w:sz w:val="18"/>
                <w:szCs w:val="18"/>
              </w:rPr>
            </w:pPr>
            <w:r w:rsidRPr="00ED063C">
              <w:rPr>
                <w:bCs/>
                <w:sz w:val="18"/>
                <w:szCs w:val="18"/>
              </w:rPr>
              <w:t>0.118***</w:t>
            </w:r>
          </w:p>
        </w:tc>
        <w:tc>
          <w:tcPr>
            <w:tcW w:w="992" w:type="dxa"/>
          </w:tcPr>
          <w:p w14:paraId="794F3403" w14:textId="77777777" w:rsidR="00354D63" w:rsidRPr="00ED063C" w:rsidRDefault="00354D63" w:rsidP="00402F1E">
            <w:pPr>
              <w:pStyle w:val="NormalWeb"/>
              <w:tabs>
                <w:tab w:val="left" w:pos="142"/>
                <w:tab w:val="left" w:pos="284"/>
              </w:tabs>
              <w:spacing w:line="360" w:lineRule="auto"/>
              <w:jc w:val="center"/>
              <w:rPr>
                <w:bCs/>
                <w:sz w:val="18"/>
                <w:szCs w:val="18"/>
                <w:highlight w:val="lightGray"/>
              </w:rPr>
            </w:pPr>
            <w:r w:rsidRPr="00ED063C">
              <w:rPr>
                <w:bCs/>
                <w:sz w:val="18"/>
                <w:szCs w:val="18"/>
              </w:rPr>
              <w:t>0.085***</w:t>
            </w:r>
          </w:p>
        </w:tc>
        <w:tc>
          <w:tcPr>
            <w:tcW w:w="1134" w:type="dxa"/>
          </w:tcPr>
          <w:p w14:paraId="6E8B61C8" w14:textId="77777777" w:rsidR="00354D63" w:rsidRPr="00ED063C" w:rsidRDefault="00354D63" w:rsidP="00402F1E">
            <w:pPr>
              <w:pStyle w:val="NormalWeb"/>
              <w:tabs>
                <w:tab w:val="left" w:pos="142"/>
                <w:tab w:val="left" w:pos="284"/>
              </w:tabs>
              <w:spacing w:line="360" w:lineRule="auto"/>
              <w:jc w:val="center"/>
              <w:rPr>
                <w:bCs/>
                <w:sz w:val="18"/>
                <w:szCs w:val="18"/>
              </w:rPr>
            </w:pPr>
            <w:r w:rsidRPr="00ED063C">
              <w:rPr>
                <w:bCs/>
                <w:sz w:val="18"/>
                <w:szCs w:val="18"/>
              </w:rPr>
              <w:t>0.003</w:t>
            </w:r>
          </w:p>
        </w:tc>
        <w:tc>
          <w:tcPr>
            <w:tcW w:w="992" w:type="dxa"/>
          </w:tcPr>
          <w:p w14:paraId="743317E2" w14:textId="77777777" w:rsidR="00354D63" w:rsidRPr="00ED063C" w:rsidRDefault="00354D63" w:rsidP="00402F1E">
            <w:pPr>
              <w:pStyle w:val="NormalWeb"/>
              <w:tabs>
                <w:tab w:val="left" w:pos="142"/>
                <w:tab w:val="left" w:pos="284"/>
              </w:tabs>
              <w:spacing w:line="360" w:lineRule="auto"/>
              <w:jc w:val="center"/>
              <w:rPr>
                <w:bCs/>
                <w:sz w:val="18"/>
                <w:szCs w:val="18"/>
              </w:rPr>
            </w:pPr>
            <w:r w:rsidRPr="00ED063C">
              <w:rPr>
                <w:bCs/>
                <w:sz w:val="18"/>
                <w:szCs w:val="18"/>
              </w:rPr>
              <w:t>-0.319***</w:t>
            </w:r>
          </w:p>
        </w:tc>
        <w:tc>
          <w:tcPr>
            <w:tcW w:w="992" w:type="dxa"/>
          </w:tcPr>
          <w:p w14:paraId="67283E66" w14:textId="77777777" w:rsidR="00354D63" w:rsidRPr="00ED063C" w:rsidRDefault="00354D63" w:rsidP="00402F1E">
            <w:pPr>
              <w:pStyle w:val="NormalWeb"/>
              <w:tabs>
                <w:tab w:val="left" w:pos="142"/>
                <w:tab w:val="left" w:pos="284"/>
              </w:tabs>
              <w:spacing w:line="360" w:lineRule="auto"/>
              <w:jc w:val="center"/>
              <w:rPr>
                <w:bCs/>
                <w:sz w:val="18"/>
                <w:szCs w:val="18"/>
                <w:highlight w:val="lightGray"/>
              </w:rPr>
            </w:pPr>
          </w:p>
        </w:tc>
        <w:tc>
          <w:tcPr>
            <w:tcW w:w="993" w:type="dxa"/>
          </w:tcPr>
          <w:p w14:paraId="0DEEAE4B" w14:textId="77777777" w:rsidR="00354D63" w:rsidRPr="00ED063C" w:rsidRDefault="00354D63" w:rsidP="00402F1E">
            <w:pPr>
              <w:pStyle w:val="NormalWeb"/>
              <w:tabs>
                <w:tab w:val="left" w:pos="142"/>
                <w:tab w:val="left" w:pos="284"/>
              </w:tabs>
              <w:spacing w:line="360" w:lineRule="auto"/>
              <w:jc w:val="center"/>
              <w:rPr>
                <w:bCs/>
                <w:sz w:val="18"/>
                <w:szCs w:val="18"/>
                <w:highlight w:val="lightGray"/>
              </w:rPr>
            </w:pPr>
          </w:p>
        </w:tc>
        <w:tc>
          <w:tcPr>
            <w:tcW w:w="992" w:type="dxa"/>
          </w:tcPr>
          <w:p w14:paraId="18A1218E" w14:textId="77777777" w:rsidR="00354D63" w:rsidRPr="00ED063C" w:rsidRDefault="00354D63" w:rsidP="00402F1E">
            <w:pPr>
              <w:pStyle w:val="NormalWeb"/>
              <w:tabs>
                <w:tab w:val="left" w:pos="142"/>
                <w:tab w:val="left" w:pos="284"/>
              </w:tabs>
              <w:spacing w:line="360" w:lineRule="auto"/>
              <w:jc w:val="center"/>
              <w:rPr>
                <w:bCs/>
                <w:sz w:val="18"/>
                <w:szCs w:val="18"/>
                <w:highlight w:val="lightGray"/>
              </w:rPr>
            </w:pPr>
          </w:p>
        </w:tc>
        <w:tc>
          <w:tcPr>
            <w:tcW w:w="992" w:type="dxa"/>
          </w:tcPr>
          <w:p w14:paraId="789101CD" w14:textId="77777777" w:rsidR="00354D63" w:rsidRPr="00ED063C" w:rsidRDefault="00354D63" w:rsidP="00402F1E">
            <w:pPr>
              <w:pStyle w:val="NormalWeb"/>
              <w:tabs>
                <w:tab w:val="left" w:pos="142"/>
                <w:tab w:val="left" w:pos="284"/>
              </w:tabs>
              <w:spacing w:line="360" w:lineRule="auto"/>
              <w:jc w:val="center"/>
              <w:rPr>
                <w:bCs/>
                <w:sz w:val="18"/>
                <w:szCs w:val="18"/>
                <w:highlight w:val="lightGray"/>
              </w:rPr>
            </w:pPr>
          </w:p>
        </w:tc>
      </w:tr>
      <w:tr w:rsidR="00354D63" w:rsidRPr="00ED063C" w14:paraId="290A846E" w14:textId="77777777" w:rsidTr="00402F1E">
        <w:trPr>
          <w:jc w:val="center"/>
        </w:trPr>
        <w:tc>
          <w:tcPr>
            <w:tcW w:w="991" w:type="dxa"/>
          </w:tcPr>
          <w:p w14:paraId="6A7CE738" w14:textId="77777777" w:rsidR="00354D63" w:rsidRPr="00ED063C" w:rsidRDefault="00354D63" w:rsidP="00402F1E">
            <w:pPr>
              <w:pStyle w:val="NormalWeb"/>
              <w:tabs>
                <w:tab w:val="left" w:pos="142"/>
                <w:tab w:val="left" w:pos="284"/>
              </w:tabs>
              <w:spacing w:line="360" w:lineRule="auto"/>
              <w:jc w:val="center"/>
              <w:rPr>
                <w:bCs/>
                <w:sz w:val="18"/>
                <w:szCs w:val="18"/>
              </w:rPr>
            </w:pPr>
            <w:r w:rsidRPr="00ED063C">
              <w:rPr>
                <w:bCs/>
                <w:sz w:val="18"/>
                <w:szCs w:val="18"/>
              </w:rPr>
              <w:t>Saiz</w:t>
            </w:r>
          </w:p>
        </w:tc>
        <w:tc>
          <w:tcPr>
            <w:tcW w:w="994" w:type="dxa"/>
          </w:tcPr>
          <w:p w14:paraId="54BF4E59" w14:textId="77777777" w:rsidR="00354D63" w:rsidRPr="00ED063C" w:rsidRDefault="00354D63" w:rsidP="00402F1E">
            <w:pPr>
              <w:pStyle w:val="NormalWeb"/>
              <w:tabs>
                <w:tab w:val="left" w:pos="142"/>
                <w:tab w:val="left" w:pos="284"/>
              </w:tabs>
              <w:spacing w:line="360" w:lineRule="auto"/>
              <w:jc w:val="center"/>
              <w:rPr>
                <w:bCs/>
                <w:sz w:val="18"/>
                <w:szCs w:val="18"/>
              </w:rPr>
            </w:pPr>
            <w:r w:rsidRPr="00ED063C">
              <w:rPr>
                <w:bCs/>
                <w:sz w:val="18"/>
                <w:szCs w:val="18"/>
              </w:rPr>
              <w:t>0.346***</w:t>
            </w:r>
          </w:p>
        </w:tc>
        <w:tc>
          <w:tcPr>
            <w:tcW w:w="988" w:type="dxa"/>
          </w:tcPr>
          <w:p w14:paraId="4A2D819A" w14:textId="77777777" w:rsidR="00354D63" w:rsidRPr="00ED063C" w:rsidRDefault="00354D63" w:rsidP="00402F1E">
            <w:pPr>
              <w:pStyle w:val="NormalWeb"/>
              <w:tabs>
                <w:tab w:val="left" w:pos="142"/>
                <w:tab w:val="left" w:pos="284"/>
              </w:tabs>
              <w:spacing w:line="360" w:lineRule="auto"/>
              <w:jc w:val="center"/>
              <w:rPr>
                <w:bCs/>
                <w:sz w:val="18"/>
                <w:szCs w:val="18"/>
              </w:rPr>
            </w:pPr>
            <w:r w:rsidRPr="00ED063C">
              <w:rPr>
                <w:bCs/>
                <w:sz w:val="18"/>
                <w:szCs w:val="18"/>
              </w:rPr>
              <w:t>0.237***</w:t>
            </w:r>
          </w:p>
        </w:tc>
        <w:tc>
          <w:tcPr>
            <w:tcW w:w="992" w:type="dxa"/>
          </w:tcPr>
          <w:p w14:paraId="4ED1BF8B" w14:textId="77777777" w:rsidR="00354D63" w:rsidRPr="00ED063C" w:rsidRDefault="00354D63" w:rsidP="00402F1E">
            <w:pPr>
              <w:pStyle w:val="NormalWeb"/>
              <w:tabs>
                <w:tab w:val="left" w:pos="142"/>
                <w:tab w:val="left" w:pos="284"/>
              </w:tabs>
              <w:spacing w:line="360" w:lineRule="auto"/>
              <w:jc w:val="center"/>
              <w:rPr>
                <w:bCs/>
                <w:sz w:val="18"/>
                <w:szCs w:val="18"/>
              </w:rPr>
            </w:pPr>
            <w:r w:rsidRPr="00ED063C">
              <w:rPr>
                <w:bCs/>
                <w:sz w:val="18"/>
                <w:szCs w:val="18"/>
              </w:rPr>
              <w:t>0.196***</w:t>
            </w:r>
          </w:p>
        </w:tc>
        <w:tc>
          <w:tcPr>
            <w:tcW w:w="1134" w:type="dxa"/>
          </w:tcPr>
          <w:p w14:paraId="5FAE2617" w14:textId="77777777" w:rsidR="00354D63" w:rsidRPr="00ED063C" w:rsidRDefault="00354D63" w:rsidP="00402F1E">
            <w:pPr>
              <w:pStyle w:val="NormalWeb"/>
              <w:tabs>
                <w:tab w:val="left" w:pos="142"/>
                <w:tab w:val="left" w:pos="284"/>
              </w:tabs>
              <w:spacing w:line="360" w:lineRule="auto"/>
              <w:jc w:val="center"/>
              <w:rPr>
                <w:bCs/>
                <w:sz w:val="18"/>
                <w:szCs w:val="18"/>
              </w:rPr>
            </w:pPr>
            <w:r w:rsidRPr="00ED063C">
              <w:rPr>
                <w:bCs/>
                <w:sz w:val="18"/>
                <w:szCs w:val="18"/>
              </w:rPr>
              <w:t>-0.079***</w:t>
            </w:r>
          </w:p>
        </w:tc>
        <w:tc>
          <w:tcPr>
            <w:tcW w:w="992" w:type="dxa"/>
          </w:tcPr>
          <w:p w14:paraId="36F81E17" w14:textId="77777777" w:rsidR="00354D63" w:rsidRPr="00ED063C" w:rsidRDefault="00354D63" w:rsidP="00402F1E">
            <w:pPr>
              <w:pStyle w:val="NormalWeb"/>
              <w:tabs>
                <w:tab w:val="left" w:pos="142"/>
                <w:tab w:val="left" w:pos="284"/>
              </w:tabs>
              <w:spacing w:line="360" w:lineRule="auto"/>
              <w:jc w:val="center"/>
              <w:rPr>
                <w:bCs/>
                <w:sz w:val="18"/>
                <w:szCs w:val="18"/>
              </w:rPr>
            </w:pPr>
            <w:r w:rsidRPr="00ED063C">
              <w:rPr>
                <w:bCs/>
                <w:sz w:val="18"/>
                <w:szCs w:val="18"/>
              </w:rPr>
              <w:t>-0.040**</w:t>
            </w:r>
          </w:p>
        </w:tc>
        <w:tc>
          <w:tcPr>
            <w:tcW w:w="992" w:type="dxa"/>
          </w:tcPr>
          <w:p w14:paraId="67A73B1C" w14:textId="77777777" w:rsidR="00354D63" w:rsidRPr="00ED063C" w:rsidRDefault="00354D63" w:rsidP="00402F1E">
            <w:pPr>
              <w:pStyle w:val="NormalWeb"/>
              <w:tabs>
                <w:tab w:val="left" w:pos="142"/>
                <w:tab w:val="left" w:pos="284"/>
              </w:tabs>
              <w:spacing w:line="360" w:lineRule="auto"/>
              <w:jc w:val="center"/>
              <w:rPr>
                <w:bCs/>
                <w:sz w:val="18"/>
                <w:szCs w:val="18"/>
                <w:highlight w:val="lightGray"/>
              </w:rPr>
            </w:pPr>
            <w:r w:rsidRPr="00ED063C">
              <w:rPr>
                <w:bCs/>
                <w:sz w:val="18"/>
                <w:szCs w:val="18"/>
              </w:rPr>
              <w:t>0.407***</w:t>
            </w:r>
          </w:p>
        </w:tc>
        <w:tc>
          <w:tcPr>
            <w:tcW w:w="993" w:type="dxa"/>
          </w:tcPr>
          <w:p w14:paraId="15938A73" w14:textId="77777777" w:rsidR="00354D63" w:rsidRPr="00ED063C" w:rsidRDefault="00354D63" w:rsidP="00402F1E">
            <w:pPr>
              <w:pStyle w:val="NormalWeb"/>
              <w:tabs>
                <w:tab w:val="left" w:pos="142"/>
                <w:tab w:val="left" w:pos="284"/>
              </w:tabs>
              <w:spacing w:line="360" w:lineRule="auto"/>
              <w:jc w:val="center"/>
              <w:rPr>
                <w:bCs/>
                <w:sz w:val="18"/>
                <w:szCs w:val="18"/>
                <w:highlight w:val="lightGray"/>
              </w:rPr>
            </w:pPr>
          </w:p>
        </w:tc>
        <w:tc>
          <w:tcPr>
            <w:tcW w:w="992" w:type="dxa"/>
          </w:tcPr>
          <w:p w14:paraId="5833191F" w14:textId="77777777" w:rsidR="00354D63" w:rsidRPr="00ED063C" w:rsidRDefault="00354D63" w:rsidP="00402F1E">
            <w:pPr>
              <w:pStyle w:val="NormalWeb"/>
              <w:tabs>
                <w:tab w:val="left" w:pos="142"/>
                <w:tab w:val="left" w:pos="284"/>
              </w:tabs>
              <w:spacing w:line="360" w:lineRule="auto"/>
              <w:jc w:val="center"/>
              <w:rPr>
                <w:bCs/>
                <w:sz w:val="18"/>
                <w:szCs w:val="18"/>
                <w:highlight w:val="lightGray"/>
              </w:rPr>
            </w:pPr>
          </w:p>
        </w:tc>
        <w:tc>
          <w:tcPr>
            <w:tcW w:w="992" w:type="dxa"/>
          </w:tcPr>
          <w:p w14:paraId="3B578EB5" w14:textId="77777777" w:rsidR="00354D63" w:rsidRPr="00ED063C" w:rsidRDefault="00354D63" w:rsidP="00402F1E">
            <w:pPr>
              <w:pStyle w:val="NormalWeb"/>
              <w:tabs>
                <w:tab w:val="left" w:pos="142"/>
                <w:tab w:val="left" w:pos="284"/>
              </w:tabs>
              <w:spacing w:line="360" w:lineRule="auto"/>
              <w:jc w:val="center"/>
              <w:rPr>
                <w:bCs/>
                <w:sz w:val="18"/>
                <w:szCs w:val="18"/>
                <w:highlight w:val="lightGray"/>
              </w:rPr>
            </w:pPr>
          </w:p>
        </w:tc>
      </w:tr>
      <w:tr w:rsidR="00354D63" w:rsidRPr="00ED063C" w14:paraId="5E94485B" w14:textId="77777777" w:rsidTr="00402F1E">
        <w:trPr>
          <w:jc w:val="center"/>
        </w:trPr>
        <w:tc>
          <w:tcPr>
            <w:tcW w:w="991" w:type="dxa"/>
          </w:tcPr>
          <w:p w14:paraId="13873F2A" w14:textId="77777777" w:rsidR="00354D63" w:rsidRPr="00ED063C" w:rsidRDefault="00354D63" w:rsidP="00402F1E">
            <w:pPr>
              <w:pStyle w:val="NormalWeb"/>
              <w:tabs>
                <w:tab w:val="left" w:pos="142"/>
                <w:tab w:val="left" w:pos="284"/>
              </w:tabs>
              <w:spacing w:line="360" w:lineRule="auto"/>
              <w:jc w:val="center"/>
              <w:rPr>
                <w:bCs/>
                <w:sz w:val="18"/>
                <w:szCs w:val="18"/>
              </w:rPr>
            </w:pPr>
            <w:r w:rsidRPr="00ED063C">
              <w:rPr>
                <w:bCs/>
                <w:sz w:val="18"/>
                <w:szCs w:val="18"/>
              </w:rPr>
              <w:t>PAA</w:t>
            </w:r>
          </w:p>
        </w:tc>
        <w:tc>
          <w:tcPr>
            <w:tcW w:w="994" w:type="dxa"/>
          </w:tcPr>
          <w:p w14:paraId="468EE182" w14:textId="77777777" w:rsidR="00354D63" w:rsidRPr="00ED063C" w:rsidRDefault="00354D63" w:rsidP="00402F1E">
            <w:pPr>
              <w:pStyle w:val="NormalWeb"/>
              <w:tabs>
                <w:tab w:val="left" w:pos="142"/>
                <w:tab w:val="left" w:pos="284"/>
              </w:tabs>
              <w:spacing w:line="360" w:lineRule="auto"/>
              <w:jc w:val="center"/>
              <w:rPr>
                <w:bCs/>
                <w:sz w:val="18"/>
                <w:szCs w:val="18"/>
                <w:highlight w:val="lightGray"/>
              </w:rPr>
            </w:pPr>
            <w:r w:rsidRPr="00ED063C">
              <w:rPr>
                <w:bCs/>
                <w:sz w:val="18"/>
                <w:szCs w:val="18"/>
              </w:rPr>
              <w:t>0.190***</w:t>
            </w:r>
          </w:p>
        </w:tc>
        <w:tc>
          <w:tcPr>
            <w:tcW w:w="988" w:type="dxa"/>
          </w:tcPr>
          <w:p w14:paraId="726E1B5B" w14:textId="77777777" w:rsidR="00354D63" w:rsidRPr="00ED063C" w:rsidRDefault="00354D63" w:rsidP="00402F1E">
            <w:pPr>
              <w:pStyle w:val="NormalWeb"/>
              <w:tabs>
                <w:tab w:val="left" w:pos="142"/>
                <w:tab w:val="left" w:pos="284"/>
              </w:tabs>
              <w:spacing w:line="360" w:lineRule="auto"/>
              <w:jc w:val="center"/>
              <w:rPr>
                <w:bCs/>
                <w:sz w:val="18"/>
                <w:szCs w:val="18"/>
              </w:rPr>
            </w:pPr>
            <w:r w:rsidRPr="00ED063C">
              <w:rPr>
                <w:bCs/>
                <w:sz w:val="18"/>
                <w:szCs w:val="18"/>
              </w:rPr>
              <w:t>0.143***</w:t>
            </w:r>
          </w:p>
        </w:tc>
        <w:tc>
          <w:tcPr>
            <w:tcW w:w="992" w:type="dxa"/>
          </w:tcPr>
          <w:p w14:paraId="051C57D1" w14:textId="77777777" w:rsidR="00354D63" w:rsidRPr="00ED063C" w:rsidRDefault="00354D63" w:rsidP="00402F1E">
            <w:pPr>
              <w:pStyle w:val="NormalWeb"/>
              <w:tabs>
                <w:tab w:val="left" w:pos="142"/>
                <w:tab w:val="left" w:pos="284"/>
              </w:tabs>
              <w:spacing w:line="360" w:lineRule="auto"/>
              <w:jc w:val="center"/>
              <w:rPr>
                <w:bCs/>
                <w:sz w:val="18"/>
                <w:szCs w:val="18"/>
              </w:rPr>
            </w:pPr>
            <w:r w:rsidRPr="00ED063C">
              <w:rPr>
                <w:bCs/>
                <w:sz w:val="18"/>
                <w:szCs w:val="18"/>
              </w:rPr>
              <w:t>0.072***</w:t>
            </w:r>
          </w:p>
        </w:tc>
        <w:tc>
          <w:tcPr>
            <w:tcW w:w="1134" w:type="dxa"/>
          </w:tcPr>
          <w:p w14:paraId="2B6193D1" w14:textId="77777777" w:rsidR="00354D63" w:rsidRPr="00ED063C" w:rsidRDefault="00354D63" w:rsidP="00402F1E">
            <w:pPr>
              <w:pStyle w:val="NormalWeb"/>
              <w:tabs>
                <w:tab w:val="left" w:pos="142"/>
                <w:tab w:val="left" w:pos="284"/>
              </w:tabs>
              <w:spacing w:line="360" w:lineRule="auto"/>
              <w:jc w:val="center"/>
              <w:rPr>
                <w:bCs/>
                <w:sz w:val="18"/>
                <w:szCs w:val="18"/>
              </w:rPr>
            </w:pPr>
            <w:r w:rsidRPr="00ED063C">
              <w:rPr>
                <w:bCs/>
                <w:sz w:val="18"/>
                <w:szCs w:val="18"/>
              </w:rPr>
              <w:t>-0.049***</w:t>
            </w:r>
          </w:p>
        </w:tc>
        <w:tc>
          <w:tcPr>
            <w:tcW w:w="992" w:type="dxa"/>
          </w:tcPr>
          <w:p w14:paraId="597076D1" w14:textId="77777777" w:rsidR="00354D63" w:rsidRPr="00ED063C" w:rsidRDefault="00354D63" w:rsidP="00402F1E">
            <w:pPr>
              <w:pStyle w:val="NormalWeb"/>
              <w:tabs>
                <w:tab w:val="left" w:pos="142"/>
                <w:tab w:val="left" w:pos="284"/>
              </w:tabs>
              <w:spacing w:line="360" w:lineRule="auto"/>
              <w:jc w:val="center"/>
              <w:rPr>
                <w:bCs/>
                <w:sz w:val="18"/>
                <w:szCs w:val="18"/>
              </w:rPr>
            </w:pPr>
            <w:r w:rsidRPr="00ED063C">
              <w:rPr>
                <w:bCs/>
                <w:sz w:val="18"/>
                <w:szCs w:val="18"/>
              </w:rPr>
              <w:t>-0.136***</w:t>
            </w:r>
          </w:p>
        </w:tc>
        <w:tc>
          <w:tcPr>
            <w:tcW w:w="992" w:type="dxa"/>
          </w:tcPr>
          <w:p w14:paraId="4A8B0B1D" w14:textId="77777777" w:rsidR="00354D63" w:rsidRPr="00ED063C" w:rsidRDefault="00354D63" w:rsidP="00402F1E">
            <w:pPr>
              <w:pStyle w:val="NormalWeb"/>
              <w:tabs>
                <w:tab w:val="left" w:pos="142"/>
                <w:tab w:val="left" w:pos="284"/>
              </w:tabs>
              <w:spacing w:line="360" w:lineRule="auto"/>
              <w:jc w:val="center"/>
              <w:rPr>
                <w:bCs/>
                <w:sz w:val="18"/>
                <w:szCs w:val="18"/>
              </w:rPr>
            </w:pPr>
            <w:r w:rsidRPr="00ED063C">
              <w:rPr>
                <w:bCs/>
                <w:sz w:val="18"/>
                <w:szCs w:val="18"/>
              </w:rPr>
              <w:t>0.136***</w:t>
            </w:r>
          </w:p>
        </w:tc>
        <w:tc>
          <w:tcPr>
            <w:tcW w:w="993" w:type="dxa"/>
          </w:tcPr>
          <w:p w14:paraId="5336338C" w14:textId="77777777" w:rsidR="00354D63" w:rsidRPr="00ED063C" w:rsidRDefault="00354D63" w:rsidP="00402F1E">
            <w:pPr>
              <w:pStyle w:val="NormalWeb"/>
              <w:tabs>
                <w:tab w:val="left" w:pos="142"/>
                <w:tab w:val="left" w:pos="284"/>
              </w:tabs>
              <w:spacing w:line="360" w:lineRule="auto"/>
              <w:jc w:val="center"/>
              <w:rPr>
                <w:bCs/>
                <w:sz w:val="18"/>
                <w:szCs w:val="18"/>
              </w:rPr>
            </w:pPr>
            <w:r w:rsidRPr="00ED063C">
              <w:rPr>
                <w:bCs/>
                <w:sz w:val="18"/>
                <w:szCs w:val="18"/>
              </w:rPr>
              <w:t>0.160***</w:t>
            </w:r>
          </w:p>
        </w:tc>
        <w:tc>
          <w:tcPr>
            <w:tcW w:w="992" w:type="dxa"/>
          </w:tcPr>
          <w:p w14:paraId="61645DCB" w14:textId="77777777" w:rsidR="00354D63" w:rsidRPr="00ED063C" w:rsidRDefault="00354D63" w:rsidP="00402F1E">
            <w:pPr>
              <w:pStyle w:val="NormalWeb"/>
              <w:tabs>
                <w:tab w:val="left" w:pos="142"/>
                <w:tab w:val="left" w:pos="284"/>
              </w:tabs>
              <w:spacing w:line="360" w:lineRule="auto"/>
              <w:jc w:val="center"/>
              <w:rPr>
                <w:bCs/>
                <w:sz w:val="18"/>
                <w:szCs w:val="18"/>
                <w:highlight w:val="lightGray"/>
              </w:rPr>
            </w:pPr>
          </w:p>
        </w:tc>
        <w:tc>
          <w:tcPr>
            <w:tcW w:w="992" w:type="dxa"/>
          </w:tcPr>
          <w:p w14:paraId="626F3014" w14:textId="77777777" w:rsidR="00354D63" w:rsidRPr="00ED063C" w:rsidRDefault="00354D63" w:rsidP="00402F1E">
            <w:pPr>
              <w:pStyle w:val="NormalWeb"/>
              <w:tabs>
                <w:tab w:val="left" w:pos="142"/>
                <w:tab w:val="left" w:pos="284"/>
              </w:tabs>
              <w:spacing w:line="360" w:lineRule="auto"/>
              <w:jc w:val="center"/>
              <w:rPr>
                <w:bCs/>
                <w:sz w:val="18"/>
                <w:szCs w:val="18"/>
                <w:highlight w:val="lightGray"/>
              </w:rPr>
            </w:pPr>
          </w:p>
        </w:tc>
      </w:tr>
      <w:tr w:rsidR="00354D63" w:rsidRPr="00ED063C" w14:paraId="3B709666" w14:textId="77777777" w:rsidTr="00402F1E">
        <w:trPr>
          <w:trHeight w:val="324"/>
          <w:jc w:val="center"/>
        </w:trPr>
        <w:tc>
          <w:tcPr>
            <w:tcW w:w="991" w:type="dxa"/>
          </w:tcPr>
          <w:p w14:paraId="79A8A3C5" w14:textId="77777777" w:rsidR="00354D63" w:rsidRPr="00ED063C" w:rsidRDefault="00354D63" w:rsidP="00402F1E">
            <w:pPr>
              <w:pStyle w:val="NormalWeb"/>
              <w:tabs>
                <w:tab w:val="left" w:pos="142"/>
                <w:tab w:val="left" w:pos="284"/>
              </w:tabs>
              <w:spacing w:line="360" w:lineRule="auto"/>
              <w:jc w:val="center"/>
              <w:rPr>
                <w:bCs/>
                <w:sz w:val="18"/>
                <w:szCs w:val="18"/>
              </w:rPr>
            </w:pPr>
            <w:r w:rsidRPr="00ED063C">
              <w:rPr>
                <w:bCs/>
                <w:sz w:val="18"/>
                <w:szCs w:val="18"/>
              </w:rPr>
              <w:t>Tumbuh</w:t>
            </w:r>
          </w:p>
        </w:tc>
        <w:tc>
          <w:tcPr>
            <w:tcW w:w="994" w:type="dxa"/>
          </w:tcPr>
          <w:p w14:paraId="559FBF2A" w14:textId="77777777" w:rsidR="00354D63" w:rsidRPr="00ED063C" w:rsidRDefault="00354D63" w:rsidP="00402F1E">
            <w:pPr>
              <w:pStyle w:val="NormalWeb"/>
              <w:tabs>
                <w:tab w:val="left" w:pos="142"/>
                <w:tab w:val="left" w:pos="284"/>
              </w:tabs>
              <w:spacing w:line="360" w:lineRule="auto"/>
              <w:jc w:val="center"/>
              <w:rPr>
                <w:bCs/>
                <w:sz w:val="18"/>
                <w:szCs w:val="18"/>
              </w:rPr>
            </w:pPr>
            <w:r w:rsidRPr="00ED063C">
              <w:rPr>
                <w:bCs/>
                <w:sz w:val="18"/>
                <w:szCs w:val="18"/>
              </w:rPr>
              <w:t>0.010</w:t>
            </w:r>
          </w:p>
        </w:tc>
        <w:tc>
          <w:tcPr>
            <w:tcW w:w="988" w:type="dxa"/>
          </w:tcPr>
          <w:p w14:paraId="6C759F2C" w14:textId="77777777" w:rsidR="00354D63" w:rsidRPr="00ED063C" w:rsidRDefault="00354D63" w:rsidP="00402F1E">
            <w:pPr>
              <w:pStyle w:val="NormalWeb"/>
              <w:tabs>
                <w:tab w:val="left" w:pos="142"/>
                <w:tab w:val="left" w:pos="284"/>
              </w:tabs>
              <w:spacing w:line="360" w:lineRule="auto"/>
              <w:jc w:val="center"/>
              <w:rPr>
                <w:bCs/>
                <w:sz w:val="18"/>
                <w:szCs w:val="18"/>
              </w:rPr>
            </w:pPr>
            <w:r w:rsidRPr="00ED063C">
              <w:rPr>
                <w:bCs/>
                <w:sz w:val="18"/>
                <w:szCs w:val="18"/>
              </w:rPr>
              <w:t>-0.006</w:t>
            </w:r>
          </w:p>
        </w:tc>
        <w:tc>
          <w:tcPr>
            <w:tcW w:w="992" w:type="dxa"/>
          </w:tcPr>
          <w:p w14:paraId="776850EB" w14:textId="77777777" w:rsidR="00354D63" w:rsidRPr="00ED063C" w:rsidRDefault="00354D63" w:rsidP="00402F1E">
            <w:pPr>
              <w:pStyle w:val="NormalWeb"/>
              <w:tabs>
                <w:tab w:val="left" w:pos="142"/>
                <w:tab w:val="left" w:pos="284"/>
              </w:tabs>
              <w:spacing w:line="360" w:lineRule="auto"/>
              <w:jc w:val="center"/>
              <w:rPr>
                <w:bCs/>
                <w:sz w:val="18"/>
                <w:szCs w:val="18"/>
                <w:highlight w:val="lightGray"/>
              </w:rPr>
            </w:pPr>
            <w:r w:rsidRPr="00ED063C">
              <w:rPr>
                <w:bCs/>
                <w:sz w:val="18"/>
                <w:szCs w:val="18"/>
              </w:rPr>
              <w:t>-0.135***</w:t>
            </w:r>
          </w:p>
        </w:tc>
        <w:tc>
          <w:tcPr>
            <w:tcW w:w="1134" w:type="dxa"/>
          </w:tcPr>
          <w:p w14:paraId="77F543F9" w14:textId="77777777" w:rsidR="00354D63" w:rsidRPr="00ED063C" w:rsidRDefault="00354D63" w:rsidP="00402F1E">
            <w:pPr>
              <w:pStyle w:val="NormalWeb"/>
              <w:tabs>
                <w:tab w:val="left" w:pos="142"/>
                <w:tab w:val="left" w:pos="284"/>
              </w:tabs>
              <w:spacing w:line="360" w:lineRule="auto"/>
              <w:jc w:val="center"/>
              <w:rPr>
                <w:bCs/>
                <w:sz w:val="18"/>
                <w:szCs w:val="18"/>
              </w:rPr>
            </w:pPr>
            <w:r w:rsidRPr="00ED063C">
              <w:rPr>
                <w:bCs/>
                <w:sz w:val="18"/>
                <w:szCs w:val="18"/>
              </w:rPr>
              <w:t>0.028</w:t>
            </w:r>
          </w:p>
        </w:tc>
        <w:tc>
          <w:tcPr>
            <w:tcW w:w="992" w:type="dxa"/>
          </w:tcPr>
          <w:p w14:paraId="173DAA5C" w14:textId="77777777" w:rsidR="00354D63" w:rsidRPr="00ED063C" w:rsidRDefault="00354D63" w:rsidP="00402F1E">
            <w:pPr>
              <w:pStyle w:val="NormalWeb"/>
              <w:tabs>
                <w:tab w:val="left" w:pos="142"/>
                <w:tab w:val="left" w:pos="284"/>
              </w:tabs>
              <w:spacing w:line="360" w:lineRule="auto"/>
              <w:jc w:val="center"/>
              <w:rPr>
                <w:bCs/>
                <w:sz w:val="18"/>
                <w:szCs w:val="18"/>
              </w:rPr>
            </w:pPr>
            <w:r w:rsidRPr="00ED063C">
              <w:rPr>
                <w:bCs/>
                <w:sz w:val="18"/>
                <w:szCs w:val="18"/>
              </w:rPr>
              <w:t>0.030*</w:t>
            </w:r>
          </w:p>
        </w:tc>
        <w:tc>
          <w:tcPr>
            <w:tcW w:w="992" w:type="dxa"/>
          </w:tcPr>
          <w:p w14:paraId="33BD4B7D" w14:textId="77777777" w:rsidR="00354D63" w:rsidRPr="00ED063C" w:rsidRDefault="00354D63" w:rsidP="00402F1E">
            <w:pPr>
              <w:pStyle w:val="NormalWeb"/>
              <w:tabs>
                <w:tab w:val="left" w:pos="142"/>
                <w:tab w:val="left" w:pos="284"/>
              </w:tabs>
              <w:spacing w:line="360" w:lineRule="auto"/>
              <w:jc w:val="center"/>
              <w:rPr>
                <w:bCs/>
                <w:sz w:val="18"/>
                <w:szCs w:val="18"/>
              </w:rPr>
            </w:pPr>
            <w:r w:rsidRPr="00ED063C">
              <w:rPr>
                <w:bCs/>
                <w:sz w:val="18"/>
                <w:szCs w:val="18"/>
              </w:rPr>
              <w:t>0.007</w:t>
            </w:r>
          </w:p>
        </w:tc>
        <w:tc>
          <w:tcPr>
            <w:tcW w:w="993" w:type="dxa"/>
          </w:tcPr>
          <w:p w14:paraId="0005B981" w14:textId="77777777" w:rsidR="00354D63" w:rsidRPr="00ED063C" w:rsidRDefault="00354D63" w:rsidP="00402F1E">
            <w:pPr>
              <w:pStyle w:val="NormalWeb"/>
              <w:tabs>
                <w:tab w:val="left" w:pos="142"/>
                <w:tab w:val="left" w:pos="284"/>
              </w:tabs>
              <w:spacing w:line="360" w:lineRule="auto"/>
              <w:jc w:val="center"/>
              <w:rPr>
                <w:bCs/>
                <w:sz w:val="18"/>
                <w:szCs w:val="18"/>
              </w:rPr>
            </w:pPr>
            <w:r w:rsidRPr="00ED063C">
              <w:rPr>
                <w:bCs/>
                <w:sz w:val="18"/>
                <w:szCs w:val="18"/>
              </w:rPr>
              <w:t>0.031*</w:t>
            </w:r>
          </w:p>
        </w:tc>
        <w:tc>
          <w:tcPr>
            <w:tcW w:w="992" w:type="dxa"/>
          </w:tcPr>
          <w:p w14:paraId="76AA3B17" w14:textId="77777777" w:rsidR="00354D63" w:rsidRPr="00ED063C" w:rsidRDefault="00354D63" w:rsidP="00402F1E">
            <w:pPr>
              <w:pStyle w:val="NormalWeb"/>
              <w:tabs>
                <w:tab w:val="left" w:pos="142"/>
                <w:tab w:val="left" w:pos="284"/>
              </w:tabs>
              <w:spacing w:line="360" w:lineRule="auto"/>
              <w:jc w:val="center"/>
              <w:rPr>
                <w:bCs/>
                <w:sz w:val="18"/>
                <w:szCs w:val="18"/>
              </w:rPr>
            </w:pPr>
            <w:r w:rsidRPr="00ED063C">
              <w:rPr>
                <w:bCs/>
                <w:sz w:val="18"/>
                <w:szCs w:val="18"/>
              </w:rPr>
              <w:t>0.040**</w:t>
            </w:r>
          </w:p>
        </w:tc>
        <w:tc>
          <w:tcPr>
            <w:tcW w:w="992" w:type="dxa"/>
          </w:tcPr>
          <w:p w14:paraId="7BA9C828" w14:textId="77777777" w:rsidR="00354D63" w:rsidRPr="00ED063C" w:rsidRDefault="00354D63" w:rsidP="00402F1E">
            <w:pPr>
              <w:pStyle w:val="NormalWeb"/>
              <w:tabs>
                <w:tab w:val="left" w:pos="142"/>
                <w:tab w:val="left" w:pos="284"/>
              </w:tabs>
              <w:spacing w:line="360" w:lineRule="auto"/>
              <w:jc w:val="center"/>
              <w:rPr>
                <w:bCs/>
                <w:sz w:val="18"/>
                <w:szCs w:val="18"/>
                <w:highlight w:val="lightGray"/>
              </w:rPr>
            </w:pPr>
          </w:p>
        </w:tc>
      </w:tr>
      <w:tr w:rsidR="00354D63" w:rsidRPr="00ED063C" w14:paraId="51F4BA5D" w14:textId="77777777" w:rsidTr="00402F1E">
        <w:trPr>
          <w:jc w:val="center"/>
        </w:trPr>
        <w:tc>
          <w:tcPr>
            <w:tcW w:w="991" w:type="dxa"/>
          </w:tcPr>
          <w:p w14:paraId="6946A83C" w14:textId="77777777" w:rsidR="00354D63" w:rsidRPr="00ED063C" w:rsidRDefault="00354D63" w:rsidP="00402F1E">
            <w:pPr>
              <w:pStyle w:val="NormalWeb"/>
              <w:tabs>
                <w:tab w:val="left" w:pos="142"/>
                <w:tab w:val="left" w:pos="284"/>
              </w:tabs>
              <w:spacing w:line="360" w:lineRule="auto"/>
              <w:jc w:val="center"/>
              <w:rPr>
                <w:bCs/>
                <w:sz w:val="18"/>
                <w:szCs w:val="18"/>
              </w:rPr>
            </w:pPr>
            <w:r w:rsidRPr="00ED063C">
              <w:rPr>
                <w:bCs/>
                <w:sz w:val="18"/>
                <w:szCs w:val="18"/>
              </w:rPr>
              <w:t>Umpil</w:t>
            </w:r>
          </w:p>
        </w:tc>
        <w:tc>
          <w:tcPr>
            <w:tcW w:w="994" w:type="dxa"/>
          </w:tcPr>
          <w:p w14:paraId="56B0F630" w14:textId="77777777" w:rsidR="00354D63" w:rsidRPr="00ED063C" w:rsidRDefault="00354D63" w:rsidP="00402F1E">
            <w:pPr>
              <w:pStyle w:val="NormalWeb"/>
              <w:tabs>
                <w:tab w:val="left" w:pos="142"/>
                <w:tab w:val="left" w:pos="284"/>
              </w:tabs>
              <w:spacing w:line="360" w:lineRule="auto"/>
              <w:jc w:val="center"/>
              <w:rPr>
                <w:bCs/>
                <w:sz w:val="18"/>
                <w:szCs w:val="18"/>
                <w:highlight w:val="lightGray"/>
              </w:rPr>
            </w:pPr>
            <w:r w:rsidRPr="00ED063C">
              <w:rPr>
                <w:bCs/>
                <w:sz w:val="18"/>
                <w:szCs w:val="18"/>
              </w:rPr>
              <w:t>0.104***</w:t>
            </w:r>
          </w:p>
        </w:tc>
        <w:tc>
          <w:tcPr>
            <w:tcW w:w="988" w:type="dxa"/>
          </w:tcPr>
          <w:p w14:paraId="5DE17AF5" w14:textId="77777777" w:rsidR="00354D63" w:rsidRPr="00ED063C" w:rsidRDefault="00354D63" w:rsidP="00402F1E">
            <w:pPr>
              <w:pStyle w:val="NormalWeb"/>
              <w:tabs>
                <w:tab w:val="left" w:pos="142"/>
                <w:tab w:val="left" w:pos="284"/>
              </w:tabs>
              <w:spacing w:line="360" w:lineRule="auto"/>
              <w:jc w:val="center"/>
              <w:rPr>
                <w:bCs/>
                <w:sz w:val="18"/>
                <w:szCs w:val="18"/>
              </w:rPr>
            </w:pPr>
            <w:r w:rsidRPr="00ED063C">
              <w:rPr>
                <w:bCs/>
                <w:sz w:val="18"/>
                <w:szCs w:val="18"/>
              </w:rPr>
              <w:t>0.081***</w:t>
            </w:r>
          </w:p>
        </w:tc>
        <w:tc>
          <w:tcPr>
            <w:tcW w:w="992" w:type="dxa"/>
          </w:tcPr>
          <w:p w14:paraId="2E36FBF2" w14:textId="77777777" w:rsidR="00354D63" w:rsidRPr="00ED063C" w:rsidRDefault="00354D63" w:rsidP="00402F1E">
            <w:pPr>
              <w:pStyle w:val="NormalWeb"/>
              <w:tabs>
                <w:tab w:val="left" w:pos="142"/>
                <w:tab w:val="left" w:pos="284"/>
              </w:tabs>
              <w:spacing w:line="360" w:lineRule="auto"/>
              <w:jc w:val="center"/>
              <w:rPr>
                <w:bCs/>
                <w:sz w:val="18"/>
                <w:szCs w:val="18"/>
                <w:highlight w:val="lightGray"/>
              </w:rPr>
            </w:pPr>
            <w:r w:rsidRPr="00ED063C">
              <w:rPr>
                <w:bCs/>
                <w:sz w:val="18"/>
                <w:szCs w:val="18"/>
              </w:rPr>
              <w:t>0.003</w:t>
            </w:r>
          </w:p>
        </w:tc>
        <w:tc>
          <w:tcPr>
            <w:tcW w:w="1134" w:type="dxa"/>
          </w:tcPr>
          <w:p w14:paraId="0E6C3ED2" w14:textId="77777777" w:rsidR="00354D63" w:rsidRPr="00ED063C" w:rsidRDefault="00354D63" w:rsidP="00402F1E">
            <w:pPr>
              <w:pStyle w:val="NormalWeb"/>
              <w:tabs>
                <w:tab w:val="left" w:pos="142"/>
                <w:tab w:val="left" w:pos="284"/>
              </w:tabs>
              <w:spacing w:line="360" w:lineRule="auto"/>
              <w:jc w:val="center"/>
              <w:rPr>
                <w:bCs/>
                <w:sz w:val="18"/>
                <w:szCs w:val="18"/>
              </w:rPr>
            </w:pPr>
            <w:r w:rsidRPr="00ED063C">
              <w:rPr>
                <w:bCs/>
                <w:sz w:val="18"/>
                <w:szCs w:val="18"/>
              </w:rPr>
              <w:t>0.018</w:t>
            </w:r>
          </w:p>
        </w:tc>
        <w:tc>
          <w:tcPr>
            <w:tcW w:w="992" w:type="dxa"/>
          </w:tcPr>
          <w:p w14:paraId="69B2B1D6" w14:textId="77777777" w:rsidR="00354D63" w:rsidRPr="00ED063C" w:rsidRDefault="00354D63" w:rsidP="00402F1E">
            <w:pPr>
              <w:pStyle w:val="NormalWeb"/>
              <w:tabs>
                <w:tab w:val="left" w:pos="142"/>
                <w:tab w:val="left" w:pos="284"/>
              </w:tabs>
              <w:spacing w:line="360" w:lineRule="auto"/>
              <w:jc w:val="center"/>
              <w:rPr>
                <w:bCs/>
                <w:sz w:val="18"/>
                <w:szCs w:val="18"/>
              </w:rPr>
            </w:pPr>
            <w:r w:rsidRPr="00ED063C">
              <w:rPr>
                <w:bCs/>
                <w:sz w:val="18"/>
                <w:szCs w:val="18"/>
              </w:rPr>
              <w:t>0.039**</w:t>
            </w:r>
          </w:p>
        </w:tc>
        <w:tc>
          <w:tcPr>
            <w:tcW w:w="992" w:type="dxa"/>
          </w:tcPr>
          <w:p w14:paraId="075D5DC0" w14:textId="77777777" w:rsidR="00354D63" w:rsidRPr="00ED063C" w:rsidRDefault="00354D63" w:rsidP="00402F1E">
            <w:pPr>
              <w:pStyle w:val="NormalWeb"/>
              <w:tabs>
                <w:tab w:val="left" w:pos="142"/>
                <w:tab w:val="left" w:pos="284"/>
              </w:tabs>
              <w:spacing w:line="360" w:lineRule="auto"/>
              <w:jc w:val="center"/>
              <w:rPr>
                <w:bCs/>
                <w:sz w:val="18"/>
                <w:szCs w:val="18"/>
              </w:rPr>
            </w:pPr>
            <w:r w:rsidRPr="00ED063C">
              <w:rPr>
                <w:bCs/>
                <w:sz w:val="18"/>
                <w:szCs w:val="18"/>
              </w:rPr>
              <w:t>0.137***</w:t>
            </w:r>
          </w:p>
        </w:tc>
        <w:tc>
          <w:tcPr>
            <w:tcW w:w="993" w:type="dxa"/>
          </w:tcPr>
          <w:p w14:paraId="23E23DA8" w14:textId="77777777" w:rsidR="00354D63" w:rsidRPr="00ED063C" w:rsidRDefault="00354D63" w:rsidP="00402F1E">
            <w:pPr>
              <w:pStyle w:val="NormalWeb"/>
              <w:tabs>
                <w:tab w:val="left" w:pos="142"/>
                <w:tab w:val="left" w:pos="284"/>
              </w:tabs>
              <w:spacing w:line="360" w:lineRule="auto"/>
              <w:jc w:val="center"/>
              <w:rPr>
                <w:bCs/>
                <w:sz w:val="18"/>
                <w:szCs w:val="18"/>
              </w:rPr>
            </w:pPr>
            <w:r w:rsidRPr="00ED063C">
              <w:rPr>
                <w:bCs/>
                <w:sz w:val="18"/>
                <w:szCs w:val="18"/>
              </w:rPr>
              <w:t>0.331***</w:t>
            </w:r>
          </w:p>
        </w:tc>
        <w:tc>
          <w:tcPr>
            <w:tcW w:w="992" w:type="dxa"/>
          </w:tcPr>
          <w:p w14:paraId="396424A2" w14:textId="77777777" w:rsidR="00354D63" w:rsidRPr="00ED063C" w:rsidRDefault="00354D63" w:rsidP="00402F1E">
            <w:pPr>
              <w:pStyle w:val="NormalWeb"/>
              <w:tabs>
                <w:tab w:val="left" w:pos="142"/>
                <w:tab w:val="left" w:pos="284"/>
              </w:tabs>
              <w:spacing w:line="360" w:lineRule="auto"/>
              <w:jc w:val="center"/>
              <w:rPr>
                <w:bCs/>
                <w:sz w:val="18"/>
                <w:szCs w:val="18"/>
              </w:rPr>
            </w:pPr>
            <w:r w:rsidRPr="00ED063C">
              <w:rPr>
                <w:bCs/>
                <w:sz w:val="18"/>
                <w:szCs w:val="18"/>
              </w:rPr>
              <w:t>-0.103***</w:t>
            </w:r>
          </w:p>
        </w:tc>
        <w:tc>
          <w:tcPr>
            <w:tcW w:w="992" w:type="dxa"/>
          </w:tcPr>
          <w:p w14:paraId="51DE2315" w14:textId="77777777" w:rsidR="00354D63" w:rsidRPr="00ED063C" w:rsidRDefault="00354D63" w:rsidP="00402F1E">
            <w:pPr>
              <w:pStyle w:val="NormalWeb"/>
              <w:tabs>
                <w:tab w:val="left" w:pos="142"/>
                <w:tab w:val="left" w:pos="284"/>
              </w:tabs>
              <w:spacing w:line="360" w:lineRule="auto"/>
              <w:jc w:val="center"/>
              <w:rPr>
                <w:bCs/>
                <w:sz w:val="18"/>
                <w:szCs w:val="18"/>
                <w:highlight w:val="lightGray"/>
              </w:rPr>
            </w:pPr>
            <w:r w:rsidRPr="00ED063C">
              <w:rPr>
                <w:bCs/>
                <w:sz w:val="18"/>
                <w:szCs w:val="18"/>
              </w:rPr>
              <w:t>0.034*</w:t>
            </w:r>
          </w:p>
        </w:tc>
      </w:tr>
    </w:tbl>
    <w:p w14:paraId="349E648B" w14:textId="77777777" w:rsidR="00354D63" w:rsidRPr="00ED420A" w:rsidRDefault="00354D63" w:rsidP="00354D63">
      <w:pPr>
        <w:spacing w:after="0" w:line="240" w:lineRule="auto"/>
        <w:jc w:val="both"/>
        <w:rPr>
          <w:rFonts w:ascii="Times New Roman" w:hAnsi="Times New Roman" w:cs="Times New Roman"/>
          <w:sz w:val="20"/>
          <w:szCs w:val="20"/>
        </w:rPr>
      </w:pPr>
      <w:r w:rsidRPr="00ED063C">
        <w:rPr>
          <w:rStyle w:val="fontstyle01"/>
          <w:rFonts w:ascii="Times New Roman" w:hAnsi="Times New Roman" w:cs="Times New Roman"/>
          <w:sz w:val="18"/>
          <w:szCs w:val="18"/>
        </w:rPr>
        <w:t>***. Signifikan pada tahap &lt; 0.010 **. Signifikan pada tahap &lt; 0.050 *. Signifikan pada tahap &lt; 0.100</w:t>
      </w:r>
      <w:r>
        <w:rPr>
          <w:rStyle w:val="fontstyle01"/>
          <w:rFonts w:ascii="Times New Roman" w:hAnsi="Times New Roman" w:cs="Times New Roman"/>
          <w:sz w:val="18"/>
          <w:szCs w:val="18"/>
        </w:rPr>
        <w:t xml:space="preserve">. </w:t>
      </w:r>
      <w:r w:rsidRPr="00ED420A">
        <w:rPr>
          <w:rFonts w:ascii="Times New Roman" w:hAnsi="Times New Roman" w:cs="Times New Roman"/>
          <w:sz w:val="20"/>
          <w:szCs w:val="20"/>
        </w:rPr>
        <w:t xml:space="preserve">Definisi dan pengukuran pembolehubah seperti yang diterangkan dalam model kajian. </w:t>
      </w:r>
    </w:p>
    <w:p w14:paraId="3B83EB68" w14:textId="77777777" w:rsidR="00354D63" w:rsidRPr="00ED063C" w:rsidRDefault="00354D63" w:rsidP="00354D63">
      <w:pPr>
        <w:rPr>
          <w:rStyle w:val="fontstyle01"/>
          <w:rFonts w:ascii="Times New Roman" w:hAnsi="Times New Roman" w:cs="Times New Roman"/>
          <w:sz w:val="18"/>
          <w:szCs w:val="18"/>
        </w:rPr>
      </w:pPr>
    </w:p>
    <w:p w14:paraId="34634475" w14:textId="77777777" w:rsidR="00354D63" w:rsidRDefault="00354D63" w:rsidP="00354D63">
      <w:pPr>
        <w:keepNext/>
        <w:keepLines/>
        <w:spacing w:after="0" w:line="240" w:lineRule="auto"/>
        <w:jc w:val="both"/>
        <w:outlineLvl w:val="0"/>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lastRenderedPageBreak/>
        <w:t>Analisis Regresi Berganda</w:t>
      </w:r>
    </w:p>
    <w:p w14:paraId="5F460C87" w14:textId="77777777" w:rsidR="00354D63" w:rsidRDefault="00354D63" w:rsidP="00354D63">
      <w:pPr>
        <w:keepNext/>
        <w:keepLines/>
        <w:spacing w:after="0" w:line="240" w:lineRule="auto"/>
        <w:jc w:val="both"/>
        <w:outlineLvl w:val="0"/>
        <w:rPr>
          <w:rFonts w:ascii="Times New Roman" w:eastAsiaTheme="majorEastAsia" w:hAnsi="Times New Roman" w:cs="Times New Roman"/>
          <w:b/>
          <w:sz w:val="24"/>
          <w:szCs w:val="24"/>
        </w:rPr>
      </w:pPr>
    </w:p>
    <w:p w14:paraId="1D5B7096" w14:textId="77777777" w:rsidR="00354D63" w:rsidRPr="008142A6" w:rsidRDefault="00354D63" w:rsidP="00354D63">
      <w:pPr>
        <w:keepNext/>
        <w:keepLines/>
        <w:spacing w:after="0" w:line="240" w:lineRule="auto"/>
        <w:jc w:val="both"/>
        <w:outlineLvl w:val="0"/>
        <w:rPr>
          <w:rFonts w:ascii="Times New Roman" w:eastAsiaTheme="majorEastAsia" w:hAnsi="Times New Roman" w:cs="Times New Roman"/>
          <w:sz w:val="24"/>
          <w:szCs w:val="24"/>
        </w:rPr>
      </w:pPr>
      <w:r w:rsidRPr="008142A6">
        <w:rPr>
          <w:rFonts w:ascii="Times New Roman" w:eastAsiaTheme="majorEastAsia" w:hAnsi="Times New Roman" w:cs="Times New Roman"/>
          <w:sz w:val="24"/>
          <w:szCs w:val="24"/>
        </w:rPr>
        <w:t xml:space="preserve">Jadual </w:t>
      </w:r>
      <w:r>
        <w:rPr>
          <w:rFonts w:ascii="Times New Roman" w:eastAsiaTheme="majorEastAsia" w:hAnsi="Times New Roman" w:cs="Times New Roman"/>
          <w:sz w:val="24"/>
          <w:szCs w:val="24"/>
        </w:rPr>
        <w:t>7</w:t>
      </w:r>
      <w:r w:rsidRPr="008142A6">
        <w:rPr>
          <w:rFonts w:ascii="Times New Roman" w:eastAsiaTheme="majorEastAsia" w:hAnsi="Times New Roman" w:cs="Times New Roman"/>
          <w:sz w:val="24"/>
          <w:szCs w:val="24"/>
        </w:rPr>
        <w:t xml:space="preserve"> menggunakan model kesan tetap regresi berganda panel data </w:t>
      </w:r>
      <w:r>
        <w:rPr>
          <w:rFonts w:ascii="Times New Roman" w:eastAsiaTheme="majorEastAsia" w:hAnsi="Times New Roman" w:cs="Times New Roman"/>
          <w:sz w:val="24"/>
          <w:szCs w:val="24"/>
        </w:rPr>
        <w:t xml:space="preserve">terhadap semua pemboleh ubah kajian.  Hasil ujian regresi mendapati nilai </w:t>
      </w:r>
      <w:r w:rsidRPr="00137BB4">
        <w:rPr>
          <w:rFonts w:ascii="Times New Roman" w:hAnsi="Times New Roman" w:cs="Times New Roman"/>
          <w:sz w:val="24"/>
          <w:szCs w:val="24"/>
        </w:rPr>
        <w:t>R</w:t>
      </w:r>
      <w:r w:rsidRPr="00137BB4">
        <w:rPr>
          <w:rFonts w:ascii="Times New Roman" w:hAnsi="Times New Roman" w:cs="Times New Roman"/>
          <w:sz w:val="24"/>
          <w:szCs w:val="24"/>
          <w:vertAlign w:val="superscript"/>
        </w:rPr>
        <w:t>2</w:t>
      </w:r>
      <w:r w:rsidRPr="00137BB4">
        <w:rPr>
          <w:rFonts w:ascii="Times New Roman" w:hAnsi="Times New Roman" w:cs="Times New Roman"/>
          <w:sz w:val="24"/>
          <w:szCs w:val="24"/>
        </w:rPr>
        <w:t xml:space="preserve"> adalah 82</w:t>
      </w:r>
      <w:r>
        <w:rPr>
          <w:rFonts w:ascii="Times New Roman" w:hAnsi="Times New Roman" w:cs="Times New Roman"/>
          <w:sz w:val="24"/>
          <w:szCs w:val="24"/>
        </w:rPr>
        <w:t xml:space="preserve"> </w:t>
      </w:r>
      <w:r w:rsidRPr="00137BB4">
        <w:rPr>
          <w:rFonts w:ascii="Times New Roman" w:hAnsi="Times New Roman" w:cs="Times New Roman"/>
          <w:sz w:val="24"/>
          <w:szCs w:val="24"/>
        </w:rPr>
        <w:t>% dan R</w:t>
      </w:r>
      <w:r w:rsidRPr="00137BB4">
        <w:rPr>
          <w:rFonts w:ascii="Times New Roman" w:hAnsi="Times New Roman" w:cs="Times New Roman"/>
          <w:sz w:val="24"/>
          <w:szCs w:val="24"/>
          <w:vertAlign w:val="superscript"/>
        </w:rPr>
        <w:t>2</w:t>
      </w:r>
      <w:r w:rsidRPr="00137BB4">
        <w:rPr>
          <w:rFonts w:ascii="Times New Roman" w:hAnsi="Times New Roman" w:cs="Times New Roman"/>
          <w:sz w:val="24"/>
          <w:szCs w:val="24"/>
        </w:rPr>
        <w:t xml:space="preserve"> terlaras adalah 77.</w:t>
      </w:r>
      <w:r>
        <w:rPr>
          <w:rFonts w:ascii="Times New Roman" w:hAnsi="Times New Roman" w:cs="Times New Roman"/>
          <w:sz w:val="24"/>
          <w:szCs w:val="24"/>
        </w:rPr>
        <w:t>4</w:t>
      </w:r>
      <w:r w:rsidRPr="00137BB4">
        <w:rPr>
          <w:rFonts w:ascii="Times New Roman" w:hAnsi="Times New Roman" w:cs="Times New Roman"/>
          <w:sz w:val="24"/>
          <w:szCs w:val="24"/>
        </w:rPr>
        <w:t>% dengan nilai F-statistik pada 17.8</w:t>
      </w:r>
      <w:r>
        <w:rPr>
          <w:rFonts w:ascii="Times New Roman" w:hAnsi="Times New Roman" w:cs="Times New Roman"/>
          <w:sz w:val="24"/>
          <w:szCs w:val="24"/>
        </w:rPr>
        <w:t>7</w:t>
      </w:r>
      <w:r w:rsidRPr="00137BB4">
        <w:rPr>
          <w:rFonts w:ascii="Times New Roman" w:hAnsi="Times New Roman" w:cs="Times New Roman"/>
          <w:sz w:val="24"/>
          <w:szCs w:val="24"/>
        </w:rPr>
        <w:t xml:space="preserve"> serta signifikan (p&lt;0.000)</w:t>
      </w:r>
      <w:r>
        <w:rPr>
          <w:rFonts w:ascii="Times New Roman" w:hAnsi="Times New Roman" w:cs="Times New Roman"/>
          <w:sz w:val="24"/>
          <w:szCs w:val="24"/>
        </w:rPr>
        <w:t xml:space="preserve"> untuk kedua-dua FAPI10% dan FAPI20%</w:t>
      </w:r>
      <w:r w:rsidRPr="00137BB4">
        <w:rPr>
          <w:rFonts w:ascii="Times New Roman" w:hAnsi="Times New Roman" w:cs="Times New Roman"/>
          <w:sz w:val="24"/>
          <w:szCs w:val="24"/>
        </w:rPr>
        <w:t>. Nilai R</w:t>
      </w:r>
      <w:r w:rsidRPr="00137BB4">
        <w:rPr>
          <w:rFonts w:ascii="Times New Roman" w:hAnsi="Times New Roman" w:cs="Times New Roman"/>
          <w:sz w:val="24"/>
          <w:szCs w:val="24"/>
          <w:vertAlign w:val="superscript"/>
        </w:rPr>
        <w:t>2</w:t>
      </w:r>
      <w:r w:rsidRPr="00137BB4">
        <w:rPr>
          <w:rFonts w:ascii="Times New Roman" w:hAnsi="Times New Roman" w:cs="Times New Roman"/>
          <w:sz w:val="24"/>
          <w:szCs w:val="24"/>
        </w:rPr>
        <w:t xml:space="preserve"> terlaras ini adalah tinggi dan signifikan menggambarkan model kajian yang baik. Ini menunjukkan 77.</w:t>
      </w:r>
      <w:r>
        <w:rPr>
          <w:rFonts w:ascii="Times New Roman" w:hAnsi="Times New Roman" w:cs="Times New Roman"/>
          <w:sz w:val="24"/>
          <w:szCs w:val="24"/>
        </w:rPr>
        <w:t>4</w:t>
      </w:r>
      <w:r w:rsidRPr="00137BB4">
        <w:rPr>
          <w:rFonts w:ascii="Times New Roman" w:hAnsi="Times New Roman" w:cs="Times New Roman"/>
          <w:sz w:val="24"/>
          <w:szCs w:val="24"/>
        </w:rPr>
        <w:t xml:space="preserve">% pemboleh ubah dalam model kajian ini boleh menerangkan pendedahan UPB. </w:t>
      </w:r>
    </w:p>
    <w:p w14:paraId="57FAE04A" w14:textId="77777777" w:rsidR="00354D63" w:rsidRDefault="00354D63" w:rsidP="00354D63">
      <w:pPr>
        <w:spacing w:after="0" w:line="240" w:lineRule="auto"/>
        <w:jc w:val="both"/>
        <w:rPr>
          <w:rFonts w:ascii="Times New Roman" w:eastAsiaTheme="majorEastAsia" w:hAnsi="Times New Roman" w:cs="Times New Roman"/>
          <w:sz w:val="24"/>
          <w:szCs w:val="24"/>
        </w:rPr>
      </w:pPr>
    </w:p>
    <w:p w14:paraId="4E7B60C2" w14:textId="77777777" w:rsidR="00354D63" w:rsidRPr="00451941" w:rsidRDefault="00354D63" w:rsidP="00354D63">
      <w:pPr>
        <w:keepNext/>
        <w:keepLines/>
        <w:spacing w:after="0" w:line="240" w:lineRule="auto"/>
        <w:jc w:val="both"/>
        <w:outlineLvl w:val="1"/>
        <w:rPr>
          <w:rFonts w:ascii="Times New Roman" w:eastAsiaTheme="majorEastAsia" w:hAnsi="Times New Roman" w:cs="Times New Roman"/>
          <w:b/>
          <w:sz w:val="24"/>
          <w:szCs w:val="24"/>
        </w:rPr>
      </w:pPr>
      <w:r>
        <w:rPr>
          <w:rFonts w:ascii="Times New Roman" w:eastAsiaTheme="majorEastAsia" w:hAnsi="Times New Roman" w:cs="Times New Roman"/>
          <w:sz w:val="24"/>
          <w:szCs w:val="24"/>
        </w:rPr>
        <w:tab/>
      </w:r>
      <w:r w:rsidRPr="00137BB4">
        <w:rPr>
          <w:rFonts w:ascii="Times New Roman" w:eastAsiaTheme="majorEastAsia" w:hAnsi="Times New Roman" w:cs="Times New Roman"/>
          <w:sz w:val="24"/>
          <w:szCs w:val="24"/>
        </w:rPr>
        <w:t xml:space="preserve">Hipotesis </w:t>
      </w:r>
      <w:r>
        <w:rPr>
          <w:rFonts w:ascii="Times New Roman" w:eastAsiaTheme="majorEastAsia" w:hAnsi="Times New Roman" w:cs="Times New Roman"/>
          <w:sz w:val="24"/>
          <w:szCs w:val="24"/>
        </w:rPr>
        <w:t xml:space="preserve">kajian </w:t>
      </w:r>
      <w:r w:rsidRPr="00137BB4">
        <w:rPr>
          <w:rFonts w:ascii="Times New Roman" w:eastAsiaTheme="majorEastAsia" w:hAnsi="Times New Roman" w:cs="Times New Roman"/>
          <w:sz w:val="24"/>
          <w:szCs w:val="24"/>
        </w:rPr>
        <w:t xml:space="preserve">menjangkakan </w:t>
      </w:r>
      <w:r>
        <w:rPr>
          <w:rFonts w:ascii="Times New Roman" w:hAnsi="Times New Roman" w:cs="Times New Roman"/>
          <w:noProof/>
          <w:sz w:val="24"/>
          <w:szCs w:val="24"/>
          <w:lang w:val="ms-MY"/>
        </w:rPr>
        <w:t>h</w:t>
      </w:r>
      <w:r w:rsidRPr="00451941">
        <w:rPr>
          <w:rFonts w:ascii="Times New Roman" w:hAnsi="Times New Roman" w:cs="Times New Roman"/>
          <w:noProof/>
          <w:sz w:val="24"/>
          <w:szCs w:val="24"/>
          <w:lang w:val="ms-MY"/>
        </w:rPr>
        <w:t>ubungan antara firma audit pakar industri (FAPI) dan pendedahan UPB bergantung kepada nilai ambang FAPI</w:t>
      </w:r>
      <w:r>
        <w:rPr>
          <w:rFonts w:ascii="Times New Roman" w:eastAsiaTheme="majorEastAsia" w:hAnsi="Times New Roman" w:cs="Times New Roman"/>
          <w:sz w:val="24"/>
          <w:szCs w:val="24"/>
        </w:rPr>
        <w:t>. Secara spesifiknya, pada tahap FAPI 10%, kami menjangkakan FAPI tidak mempunyai hubungan yang signifikan dengan UPB. Sebaliknya pada tahap FAPI 20%, FAPI dijangka berhubungan secara positif dan signifikan dengan UPB.</w:t>
      </w:r>
    </w:p>
    <w:p w14:paraId="6E3BBF33" w14:textId="77777777" w:rsidR="00354D63" w:rsidRPr="00137BB4" w:rsidRDefault="00354D63" w:rsidP="00354D63">
      <w:pPr>
        <w:keepNext/>
        <w:keepLines/>
        <w:spacing w:after="0" w:line="240" w:lineRule="auto"/>
        <w:jc w:val="both"/>
        <w:outlineLvl w:val="1"/>
        <w:rPr>
          <w:rFonts w:ascii="Times New Roman" w:eastAsiaTheme="majorEastAsia" w:hAnsi="Times New Roman" w:cs="Times New Roman"/>
          <w:b/>
          <w:sz w:val="24"/>
          <w:szCs w:val="24"/>
        </w:rPr>
      </w:pPr>
    </w:p>
    <w:p w14:paraId="052307BC" w14:textId="77777777" w:rsidR="00354D63" w:rsidRDefault="00354D63" w:rsidP="00354D63">
      <w:pPr>
        <w:spacing w:after="0" w:line="240" w:lineRule="auto"/>
        <w:jc w:val="both"/>
        <w:rPr>
          <w:rFonts w:ascii="Times New Roman" w:eastAsiaTheme="majorEastAsia" w:hAnsi="Times New Roman" w:cs="Times New Roman"/>
          <w:sz w:val="24"/>
          <w:szCs w:val="24"/>
        </w:rPr>
      </w:pPr>
      <w:r w:rsidRPr="00137BB4">
        <w:rPr>
          <w:rFonts w:ascii="Times New Roman" w:hAnsi="Times New Roman" w:cs="Times New Roman"/>
          <w:sz w:val="24"/>
          <w:szCs w:val="24"/>
        </w:rPr>
        <w:tab/>
        <w:t xml:space="preserve">Berdasarkan Jadual </w:t>
      </w:r>
      <w:r>
        <w:rPr>
          <w:rFonts w:ascii="Times New Roman" w:hAnsi="Times New Roman" w:cs="Times New Roman"/>
          <w:sz w:val="24"/>
          <w:szCs w:val="24"/>
        </w:rPr>
        <w:t>7</w:t>
      </w:r>
      <w:r w:rsidRPr="00137BB4">
        <w:rPr>
          <w:rFonts w:ascii="Times New Roman" w:hAnsi="Times New Roman" w:cs="Times New Roman"/>
          <w:sz w:val="24"/>
          <w:szCs w:val="24"/>
        </w:rPr>
        <w:t xml:space="preserve">, </w:t>
      </w:r>
      <w:r>
        <w:rPr>
          <w:rFonts w:ascii="Times New Roman" w:hAnsi="Times New Roman" w:cs="Times New Roman"/>
          <w:sz w:val="24"/>
          <w:szCs w:val="24"/>
        </w:rPr>
        <w:t xml:space="preserve">pada tahap FAPI 10%, </w:t>
      </w:r>
      <w:r w:rsidRPr="00137BB4">
        <w:rPr>
          <w:rFonts w:ascii="Times New Roman" w:hAnsi="Times New Roman" w:cs="Times New Roman"/>
          <w:sz w:val="24"/>
          <w:szCs w:val="24"/>
        </w:rPr>
        <w:t xml:space="preserve">tiada bukti menunjukkan </w:t>
      </w:r>
      <w:r>
        <w:rPr>
          <w:rFonts w:ascii="Times New Roman" w:hAnsi="Times New Roman" w:cs="Times New Roman"/>
          <w:sz w:val="24"/>
          <w:szCs w:val="24"/>
        </w:rPr>
        <w:t>FAPI</w:t>
      </w:r>
      <w:r w:rsidRPr="00137BB4">
        <w:rPr>
          <w:rFonts w:ascii="Times New Roman" w:hAnsi="Times New Roman" w:cs="Times New Roman"/>
          <w:sz w:val="24"/>
          <w:szCs w:val="24"/>
        </w:rPr>
        <w:t xml:space="preserve"> mampu untuk meningkatkan pendedahan UPB. </w:t>
      </w:r>
      <w:r>
        <w:rPr>
          <w:rFonts w:ascii="Times New Roman" w:eastAsiaTheme="majorEastAsia" w:hAnsi="Times New Roman" w:cs="Times New Roman"/>
          <w:sz w:val="24"/>
          <w:szCs w:val="24"/>
        </w:rPr>
        <w:t xml:space="preserve">Sebaliknya pada tahap FAPI 20%, kajian ini mendapati wujud hubungan </w:t>
      </w:r>
      <w:r w:rsidRPr="00137BB4">
        <w:rPr>
          <w:rFonts w:ascii="Times New Roman" w:eastAsiaTheme="majorEastAsia" w:hAnsi="Times New Roman" w:cs="Times New Roman"/>
          <w:sz w:val="24"/>
          <w:szCs w:val="24"/>
        </w:rPr>
        <w:t xml:space="preserve">positif yang signifikan </w:t>
      </w:r>
      <w:r>
        <w:rPr>
          <w:rFonts w:ascii="Times New Roman" w:eastAsiaTheme="majorEastAsia" w:hAnsi="Times New Roman" w:cs="Times New Roman"/>
          <w:sz w:val="24"/>
          <w:szCs w:val="24"/>
        </w:rPr>
        <w:t xml:space="preserve">antara FAPI </w:t>
      </w:r>
      <w:r w:rsidRPr="00137BB4">
        <w:rPr>
          <w:rFonts w:ascii="Times New Roman" w:eastAsiaTheme="majorEastAsia" w:hAnsi="Times New Roman" w:cs="Times New Roman"/>
          <w:sz w:val="24"/>
          <w:szCs w:val="24"/>
        </w:rPr>
        <w:t>d</w:t>
      </w:r>
      <w:r>
        <w:rPr>
          <w:rFonts w:ascii="Times New Roman" w:eastAsiaTheme="majorEastAsia" w:hAnsi="Times New Roman" w:cs="Times New Roman"/>
          <w:sz w:val="24"/>
          <w:szCs w:val="24"/>
        </w:rPr>
        <w:t>an</w:t>
      </w:r>
      <w:r w:rsidRPr="00137BB4">
        <w:rPr>
          <w:rFonts w:ascii="Times New Roman" w:eastAsiaTheme="majorEastAsia" w:hAnsi="Times New Roman" w:cs="Times New Roman"/>
          <w:sz w:val="24"/>
          <w:szCs w:val="24"/>
        </w:rPr>
        <w:t xml:space="preserve"> pendedahan UPB dengan nilai koefisien 0.</w:t>
      </w:r>
      <w:r>
        <w:rPr>
          <w:rFonts w:ascii="Times New Roman" w:eastAsiaTheme="majorEastAsia" w:hAnsi="Times New Roman" w:cs="Times New Roman"/>
          <w:sz w:val="24"/>
          <w:szCs w:val="24"/>
        </w:rPr>
        <w:t>246</w:t>
      </w:r>
      <w:r w:rsidRPr="00137BB4">
        <w:rPr>
          <w:rFonts w:ascii="Times New Roman" w:eastAsiaTheme="majorEastAsia" w:hAnsi="Times New Roman" w:cs="Times New Roman"/>
          <w:sz w:val="24"/>
          <w:szCs w:val="24"/>
        </w:rPr>
        <w:t xml:space="preserve"> (t-statistik = </w:t>
      </w:r>
      <w:r>
        <w:rPr>
          <w:rFonts w:ascii="Times New Roman" w:eastAsiaTheme="majorEastAsia" w:hAnsi="Times New Roman" w:cs="Times New Roman"/>
          <w:sz w:val="24"/>
          <w:szCs w:val="24"/>
        </w:rPr>
        <w:t>1.660</w:t>
      </w:r>
      <w:r w:rsidRPr="00137BB4">
        <w:rPr>
          <w:rFonts w:ascii="Times New Roman" w:eastAsiaTheme="majorEastAsia" w:hAnsi="Times New Roman" w:cs="Times New Roman"/>
          <w:sz w:val="24"/>
          <w:szCs w:val="24"/>
        </w:rPr>
        <w:t>) dan signifikan pada p&lt;0.</w:t>
      </w:r>
      <w:r>
        <w:rPr>
          <w:rFonts w:ascii="Times New Roman" w:eastAsiaTheme="majorEastAsia" w:hAnsi="Times New Roman" w:cs="Times New Roman"/>
          <w:sz w:val="24"/>
          <w:szCs w:val="24"/>
        </w:rPr>
        <w:t>10</w:t>
      </w:r>
      <w:r w:rsidRPr="00137BB4">
        <w:rPr>
          <w:rFonts w:ascii="Times New Roman" w:eastAsiaTheme="majorEastAsia" w:hAnsi="Times New Roman" w:cs="Times New Roman"/>
          <w:sz w:val="24"/>
          <w:szCs w:val="24"/>
        </w:rPr>
        <w:t xml:space="preserve">. Oleh itu, hipotesis kajian ini disokong. </w:t>
      </w:r>
      <w:r>
        <w:rPr>
          <w:rFonts w:ascii="Times New Roman" w:eastAsiaTheme="majorEastAsia" w:hAnsi="Times New Roman" w:cs="Times New Roman"/>
          <w:sz w:val="24"/>
          <w:szCs w:val="24"/>
        </w:rPr>
        <w:t xml:space="preserve">Keputusan kajian </w:t>
      </w:r>
      <w:r w:rsidRPr="00137BB4">
        <w:rPr>
          <w:rFonts w:ascii="Times New Roman" w:eastAsiaTheme="majorEastAsia" w:hAnsi="Times New Roman" w:cs="Times New Roman"/>
          <w:sz w:val="24"/>
          <w:szCs w:val="24"/>
        </w:rPr>
        <w:t xml:space="preserve">ini menunjukkan bahawa </w:t>
      </w:r>
      <w:r>
        <w:rPr>
          <w:rFonts w:ascii="Times New Roman" w:eastAsiaTheme="majorEastAsia" w:hAnsi="Times New Roman" w:cs="Times New Roman"/>
          <w:sz w:val="24"/>
          <w:szCs w:val="24"/>
        </w:rPr>
        <w:t xml:space="preserve">firma audit perlu mempunyai pengetahuan dan kepakaran industri yang lebih mendalam yang diperoleh menerusi pengauditan lebih banyak syarikat dalam industri yang sama (iaitu pada nilai ambang melebihi 20%) bagi membolehkan mereka mengaudit UPB dan memastikan </w:t>
      </w:r>
      <w:r w:rsidRPr="00137BB4">
        <w:rPr>
          <w:rFonts w:ascii="Times New Roman" w:eastAsiaTheme="majorEastAsia" w:hAnsi="Times New Roman" w:cs="Times New Roman"/>
          <w:sz w:val="24"/>
          <w:szCs w:val="24"/>
        </w:rPr>
        <w:t>syarikat membuat pendedahan UPB</w:t>
      </w:r>
      <w:r>
        <w:rPr>
          <w:rFonts w:ascii="Times New Roman" w:eastAsiaTheme="majorEastAsia" w:hAnsi="Times New Roman" w:cs="Times New Roman"/>
          <w:sz w:val="24"/>
          <w:szCs w:val="24"/>
        </w:rPr>
        <w:t xml:space="preserve"> yang sewajarnya</w:t>
      </w:r>
      <w:r w:rsidRPr="00137BB4">
        <w:rPr>
          <w:rFonts w:ascii="Times New Roman" w:eastAsiaTheme="majorEastAsia" w:hAnsi="Times New Roman" w:cs="Times New Roman"/>
          <w:sz w:val="24"/>
          <w:szCs w:val="24"/>
        </w:rPr>
        <w:t xml:space="preserve">. Dapatan ini adalah konsisten dengan kajian lepas yang mendapati </w:t>
      </w:r>
      <w:r>
        <w:rPr>
          <w:rFonts w:ascii="Times New Roman" w:eastAsiaTheme="majorEastAsia" w:hAnsi="Times New Roman" w:cs="Times New Roman"/>
          <w:sz w:val="24"/>
          <w:szCs w:val="24"/>
        </w:rPr>
        <w:t>FAPI</w:t>
      </w:r>
      <w:r w:rsidRPr="00137BB4">
        <w:rPr>
          <w:rFonts w:ascii="Times New Roman" w:eastAsiaTheme="majorEastAsia" w:hAnsi="Times New Roman" w:cs="Times New Roman"/>
          <w:sz w:val="24"/>
          <w:szCs w:val="24"/>
        </w:rPr>
        <w:t xml:space="preserve"> menggunakan pengalaman lalu untuk memahami strategi perniagaan syarikat lain (Yuan, Cheng &amp; Ye 2016). Dapatan ini juga telah disokong oleh kajian Norman (2018) yang membuktikan kepakaran yang dimiliki oleh </w:t>
      </w:r>
      <w:r>
        <w:rPr>
          <w:rFonts w:ascii="Times New Roman" w:eastAsiaTheme="majorEastAsia" w:hAnsi="Times New Roman" w:cs="Times New Roman"/>
          <w:sz w:val="24"/>
          <w:szCs w:val="24"/>
        </w:rPr>
        <w:t>FAPI</w:t>
      </w:r>
      <w:r w:rsidRPr="00137BB4">
        <w:rPr>
          <w:rFonts w:ascii="Times New Roman" w:eastAsiaTheme="majorEastAsia" w:hAnsi="Times New Roman" w:cs="Times New Roman"/>
          <w:sz w:val="24"/>
          <w:szCs w:val="24"/>
        </w:rPr>
        <w:t xml:space="preserve"> akan memudahkan </w:t>
      </w:r>
      <w:r>
        <w:rPr>
          <w:rFonts w:ascii="Times New Roman" w:eastAsiaTheme="majorEastAsia" w:hAnsi="Times New Roman" w:cs="Times New Roman"/>
          <w:sz w:val="24"/>
          <w:szCs w:val="24"/>
        </w:rPr>
        <w:t>mereka</w:t>
      </w:r>
      <w:r w:rsidRPr="00137BB4">
        <w:rPr>
          <w:rFonts w:ascii="Times New Roman" w:eastAsiaTheme="majorEastAsia" w:hAnsi="Times New Roman" w:cs="Times New Roman"/>
          <w:sz w:val="24"/>
          <w:szCs w:val="24"/>
        </w:rPr>
        <w:t xml:space="preserve"> menjalankan kerja audit. Justeru, pengalaman dan pengetahuan yang mendalam mengenai industri tertentu yang dimiliki oleh </w:t>
      </w:r>
      <w:r>
        <w:rPr>
          <w:rFonts w:ascii="Times New Roman" w:eastAsiaTheme="majorEastAsia" w:hAnsi="Times New Roman" w:cs="Times New Roman"/>
          <w:sz w:val="24"/>
          <w:szCs w:val="24"/>
        </w:rPr>
        <w:t>FAPI</w:t>
      </w:r>
      <w:r w:rsidRPr="00137BB4">
        <w:rPr>
          <w:rFonts w:ascii="Times New Roman" w:eastAsiaTheme="majorEastAsia" w:hAnsi="Times New Roman" w:cs="Times New Roman"/>
          <w:sz w:val="24"/>
          <w:szCs w:val="24"/>
        </w:rPr>
        <w:t xml:space="preserve"> (Aren et al. 2011) membantu mengesan pendedahan UPB. </w:t>
      </w:r>
    </w:p>
    <w:p w14:paraId="2BEC62AF" w14:textId="77777777" w:rsidR="00354D63" w:rsidRDefault="00354D63" w:rsidP="00354D63">
      <w:pPr>
        <w:spacing w:after="0" w:line="240" w:lineRule="auto"/>
        <w:jc w:val="both"/>
        <w:rPr>
          <w:rFonts w:ascii="Times New Roman" w:hAnsi="Times New Roman" w:cs="Times New Roman"/>
          <w:sz w:val="24"/>
          <w:szCs w:val="24"/>
        </w:rPr>
      </w:pPr>
    </w:p>
    <w:p w14:paraId="26928D92" w14:textId="77777777" w:rsidR="00354D63" w:rsidRPr="00451941" w:rsidRDefault="00354D63" w:rsidP="00354D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Bagi pembolehubah kawalan, saiz firma dan pulangan atas aset berhubungan secara positif dan signifikan masing-masing pada p&lt;0.01 dan p&lt;0.10 dengan pendedahan UPB. Dapatan kajian adalah selari dengan kajian lepas.</w:t>
      </w:r>
    </w:p>
    <w:p w14:paraId="5F4DE424" w14:textId="77777777" w:rsidR="00354D63" w:rsidRPr="00137BB4" w:rsidRDefault="00354D63" w:rsidP="00354D63">
      <w:pPr>
        <w:spacing w:after="0" w:line="240" w:lineRule="auto"/>
        <w:jc w:val="both"/>
        <w:rPr>
          <w:rFonts w:ascii="Times New Roman" w:hAnsi="Times New Roman" w:cs="Times New Roman"/>
          <w:sz w:val="24"/>
          <w:szCs w:val="24"/>
        </w:rPr>
      </w:pPr>
      <w:r w:rsidRPr="00137BB4">
        <w:rPr>
          <w:rFonts w:ascii="Times New Roman" w:hAnsi="Times New Roman" w:cs="Times New Roman"/>
          <w:sz w:val="24"/>
          <w:szCs w:val="24"/>
        </w:rPr>
        <w:tab/>
      </w:r>
    </w:p>
    <w:p w14:paraId="4A362B91" w14:textId="09771ACE" w:rsidR="00354D63" w:rsidRDefault="00354D63" w:rsidP="00354D63">
      <w:pPr>
        <w:spacing w:after="0" w:line="240" w:lineRule="auto"/>
        <w:jc w:val="both"/>
        <w:rPr>
          <w:rFonts w:ascii="Times New Roman" w:hAnsi="Times New Roman" w:cs="Times New Roman"/>
          <w:sz w:val="24"/>
          <w:szCs w:val="24"/>
        </w:rPr>
      </w:pPr>
    </w:p>
    <w:p w14:paraId="394BF554" w14:textId="320F5C9A" w:rsidR="005E7DA1" w:rsidRDefault="005E7DA1" w:rsidP="00354D63">
      <w:pPr>
        <w:spacing w:after="0" w:line="240" w:lineRule="auto"/>
        <w:jc w:val="both"/>
        <w:rPr>
          <w:rFonts w:ascii="Times New Roman" w:hAnsi="Times New Roman" w:cs="Times New Roman"/>
          <w:sz w:val="24"/>
          <w:szCs w:val="24"/>
        </w:rPr>
      </w:pPr>
    </w:p>
    <w:p w14:paraId="1260458F" w14:textId="1259289D" w:rsidR="005E7DA1" w:rsidRDefault="005E7DA1" w:rsidP="00354D63">
      <w:pPr>
        <w:spacing w:after="0" w:line="240" w:lineRule="auto"/>
        <w:jc w:val="both"/>
        <w:rPr>
          <w:rFonts w:ascii="Times New Roman" w:hAnsi="Times New Roman" w:cs="Times New Roman"/>
          <w:sz w:val="24"/>
          <w:szCs w:val="24"/>
        </w:rPr>
      </w:pPr>
    </w:p>
    <w:p w14:paraId="0177C237" w14:textId="6A626DC7" w:rsidR="005E7DA1" w:rsidRDefault="005E7DA1" w:rsidP="00354D63">
      <w:pPr>
        <w:spacing w:after="0" w:line="240" w:lineRule="auto"/>
        <w:jc w:val="both"/>
        <w:rPr>
          <w:rFonts w:ascii="Times New Roman" w:hAnsi="Times New Roman" w:cs="Times New Roman"/>
          <w:sz w:val="24"/>
          <w:szCs w:val="24"/>
        </w:rPr>
      </w:pPr>
    </w:p>
    <w:p w14:paraId="5D1A552B" w14:textId="56422AD0" w:rsidR="005E7DA1" w:rsidRDefault="005E7DA1" w:rsidP="00354D63">
      <w:pPr>
        <w:spacing w:after="0" w:line="240" w:lineRule="auto"/>
        <w:jc w:val="both"/>
        <w:rPr>
          <w:rFonts w:ascii="Times New Roman" w:hAnsi="Times New Roman" w:cs="Times New Roman"/>
          <w:sz w:val="24"/>
          <w:szCs w:val="24"/>
        </w:rPr>
      </w:pPr>
    </w:p>
    <w:p w14:paraId="43713F62" w14:textId="6A9979ED" w:rsidR="005E7DA1" w:rsidRDefault="005E7DA1" w:rsidP="00354D63">
      <w:pPr>
        <w:spacing w:after="0" w:line="240" w:lineRule="auto"/>
        <w:jc w:val="both"/>
        <w:rPr>
          <w:rFonts w:ascii="Times New Roman" w:hAnsi="Times New Roman" w:cs="Times New Roman"/>
          <w:sz w:val="24"/>
          <w:szCs w:val="24"/>
        </w:rPr>
      </w:pPr>
    </w:p>
    <w:p w14:paraId="1CE76572" w14:textId="742B92EA" w:rsidR="005E7DA1" w:rsidRDefault="005E7DA1" w:rsidP="00354D63">
      <w:pPr>
        <w:spacing w:after="0" w:line="240" w:lineRule="auto"/>
        <w:jc w:val="both"/>
        <w:rPr>
          <w:rFonts w:ascii="Times New Roman" w:hAnsi="Times New Roman" w:cs="Times New Roman"/>
          <w:sz w:val="24"/>
          <w:szCs w:val="24"/>
        </w:rPr>
      </w:pPr>
    </w:p>
    <w:p w14:paraId="46B0064E" w14:textId="69EEBC5E" w:rsidR="005E7DA1" w:rsidRDefault="005E7DA1" w:rsidP="00354D63">
      <w:pPr>
        <w:spacing w:after="0" w:line="240" w:lineRule="auto"/>
        <w:jc w:val="both"/>
        <w:rPr>
          <w:rFonts w:ascii="Times New Roman" w:hAnsi="Times New Roman" w:cs="Times New Roman"/>
          <w:sz w:val="24"/>
          <w:szCs w:val="24"/>
        </w:rPr>
      </w:pPr>
    </w:p>
    <w:p w14:paraId="06BD60C8" w14:textId="2A368B16" w:rsidR="005E7DA1" w:rsidRDefault="005E7DA1" w:rsidP="00354D63">
      <w:pPr>
        <w:spacing w:after="0" w:line="240" w:lineRule="auto"/>
        <w:jc w:val="both"/>
        <w:rPr>
          <w:rFonts w:ascii="Times New Roman" w:hAnsi="Times New Roman" w:cs="Times New Roman"/>
          <w:sz w:val="24"/>
          <w:szCs w:val="24"/>
        </w:rPr>
      </w:pPr>
    </w:p>
    <w:p w14:paraId="098287D6" w14:textId="6FA1E319" w:rsidR="005E7DA1" w:rsidRDefault="005E7DA1" w:rsidP="00354D63">
      <w:pPr>
        <w:spacing w:after="0" w:line="240" w:lineRule="auto"/>
        <w:jc w:val="both"/>
        <w:rPr>
          <w:rFonts w:ascii="Times New Roman" w:hAnsi="Times New Roman" w:cs="Times New Roman"/>
          <w:sz w:val="24"/>
          <w:szCs w:val="24"/>
        </w:rPr>
      </w:pPr>
    </w:p>
    <w:p w14:paraId="3092256D" w14:textId="71B29D70" w:rsidR="005E7DA1" w:rsidRDefault="005E7DA1" w:rsidP="00354D63">
      <w:pPr>
        <w:spacing w:after="0" w:line="240" w:lineRule="auto"/>
        <w:jc w:val="both"/>
        <w:rPr>
          <w:rFonts w:ascii="Times New Roman" w:hAnsi="Times New Roman" w:cs="Times New Roman"/>
          <w:sz w:val="24"/>
          <w:szCs w:val="24"/>
        </w:rPr>
      </w:pPr>
    </w:p>
    <w:p w14:paraId="6C4EBF88" w14:textId="2416A956" w:rsidR="005E7DA1" w:rsidRDefault="005E7DA1" w:rsidP="00354D63">
      <w:pPr>
        <w:spacing w:after="0" w:line="240" w:lineRule="auto"/>
        <w:jc w:val="both"/>
        <w:rPr>
          <w:rFonts w:ascii="Times New Roman" w:hAnsi="Times New Roman" w:cs="Times New Roman"/>
          <w:sz w:val="24"/>
          <w:szCs w:val="24"/>
        </w:rPr>
      </w:pPr>
    </w:p>
    <w:p w14:paraId="146B157F" w14:textId="6B246706" w:rsidR="005E7DA1" w:rsidRDefault="005E7DA1" w:rsidP="00354D63">
      <w:pPr>
        <w:spacing w:after="0" w:line="240" w:lineRule="auto"/>
        <w:jc w:val="both"/>
        <w:rPr>
          <w:rFonts w:ascii="Times New Roman" w:hAnsi="Times New Roman" w:cs="Times New Roman"/>
          <w:sz w:val="24"/>
          <w:szCs w:val="24"/>
        </w:rPr>
      </w:pPr>
    </w:p>
    <w:p w14:paraId="6E9152BA" w14:textId="581FAC05" w:rsidR="005E7DA1" w:rsidRDefault="005E7DA1" w:rsidP="00354D63">
      <w:pPr>
        <w:spacing w:after="0" w:line="240" w:lineRule="auto"/>
        <w:jc w:val="both"/>
        <w:rPr>
          <w:rFonts w:ascii="Times New Roman" w:hAnsi="Times New Roman" w:cs="Times New Roman"/>
          <w:sz w:val="24"/>
          <w:szCs w:val="24"/>
        </w:rPr>
      </w:pPr>
    </w:p>
    <w:p w14:paraId="52171ECC" w14:textId="77777777" w:rsidR="005E7DA1" w:rsidRPr="00137BB4" w:rsidRDefault="005E7DA1" w:rsidP="00354D63">
      <w:pPr>
        <w:spacing w:after="0" w:line="240" w:lineRule="auto"/>
        <w:jc w:val="both"/>
        <w:rPr>
          <w:rFonts w:ascii="Times New Roman" w:hAnsi="Times New Roman" w:cs="Times New Roman"/>
          <w:sz w:val="24"/>
          <w:szCs w:val="24"/>
        </w:rPr>
      </w:pPr>
    </w:p>
    <w:p w14:paraId="1B32487F" w14:textId="77777777" w:rsidR="00354D63" w:rsidRPr="00137BB4" w:rsidRDefault="00354D63" w:rsidP="005E7DA1">
      <w:pPr>
        <w:spacing w:after="0" w:line="240" w:lineRule="auto"/>
        <w:jc w:val="center"/>
        <w:rPr>
          <w:rFonts w:ascii="Times New Roman" w:eastAsiaTheme="majorEastAsia" w:hAnsi="Times New Roman" w:cs="Times New Roman"/>
          <w:sz w:val="24"/>
          <w:szCs w:val="24"/>
        </w:rPr>
      </w:pPr>
      <w:r w:rsidRPr="00137BB4">
        <w:rPr>
          <w:rFonts w:ascii="Times New Roman" w:eastAsiaTheme="majorEastAsia" w:hAnsi="Times New Roman" w:cs="Times New Roman"/>
          <w:sz w:val="24"/>
          <w:szCs w:val="24"/>
        </w:rPr>
        <w:lastRenderedPageBreak/>
        <w:t xml:space="preserve">Jadual </w:t>
      </w:r>
      <w:r>
        <w:rPr>
          <w:rFonts w:ascii="Times New Roman" w:eastAsiaTheme="majorEastAsia" w:hAnsi="Times New Roman" w:cs="Times New Roman"/>
          <w:sz w:val="24"/>
          <w:szCs w:val="24"/>
        </w:rPr>
        <w:t>7</w:t>
      </w:r>
      <w:r w:rsidRPr="00137BB4">
        <w:rPr>
          <w:rFonts w:ascii="Times New Roman" w:eastAsiaTheme="majorEastAsia" w:hAnsi="Times New Roman" w:cs="Times New Roman"/>
          <w:sz w:val="24"/>
          <w:szCs w:val="24"/>
        </w:rPr>
        <w:t xml:space="preserve"> Hasil Analisis Regresi Berganda (n=3230)</w:t>
      </w:r>
    </w:p>
    <w:p w14:paraId="7313FC69" w14:textId="77777777" w:rsidR="00354D63" w:rsidRPr="00137BB4" w:rsidRDefault="00354D63" w:rsidP="005E7DA1">
      <w:pPr>
        <w:spacing w:after="0" w:line="240" w:lineRule="auto"/>
        <w:jc w:val="center"/>
        <w:rPr>
          <w:rFonts w:ascii="Times New Roman" w:eastAsiaTheme="majorEastAsia" w:hAnsi="Times New Roman" w:cs="Times New Roman"/>
          <w:sz w:val="24"/>
          <w:szCs w:val="24"/>
        </w:rPr>
      </w:pPr>
    </w:p>
    <w:tbl>
      <w:tblPr>
        <w:tblStyle w:val="TableGrid1"/>
        <w:tblW w:w="949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7"/>
        <w:gridCol w:w="1330"/>
        <w:gridCol w:w="1330"/>
        <w:gridCol w:w="17"/>
        <w:gridCol w:w="1313"/>
        <w:gridCol w:w="1330"/>
        <w:gridCol w:w="1330"/>
        <w:gridCol w:w="1170"/>
      </w:tblGrid>
      <w:tr w:rsidR="00354D63" w:rsidRPr="00061D19" w14:paraId="3327CB97" w14:textId="77777777" w:rsidTr="00402F1E">
        <w:trPr>
          <w:jc w:val="center"/>
        </w:trPr>
        <w:tc>
          <w:tcPr>
            <w:tcW w:w="1696" w:type="dxa"/>
            <w:tcBorders>
              <w:top w:val="single" w:sz="4" w:space="0" w:color="auto"/>
              <w:bottom w:val="single" w:sz="4" w:space="0" w:color="auto"/>
            </w:tcBorders>
          </w:tcPr>
          <w:p w14:paraId="60C744E6" w14:textId="77777777" w:rsidR="00354D63" w:rsidRPr="00061D19" w:rsidRDefault="00354D63" w:rsidP="00402F1E">
            <w:pPr>
              <w:jc w:val="both"/>
              <w:rPr>
                <w:rFonts w:ascii="Times New Roman" w:eastAsiaTheme="majorEastAsia" w:hAnsi="Times New Roman" w:cs="Times New Roman"/>
                <w:b/>
              </w:rPr>
            </w:pPr>
            <w:r w:rsidRPr="00061D19">
              <w:rPr>
                <w:rFonts w:ascii="Times New Roman" w:eastAsiaTheme="majorEastAsia" w:hAnsi="Times New Roman" w:cs="Times New Roman"/>
                <w:b/>
              </w:rPr>
              <w:t>Pemboleh ubah</w:t>
            </w:r>
          </w:p>
        </w:tc>
        <w:tc>
          <w:tcPr>
            <w:tcW w:w="2687" w:type="dxa"/>
            <w:gridSpan w:val="3"/>
            <w:tcBorders>
              <w:top w:val="single" w:sz="4" w:space="0" w:color="auto"/>
              <w:bottom w:val="single" w:sz="4" w:space="0" w:color="auto"/>
            </w:tcBorders>
          </w:tcPr>
          <w:p w14:paraId="57AB1607" w14:textId="77777777" w:rsidR="00354D63" w:rsidRPr="00061D19" w:rsidRDefault="00354D63" w:rsidP="00402F1E">
            <w:pPr>
              <w:jc w:val="center"/>
              <w:rPr>
                <w:rFonts w:ascii="Times New Roman" w:eastAsiaTheme="majorEastAsia" w:hAnsi="Times New Roman" w:cs="Times New Roman"/>
                <w:b/>
              </w:rPr>
            </w:pPr>
            <w:r w:rsidRPr="00061D19">
              <w:rPr>
                <w:rFonts w:ascii="Times New Roman" w:eastAsiaTheme="majorEastAsia" w:hAnsi="Times New Roman" w:cs="Times New Roman"/>
                <w:b/>
              </w:rPr>
              <w:t>Koefisien</w:t>
            </w:r>
          </w:p>
        </w:tc>
        <w:tc>
          <w:tcPr>
            <w:tcW w:w="2653" w:type="dxa"/>
            <w:gridSpan w:val="2"/>
            <w:tcBorders>
              <w:top w:val="single" w:sz="4" w:space="0" w:color="auto"/>
              <w:bottom w:val="single" w:sz="4" w:space="0" w:color="auto"/>
            </w:tcBorders>
          </w:tcPr>
          <w:p w14:paraId="5978E8A7" w14:textId="77777777" w:rsidR="00354D63" w:rsidRPr="00061D19" w:rsidRDefault="00354D63" w:rsidP="00402F1E">
            <w:pPr>
              <w:jc w:val="center"/>
              <w:rPr>
                <w:rFonts w:ascii="Times New Roman" w:eastAsiaTheme="majorEastAsia" w:hAnsi="Times New Roman" w:cs="Times New Roman"/>
                <w:b/>
              </w:rPr>
            </w:pPr>
            <w:r w:rsidRPr="00061D19">
              <w:rPr>
                <w:rFonts w:ascii="Times New Roman" w:eastAsiaTheme="majorEastAsia" w:hAnsi="Times New Roman" w:cs="Times New Roman"/>
                <w:b/>
              </w:rPr>
              <w:t>t-statistik</w:t>
            </w:r>
          </w:p>
        </w:tc>
        <w:tc>
          <w:tcPr>
            <w:tcW w:w="2461" w:type="dxa"/>
            <w:gridSpan w:val="2"/>
            <w:tcBorders>
              <w:top w:val="single" w:sz="4" w:space="0" w:color="auto"/>
              <w:bottom w:val="single" w:sz="4" w:space="0" w:color="auto"/>
            </w:tcBorders>
          </w:tcPr>
          <w:p w14:paraId="0E822DE8" w14:textId="77777777" w:rsidR="00354D63" w:rsidRPr="00061D19" w:rsidRDefault="00354D63" w:rsidP="00402F1E">
            <w:pPr>
              <w:jc w:val="center"/>
              <w:rPr>
                <w:rFonts w:ascii="Times New Roman" w:eastAsiaTheme="majorEastAsia" w:hAnsi="Times New Roman" w:cs="Times New Roman"/>
                <w:b/>
              </w:rPr>
            </w:pPr>
            <w:r w:rsidRPr="00061D19">
              <w:rPr>
                <w:rFonts w:ascii="Times New Roman" w:eastAsiaTheme="majorEastAsia" w:hAnsi="Times New Roman" w:cs="Times New Roman"/>
                <w:b/>
              </w:rPr>
              <w:t>Nilai Signifikan</w:t>
            </w:r>
          </w:p>
        </w:tc>
      </w:tr>
      <w:tr w:rsidR="00354D63" w:rsidRPr="00061D19" w14:paraId="32A0CE62" w14:textId="77777777" w:rsidTr="00402F1E">
        <w:trPr>
          <w:jc w:val="center"/>
        </w:trPr>
        <w:tc>
          <w:tcPr>
            <w:tcW w:w="1696" w:type="dxa"/>
            <w:tcBorders>
              <w:top w:val="single" w:sz="4" w:space="0" w:color="auto"/>
            </w:tcBorders>
          </w:tcPr>
          <w:p w14:paraId="18BA1D13" w14:textId="77777777" w:rsidR="00354D63" w:rsidRPr="00061D19" w:rsidRDefault="00354D63" w:rsidP="00402F1E">
            <w:pPr>
              <w:jc w:val="both"/>
              <w:rPr>
                <w:rFonts w:ascii="Times New Roman" w:eastAsiaTheme="majorEastAsia" w:hAnsi="Times New Roman" w:cs="Times New Roman"/>
                <w:b/>
              </w:rPr>
            </w:pPr>
          </w:p>
        </w:tc>
        <w:tc>
          <w:tcPr>
            <w:tcW w:w="1335" w:type="dxa"/>
            <w:tcBorders>
              <w:top w:val="single" w:sz="4" w:space="0" w:color="auto"/>
            </w:tcBorders>
          </w:tcPr>
          <w:p w14:paraId="36FA24BD" w14:textId="77777777" w:rsidR="00354D63" w:rsidRPr="00061D19" w:rsidRDefault="00354D63" w:rsidP="00402F1E">
            <w:pPr>
              <w:jc w:val="center"/>
              <w:rPr>
                <w:rFonts w:ascii="Times New Roman" w:eastAsiaTheme="majorEastAsia" w:hAnsi="Times New Roman" w:cs="Times New Roman"/>
                <w:b/>
              </w:rPr>
            </w:pPr>
            <w:r w:rsidRPr="00061D19">
              <w:rPr>
                <w:rFonts w:ascii="Times New Roman" w:eastAsiaTheme="majorEastAsia" w:hAnsi="Times New Roman" w:cs="Times New Roman"/>
                <w:b/>
              </w:rPr>
              <w:t>FAPI10%</w:t>
            </w:r>
          </w:p>
        </w:tc>
        <w:tc>
          <w:tcPr>
            <w:tcW w:w="1335" w:type="dxa"/>
            <w:tcBorders>
              <w:top w:val="single" w:sz="4" w:space="0" w:color="auto"/>
            </w:tcBorders>
          </w:tcPr>
          <w:p w14:paraId="35604166" w14:textId="77777777" w:rsidR="00354D63" w:rsidRPr="00061D19" w:rsidRDefault="00354D63" w:rsidP="00402F1E">
            <w:pPr>
              <w:jc w:val="center"/>
              <w:rPr>
                <w:rFonts w:ascii="Times New Roman" w:eastAsiaTheme="majorEastAsia" w:hAnsi="Times New Roman" w:cs="Times New Roman"/>
                <w:b/>
              </w:rPr>
            </w:pPr>
            <w:r w:rsidRPr="00061D19">
              <w:rPr>
                <w:rFonts w:ascii="Times New Roman" w:eastAsiaTheme="majorEastAsia" w:hAnsi="Times New Roman" w:cs="Times New Roman"/>
                <w:b/>
              </w:rPr>
              <w:t>FAPI20%</w:t>
            </w:r>
          </w:p>
        </w:tc>
        <w:tc>
          <w:tcPr>
            <w:tcW w:w="1335" w:type="dxa"/>
            <w:gridSpan w:val="2"/>
            <w:tcBorders>
              <w:top w:val="single" w:sz="4" w:space="0" w:color="auto"/>
            </w:tcBorders>
          </w:tcPr>
          <w:p w14:paraId="48B9BE9F" w14:textId="77777777" w:rsidR="00354D63" w:rsidRPr="00061D19" w:rsidRDefault="00354D63" w:rsidP="00402F1E">
            <w:pPr>
              <w:jc w:val="center"/>
              <w:rPr>
                <w:rFonts w:ascii="Times New Roman" w:eastAsiaTheme="majorEastAsia" w:hAnsi="Times New Roman" w:cs="Times New Roman"/>
                <w:b/>
              </w:rPr>
            </w:pPr>
            <w:r w:rsidRPr="00061D19">
              <w:rPr>
                <w:rFonts w:ascii="Times New Roman" w:eastAsiaTheme="majorEastAsia" w:hAnsi="Times New Roman" w:cs="Times New Roman"/>
                <w:b/>
              </w:rPr>
              <w:t>FAPI10%</w:t>
            </w:r>
          </w:p>
        </w:tc>
        <w:tc>
          <w:tcPr>
            <w:tcW w:w="1335" w:type="dxa"/>
            <w:tcBorders>
              <w:top w:val="single" w:sz="4" w:space="0" w:color="auto"/>
            </w:tcBorders>
          </w:tcPr>
          <w:p w14:paraId="18D2A811" w14:textId="77777777" w:rsidR="00354D63" w:rsidRPr="00061D19" w:rsidRDefault="00354D63" w:rsidP="00402F1E">
            <w:pPr>
              <w:jc w:val="center"/>
              <w:rPr>
                <w:rFonts w:ascii="Times New Roman" w:eastAsiaTheme="majorEastAsia" w:hAnsi="Times New Roman" w:cs="Times New Roman"/>
                <w:b/>
              </w:rPr>
            </w:pPr>
            <w:r w:rsidRPr="00061D19">
              <w:rPr>
                <w:rFonts w:ascii="Times New Roman" w:eastAsiaTheme="majorEastAsia" w:hAnsi="Times New Roman" w:cs="Times New Roman"/>
                <w:b/>
              </w:rPr>
              <w:t>FAPI20%</w:t>
            </w:r>
          </w:p>
        </w:tc>
        <w:tc>
          <w:tcPr>
            <w:tcW w:w="1335" w:type="dxa"/>
            <w:tcBorders>
              <w:top w:val="single" w:sz="4" w:space="0" w:color="auto"/>
            </w:tcBorders>
          </w:tcPr>
          <w:p w14:paraId="64864088" w14:textId="77777777" w:rsidR="00354D63" w:rsidRPr="00061D19" w:rsidRDefault="00354D63" w:rsidP="00402F1E">
            <w:pPr>
              <w:jc w:val="center"/>
              <w:rPr>
                <w:rFonts w:ascii="Times New Roman" w:eastAsiaTheme="majorEastAsia" w:hAnsi="Times New Roman" w:cs="Times New Roman"/>
                <w:b/>
              </w:rPr>
            </w:pPr>
            <w:r w:rsidRPr="00061D19">
              <w:rPr>
                <w:rFonts w:ascii="Times New Roman" w:eastAsiaTheme="majorEastAsia" w:hAnsi="Times New Roman" w:cs="Times New Roman"/>
                <w:b/>
              </w:rPr>
              <w:t>FAPI10%</w:t>
            </w:r>
          </w:p>
        </w:tc>
        <w:tc>
          <w:tcPr>
            <w:tcW w:w="1126" w:type="dxa"/>
            <w:tcBorders>
              <w:top w:val="single" w:sz="4" w:space="0" w:color="auto"/>
            </w:tcBorders>
          </w:tcPr>
          <w:p w14:paraId="0D668FA1" w14:textId="77777777" w:rsidR="00354D63" w:rsidRPr="00061D19" w:rsidRDefault="00354D63" w:rsidP="00402F1E">
            <w:pPr>
              <w:jc w:val="center"/>
              <w:rPr>
                <w:rFonts w:ascii="Times New Roman" w:eastAsiaTheme="majorEastAsia" w:hAnsi="Times New Roman" w:cs="Times New Roman"/>
                <w:b/>
              </w:rPr>
            </w:pPr>
            <w:r w:rsidRPr="00061D19">
              <w:rPr>
                <w:rFonts w:ascii="Times New Roman" w:eastAsiaTheme="majorEastAsia" w:hAnsi="Times New Roman" w:cs="Times New Roman"/>
                <w:b/>
              </w:rPr>
              <w:t>FAPI20%</w:t>
            </w:r>
          </w:p>
        </w:tc>
      </w:tr>
      <w:tr w:rsidR="00354D63" w:rsidRPr="00061D19" w14:paraId="6DD42BBF" w14:textId="77777777" w:rsidTr="00402F1E">
        <w:trPr>
          <w:jc w:val="center"/>
        </w:trPr>
        <w:tc>
          <w:tcPr>
            <w:tcW w:w="1696" w:type="dxa"/>
          </w:tcPr>
          <w:p w14:paraId="5E1A5699" w14:textId="77777777" w:rsidR="00354D63" w:rsidRPr="00061D19" w:rsidRDefault="00354D63" w:rsidP="00402F1E">
            <w:pPr>
              <w:jc w:val="both"/>
              <w:rPr>
                <w:rFonts w:ascii="Times New Roman" w:eastAsiaTheme="majorEastAsia" w:hAnsi="Times New Roman" w:cs="Times New Roman"/>
                <w:b/>
              </w:rPr>
            </w:pPr>
            <w:r w:rsidRPr="00061D19">
              <w:rPr>
                <w:rFonts w:ascii="Times New Roman" w:hAnsi="Times New Roman" w:cs="Times New Roman"/>
              </w:rPr>
              <w:t>Konstan</w:t>
            </w:r>
          </w:p>
        </w:tc>
        <w:tc>
          <w:tcPr>
            <w:tcW w:w="1335" w:type="dxa"/>
          </w:tcPr>
          <w:p w14:paraId="337912FC" w14:textId="77777777" w:rsidR="00354D63" w:rsidRPr="00061D19" w:rsidRDefault="00354D63" w:rsidP="00402F1E">
            <w:pPr>
              <w:jc w:val="center"/>
              <w:rPr>
                <w:rFonts w:ascii="Times New Roman" w:eastAsiaTheme="majorEastAsia" w:hAnsi="Times New Roman" w:cs="Times New Roman"/>
                <w:b/>
              </w:rPr>
            </w:pPr>
            <w:r w:rsidRPr="00061D19">
              <w:rPr>
                <w:rFonts w:ascii="Times New Roman" w:hAnsi="Times New Roman" w:cs="Times New Roman"/>
              </w:rPr>
              <w:t>3.273</w:t>
            </w:r>
          </w:p>
        </w:tc>
        <w:tc>
          <w:tcPr>
            <w:tcW w:w="1335" w:type="dxa"/>
          </w:tcPr>
          <w:p w14:paraId="46DA1A80" w14:textId="77777777" w:rsidR="00354D63" w:rsidRPr="00061D19" w:rsidRDefault="00354D63" w:rsidP="00402F1E">
            <w:pPr>
              <w:jc w:val="center"/>
              <w:rPr>
                <w:rFonts w:ascii="Times New Roman" w:eastAsiaTheme="majorEastAsia" w:hAnsi="Times New Roman" w:cs="Times New Roman"/>
                <w:b/>
              </w:rPr>
            </w:pPr>
            <w:r w:rsidRPr="00061D19">
              <w:rPr>
                <w:rFonts w:ascii="Times New Roman" w:hAnsi="Times New Roman" w:cs="Times New Roman"/>
              </w:rPr>
              <w:t>3.248</w:t>
            </w:r>
          </w:p>
        </w:tc>
        <w:tc>
          <w:tcPr>
            <w:tcW w:w="1335" w:type="dxa"/>
            <w:gridSpan w:val="2"/>
            <w:vAlign w:val="bottom"/>
          </w:tcPr>
          <w:p w14:paraId="383768E2" w14:textId="77777777" w:rsidR="00354D63" w:rsidRPr="00061D19" w:rsidRDefault="00354D63" w:rsidP="00402F1E">
            <w:pPr>
              <w:jc w:val="center"/>
              <w:rPr>
                <w:rFonts w:ascii="Times New Roman" w:eastAsiaTheme="majorEastAsia" w:hAnsi="Times New Roman" w:cs="Times New Roman"/>
                <w:b/>
              </w:rPr>
            </w:pPr>
            <w:r w:rsidRPr="00061D19">
              <w:rPr>
                <w:rFonts w:ascii="Times New Roman" w:hAnsi="Times New Roman" w:cs="Times New Roman"/>
              </w:rPr>
              <w:t>1.097</w:t>
            </w:r>
          </w:p>
        </w:tc>
        <w:tc>
          <w:tcPr>
            <w:tcW w:w="1335" w:type="dxa"/>
            <w:vAlign w:val="bottom"/>
          </w:tcPr>
          <w:p w14:paraId="40BF6B69" w14:textId="77777777" w:rsidR="00354D63" w:rsidRPr="00061D19" w:rsidRDefault="00354D63" w:rsidP="00402F1E">
            <w:pPr>
              <w:jc w:val="center"/>
              <w:rPr>
                <w:rFonts w:ascii="Times New Roman" w:eastAsiaTheme="majorEastAsia" w:hAnsi="Times New Roman" w:cs="Times New Roman"/>
                <w:b/>
              </w:rPr>
            </w:pPr>
            <w:r w:rsidRPr="00061D19">
              <w:rPr>
                <w:rFonts w:ascii="Times New Roman" w:hAnsi="Times New Roman" w:cs="Times New Roman"/>
              </w:rPr>
              <w:t>1.071</w:t>
            </w:r>
          </w:p>
        </w:tc>
        <w:tc>
          <w:tcPr>
            <w:tcW w:w="1335" w:type="dxa"/>
            <w:vAlign w:val="bottom"/>
          </w:tcPr>
          <w:p w14:paraId="0A8875A9" w14:textId="77777777" w:rsidR="00354D63" w:rsidRPr="00061D19" w:rsidRDefault="00354D63" w:rsidP="00402F1E">
            <w:pPr>
              <w:jc w:val="center"/>
              <w:rPr>
                <w:rFonts w:ascii="Times New Roman" w:eastAsiaTheme="majorEastAsia" w:hAnsi="Times New Roman" w:cs="Times New Roman"/>
                <w:b/>
              </w:rPr>
            </w:pPr>
            <w:r w:rsidRPr="00061D19">
              <w:rPr>
                <w:rFonts w:ascii="Times New Roman" w:hAnsi="Times New Roman" w:cs="Times New Roman"/>
              </w:rPr>
              <w:t>0.273</w:t>
            </w:r>
          </w:p>
        </w:tc>
        <w:tc>
          <w:tcPr>
            <w:tcW w:w="1126" w:type="dxa"/>
            <w:vAlign w:val="bottom"/>
          </w:tcPr>
          <w:p w14:paraId="3016980E" w14:textId="77777777" w:rsidR="00354D63" w:rsidRPr="00061D19" w:rsidRDefault="00354D63" w:rsidP="00402F1E">
            <w:pPr>
              <w:jc w:val="center"/>
              <w:rPr>
                <w:rFonts w:ascii="Times New Roman" w:eastAsiaTheme="majorEastAsia" w:hAnsi="Times New Roman" w:cs="Times New Roman"/>
                <w:b/>
              </w:rPr>
            </w:pPr>
            <w:r w:rsidRPr="00061D19">
              <w:rPr>
                <w:rFonts w:ascii="Times New Roman" w:hAnsi="Times New Roman" w:cs="Times New Roman"/>
              </w:rPr>
              <w:t>0.367</w:t>
            </w:r>
          </w:p>
        </w:tc>
      </w:tr>
      <w:tr w:rsidR="00354D63" w:rsidRPr="00061D19" w14:paraId="61D60833" w14:textId="77777777" w:rsidTr="00402F1E">
        <w:trPr>
          <w:jc w:val="center"/>
        </w:trPr>
        <w:tc>
          <w:tcPr>
            <w:tcW w:w="1696" w:type="dxa"/>
          </w:tcPr>
          <w:p w14:paraId="7F9F3658" w14:textId="77777777" w:rsidR="00354D63" w:rsidRPr="00061D19" w:rsidRDefault="00354D63" w:rsidP="00402F1E">
            <w:pPr>
              <w:jc w:val="both"/>
              <w:rPr>
                <w:rFonts w:ascii="Times New Roman" w:eastAsiaTheme="majorEastAsia" w:hAnsi="Times New Roman" w:cs="Times New Roman"/>
                <w:vertAlign w:val="subscript"/>
              </w:rPr>
            </w:pPr>
            <w:r w:rsidRPr="00061D19">
              <w:rPr>
                <w:rFonts w:ascii="Times New Roman" w:hAnsi="Times New Roman" w:cs="Times New Roman"/>
              </w:rPr>
              <w:t>FAPI10%</w:t>
            </w:r>
          </w:p>
        </w:tc>
        <w:tc>
          <w:tcPr>
            <w:tcW w:w="1335" w:type="dxa"/>
          </w:tcPr>
          <w:p w14:paraId="19F4C6D5" w14:textId="77777777" w:rsidR="00354D63" w:rsidRPr="00061D19" w:rsidRDefault="00354D63" w:rsidP="00402F1E">
            <w:pPr>
              <w:jc w:val="center"/>
              <w:rPr>
                <w:rFonts w:ascii="Times New Roman" w:eastAsiaTheme="majorEastAsia" w:hAnsi="Times New Roman" w:cs="Times New Roman"/>
              </w:rPr>
            </w:pPr>
            <w:r w:rsidRPr="00061D19">
              <w:rPr>
                <w:rFonts w:ascii="Times New Roman" w:eastAsiaTheme="majorEastAsia" w:hAnsi="Times New Roman" w:cs="Times New Roman"/>
              </w:rPr>
              <w:t>-0.1121</w:t>
            </w:r>
          </w:p>
        </w:tc>
        <w:tc>
          <w:tcPr>
            <w:tcW w:w="1335" w:type="dxa"/>
          </w:tcPr>
          <w:p w14:paraId="5E7C8C67" w14:textId="77777777" w:rsidR="00354D63" w:rsidRPr="00061D19" w:rsidRDefault="00354D63" w:rsidP="00402F1E">
            <w:pPr>
              <w:jc w:val="center"/>
              <w:rPr>
                <w:rFonts w:ascii="Times New Roman" w:eastAsiaTheme="majorEastAsia" w:hAnsi="Times New Roman" w:cs="Times New Roman"/>
              </w:rPr>
            </w:pPr>
          </w:p>
        </w:tc>
        <w:tc>
          <w:tcPr>
            <w:tcW w:w="1335" w:type="dxa"/>
            <w:gridSpan w:val="2"/>
          </w:tcPr>
          <w:p w14:paraId="6B234001" w14:textId="77777777" w:rsidR="00354D63" w:rsidRPr="00061D19" w:rsidRDefault="00354D63" w:rsidP="00402F1E">
            <w:pPr>
              <w:jc w:val="center"/>
              <w:rPr>
                <w:rFonts w:ascii="Times New Roman" w:eastAsiaTheme="majorEastAsia" w:hAnsi="Times New Roman" w:cs="Times New Roman"/>
              </w:rPr>
            </w:pPr>
            <w:r w:rsidRPr="00061D19">
              <w:rPr>
                <w:rFonts w:ascii="Times New Roman" w:eastAsiaTheme="majorEastAsia" w:hAnsi="Times New Roman" w:cs="Times New Roman"/>
              </w:rPr>
              <w:t>-0.765</w:t>
            </w:r>
          </w:p>
        </w:tc>
        <w:tc>
          <w:tcPr>
            <w:tcW w:w="1335" w:type="dxa"/>
          </w:tcPr>
          <w:p w14:paraId="425B587B" w14:textId="77777777" w:rsidR="00354D63" w:rsidRPr="00061D19" w:rsidRDefault="00354D63" w:rsidP="00402F1E">
            <w:pPr>
              <w:jc w:val="center"/>
              <w:rPr>
                <w:rFonts w:ascii="Times New Roman" w:eastAsiaTheme="majorEastAsia" w:hAnsi="Times New Roman" w:cs="Times New Roman"/>
              </w:rPr>
            </w:pPr>
          </w:p>
        </w:tc>
        <w:tc>
          <w:tcPr>
            <w:tcW w:w="1335" w:type="dxa"/>
          </w:tcPr>
          <w:p w14:paraId="455E32BC" w14:textId="77777777" w:rsidR="00354D63" w:rsidRPr="00061D19" w:rsidRDefault="00354D63" w:rsidP="00402F1E">
            <w:pPr>
              <w:jc w:val="center"/>
              <w:rPr>
                <w:rFonts w:ascii="Times New Roman" w:eastAsiaTheme="majorEastAsia" w:hAnsi="Times New Roman" w:cs="Times New Roman"/>
              </w:rPr>
            </w:pPr>
            <w:r w:rsidRPr="00061D19">
              <w:rPr>
                <w:rFonts w:ascii="Times New Roman" w:eastAsiaTheme="majorEastAsia" w:hAnsi="Times New Roman" w:cs="Times New Roman"/>
              </w:rPr>
              <w:t>0.445</w:t>
            </w:r>
          </w:p>
        </w:tc>
        <w:tc>
          <w:tcPr>
            <w:tcW w:w="1126" w:type="dxa"/>
          </w:tcPr>
          <w:p w14:paraId="49CD3E26" w14:textId="77777777" w:rsidR="00354D63" w:rsidRPr="00061D19" w:rsidRDefault="00354D63" w:rsidP="00402F1E">
            <w:pPr>
              <w:jc w:val="center"/>
              <w:rPr>
                <w:rFonts w:ascii="Times New Roman" w:eastAsiaTheme="majorEastAsia" w:hAnsi="Times New Roman" w:cs="Times New Roman"/>
              </w:rPr>
            </w:pPr>
          </w:p>
        </w:tc>
      </w:tr>
      <w:tr w:rsidR="00354D63" w:rsidRPr="00061D19" w14:paraId="7C993D92" w14:textId="77777777" w:rsidTr="00402F1E">
        <w:trPr>
          <w:jc w:val="center"/>
        </w:trPr>
        <w:tc>
          <w:tcPr>
            <w:tcW w:w="1696" w:type="dxa"/>
          </w:tcPr>
          <w:p w14:paraId="6B0588E8" w14:textId="77777777" w:rsidR="00354D63" w:rsidRPr="00061D19" w:rsidRDefault="00354D63" w:rsidP="00402F1E">
            <w:pPr>
              <w:jc w:val="both"/>
              <w:rPr>
                <w:rFonts w:ascii="Times New Roman" w:hAnsi="Times New Roman" w:cs="Times New Roman"/>
              </w:rPr>
            </w:pPr>
            <w:r w:rsidRPr="00061D19">
              <w:rPr>
                <w:rFonts w:ascii="Times New Roman" w:hAnsi="Times New Roman" w:cs="Times New Roman"/>
              </w:rPr>
              <w:t>FAPI20%</w:t>
            </w:r>
          </w:p>
        </w:tc>
        <w:tc>
          <w:tcPr>
            <w:tcW w:w="1335" w:type="dxa"/>
          </w:tcPr>
          <w:p w14:paraId="4E621A33" w14:textId="77777777" w:rsidR="00354D63" w:rsidRPr="00061D19" w:rsidRDefault="00354D63" w:rsidP="00402F1E">
            <w:pPr>
              <w:jc w:val="center"/>
              <w:rPr>
                <w:rFonts w:ascii="Times New Roman" w:eastAsiaTheme="majorEastAsia" w:hAnsi="Times New Roman" w:cs="Times New Roman"/>
              </w:rPr>
            </w:pPr>
          </w:p>
        </w:tc>
        <w:tc>
          <w:tcPr>
            <w:tcW w:w="1335" w:type="dxa"/>
          </w:tcPr>
          <w:p w14:paraId="2494025A" w14:textId="77777777" w:rsidR="00354D63" w:rsidRPr="00061D19" w:rsidRDefault="00354D63" w:rsidP="00402F1E">
            <w:pPr>
              <w:jc w:val="center"/>
              <w:rPr>
                <w:rFonts w:ascii="Times New Roman" w:eastAsiaTheme="majorEastAsia" w:hAnsi="Times New Roman" w:cs="Times New Roman"/>
              </w:rPr>
            </w:pPr>
            <w:r w:rsidRPr="00061D19">
              <w:rPr>
                <w:rFonts w:ascii="Times New Roman" w:eastAsiaTheme="majorEastAsia" w:hAnsi="Times New Roman" w:cs="Times New Roman"/>
              </w:rPr>
              <w:t>0.246*</w:t>
            </w:r>
          </w:p>
        </w:tc>
        <w:tc>
          <w:tcPr>
            <w:tcW w:w="1335" w:type="dxa"/>
            <w:gridSpan w:val="2"/>
          </w:tcPr>
          <w:p w14:paraId="5D2AF8C8" w14:textId="77777777" w:rsidR="00354D63" w:rsidRPr="00061D19" w:rsidRDefault="00354D63" w:rsidP="00402F1E">
            <w:pPr>
              <w:jc w:val="center"/>
              <w:rPr>
                <w:rFonts w:ascii="Times New Roman" w:eastAsiaTheme="majorEastAsia" w:hAnsi="Times New Roman" w:cs="Times New Roman"/>
              </w:rPr>
            </w:pPr>
          </w:p>
        </w:tc>
        <w:tc>
          <w:tcPr>
            <w:tcW w:w="1335" w:type="dxa"/>
          </w:tcPr>
          <w:p w14:paraId="5496F270" w14:textId="77777777" w:rsidR="00354D63" w:rsidRPr="00061D19" w:rsidRDefault="00354D63" w:rsidP="00402F1E">
            <w:pPr>
              <w:jc w:val="center"/>
              <w:rPr>
                <w:rFonts w:ascii="Times New Roman" w:eastAsiaTheme="majorEastAsia" w:hAnsi="Times New Roman" w:cs="Times New Roman"/>
              </w:rPr>
            </w:pPr>
            <w:r w:rsidRPr="00061D19">
              <w:rPr>
                <w:rFonts w:ascii="Times New Roman" w:eastAsiaTheme="majorEastAsia" w:hAnsi="Times New Roman" w:cs="Times New Roman"/>
              </w:rPr>
              <w:t>1.660</w:t>
            </w:r>
          </w:p>
        </w:tc>
        <w:tc>
          <w:tcPr>
            <w:tcW w:w="1335" w:type="dxa"/>
          </w:tcPr>
          <w:p w14:paraId="3DDF8E1A" w14:textId="77777777" w:rsidR="00354D63" w:rsidRPr="00061D19" w:rsidRDefault="00354D63" w:rsidP="00402F1E">
            <w:pPr>
              <w:jc w:val="center"/>
              <w:rPr>
                <w:rFonts w:ascii="Times New Roman" w:eastAsiaTheme="majorEastAsia" w:hAnsi="Times New Roman" w:cs="Times New Roman"/>
              </w:rPr>
            </w:pPr>
          </w:p>
        </w:tc>
        <w:tc>
          <w:tcPr>
            <w:tcW w:w="1126" w:type="dxa"/>
          </w:tcPr>
          <w:p w14:paraId="445B4600" w14:textId="77777777" w:rsidR="00354D63" w:rsidRPr="00061D19" w:rsidRDefault="00354D63" w:rsidP="00402F1E">
            <w:pPr>
              <w:jc w:val="center"/>
              <w:rPr>
                <w:rFonts w:ascii="Times New Roman" w:eastAsiaTheme="majorEastAsia" w:hAnsi="Times New Roman" w:cs="Times New Roman"/>
              </w:rPr>
            </w:pPr>
            <w:r w:rsidRPr="00061D19">
              <w:rPr>
                <w:rFonts w:ascii="Times New Roman" w:eastAsiaTheme="majorEastAsia" w:hAnsi="Times New Roman" w:cs="Times New Roman"/>
              </w:rPr>
              <w:t>0.097</w:t>
            </w:r>
          </w:p>
        </w:tc>
      </w:tr>
      <w:tr w:rsidR="00354D63" w:rsidRPr="00061D19" w14:paraId="6FBAD424" w14:textId="77777777" w:rsidTr="00402F1E">
        <w:trPr>
          <w:jc w:val="center"/>
        </w:trPr>
        <w:tc>
          <w:tcPr>
            <w:tcW w:w="1696" w:type="dxa"/>
          </w:tcPr>
          <w:p w14:paraId="1DDC067F" w14:textId="77777777" w:rsidR="00354D63" w:rsidRPr="00061D19" w:rsidRDefault="00354D63" w:rsidP="00402F1E">
            <w:pPr>
              <w:jc w:val="both"/>
              <w:rPr>
                <w:rFonts w:ascii="Times New Roman" w:hAnsi="Times New Roman" w:cs="Times New Roman"/>
              </w:rPr>
            </w:pPr>
            <w:r w:rsidRPr="00061D19">
              <w:rPr>
                <w:rFonts w:ascii="Times New Roman" w:hAnsi="Times New Roman" w:cs="Times New Roman"/>
              </w:rPr>
              <w:t>JKAudit</w:t>
            </w:r>
          </w:p>
        </w:tc>
        <w:tc>
          <w:tcPr>
            <w:tcW w:w="1335" w:type="dxa"/>
          </w:tcPr>
          <w:p w14:paraId="1CF204BD" w14:textId="77777777" w:rsidR="00354D63" w:rsidRPr="00061D19" w:rsidRDefault="00354D63" w:rsidP="00402F1E">
            <w:pPr>
              <w:jc w:val="center"/>
              <w:rPr>
                <w:rFonts w:ascii="Times New Roman" w:eastAsiaTheme="majorEastAsia" w:hAnsi="Times New Roman" w:cs="Times New Roman"/>
              </w:rPr>
            </w:pPr>
            <w:r w:rsidRPr="00061D19">
              <w:rPr>
                <w:rFonts w:ascii="Times New Roman" w:hAnsi="Times New Roman" w:cs="Times New Roman"/>
              </w:rPr>
              <w:t>0.701</w:t>
            </w:r>
          </w:p>
        </w:tc>
        <w:tc>
          <w:tcPr>
            <w:tcW w:w="1335" w:type="dxa"/>
          </w:tcPr>
          <w:p w14:paraId="0BAC8EE5" w14:textId="77777777" w:rsidR="00354D63" w:rsidRPr="00061D19" w:rsidRDefault="00354D63" w:rsidP="00402F1E">
            <w:pPr>
              <w:jc w:val="center"/>
              <w:rPr>
                <w:rFonts w:ascii="Times New Roman" w:hAnsi="Times New Roman" w:cs="Times New Roman"/>
              </w:rPr>
            </w:pPr>
            <w:r w:rsidRPr="00061D19">
              <w:rPr>
                <w:rFonts w:ascii="Times New Roman" w:hAnsi="Times New Roman" w:cs="Times New Roman"/>
              </w:rPr>
              <w:t>0.694</w:t>
            </w:r>
          </w:p>
        </w:tc>
        <w:tc>
          <w:tcPr>
            <w:tcW w:w="1335" w:type="dxa"/>
            <w:gridSpan w:val="2"/>
            <w:vAlign w:val="bottom"/>
          </w:tcPr>
          <w:p w14:paraId="75F29E8F" w14:textId="77777777" w:rsidR="00354D63" w:rsidRPr="00061D19" w:rsidRDefault="00354D63" w:rsidP="00402F1E">
            <w:pPr>
              <w:jc w:val="center"/>
              <w:rPr>
                <w:rFonts w:ascii="Times New Roman" w:eastAsiaTheme="majorEastAsia" w:hAnsi="Times New Roman" w:cs="Times New Roman"/>
              </w:rPr>
            </w:pPr>
            <w:r w:rsidRPr="00061D19">
              <w:rPr>
                <w:rFonts w:ascii="Times New Roman" w:hAnsi="Times New Roman" w:cs="Times New Roman"/>
              </w:rPr>
              <w:t>1.230</w:t>
            </w:r>
          </w:p>
        </w:tc>
        <w:tc>
          <w:tcPr>
            <w:tcW w:w="1335" w:type="dxa"/>
            <w:vAlign w:val="bottom"/>
          </w:tcPr>
          <w:p w14:paraId="77B9DD11" w14:textId="77777777" w:rsidR="00354D63" w:rsidRPr="00061D19" w:rsidRDefault="00354D63" w:rsidP="00402F1E">
            <w:pPr>
              <w:jc w:val="center"/>
              <w:rPr>
                <w:rFonts w:ascii="Times New Roman" w:hAnsi="Times New Roman" w:cs="Times New Roman"/>
              </w:rPr>
            </w:pPr>
            <w:r w:rsidRPr="00061D19">
              <w:rPr>
                <w:rFonts w:ascii="Times New Roman" w:hAnsi="Times New Roman" w:cs="Times New Roman"/>
              </w:rPr>
              <w:t>1.215</w:t>
            </w:r>
          </w:p>
        </w:tc>
        <w:tc>
          <w:tcPr>
            <w:tcW w:w="1335" w:type="dxa"/>
            <w:vAlign w:val="bottom"/>
          </w:tcPr>
          <w:p w14:paraId="3062BE9A" w14:textId="77777777" w:rsidR="00354D63" w:rsidRPr="00061D19" w:rsidRDefault="00354D63" w:rsidP="00402F1E">
            <w:pPr>
              <w:jc w:val="center"/>
              <w:rPr>
                <w:rFonts w:ascii="Times New Roman" w:eastAsiaTheme="majorEastAsia" w:hAnsi="Times New Roman" w:cs="Times New Roman"/>
              </w:rPr>
            </w:pPr>
            <w:r w:rsidRPr="00061D19">
              <w:rPr>
                <w:rFonts w:ascii="Times New Roman" w:hAnsi="Times New Roman" w:cs="Times New Roman"/>
              </w:rPr>
              <w:t>0.219</w:t>
            </w:r>
          </w:p>
        </w:tc>
        <w:tc>
          <w:tcPr>
            <w:tcW w:w="1126" w:type="dxa"/>
            <w:vAlign w:val="bottom"/>
          </w:tcPr>
          <w:p w14:paraId="5736E34D" w14:textId="77777777" w:rsidR="00354D63" w:rsidRPr="00061D19" w:rsidRDefault="00354D63" w:rsidP="00402F1E">
            <w:pPr>
              <w:jc w:val="center"/>
              <w:rPr>
                <w:rFonts w:ascii="Times New Roman" w:hAnsi="Times New Roman" w:cs="Times New Roman"/>
              </w:rPr>
            </w:pPr>
            <w:r w:rsidRPr="00061D19">
              <w:rPr>
                <w:rFonts w:ascii="Times New Roman" w:hAnsi="Times New Roman" w:cs="Times New Roman"/>
              </w:rPr>
              <w:t>0.222</w:t>
            </w:r>
          </w:p>
        </w:tc>
      </w:tr>
      <w:tr w:rsidR="00354D63" w:rsidRPr="00061D19" w14:paraId="729A27DD" w14:textId="77777777" w:rsidTr="00402F1E">
        <w:trPr>
          <w:jc w:val="center"/>
        </w:trPr>
        <w:tc>
          <w:tcPr>
            <w:tcW w:w="1696" w:type="dxa"/>
          </w:tcPr>
          <w:p w14:paraId="6D695ABE" w14:textId="77777777" w:rsidR="00354D63" w:rsidRPr="00061D19" w:rsidRDefault="00354D63" w:rsidP="00402F1E">
            <w:pPr>
              <w:jc w:val="both"/>
              <w:rPr>
                <w:rFonts w:ascii="Times New Roman" w:hAnsi="Times New Roman" w:cs="Times New Roman"/>
              </w:rPr>
            </w:pPr>
            <w:r w:rsidRPr="00061D19">
              <w:rPr>
                <w:rFonts w:ascii="Times New Roman" w:hAnsi="Times New Roman" w:cs="Times New Roman"/>
              </w:rPr>
              <w:t>PBebas</w:t>
            </w:r>
          </w:p>
        </w:tc>
        <w:tc>
          <w:tcPr>
            <w:tcW w:w="1335" w:type="dxa"/>
          </w:tcPr>
          <w:p w14:paraId="7DCB19FD" w14:textId="77777777" w:rsidR="00354D63" w:rsidRPr="00061D19" w:rsidRDefault="00354D63" w:rsidP="00402F1E">
            <w:pPr>
              <w:jc w:val="center"/>
              <w:rPr>
                <w:rFonts w:ascii="Times New Roman" w:eastAsiaTheme="majorEastAsia" w:hAnsi="Times New Roman" w:cs="Times New Roman"/>
              </w:rPr>
            </w:pPr>
            <w:r w:rsidRPr="00061D19">
              <w:rPr>
                <w:rFonts w:ascii="Times New Roman" w:hAnsi="Times New Roman" w:cs="Times New Roman"/>
              </w:rPr>
              <w:t>0.311</w:t>
            </w:r>
          </w:p>
        </w:tc>
        <w:tc>
          <w:tcPr>
            <w:tcW w:w="1335" w:type="dxa"/>
          </w:tcPr>
          <w:p w14:paraId="73B0FF8F" w14:textId="77777777" w:rsidR="00354D63" w:rsidRPr="00061D19" w:rsidRDefault="00354D63" w:rsidP="00402F1E">
            <w:pPr>
              <w:jc w:val="center"/>
              <w:rPr>
                <w:rFonts w:ascii="Times New Roman" w:hAnsi="Times New Roman" w:cs="Times New Roman"/>
              </w:rPr>
            </w:pPr>
            <w:r w:rsidRPr="00061D19">
              <w:rPr>
                <w:rFonts w:ascii="Times New Roman" w:hAnsi="Times New Roman" w:cs="Times New Roman"/>
              </w:rPr>
              <w:t>0.379</w:t>
            </w:r>
          </w:p>
        </w:tc>
        <w:tc>
          <w:tcPr>
            <w:tcW w:w="1335" w:type="dxa"/>
            <w:gridSpan w:val="2"/>
            <w:vAlign w:val="bottom"/>
          </w:tcPr>
          <w:p w14:paraId="68490C81" w14:textId="77777777" w:rsidR="00354D63" w:rsidRPr="00061D19" w:rsidRDefault="00354D63" w:rsidP="00402F1E">
            <w:pPr>
              <w:jc w:val="center"/>
              <w:rPr>
                <w:rFonts w:ascii="Times New Roman" w:eastAsiaTheme="majorEastAsia" w:hAnsi="Times New Roman" w:cs="Times New Roman"/>
              </w:rPr>
            </w:pPr>
            <w:r w:rsidRPr="00061D19">
              <w:rPr>
                <w:rFonts w:ascii="Times New Roman" w:hAnsi="Times New Roman" w:cs="Times New Roman"/>
              </w:rPr>
              <w:t>0.705</w:t>
            </w:r>
          </w:p>
        </w:tc>
        <w:tc>
          <w:tcPr>
            <w:tcW w:w="1335" w:type="dxa"/>
            <w:vAlign w:val="bottom"/>
          </w:tcPr>
          <w:p w14:paraId="55719EEF" w14:textId="77777777" w:rsidR="00354D63" w:rsidRPr="00061D19" w:rsidRDefault="00354D63" w:rsidP="00402F1E">
            <w:pPr>
              <w:jc w:val="center"/>
              <w:rPr>
                <w:rFonts w:ascii="Times New Roman" w:hAnsi="Times New Roman" w:cs="Times New Roman"/>
              </w:rPr>
            </w:pPr>
            <w:r w:rsidRPr="00061D19">
              <w:rPr>
                <w:rFonts w:ascii="Times New Roman" w:hAnsi="Times New Roman" w:cs="Times New Roman"/>
              </w:rPr>
              <w:t>0.804</w:t>
            </w:r>
          </w:p>
        </w:tc>
        <w:tc>
          <w:tcPr>
            <w:tcW w:w="1335" w:type="dxa"/>
            <w:vAlign w:val="bottom"/>
          </w:tcPr>
          <w:p w14:paraId="02EB0A26" w14:textId="77777777" w:rsidR="00354D63" w:rsidRPr="00061D19" w:rsidRDefault="00354D63" w:rsidP="00402F1E">
            <w:pPr>
              <w:jc w:val="center"/>
              <w:rPr>
                <w:rFonts w:ascii="Times New Roman" w:eastAsiaTheme="majorEastAsia" w:hAnsi="Times New Roman" w:cs="Times New Roman"/>
              </w:rPr>
            </w:pPr>
            <w:r w:rsidRPr="00061D19">
              <w:rPr>
                <w:rFonts w:ascii="Times New Roman" w:hAnsi="Times New Roman" w:cs="Times New Roman"/>
              </w:rPr>
              <w:t>0.481</w:t>
            </w:r>
          </w:p>
        </w:tc>
        <w:tc>
          <w:tcPr>
            <w:tcW w:w="1126" w:type="dxa"/>
            <w:vAlign w:val="bottom"/>
          </w:tcPr>
          <w:p w14:paraId="0DF106AF" w14:textId="77777777" w:rsidR="00354D63" w:rsidRPr="00061D19" w:rsidRDefault="00354D63" w:rsidP="00402F1E">
            <w:pPr>
              <w:jc w:val="center"/>
              <w:rPr>
                <w:rFonts w:ascii="Times New Roman" w:hAnsi="Times New Roman" w:cs="Times New Roman"/>
              </w:rPr>
            </w:pPr>
            <w:r w:rsidRPr="00061D19">
              <w:rPr>
                <w:rFonts w:ascii="Times New Roman" w:hAnsi="Times New Roman" w:cs="Times New Roman"/>
              </w:rPr>
              <w:t>0.362</w:t>
            </w:r>
          </w:p>
        </w:tc>
      </w:tr>
      <w:tr w:rsidR="00354D63" w:rsidRPr="00061D19" w14:paraId="4C279E6C" w14:textId="77777777" w:rsidTr="00402F1E">
        <w:trPr>
          <w:jc w:val="center"/>
        </w:trPr>
        <w:tc>
          <w:tcPr>
            <w:tcW w:w="1696" w:type="dxa"/>
          </w:tcPr>
          <w:p w14:paraId="1EF83449" w14:textId="77777777" w:rsidR="00354D63" w:rsidRPr="00061D19" w:rsidRDefault="00354D63" w:rsidP="00402F1E">
            <w:pPr>
              <w:jc w:val="both"/>
              <w:rPr>
                <w:rFonts w:ascii="Times New Roman" w:hAnsi="Times New Roman" w:cs="Times New Roman"/>
              </w:rPr>
            </w:pPr>
            <w:r w:rsidRPr="00061D19">
              <w:rPr>
                <w:rFonts w:ascii="Times New Roman" w:hAnsi="Times New Roman" w:cs="Times New Roman"/>
              </w:rPr>
              <w:t>LPSaiz</w:t>
            </w:r>
          </w:p>
        </w:tc>
        <w:tc>
          <w:tcPr>
            <w:tcW w:w="1335" w:type="dxa"/>
          </w:tcPr>
          <w:p w14:paraId="32FA96AF" w14:textId="77777777" w:rsidR="00354D63" w:rsidRPr="00061D19" w:rsidRDefault="00354D63" w:rsidP="00402F1E">
            <w:pPr>
              <w:jc w:val="center"/>
              <w:rPr>
                <w:rFonts w:ascii="Times New Roman" w:eastAsiaTheme="majorEastAsia" w:hAnsi="Times New Roman" w:cs="Times New Roman"/>
              </w:rPr>
            </w:pPr>
            <w:r w:rsidRPr="00061D19">
              <w:rPr>
                <w:rFonts w:ascii="Times New Roman" w:hAnsi="Times New Roman" w:cs="Times New Roman"/>
              </w:rPr>
              <w:t>-0.053</w:t>
            </w:r>
          </w:p>
        </w:tc>
        <w:tc>
          <w:tcPr>
            <w:tcW w:w="1335" w:type="dxa"/>
          </w:tcPr>
          <w:p w14:paraId="527379F6" w14:textId="77777777" w:rsidR="00354D63" w:rsidRPr="00061D19" w:rsidRDefault="00354D63" w:rsidP="00402F1E">
            <w:pPr>
              <w:jc w:val="center"/>
              <w:rPr>
                <w:rFonts w:ascii="Times New Roman" w:hAnsi="Times New Roman" w:cs="Times New Roman"/>
              </w:rPr>
            </w:pPr>
            <w:r w:rsidRPr="00061D19">
              <w:rPr>
                <w:rFonts w:ascii="Times New Roman" w:hAnsi="Times New Roman" w:cs="Times New Roman"/>
              </w:rPr>
              <w:t>-0.051</w:t>
            </w:r>
          </w:p>
        </w:tc>
        <w:tc>
          <w:tcPr>
            <w:tcW w:w="1335" w:type="dxa"/>
            <w:gridSpan w:val="2"/>
            <w:vAlign w:val="bottom"/>
          </w:tcPr>
          <w:p w14:paraId="331AA9A9" w14:textId="77777777" w:rsidR="00354D63" w:rsidRPr="00061D19" w:rsidRDefault="00354D63" w:rsidP="00402F1E">
            <w:pPr>
              <w:jc w:val="center"/>
              <w:rPr>
                <w:rFonts w:ascii="Times New Roman" w:eastAsiaTheme="majorEastAsia" w:hAnsi="Times New Roman" w:cs="Times New Roman"/>
              </w:rPr>
            </w:pPr>
            <w:r w:rsidRPr="00061D19">
              <w:rPr>
                <w:rFonts w:ascii="Times New Roman" w:hAnsi="Times New Roman" w:cs="Times New Roman"/>
              </w:rPr>
              <w:t>-0.777</w:t>
            </w:r>
          </w:p>
        </w:tc>
        <w:tc>
          <w:tcPr>
            <w:tcW w:w="1335" w:type="dxa"/>
            <w:vAlign w:val="bottom"/>
          </w:tcPr>
          <w:p w14:paraId="20EB8353" w14:textId="77777777" w:rsidR="00354D63" w:rsidRPr="00061D19" w:rsidRDefault="00354D63" w:rsidP="00402F1E">
            <w:pPr>
              <w:jc w:val="center"/>
              <w:rPr>
                <w:rFonts w:ascii="Times New Roman" w:hAnsi="Times New Roman" w:cs="Times New Roman"/>
              </w:rPr>
            </w:pPr>
            <w:r w:rsidRPr="00061D19">
              <w:rPr>
                <w:rFonts w:ascii="Times New Roman" w:hAnsi="Times New Roman" w:cs="Times New Roman"/>
              </w:rPr>
              <w:t>-0.72</w:t>
            </w:r>
          </w:p>
        </w:tc>
        <w:tc>
          <w:tcPr>
            <w:tcW w:w="1335" w:type="dxa"/>
            <w:vAlign w:val="bottom"/>
          </w:tcPr>
          <w:p w14:paraId="0619D335" w14:textId="77777777" w:rsidR="00354D63" w:rsidRPr="00061D19" w:rsidRDefault="00354D63" w:rsidP="00402F1E">
            <w:pPr>
              <w:jc w:val="center"/>
              <w:rPr>
                <w:rFonts w:ascii="Times New Roman" w:eastAsiaTheme="majorEastAsia" w:hAnsi="Times New Roman" w:cs="Times New Roman"/>
              </w:rPr>
            </w:pPr>
            <w:r w:rsidRPr="00061D19">
              <w:rPr>
                <w:rFonts w:ascii="Times New Roman" w:hAnsi="Times New Roman" w:cs="Times New Roman"/>
              </w:rPr>
              <w:t>0.438</w:t>
            </w:r>
          </w:p>
        </w:tc>
        <w:tc>
          <w:tcPr>
            <w:tcW w:w="1126" w:type="dxa"/>
            <w:vAlign w:val="bottom"/>
          </w:tcPr>
          <w:p w14:paraId="27C859BE" w14:textId="77777777" w:rsidR="00354D63" w:rsidRPr="00061D19" w:rsidRDefault="00354D63" w:rsidP="00402F1E">
            <w:pPr>
              <w:jc w:val="center"/>
              <w:rPr>
                <w:rFonts w:ascii="Times New Roman" w:hAnsi="Times New Roman" w:cs="Times New Roman"/>
              </w:rPr>
            </w:pPr>
            <w:r w:rsidRPr="00061D19">
              <w:rPr>
                <w:rFonts w:ascii="Times New Roman" w:hAnsi="Times New Roman" w:cs="Times New Roman"/>
              </w:rPr>
              <w:t>0.317</w:t>
            </w:r>
          </w:p>
        </w:tc>
      </w:tr>
      <w:tr w:rsidR="00354D63" w:rsidRPr="00061D19" w14:paraId="69B9B3E2" w14:textId="77777777" w:rsidTr="00402F1E">
        <w:trPr>
          <w:jc w:val="center"/>
        </w:trPr>
        <w:tc>
          <w:tcPr>
            <w:tcW w:w="1696" w:type="dxa"/>
          </w:tcPr>
          <w:p w14:paraId="26F56B41" w14:textId="77777777" w:rsidR="00354D63" w:rsidRPr="00061D19" w:rsidRDefault="00354D63" w:rsidP="00402F1E">
            <w:pPr>
              <w:jc w:val="both"/>
              <w:rPr>
                <w:rFonts w:ascii="Times New Roman" w:hAnsi="Times New Roman" w:cs="Times New Roman"/>
              </w:rPr>
            </w:pPr>
            <w:r w:rsidRPr="00061D19">
              <w:rPr>
                <w:rFonts w:ascii="Times New Roman" w:hAnsi="Times New Roman" w:cs="Times New Roman"/>
              </w:rPr>
              <w:t>Saiz</w:t>
            </w:r>
          </w:p>
        </w:tc>
        <w:tc>
          <w:tcPr>
            <w:tcW w:w="1335" w:type="dxa"/>
          </w:tcPr>
          <w:p w14:paraId="3020642C" w14:textId="77777777" w:rsidR="00354D63" w:rsidRPr="00061D19" w:rsidRDefault="00354D63" w:rsidP="00402F1E">
            <w:pPr>
              <w:jc w:val="center"/>
              <w:rPr>
                <w:rFonts w:ascii="Times New Roman" w:eastAsiaTheme="majorEastAsia" w:hAnsi="Times New Roman" w:cs="Times New Roman"/>
              </w:rPr>
            </w:pPr>
            <w:r w:rsidRPr="00061D19">
              <w:rPr>
                <w:rFonts w:ascii="Times New Roman" w:hAnsi="Times New Roman" w:cs="Times New Roman"/>
              </w:rPr>
              <w:t>0.800***</w:t>
            </w:r>
          </w:p>
        </w:tc>
        <w:tc>
          <w:tcPr>
            <w:tcW w:w="1335" w:type="dxa"/>
          </w:tcPr>
          <w:p w14:paraId="65AFB15E" w14:textId="77777777" w:rsidR="00354D63" w:rsidRPr="00061D19" w:rsidRDefault="00354D63" w:rsidP="00402F1E">
            <w:pPr>
              <w:jc w:val="center"/>
              <w:rPr>
                <w:rFonts w:ascii="Times New Roman" w:hAnsi="Times New Roman" w:cs="Times New Roman"/>
              </w:rPr>
            </w:pPr>
            <w:r w:rsidRPr="00061D19">
              <w:rPr>
                <w:rFonts w:ascii="Times New Roman" w:hAnsi="Times New Roman" w:cs="Times New Roman"/>
              </w:rPr>
              <w:t>0.792***</w:t>
            </w:r>
          </w:p>
        </w:tc>
        <w:tc>
          <w:tcPr>
            <w:tcW w:w="1335" w:type="dxa"/>
            <w:gridSpan w:val="2"/>
            <w:vAlign w:val="bottom"/>
          </w:tcPr>
          <w:p w14:paraId="203444A2" w14:textId="77777777" w:rsidR="00354D63" w:rsidRPr="00061D19" w:rsidRDefault="00354D63" w:rsidP="00402F1E">
            <w:pPr>
              <w:jc w:val="center"/>
              <w:rPr>
                <w:rFonts w:ascii="Times New Roman" w:eastAsiaTheme="majorEastAsia" w:hAnsi="Times New Roman" w:cs="Times New Roman"/>
              </w:rPr>
            </w:pPr>
            <w:r w:rsidRPr="00061D19">
              <w:rPr>
                <w:rFonts w:ascii="Times New Roman" w:hAnsi="Times New Roman" w:cs="Times New Roman"/>
              </w:rPr>
              <w:t>3.290</w:t>
            </w:r>
          </w:p>
        </w:tc>
        <w:tc>
          <w:tcPr>
            <w:tcW w:w="1335" w:type="dxa"/>
            <w:vAlign w:val="bottom"/>
          </w:tcPr>
          <w:p w14:paraId="1039BA65" w14:textId="77777777" w:rsidR="00354D63" w:rsidRPr="00061D19" w:rsidRDefault="00354D63" w:rsidP="00402F1E">
            <w:pPr>
              <w:jc w:val="center"/>
              <w:rPr>
                <w:rFonts w:ascii="Times New Roman" w:hAnsi="Times New Roman" w:cs="Times New Roman"/>
              </w:rPr>
            </w:pPr>
            <w:r w:rsidRPr="00061D19">
              <w:rPr>
                <w:rFonts w:ascii="Times New Roman" w:hAnsi="Times New Roman" w:cs="Times New Roman"/>
              </w:rPr>
              <w:t>3.116</w:t>
            </w:r>
          </w:p>
        </w:tc>
        <w:tc>
          <w:tcPr>
            <w:tcW w:w="1335" w:type="dxa"/>
            <w:vAlign w:val="bottom"/>
          </w:tcPr>
          <w:p w14:paraId="11B0695F" w14:textId="77777777" w:rsidR="00354D63" w:rsidRPr="00061D19" w:rsidRDefault="00354D63" w:rsidP="00402F1E">
            <w:pPr>
              <w:jc w:val="center"/>
              <w:rPr>
                <w:rFonts w:ascii="Times New Roman" w:eastAsiaTheme="majorEastAsia" w:hAnsi="Times New Roman" w:cs="Times New Roman"/>
              </w:rPr>
            </w:pPr>
            <w:r w:rsidRPr="00061D19">
              <w:rPr>
                <w:rFonts w:ascii="Times New Roman" w:hAnsi="Times New Roman" w:cs="Times New Roman"/>
              </w:rPr>
              <w:t>0.001</w:t>
            </w:r>
          </w:p>
        </w:tc>
        <w:tc>
          <w:tcPr>
            <w:tcW w:w="1126" w:type="dxa"/>
            <w:vAlign w:val="bottom"/>
          </w:tcPr>
          <w:p w14:paraId="37C70939" w14:textId="77777777" w:rsidR="00354D63" w:rsidRPr="00061D19" w:rsidRDefault="00354D63" w:rsidP="00402F1E">
            <w:pPr>
              <w:jc w:val="center"/>
              <w:rPr>
                <w:rFonts w:ascii="Times New Roman" w:hAnsi="Times New Roman" w:cs="Times New Roman"/>
              </w:rPr>
            </w:pPr>
            <w:r w:rsidRPr="00061D19">
              <w:rPr>
                <w:rFonts w:ascii="Times New Roman" w:hAnsi="Times New Roman" w:cs="Times New Roman"/>
              </w:rPr>
              <w:t>0.002</w:t>
            </w:r>
          </w:p>
        </w:tc>
      </w:tr>
      <w:tr w:rsidR="00354D63" w:rsidRPr="00061D19" w14:paraId="1A9C6593" w14:textId="77777777" w:rsidTr="00402F1E">
        <w:trPr>
          <w:jc w:val="center"/>
        </w:trPr>
        <w:tc>
          <w:tcPr>
            <w:tcW w:w="1696" w:type="dxa"/>
          </w:tcPr>
          <w:p w14:paraId="1436DFB0" w14:textId="77777777" w:rsidR="00354D63" w:rsidRPr="00061D19" w:rsidRDefault="00354D63" w:rsidP="00402F1E">
            <w:pPr>
              <w:jc w:val="both"/>
              <w:rPr>
                <w:rFonts w:ascii="Times New Roman" w:hAnsi="Times New Roman" w:cs="Times New Roman"/>
              </w:rPr>
            </w:pPr>
            <w:r w:rsidRPr="00061D19">
              <w:rPr>
                <w:rFonts w:ascii="Times New Roman" w:hAnsi="Times New Roman" w:cs="Times New Roman"/>
              </w:rPr>
              <w:t>PAA</w:t>
            </w:r>
          </w:p>
        </w:tc>
        <w:tc>
          <w:tcPr>
            <w:tcW w:w="1335" w:type="dxa"/>
          </w:tcPr>
          <w:p w14:paraId="18301CB6" w14:textId="77777777" w:rsidR="00354D63" w:rsidRPr="00061D19" w:rsidRDefault="00354D63" w:rsidP="00402F1E">
            <w:pPr>
              <w:jc w:val="center"/>
              <w:rPr>
                <w:rFonts w:ascii="Times New Roman" w:eastAsiaTheme="majorEastAsia" w:hAnsi="Times New Roman" w:cs="Times New Roman"/>
              </w:rPr>
            </w:pPr>
            <w:r w:rsidRPr="00061D19">
              <w:rPr>
                <w:rFonts w:ascii="Times New Roman" w:eastAsiaTheme="majorEastAsia" w:hAnsi="Times New Roman" w:cs="Times New Roman"/>
              </w:rPr>
              <w:t>2.893*</w:t>
            </w:r>
          </w:p>
        </w:tc>
        <w:tc>
          <w:tcPr>
            <w:tcW w:w="1335" w:type="dxa"/>
          </w:tcPr>
          <w:p w14:paraId="08CA2752" w14:textId="77777777" w:rsidR="00354D63" w:rsidRPr="00061D19" w:rsidRDefault="00354D63" w:rsidP="00402F1E">
            <w:pPr>
              <w:jc w:val="center"/>
              <w:rPr>
                <w:rFonts w:ascii="Times New Roman" w:hAnsi="Times New Roman" w:cs="Times New Roman"/>
              </w:rPr>
            </w:pPr>
            <w:r w:rsidRPr="00061D19">
              <w:rPr>
                <w:rFonts w:ascii="Times New Roman" w:hAnsi="Times New Roman" w:cs="Times New Roman"/>
              </w:rPr>
              <w:t>2.862*</w:t>
            </w:r>
          </w:p>
        </w:tc>
        <w:tc>
          <w:tcPr>
            <w:tcW w:w="1335" w:type="dxa"/>
            <w:gridSpan w:val="2"/>
            <w:vAlign w:val="bottom"/>
          </w:tcPr>
          <w:p w14:paraId="4E5326EA" w14:textId="77777777" w:rsidR="00354D63" w:rsidRPr="00061D19" w:rsidRDefault="00354D63" w:rsidP="00402F1E">
            <w:pPr>
              <w:jc w:val="center"/>
              <w:rPr>
                <w:rFonts w:ascii="Times New Roman" w:eastAsiaTheme="majorEastAsia" w:hAnsi="Times New Roman" w:cs="Times New Roman"/>
              </w:rPr>
            </w:pPr>
            <w:r w:rsidRPr="00061D19">
              <w:rPr>
                <w:rFonts w:ascii="Times New Roman" w:hAnsi="Times New Roman" w:cs="Times New Roman"/>
              </w:rPr>
              <w:t>1.899</w:t>
            </w:r>
          </w:p>
        </w:tc>
        <w:tc>
          <w:tcPr>
            <w:tcW w:w="1335" w:type="dxa"/>
            <w:vAlign w:val="bottom"/>
          </w:tcPr>
          <w:p w14:paraId="6708CCB3" w14:textId="77777777" w:rsidR="00354D63" w:rsidRPr="00061D19" w:rsidRDefault="00354D63" w:rsidP="00402F1E">
            <w:pPr>
              <w:jc w:val="center"/>
              <w:rPr>
                <w:rFonts w:ascii="Times New Roman" w:hAnsi="Times New Roman" w:cs="Times New Roman"/>
              </w:rPr>
            </w:pPr>
            <w:r w:rsidRPr="00061D19">
              <w:rPr>
                <w:rFonts w:ascii="Times New Roman" w:hAnsi="Times New Roman" w:cs="Times New Roman"/>
              </w:rPr>
              <w:t>1.894</w:t>
            </w:r>
          </w:p>
        </w:tc>
        <w:tc>
          <w:tcPr>
            <w:tcW w:w="1335" w:type="dxa"/>
            <w:vAlign w:val="bottom"/>
          </w:tcPr>
          <w:p w14:paraId="57A1EC3B" w14:textId="77777777" w:rsidR="00354D63" w:rsidRPr="00061D19" w:rsidRDefault="00354D63" w:rsidP="00402F1E">
            <w:pPr>
              <w:jc w:val="center"/>
              <w:rPr>
                <w:rFonts w:ascii="Times New Roman" w:eastAsiaTheme="majorEastAsia" w:hAnsi="Times New Roman" w:cs="Times New Roman"/>
              </w:rPr>
            </w:pPr>
            <w:r w:rsidRPr="00061D19">
              <w:rPr>
                <w:rFonts w:ascii="Times New Roman" w:hAnsi="Times New Roman" w:cs="Times New Roman"/>
              </w:rPr>
              <w:t>0.058</w:t>
            </w:r>
          </w:p>
        </w:tc>
        <w:tc>
          <w:tcPr>
            <w:tcW w:w="1126" w:type="dxa"/>
            <w:vAlign w:val="bottom"/>
          </w:tcPr>
          <w:p w14:paraId="79F08146" w14:textId="77777777" w:rsidR="00354D63" w:rsidRPr="00061D19" w:rsidRDefault="00354D63" w:rsidP="00402F1E">
            <w:pPr>
              <w:jc w:val="center"/>
              <w:rPr>
                <w:rFonts w:ascii="Times New Roman" w:hAnsi="Times New Roman" w:cs="Times New Roman"/>
              </w:rPr>
            </w:pPr>
            <w:r w:rsidRPr="00061D19">
              <w:rPr>
                <w:rFonts w:ascii="Times New Roman" w:hAnsi="Times New Roman" w:cs="Times New Roman"/>
              </w:rPr>
              <w:t>0.057</w:t>
            </w:r>
          </w:p>
        </w:tc>
      </w:tr>
      <w:tr w:rsidR="00354D63" w:rsidRPr="00061D19" w14:paraId="67352FC9" w14:textId="77777777" w:rsidTr="00402F1E">
        <w:trPr>
          <w:jc w:val="center"/>
        </w:trPr>
        <w:tc>
          <w:tcPr>
            <w:tcW w:w="1696" w:type="dxa"/>
          </w:tcPr>
          <w:p w14:paraId="7CF177B7" w14:textId="77777777" w:rsidR="00354D63" w:rsidRPr="00061D19" w:rsidRDefault="00354D63" w:rsidP="00402F1E">
            <w:pPr>
              <w:jc w:val="both"/>
              <w:rPr>
                <w:rFonts w:ascii="Times New Roman" w:hAnsi="Times New Roman" w:cs="Times New Roman"/>
              </w:rPr>
            </w:pPr>
            <w:r w:rsidRPr="00061D19">
              <w:rPr>
                <w:rFonts w:ascii="Times New Roman" w:hAnsi="Times New Roman" w:cs="Times New Roman"/>
              </w:rPr>
              <w:t>Tumbuh</w:t>
            </w:r>
          </w:p>
        </w:tc>
        <w:tc>
          <w:tcPr>
            <w:tcW w:w="1335" w:type="dxa"/>
          </w:tcPr>
          <w:p w14:paraId="568A93FA" w14:textId="77777777" w:rsidR="00354D63" w:rsidRPr="00061D19" w:rsidRDefault="00354D63" w:rsidP="00402F1E">
            <w:pPr>
              <w:jc w:val="center"/>
              <w:rPr>
                <w:rFonts w:ascii="Times New Roman" w:eastAsiaTheme="majorEastAsia" w:hAnsi="Times New Roman" w:cs="Times New Roman"/>
              </w:rPr>
            </w:pPr>
            <w:r w:rsidRPr="00061D19">
              <w:rPr>
                <w:rFonts w:ascii="Times New Roman" w:eastAsiaTheme="majorEastAsia" w:hAnsi="Times New Roman" w:cs="Times New Roman"/>
              </w:rPr>
              <w:t>0.005</w:t>
            </w:r>
          </w:p>
        </w:tc>
        <w:tc>
          <w:tcPr>
            <w:tcW w:w="1335" w:type="dxa"/>
          </w:tcPr>
          <w:p w14:paraId="1D5BB843" w14:textId="77777777" w:rsidR="00354D63" w:rsidRPr="00061D19" w:rsidRDefault="00354D63" w:rsidP="00402F1E">
            <w:pPr>
              <w:jc w:val="center"/>
              <w:rPr>
                <w:rFonts w:ascii="Times New Roman" w:hAnsi="Times New Roman" w:cs="Times New Roman"/>
              </w:rPr>
            </w:pPr>
            <w:r w:rsidRPr="00061D19">
              <w:rPr>
                <w:rFonts w:ascii="Times New Roman" w:hAnsi="Times New Roman" w:cs="Times New Roman"/>
              </w:rPr>
              <w:t>0.008</w:t>
            </w:r>
          </w:p>
        </w:tc>
        <w:tc>
          <w:tcPr>
            <w:tcW w:w="1335" w:type="dxa"/>
            <w:gridSpan w:val="2"/>
            <w:vAlign w:val="bottom"/>
          </w:tcPr>
          <w:p w14:paraId="62B89F08" w14:textId="77777777" w:rsidR="00354D63" w:rsidRPr="00061D19" w:rsidRDefault="00354D63" w:rsidP="00402F1E">
            <w:pPr>
              <w:jc w:val="center"/>
              <w:rPr>
                <w:rFonts w:ascii="Times New Roman" w:eastAsiaTheme="majorEastAsia" w:hAnsi="Times New Roman" w:cs="Times New Roman"/>
              </w:rPr>
            </w:pPr>
            <w:r w:rsidRPr="00061D19">
              <w:rPr>
                <w:rFonts w:ascii="Times New Roman" w:eastAsiaTheme="majorEastAsia" w:hAnsi="Times New Roman" w:cs="Times New Roman"/>
              </w:rPr>
              <w:t>0.887</w:t>
            </w:r>
          </w:p>
        </w:tc>
        <w:tc>
          <w:tcPr>
            <w:tcW w:w="1335" w:type="dxa"/>
            <w:vAlign w:val="bottom"/>
          </w:tcPr>
          <w:p w14:paraId="5FB9D4B0" w14:textId="77777777" w:rsidR="00354D63" w:rsidRPr="00061D19" w:rsidRDefault="00354D63" w:rsidP="00402F1E">
            <w:pPr>
              <w:jc w:val="center"/>
              <w:rPr>
                <w:rFonts w:ascii="Times New Roman" w:hAnsi="Times New Roman" w:cs="Times New Roman"/>
              </w:rPr>
            </w:pPr>
            <w:r w:rsidRPr="00061D19">
              <w:rPr>
                <w:rFonts w:ascii="Times New Roman" w:hAnsi="Times New Roman" w:cs="Times New Roman"/>
              </w:rPr>
              <w:t>0.138</w:t>
            </w:r>
          </w:p>
        </w:tc>
        <w:tc>
          <w:tcPr>
            <w:tcW w:w="1335" w:type="dxa"/>
            <w:vAlign w:val="bottom"/>
          </w:tcPr>
          <w:p w14:paraId="77215B85" w14:textId="77777777" w:rsidR="00354D63" w:rsidRPr="00061D19" w:rsidRDefault="00354D63" w:rsidP="00402F1E">
            <w:pPr>
              <w:jc w:val="center"/>
              <w:rPr>
                <w:rFonts w:ascii="Times New Roman" w:eastAsiaTheme="majorEastAsia" w:hAnsi="Times New Roman" w:cs="Times New Roman"/>
              </w:rPr>
            </w:pPr>
            <w:r w:rsidRPr="00061D19">
              <w:rPr>
                <w:rFonts w:ascii="Times New Roman" w:hAnsi="Times New Roman" w:cs="Times New Roman"/>
              </w:rPr>
              <w:t>0.929</w:t>
            </w:r>
          </w:p>
        </w:tc>
        <w:tc>
          <w:tcPr>
            <w:tcW w:w="1126" w:type="dxa"/>
            <w:vAlign w:val="bottom"/>
          </w:tcPr>
          <w:p w14:paraId="55C0F99F" w14:textId="77777777" w:rsidR="00354D63" w:rsidRPr="00061D19" w:rsidRDefault="00354D63" w:rsidP="00402F1E">
            <w:pPr>
              <w:jc w:val="center"/>
              <w:rPr>
                <w:rFonts w:ascii="Times New Roman" w:hAnsi="Times New Roman" w:cs="Times New Roman"/>
              </w:rPr>
            </w:pPr>
            <w:r w:rsidRPr="00061D19">
              <w:rPr>
                <w:rFonts w:ascii="Times New Roman" w:hAnsi="Times New Roman" w:cs="Times New Roman"/>
              </w:rPr>
              <w:t>0.814</w:t>
            </w:r>
          </w:p>
        </w:tc>
      </w:tr>
      <w:tr w:rsidR="00354D63" w:rsidRPr="00061D19" w14:paraId="6175B699" w14:textId="77777777" w:rsidTr="00402F1E">
        <w:trPr>
          <w:jc w:val="center"/>
        </w:trPr>
        <w:tc>
          <w:tcPr>
            <w:tcW w:w="1696" w:type="dxa"/>
          </w:tcPr>
          <w:p w14:paraId="7E7728DA" w14:textId="77777777" w:rsidR="00354D63" w:rsidRPr="00061D19" w:rsidRDefault="00354D63" w:rsidP="00402F1E">
            <w:pPr>
              <w:jc w:val="both"/>
              <w:rPr>
                <w:rFonts w:ascii="Times New Roman" w:hAnsi="Times New Roman" w:cs="Times New Roman"/>
              </w:rPr>
            </w:pPr>
            <w:r w:rsidRPr="00061D19">
              <w:rPr>
                <w:rFonts w:ascii="Times New Roman" w:hAnsi="Times New Roman" w:cs="Times New Roman"/>
              </w:rPr>
              <w:t>Umpil</w:t>
            </w:r>
          </w:p>
        </w:tc>
        <w:tc>
          <w:tcPr>
            <w:tcW w:w="1335" w:type="dxa"/>
          </w:tcPr>
          <w:p w14:paraId="3C67368C" w14:textId="77777777" w:rsidR="00354D63" w:rsidRPr="00061D19" w:rsidRDefault="00354D63" w:rsidP="00402F1E">
            <w:pPr>
              <w:jc w:val="center"/>
              <w:rPr>
                <w:rFonts w:ascii="Times New Roman" w:eastAsiaTheme="majorEastAsia" w:hAnsi="Times New Roman" w:cs="Times New Roman"/>
              </w:rPr>
            </w:pPr>
            <w:r w:rsidRPr="00061D19">
              <w:rPr>
                <w:rFonts w:ascii="Times New Roman" w:hAnsi="Times New Roman" w:cs="Times New Roman"/>
              </w:rPr>
              <w:t>-0.885</w:t>
            </w:r>
          </w:p>
        </w:tc>
        <w:tc>
          <w:tcPr>
            <w:tcW w:w="1335" w:type="dxa"/>
          </w:tcPr>
          <w:p w14:paraId="5EA45C5E" w14:textId="77777777" w:rsidR="00354D63" w:rsidRPr="00061D19" w:rsidRDefault="00354D63" w:rsidP="00402F1E">
            <w:pPr>
              <w:jc w:val="center"/>
              <w:rPr>
                <w:rFonts w:ascii="Times New Roman" w:hAnsi="Times New Roman" w:cs="Times New Roman"/>
              </w:rPr>
            </w:pPr>
            <w:r w:rsidRPr="00061D19">
              <w:rPr>
                <w:rFonts w:ascii="Times New Roman" w:hAnsi="Times New Roman" w:cs="Times New Roman"/>
              </w:rPr>
              <w:t>-0.877</w:t>
            </w:r>
          </w:p>
        </w:tc>
        <w:tc>
          <w:tcPr>
            <w:tcW w:w="1335" w:type="dxa"/>
            <w:gridSpan w:val="2"/>
            <w:vAlign w:val="bottom"/>
          </w:tcPr>
          <w:p w14:paraId="6278753D" w14:textId="77777777" w:rsidR="00354D63" w:rsidRPr="00061D19" w:rsidRDefault="00354D63" w:rsidP="00402F1E">
            <w:pPr>
              <w:jc w:val="center"/>
              <w:rPr>
                <w:rFonts w:ascii="Times New Roman" w:eastAsiaTheme="majorEastAsia" w:hAnsi="Times New Roman" w:cs="Times New Roman"/>
              </w:rPr>
            </w:pPr>
            <w:r w:rsidRPr="00061D19">
              <w:rPr>
                <w:rFonts w:ascii="Times New Roman" w:hAnsi="Times New Roman" w:cs="Times New Roman"/>
              </w:rPr>
              <w:t>-0.981</w:t>
            </w:r>
          </w:p>
        </w:tc>
        <w:tc>
          <w:tcPr>
            <w:tcW w:w="1335" w:type="dxa"/>
            <w:vAlign w:val="bottom"/>
          </w:tcPr>
          <w:p w14:paraId="42367F00" w14:textId="77777777" w:rsidR="00354D63" w:rsidRPr="00061D19" w:rsidRDefault="00354D63" w:rsidP="00402F1E">
            <w:pPr>
              <w:jc w:val="center"/>
              <w:rPr>
                <w:rFonts w:ascii="Times New Roman" w:hAnsi="Times New Roman" w:cs="Times New Roman"/>
              </w:rPr>
            </w:pPr>
            <w:r w:rsidRPr="00061D19">
              <w:rPr>
                <w:rFonts w:ascii="Times New Roman" w:hAnsi="Times New Roman" w:cs="Times New Roman"/>
              </w:rPr>
              <w:t>-0.966</w:t>
            </w:r>
          </w:p>
        </w:tc>
        <w:tc>
          <w:tcPr>
            <w:tcW w:w="1335" w:type="dxa"/>
            <w:vAlign w:val="bottom"/>
          </w:tcPr>
          <w:p w14:paraId="3FB2F4AC" w14:textId="77777777" w:rsidR="00354D63" w:rsidRPr="00061D19" w:rsidRDefault="00354D63" w:rsidP="00402F1E">
            <w:pPr>
              <w:jc w:val="center"/>
              <w:rPr>
                <w:rFonts w:ascii="Times New Roman" w:eastAsiaTheme="majorEastAsia" w:hAnsi="Times New Roman" w:cs="Times New Roman"/>
              </w:rPr>
            </w:pPr>
            <w:r w:rsidRPr="00061D19">
              <w:rPr>
                <w:rFonts w:ascii="Times New Roman" w:hAnsi="Times New Roman" w:cs="Times New Roman"/>
              </w:rPr>
              <w:t>0.327</w:t>
            </w:r>
          </w:p>
        </w:tc>
        <w:tc>
          <w:tcPr>
            <w:tcW w:w="1126" w:type="dxa"/>
            <w:vAlign w:val="bottom"/>
          </w:tcPr>
          <w:p w14:paraId="4F6143E0" w14:textId="77777777" w:rsidR="00354D63" w:rsidRPr="00061D19" w:rsidRDefault="00354D63" w:rsidP="00402F1E">
            <w:pPr>
              <w:jc w:val="center"/>
              <w:rPr>
                <w:rFonts w:ascii="Times New Roman" w:hAnsi="Times New Roman" w:cs="Times New Roman"/>
              </w:rPr>
            </w:pPr>
            <w:r w:rsidRPr="00061D19">
              <w:rPr>
                <w:rFonts w:ascii="Times New Roman" w:hAnsi="Times New Roman" w:cs="Times New Roman"/>
              </w:rPr>
              <w:t>0.347</w:t>
            </w:r>
          </w:p>
        </w:tc>
      </w:tr>
      <w:tr w:rsidR="00354D63" w:rsidRPr="00061D19" w14:paraId="0C40A331" w14:textId="77777777" w:rsidTr="00402F1E">
        <w:trPr>
          <w:jc w:val="center"/>
        </w:trPr>
        <w:tc>
          <w:tcPr>
            <w:tcW w:w="1696" w:type="dxa"/>
          </w:tcPr>
          <w:p w14:paraId="7BEAFDB2" w14:textId="77777777" w:rsidR="00354D63" w:rsidRPr="00061D19" w:rsidRDefault="00354D63" w:rsidP="00402F1E">
            <w:pPr>
              <w:jc w:val="both"/>
              <w:rPr>
                <w:rFonts w:ascii="Times New Roman" w:hAnsi="Times New Roman" w:cs="Times New Roman"/>
              </w:rPr>
            </w:pPr>
          </w:p>
        </w:tc>
        <w:tc>
          <w:tcPr>
            <w:tcW w:w="1335" w:type="dxa"/>
          </w:tcPr>
          <w:p w14:paraId="01138802" w14:textId="77777777" w:rsidR="00354D63" w:rsidRPr="00061D19" w:rsidRDefault="00354D63" w:rsidP="00402F1E">
            <w:pPr>
              <w:jc w:val="center"/>
              <w:rPr>
                <w:rFonts w:ascii="Times New Roman" w:hAnsi="Times New Roman" w:cs="Times New Roman"/>
              </w:rPr>
            </w:pPr>
          </w:p>
        </w:tc>
        <w:tc>
          <w:tcPr>
            <w:tcW w:w="1335" w:type="dxa"/>
          </w:tcPr>
          <w:p w14:paraId="65556F65" w14:textId="77777777" w:rsidR="00354D63" w:rsidRPr="00061D19" w:rsidRDefault="00354D63" w:rsidP="00402F1E">
            <w:pPr>
              <w:jc w:val="center"/>
              <w:rPr>
                <w:rFonts w:ascii="Times New Roman" w:hAnsi="Times New Roman" w:cs="Times New Roman"/>
              </w:rPr>
            </w:pPr>
          </w:p>
        </w:tc>
        <w:tc>
          <w:tcPr>
            <w:tcW w:w="1335" w:type="dxa"/>
            <w:gridSpan w:val="2"/>
            <w:vAlign w:val="bottom"/>
          </w:tcPr>
          <w:p w14:paraId="199F5827" w14:textId="77777777" w:rsidR="00354D63" w:rsidRPr="00061D19" w:rsidRDefault="00354D63" w:rsidP="00402F1E">
            <w:pPr>
              <w:jc w:val="center"/>
              <w:rPr>
                <w:rFonts w:ascii="Times New Roman" w:hAnsi="Times New Roman" w:cs="Times New Roman"/>
              </w:rPr>
            </w:pPr>
          </w:p>
        </w:tc>
        <w:tc>
          <w:tcPr>
            <w:tcW w:w="1335" w:type="dxa"/>
            <w:vAlign w:val="bottom"/>
          </w:tcPr>
          <w:p w14:paraId="110582AC" w14:textId="77777777" w:rsidR="00354D63" w:rsidRPr="00061D19" w:rsidRDefault="00354D63" w:rsidP="00402F1E">
            <w:pPr>
              <w:jc w:val="center"/>
              <w:rPr>
                <w:rFonts w:ascii="Times New Roman" w:hAnsi="Times New Roman" w:cs="Times New Roman"/>
              </w:rPr>
            </w:pPr>
          </w:p>
        </w:tc>
        <w:tc>
          <w:tcPr>
            <w:tcW w:w="1335" w:type="dxa"/>
            <w:vAlign w:val="bottom"/>
          </w:tcPr>
          <w:p w14:paraId="1B72C44C" w14:textId="77777777" w:rsidR="00354D63" w:rsidRPr="00061D19" w:rsidRDefault="00354D63" w:rsidP="00402F1E">
            <w:pPr>
              <w:jc w:val="center"/>
              <w:rPr>
                <w:rFonts w:ascii="Times New Roman" w:hAnsi="Times New Roman" w:cs="Times New Roman"/>
              </w:rPr>
            </w:pPr>
          </w:p>
        </w:tc>
        <w:tc>
          <w:tcPr>
            <w:tcW w:w="1126" w:type="dxa"/>
            <w:vAlign w:val="bottom"/>
          </w:tcPr>
          <w:p w14:paraId="1CE159D9" w14:textId="77777777" w:rsidR="00354D63" w:rsidRPr="00061D19" w:rsidRDefault="00354D63" w:rsidP="00402F1E">
            <w:pPr>
              <w:jc w:val="center"/>
              <w:rPr>
                <w:rFonts w:ascii="Times New Roman" w:hAnsi="Times New Roman" w:cs="Times New Roman"/>
              </w:rPr>
            </w:pPr>
          </w:p>
        </w:tc>
      </w:tr>
      <w:tr w:rsidR="00354D63" w:rsidRPr="00061D19" w14:paraId="1897B848" w14:textId="77777777" w:rsidTr="00402F1E">
        <w:trPr>
          <w:jc w:val="center"/>
        </w:trPr>
        <w:tc>
          <w:tcPr>
            <w:tcW w:w="1696" w:type="dxa"/>
          </w:tcPr>
          <w:p w14:paraId="26C13B9C" w14:textId="77777777" w:rsidR="00354D63" w:rsidRPr="00061D19" w:rsidRDefault="00354D63" w:rsidP="00402F1E">
            <w:pPr>
              <w:jc w:val="both"/>
              <w:rPr>
                <w:rFonts w:ascii="Times New Roman" w:hAnsi="Times New Roman" w:cs="Times New Roman"/>
                <w:vertAlign w:val="superscript"/>
              </w:rPr>
            </w:pPr>
            <w:r w:rsidRPr="00061D19">
              <w:rPr>
                <w:rFonts w:ascii="Times New Roman" w:hAnsi="Times New Roman" w:cs="Times New Roman"/>
              </w:rPr>
              <w:t>R</w:t>
            </w:r>
            <w:r w:rsidRPr="00061D19">
              <w:rPr>
                <w:rFonts w:ascii="Times New Roman" w:hAnsi="Times New Roman" w:cs="Times New Roman"/>
                <w:vertAlign w:val="superscript"/>
              </w:rPr>
              <w:t>2</w:t>
            </w:r>
          </w:p>
        </w:tc>
        <w:tc>
          <w:tcPr>
            <w:tcW w:w="1335" w:type="dxa"/>
          </w:tcPr>
          <w:p w14:paraId="5E189AF9" w14:textId="77777777" w:rsidR="00354D63" w:rsidRPr="00061D19" w:rsidRDefault="00354D63" w:rsidP="00402F1E">
            <w:pPr>
              <w:jc w:val="center"/>
              <w:rPr>
                <w:rFonts w:ascii="Times New Roman" w:hAnsi="Times New Roman" w:cs="Times New Roman"/>
              </w:rPr>
            </w:pPr>
            <w:r w:rsidRPr="00061D19">
              <w:rPr>
                <w:rFonts w:ascii="Times New Roman" w:hAnsi="Times New Roman" w:cs="Times New Roman"/>
              </w:rPr>
              <w:t>0.820</w:t>
            </w:r>
          </w:p>
        </w:tc>
        <w:tc>
          <w:tcPr>
            <w:tcW w:w="1335" w:type="dxa"/>
          </w:tcPr>
          <w:p w14:paraId="70FE3159" w14:textId="77777777" w:rsidR="00354D63" w:rsidRPr="00061D19" w:rsidRDefault="00354D63" w:rsidP="00402F1E">
            <w:pPr>
              <w:jc w:val="center"/>
              <w:rPr>
                <w:rFonts w:ascii="Times New Roman" w:hAnsi="Times New Roman" w:cs="Times New Roman"/>
              </w:rPr>
            </w:pPr>
            <w:r w:rsidRPr="00061D19">
              <w:rPr>
                <w:rFonts w:ascii="Times New Roman" w:hAnsi="Times New Roman" w:cs="Times New Roman"/>
              </w:rPr>
              <w:t>0.820</w:t>
            </w:r>
          </w:p>
        </w:tc>
        <w:tc>
          <w:tcPr>
            <w:tcW w:w="1335" w:type="dxa"/>
            <w:gridSpan w:val="2"/>
            <w:vAlign w:val="bottom"/>
          </w:tcPr>
          <w:p w14:paraId="62B81CF0" w14:textId="77777777" w:rsidR="00354D63" w:rsidRPr="00061D19" w:rsidRDefault="00354D63" w:rsidP="00402F1E">
            <w:pPr>
              <w:jc w:val="center"/>
              <w:rPr>
                <w:rFonts w:ascii="Times New Roman" w:hAnsi="Times New Roman" w:cs="Times New Roman"/>
              </w:rPr>
            </w:pPr>
            <w:r w:rsidRPr="00061D19">
              <w:rPr>
                <w:rFonts w:ascii="Times New Roman" w:hAnsi="Times New Roman" w:cs="Times New Roman"/>
              </w:rPr>
              <w:t>-</w:t>
            </w:r>
          </w:p>
        </w:tc>
        <w:tc>
          <w:tcPr>
            <w:tcW w:w="1335" w:type="dxa"/>
            <w:vAlign w:val="bottom"/>
          </w:tcPr>
          <w:p w14:paraId="4C3B1BE6" w14:textId="77777777" w:rsidR="00354D63" w:rsidRPr="00061D19" w:rsidRDefault="00354D63" w:rsidP="00402F1E">
            <w:pPr>
              <w:jc w:val="center"/>
              <w:rPr>
                <w:rFonts w:ascii="Times New Roman" w:hAnsi="Times New Roman" w:cs="Times New Roman"/>
              </w:rPr>
            </w:pPr>
            <w:r w:rsidRPr="00061D19">
              <w:rPr>
                <w:rFonts w:ascii="Times New Roman" w:hAnsi="Times New Roman" w:cs="Times New Roman"/>
              </w:rPr>
              <w:t>-</w:t>
            </w:r>
          </w:p>
        </w:tc>
        <w:tc>
          <w:tcPr>
            <w:tcW w:w="1335" w:type="dxa"/>
            <w:vAlign w:val="bottom"/>
          </w:tcPr>
          <w:p w14:paraId="12AA11F0" w14:textId="77777777" w:rsidR="00354D63" w:rsidRPr="00061D19" w:rsidRDefault="00354D63" w:rsidP="00402F1E">
            <w:pPr>
              <w:jc w:val="center"/>
              <w:rPr>
                <w:rFonts w:ascii="Times New Roman" w:hAnsi="Times New Roman" w:cs="Times New Roman"/>
              </w:rPr>
            </w:pPr>
            <w:r w:rsidRPr="00061D19">
              <w:rPr>
                <w:rFonts w:ascii="Times New Roman" w:hAnsi="Times New Roman" w:cs="Times New Roman"/>
              </w:rPr>
              <w:t>-</w:t>
            </w:r>
          </w:p>
        </w:tc>
        <w:tc>
          <w:tcPr>
            <w:tcW w:w="1126" w:type="dxa"/>
            <w:vAlign w:val="bottom"/>
          </w:tcPr>
          <w:p w14:paraId="217ECD53" w14:textId="77777777" w:rsidR="00354D63" w:rsidRPr="00061D19" w:rsidRDefault="00354D63" w:rsidP="00402F1E">
            <w:pPr>
              <w:jc w:val="center"/>
              <w:rPr>
                <w:rFonts w:ascii="Times New Roman" w:hAnsi="Times New Roman" w:cs="Times New Roman"/>
              </w:rPr>
            </w:pPr>
            <w:r w:rsidRPr="00061D19">
              <w:rPr>
                <w:rFonts w:ascii="Times New Roman" w:hAnsi="Times New Roman" w:cs="Times New Roman"/>
              </w:rPr>
              <w:t>-</w:t>
            </w:r>
          </w:p>
        </w:tc>
      </w:tr>
      <w:tr w:rsidR="00354D63" w:rsidRPr="00061D19" w14:paraId="626C5913" w14:textId="77777777" w:rsidTr="00402F1E">
        <w:trPr>
          <w:jc w:val="center"/>
        </w:trPr>
        <w:tc>
          <w:tcPr>
            <w:tcW w:w="1696" w:type="dxa"/>
          </w:tcPr>
          <w:p w14:paraId="0F854E71" w14:textId="77777777" w:rsidR="00354D63" w:rsidRPr="00061D19" w:rsidRDefault="00354D63" w:rsidP="00402F1E">
            <w:pPr>
              <w:jc w:val="both"/>
              <w:rPr>
                <w:rFonts w:ascii="Times New Roman" w:hAnsi="Times New Roman" w:cs="Times New Roman"/>
              </w:rPr>
            </w:pPr>
            <w:r w:rsidRPr="00061D19">
              <w:rPr>
                <w:rFonts w:ascii="Times New Roman" w:hAnsi="Times New Roman" w:cs="Times New Roman"/>
              </w:rPr>
              <w:t>R</w:t>
            </w:r>
            <w:r w:rsidRPr="00061D19">
              <w:rPr>
                <w:rFonts w:ascii="Times New Roman" w:hAnsi="Times New Roman" w:cs="Times New Roman"/>
                <w:vertAlign w:val="superscript"/>
              </w:rPr>
              <w:t>2</w:t>
            </w:r>
            <w:r w:rsidRPr="00061D19">
              <w:rPr>
                <w:rFonts w:ascii="Times New Roman" w:hAnsi="Times New Roman" w:cs="Times New Roman"/>
              </w:rPr>
              <w:t xml:space="preserve"> terlaras</w:t>
            </w:r>
          </w:p>
        </w:tc>
        <w:tc>
          <w:tcPr>
            <w:tcW w:w="1335" w:type="dxa"/>
          </w:tcPr>
          <w:p w14:paraId="081F05F1" w14:textId="77777777" w:rsidR="00354D63" w:rsidRPr="00061D19" w:rsidRDefault="00354D63" w:rsidP="00402F1E">
            <w:pPr>
              <w:jc w:val="center"/>
              <w:rPr>
                <w:rFonts w:ascii="Times New Roman" w:hAnsi="Times New Roman" w:cs="Times New Roman"/>
              </w:rPr>
            </w:pPr>
            <w:r w:rsidRPr="00061D19">
              <w:rPr>
                <w:rFonts w:ascii="Times New Roman" w:hAnsi="Times New Roman" w:cs="Times New Roman"/>
              </w:rPr>
              <w:t>0.774</w:t>
            </w:r>
          </w:p>
        </w:tc>
        <w:tc>
          <w:tcPr>
            <w:tcW w:w="1335" w:type="dxa"/>
          </w:tcPr>
          <w:p w14:paraId="2933AD91" w14:textId="77777777" w:rsidR="00354D63" w:rsidRPr="00061D19" w:rsidRDefault="00354D63" w:rsidP="00402F1E">
            <w:pPr>
              <w:jc w:val="center"/>
              <w:rPr>
                <w:rFonts w:ascii="Times New Roman" w:hAnsi="Times New Roman" w:cs="Times New Roman"/>
              </w:rPr>
            </w:pPr>
            <w:r w:rsidRPr="00061D19">
              <w:rPr>
                <w:rFonts w:ascii="Times New Roman" w:hAnsi="Times New Roman" w:cs="Times New Roman"/>
              </w:rPr>
              <w:t>0.774</w:t>
            </w:r>
          </w:p>
        </w:tc>
        <w:tc>
          <w:tcPr>
            <w:tcW w:w="1335" w:type="dxa"/>
            <w:gridSpan w:val="2"/>
            <w:vAlign w:val="bottom"/>
          </w:tcPr>
          <w:p w14:paraId="3E96644D" w14:textId="77777777" w:rsidR="00354D63" w:rsidRPr="00061D19" w:rsidRDefault="00354D63" w:rsidP="00402F1E">
            <w:pPr>
              <w:jc w:val="center"/>
              <w:rPr>
                <w:rFonts w:ascii="Times New Roman" w:hAnsi="Times New Roman" w:cs="Times New Roman"/>
              </w:rPr>
            </w:pPr>
            <w:r w:rsidRPr="00061D19">
              <w:rPr>
                <w:rFonts w:ascii="Times New Roman" w:hAnsi="Times New Roman" w:cs="Times New Roman"/>
              </w:rPr>
              <w:t>-</w:t>
            </w:r>
          </w:p>
        </w:tc>
        <w:tc>
          <w:tcPr>
            <w:tcW w:w="1335" w:type="dxa"/>
            <w:vAlign w:val="bottom"/>
          </w:tcPr>
          <w:p w14:paraId="2A92A289" w14:textId="77777777" w:rsidR="00354D63" w:rsidRPr="00061D19" w:rsidRDefault="00354D63" w:rsidP="00402F1E">
            <w:pPr>
              <w:jc w:val="center"/>
              <w:rPr>
                <w:rFonts w:ascii="Times New Roman" w:hAnsi="Times New Roman" w:cs="Times New Roman"/>
              </w:rPr>
            </w:pPr>
            <w:r w:rsidRPr="00061D19">
              <w:rPr>
                <w:rFonts w:ascii="Times New Roman" w:hAnsi="Times New Roman" w:cs="Times New Roman"/>
              </w:rPr>
              <w:t>-</w:t>
            </w:r>
          </w:p>
        </w:tc>
        <w:tc>
          <w:tcPr>
            <w:tcW w:w="1335" w:type="dxa"/>
            <w:vAlign w:val="bottom"/>
          </w:tcPr>
          <w:p w14:paraId="56721CF6" w14:textId="77777777" w:rsidR="00354D63" w:rsidRPr="00061D19" w:rsidRDefault="00354D63" w:rsidP="00402F1E">
            <w:pPr>
              <w:jc w:val="center"/>
              <w:rPr>
                <w:rFonts w:ascii="Times New Roman" w:hAnsi="Times New Roman" w:cs="Times New Roman"/>
              </w:rPr>
            </w:pPr>
            <w:r w:rsidRPr="00061D19">
              <w:rPr>
                <w:rFonts w:ascii="Times New Roman" w:hAnsi="Times New Roman" w:cs="Times New Roman"/>
              </w:rPr>
              <w:t>-</w:t>
            </w:r>
          </w:p>
        </w:tc>
        <w:tc>
          <w:tcPr>
            <w:tcW w:w="1126" w:type="dxa"/>
            <w:vAlign w:val="bottom"/>
          </w:tcPr>
          <w:p w14:paraId="72CDF63C" w14:textId="77777777" w:rsidR="00354D63" w:rsidRPr="00061D19" w:rsidRDefault="00354D63" w:rsidP="00402F1E">
            <w:pPr>
              <w:jc w:val="center"/>
              <w:rPr>
                <w:rFonts w:ascii="Times New Roman" w:hAnsi="Times New Roman" w:cs="Times New Roman"/>
              </w:rPr>
            </w:pPr>
            <w:r w:rsidRPr="00061D19">
              <w:rPr>
                <w:rFonts w:ascii="Times New Roman" w:hAnsi="Times New Roman" w:cs="Times New Roman"/>
              </w:rPr>
              <w:t>-</w:t>
            </w:r>
          </w:p>
        </w:tc>
      </w:tr>
      <w:tr w:rsidR="00354D63" w:rsidRPr="00061D19" w14:paraId="1F19DB5D" w14:textId="77777777" w:rsidTr="00402F1E">
        <w:trPr>
          <w:jc w:val="center"/>
        </w:trPr>
        <w:tc>
          <w:tcPr>
            <w:tcW w:w="1696" w:type="dxa"/>
          </w:tcPr>
          <w:p w14:paraId="71A222B6" w14:textId="77777777" w:rsidR="00354D63" w:rsidRPr="00061D19" w:rsidRDefault="00354D63" w:rsidP="00402F1E">
            <w:pPr>
              <w:jc w:val="both"/>
              <w:rPr>
                <w:rFonts w:ascii="Times New Roman" w:hAnsi="Times New Roman" w:cs="Times New Roman"/>
              </w:rPr>
            </w:pPr>
            <w:r w:rsidRPr="00061D19">
              <w:rPr>
                <w:rFonts w:ascii="Times New Roman" w:hAnsi="Times New Roman" w:cs="Times New Roman"/>
              </w:rPr>
              <w:t>F-statistik</w:t>
            </w:r>
          </w:p>
        </w:tc>
        <w:tc>
          <w:tcPr>
            <w:tcW w:w="1335" w:type="dxa"/>
          </w:tcPr>
          <w:p w14:paraId="741AA723" w14:textId="77777777" w:rsidR="00354D63" w:rsidRPr="00061D19" w:rsidRDefault="00354D63" w:rsidP="00402F1E">
            <w:pPr>
              <w:jc w:val="center"/>
              <w:rPr>
                <w:rFonts w:ascii="Times New Roman" w:hAnsi="Times New Roman" w:cs="Times New Roman"/>
              </w:rPr>
            </w:pPr>
            <w:r w:rsidRPr="00061D19">
              <w:rPr>
                <w:rFonts w:ascii="Times New Roman" w:hAnsi="Times New Roman" w:cs="Times New Roman"/>
              </w:rPr>
              <w:t>17.865</w:t>
            </w:r>
          </w:p>
        </w:tc>
        <w:tc>
          <w:tcPr>
            <w:tcW w:w="1335" w:type="dxa"/>
          </w:tcPr>
          <w:p w14:paraId="3D8ACFD8" w14:textId="77777777" w:rsidR="00354D63" w:rsidRPr="00061D19" w:rsidRDefault="00354D63" w:rsidP="00402F1E">
            <w:pPr>
              <w:jc w:val="center"/>
              <w:rPr>
                <w:rFonts w:ascii="Times New Roman" w:hAnsi="Times New Roman" w:cs="Times New Roman"/>
              </w:rPr>
            </w:pPr>
            <w:r w:rsidRPr="00061D19">
              <w:rPr>
                <w:rFonts w:ascii="Times New Roman" w:hAnsi="Times New Roman" w:cs="Times New Roman"/>
              </w:rPr>
              <w:t>17.869</w:t>
            </w:r>
          </w:p>
        </w:tc>
        <w:tc>
          <w:tcPr>
            <w:tcW w:w="1335" w:type="dxa"/>
            <w:gridSpan w:val="2"/>
            <w:vAlign w:val="bottom"/>
          </w:tcPr>
          <w:p w14:paraId="11545B20" w14:textId="77777777" w:rsidR="00354D63" w:rsidRPr="00061D19" w:rsidRDefault="00354D63" w:rsidP="00402F1E">
            <w:pPr>
              <w:jc w:val="center"/>
              <w:rPr>
                <w:rFonts w:ascii="Times New Roman" w:hAnsi="Times New Roman" w:cs="Times New Roman"/>
              </w:rPr>
            </w:pPr>
            <w:r w:rsidRPr="00061D19">
              <w:rPr>
                <w:rFonts w:ascii="Times New Roman" w:hAnsi="Times New Roman" w:cs="Times New Roman"/>
              </w:rPr>
              <w:t>-</w:t>
            </w:r>
          </w:p>
        </w:tc>
        <w:tc>
          <w:tcPr>
            <w:tcW w:w="1335" w:type="dxa"/>
            <w:vAlign w:val="bottom"/>
          </w:tcPr>
          <w:p w14:paraId="6C38A34E" w14:textId="77777777" w:rsidR="00354D63" w:rsidRPr="00061D19" w:rsidRDefault="00354D63" w:rsidP="00402F1E">
            <w:pPr>
              <w:jc w:val="center"/>
              <w:rPr>
                <w:rFonts w:ascii="Times New Roman" w:hAnsi="Times New Roman" w:cs="Times New Roman"/>
              </w:rPr>
            </w:pPr>
            <w:r w:rsidRPr="00061D19">
              <w:rPr>
                <w:rFonts w:ascii="Times New Roman" w:hAnsi="Times New Roman" w:cs="Times New Roman"/>
              </w:rPr>
              <w:t>-</w:t>
            </w:r>
          </w:p>
        </w:tc>
        <w:tc>
          <w:tcPr>
            <w:tcW w:w="1335" w:type="dxa"/>
            <w:vAlign w:val="bottom"/>
          </w:tcPr>
          <w:p w14:paraId="53DDC884" w14:textId="77777777" w:rsidR="00354D63" w:rsidRPr="00061D19" w:rsidRDefault="00354D63" w:rsidP="00402F1E">
            <w:pPr>
              <w:jc w:val="center"/>
              <w:rPr>
                <w:rFonts w:ascii="Times New Roman" w:hAnsi="Times New Roman" w:cs="Times New Roman"/>
              </w:rPr>
            </w:pPr>
            <w:r w:rsidRPr="00061D19">
              <w:rPr>
                <w:rFonts w:ascii="Times New Roman" w:hAnsi="Times New Roman" w:cs="Times New Roman"/>
              </w:rPr>
              <w:t>0.000</w:t>
            </w:r>
          </w:p>
        </w:tc>
        <w:tc>
          <w:tcPr>
            <w:tcW w:w="1126" w:type="dxa"/>
            <w:vAlign w:val="bottom"/>
          </w:tcPr>
          <w:p w14:paraId="7E62606B" w14:textId="77777777" w:rsidR="00354D63" w:rsidRPr="00061D19" w:rsidRDefault="00354D63" w:rsidP="00402F1E">
            <w:pPr>
              <w:jc w:val="center"/>
              <w:rPr>
                <w:rFonts w:ascii="Times New Roman" w:hAnsi="Times New Roman" w:cs="Times New Roman"/>
              </w:rPr>
            </w:pPr>
            <w:r w:rsidRPr="00061D19">
              <w:rPr>
                <w:rFonts w:ascii="Times New Roman" w:hAnsi="Times New Roman" w:cs="Times New Roman"/>
              </w:rPr>
              <w:t>0.000</w:t>
            </w:r>
          </w:p>
        </w:tc>
      </w:tr>
      <w:tr w:rsidR="00354D63" w:rsidRPr="00061D19" w14:paraId="44311C60" w14:textId="77777777" w:rsidTr="00402F1E">
        <w:trPr>
          <w:jc w:val="center"/>
        </w:trPr>
        <w:tc>
          <w:tcPr>
            <w:tcW w:w="1696" w:type="dxa"/>
            <w:tcBorders>
              <w:bottom w:val="single" w:sz="4" w:space="0" w:color="auto"/>
            </w:tcBorders>
          </w:tcPr>
          <w:p w14:paraId="3E01473E" w14:textId="77777777" w:rsidR="00354D63" w:rsidRPr="00061D19" w:rsidRDefault="00354D63" w:rsidP="00402F1E">
            <w:pPr>
              <w:rPr>
                <w:rFonts w:ascii="Times New Roman" w:hAnsi="Times New Roman" w:cs="Times New Roman"/>
              </w:rPr>
            </w:pPr>
            <w:r w:rsidRPr="00061D19">
              <w:rPr>
                <w:rFonts w:ascii="Times New Roman" w:hAnsi="Times New Roman" w:cs="Times New Roman"/>
              </w:rPr>
              <w:t xml:space="preserve">Statistik </w:t>
            </w:r>
            <w:r w:rsidRPr="00061D19">
              <w:rPr>
                <w:rFonts w:ascii="Times New Roman" w:hAnsi="Times New Roman" w:cs="Times New Roman"/>
                <w:i/>
              </w:rPr>
              <w:t>Durbin-Watson</w:t>
            </w:r>
            <w:r w:rsidRPr="00061D19">
              <w:rPr>
                <w:rFonts w:ascii="Times New Roman" w:hAnsi="Times New Roman" w:cs="Times New Roman"/>
              </w:rPr>
              <w:t xml:space="preserve"> </w:t>
            </w:r>
          </w:p>
        </w:tc>
        <w:tc>
          <w:tcPr>
            <w:tcW w:w="1335" w:type="dxa"/>
            <w:tcBorders>
              <w:bottom w:val="single" w:sz="4" w:space="0" w:color="auto"/>
            </w:tcBorders>
          </w:tcPr>
          <w:p w14:paraId="5216E1CD" w14:textId="77777777" w:rsidR="00354D63" w:rsidRPr="00061D19" w:rsidRDefault="00354D63" w:rsidP="00402F1E">
            <w:pPr>
              <w:jc w:val="center"/>
              <w:rPr>
                <w:rFonts w:ascii="Times New Roman" w:hAnsi="Times New Roman" w:cs="Times New Roman"/>
              </w:rPr>
            </w:pPr>
            <w:r w:rsidRPr="00061D19">
              <w:rPr>
                <w:rFonts w:ascii="Times New Roman" w:hAnsi="Times New Roman" w:cs="Times New Roman"/>
              </w:rPr>
              <w:t>1.677</w:t>
            </w:r>
          </w:p>
        </w:tc>
        <w:tc>
          <w:tcPr>
            <w:tcW w:w="1335" w:type="dxa"/>
            <w:tcBorders>
              <w:bottom w:val="single" w:sz="4" w:space="0" w:color="auto"/>
            </w:tcBorders>
          </w:tcPr>
          <w:p w14:paraId="52E14BDD" w14:textId="77777777" w:rsidR="00354D63" w:rsidRPr="00061D19" w:rsidRDefault="00354D63" w:rsidP="00402F1E">
            <w:pPr>
              <w:jc w:val="center"/>
              <w:rPr>
                <w:rFonts w:ascii="Times New Roman" w:hAnsi="Times New Roman" w:cs="Times New Roman"/>
              </w:rPr>
            </w:pPr>
            <w:r w:rsidRPr="00061D19">
              <w:rPr>
                <w:rFonts w:ascii="Times New Roman" w:hAnsi="Times New Roman" w:cs="Times New Roman"/>
              </w:rPr>
              <w:t>1.677</w:t>
            </w:r>
          </w:p>
        </w:tc>
        <w:tc>
          <w:tcPr>
            <w:tcW w:w="1335" w:type="dxa"/>
            <w:gridSpan w:val="2"/>
            <w:tcBorders>
              <w:bottom w:val="single" w:sz="4" w:space="0" w:color="auto"/>
            </w:tcBorders>
            <w:vAlign w:val="bottom"/>
          </w:tcPr>
          <w:p w14:paraId="282847AF" w14:textId="77777777" w:rsidR="00354D63" w:rsidRPr="00061D19" w:rsidRDefault="00354D63" w:rsidP="00402F1E">
            <w:pPr>
              <w:jc w:val="center"/>
              <w:rPr>
                <w:rFonts w:ascii="Times New Roman" w:hAnsi="Times New Roman" w:cs="Times New Roman"/>
              </w:rPr>
            </w:pPr>
          </w:p>
        </w:tc>
        <w:tc>
          <w:tcPr>
            <w:tcW w:w="1335" w:type="dxa"/>
            <w:tcBorders>
              <w:bottom w:val="single" w:sz="4" w:space="0" w:color="auto"/>
            </w:tcBorders>
            <w:vAlign w:val="bottom"/>
          </w:tcPr>
          <w:p w14:paraId="2C52DBB8" w14:textId="77777777" w:rsidR="00354D63" w:rsidRPr="00061D19" w:rsidRDefault="00354D63" w:rsidP="00402F1E">
            <w:pPr>
              <w:jc w:val="center"/>
              <w:rPr>
                <w:rFonts w:ascii="Times New Roman" w:hAnsi="Times New Roman" w:cs="Times New Roman"/>
              </w:rPr>
            </w:pPr>
          </w:p>
        </w:tc>
        <w:tc>
          <w:tcPr>
            <w:tcW w:w="1335" w:type="dxa"/>
            <w:tcBorders>
              <w:bottom w:val="single" w:sz="4" w:space="0" w:color="auto"/>
            </w:tcBorders>
            <w:vAlign w:val="bottom"/>
          </w:tcPr>
          <w:p w14:paraId="01C3DED7" w14:textId="77777777" w:rsidR="00354D63" w:rsidRPr="00061D19" w:rsidRDefault="00354D63" w:rsidP="00402F1E">
            <w:pPr>
              <w:jc w:val="center"/>
              <w:rPr>
                <w:rFonts w:ascii="Times New Roman" w:hAnsi="Times New Roman" w:cs="Times New Roman"/>
              </w:rPr>
            </w:pPr>
          </w:p>
        </w:tc>
        <w:tc>
          <w:tcPr>
            <w:tcW w:w="1126" w:type="dxa"/>
            <w:tcBorders>
              <w:bottom w:val="single" w:sz="4" w:space="0" w:color="auto"/>
            </w:tcBorders>
            <w:vAlign w:val="bottom"/>
          </w:tcPr>
          <w:p w14:paraId="52488C09" w14:textId="77777777" w:rsidR="00354D63" w:rsidRPr="00061D19" w:rsidRDefault="00354D63" w:rsidP="00402F1E">
            <w:pPr>
              <w:jc w:val="center"/>
              <w:rPr>
                <w:rFonts w:ascii="Times New Roman" w:hAnsi="Times New Roman" w:cs="Times New Roman"/>
              </w:rPr>
            </w:pPr>
          </w:p>
        </w:tc>
      </w:tr>
    </w:tbl>
    <w:p w14:paraId="2B1A56F5" w14:textId="77777777" w:rsidR="00354D63" w:rsidRPr="00ED420A" w:rsidRDefault="00354D63" w:rsidP="00354D63">
      <w:pPr>
        <w:spacing w:after="0" w:line="240" w:lineRule="auto"/>
        <w:jc w:val="both"/>
        <w:rPr>
          <w:rFonts w:ascii="Times New Roman" w:hAnsi="Times New Roman" w:cs="Times New Roman"/>
          <w:sz w:val="20"/>
          <w:szCs w:val="20"/>
        </w:rPr>
      </w:pPr>
      <w:r w:rsidRPr="00ED420A">
        <w:rPr>
          <w:rFonts w:ascii="Times New Roman" w:eastAsiaTheme="majorEastAsia" w:hAnsi="Times New Roman" w:cs="Times New Roman"/>
          <w:b/>
          <w:sz w:val="20"/>
          <w:szCs w:val="20"/>
        </w:rPr>
        <w:t>Nota</w:t>
      </w:r>
      <w:r w:rsidRPr="00ED420A">
        <w:rPr>
          <w:rFonts w:ascii="Times New Roman" w:eastAsiaTheme="majorEastAsia" w:hAnsi="Times New Roman" w:cs="Times New Roman"/>
          <w:sz w:val="20"/>
          <w:szCs w:val="20"/>
        </w:rPr>
        <w:t xml:space="preserve">: * Signifikan pada p&lt;0.10, ** signifikan pada p&lt;0.05, *** signifikan pada p&lt;0.01. Statistik-t adalah berdasarkan </w:t>
      </w:r>
      <w:r w:rsidRPr="00ED420A">
        <w:rPr>
          <w:rFonts w:ascii="Times New Roman" w:eastAsiaTheme="majorEastAsia" w:hAnsi="Times New Roman" w:cs="Times New Roman"/>
          <w:i/>
          <w:iCs/>
          <w:sz w:val="20"/>
          <w:szCs w:val="20"/>
        </w:rPr>
        <w:t>“White</w:t>
      </w:r>
      <w:r w:rsidRPr="00ED420A">
        <w:rPr>
          <w:rFonts w:ascii="Times New Roman" w:hAnsi="Times New Roman" w:cs="Times New Roman"/>
          <w:i/>
          <w:iCs/>
          <w:sz w:val="20"/>
          <w:szCs w:val="20"/>
        </w:rPr>
        <w:t xml:space="preserve"> (1980) consistent estimator”</w:t>
      </w:r>
      <w:r w:rsidRPr="00ED420A">
        <w:rPr>
          <w:rFonts w:ascii="Times New Roman" w:hAnsi="Times New Roman" w:cs="Times New Roman"/>
          <w:sz w:val="20"/>
          <w:szCs w:val="20"/>
        </w:rPr>
        <w:t xml:space="preserve">. Definisi dan pengukuran pembolehubah seperti yang diterangkan dalam model kajian. </w:t>
      </w:r>
    </w:p>
    <w:p w14:paraId="66BE22B1" w14:textId="77777777" w:rsidR="004A3075" w:rsidRDefault="004A3075" w:rsidP="00354D63">
      <w:pPr>
        <w:spacing w:after="0" w:line="240" w:lineRule="auto"/>
        <w:jc w:val="center"/>
        <w:rPr>
          <w:rFonts w:ascii="Times New Roman" w:hAnsi="Times New Roman" w:cs="Times New Roman"/>
          <w:b/>
          <w:bCs/>
          <w:sz w:val="24"/>
          <w:szCs w:val="24"/>
        </w:rPr>
      </w:pPr>
    </w:p>
    <w:p w14:paraId="3B97EB01" w14:textId="77777777" w:rsidR="004A3075" w:rsidRDefault="004A3075" w:rsidP="00354D63">
      <w:pPr>
        <w:spacing w:after="0" w:line="240" w:lineRule="auto"/>
        <w:jc w:val="center"/>
        <w:rPr>
          <w:rFonts w:ascii="Times New Roman" w:hAnsi="Times New Roman" w:cs="Times New Roman"/>
          <w:b/>
          <w:bCs/>
          <w:sz w:val="24"/>
          <w:szCs w:val="24"/>
        </w:rPr>
      </w:pPr>
    </w:p>
    <w:p w14:paraId="692740F5" w14:textId="77777777" w:rsidR="004A3075" w:rsidRDefault="00354D63" w:rsidP="004A3075">
      <w:pPr>
        <w:spacing w:after="0" w:line="240" w:lineRule="auto"/>
        <w:jc w:val="center"/>
        <w:rPr>
          <w:rFonts w:ascii="Times New Roman" w:hAnsi="Times New Roman" w:cs="Times New Roman"/>
          <w:b/>
          <w:bCs/>
          <w:sz w:val="24"/>
          <w:szCs w:val="24"/>
        </w:rPr>
      </w:pPr>
      <w:r w:rsidRPr="00FB097C">
        <w:rPr>
          <w:rFonts w:ascii="Times New Roman" w:hAnsi="Times New Roman" w:cs="Times New Roman"/>
          <w:b/>
          <w:bCs/>
          <w:sz w:val="24"/>
          <w:szCs w:val="24"/>
        </w:rPr>
        <w:t>PERBINCANGAN DAN KESIMPULAN</w:t>
      </w:r>
    </w:p>
    <w:p w14:paraId="2238194A" w14:textId="77777777" w:rsidR="004A3075" w:rsidRDefault="004A3075" w:rsidP="004A3075">
      <w:pPr>
        <w:spacing w:after="0" w:line="240" w:lineRule="auto"/>
        <w:jc w:val="center"/>
        <w:rPr>
          <w:rFonts w:ascii="Times New Roman" w:hAnsi="Times New Roman" w:cs="Times New Roman"/>
          <w:sz w:val="24"/>
          <w:szCs w:val="24"/>
        </w:rPr>
      </w:pPr>
    </w:p>
    <w:p w14:paraId="6BEDAA90" w14:textId="77777777" w:rsidR="004A3075" w:rsidRDefault="004A3075" w:rsidP="004A3075">
      <w:pPr>
        <w:spacing w:after="0" w:line="240" w:lineRule="auto"/>
        <w:jc w:val="center"/>
        <w:rPr>
          <w:rFonts w:ascii="Times New Roman" w:hAnsi="Times New Roman" w:cs="Times New Roman"/>
          <w:sz w:val="24"/>
          <w:szCs w:val="24"/>
        </w:rPr>
      </w:pPr>
    </w:p>
    <w:p w14:paraId="24AEFF1F" w14:textId="05647667" w:rsidR="00354D63" w:rsidRPr="004A3075" w:rsidRDefault="00354D63" w:rsidP="004A3075">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P</w:t>
      </w:r>
      <w:r w:rsidRPr="00273BA7">
        <w:rPr>
          <w:rFonts w:ascii="Times New Roman" w:hAnsi="Times New Roman" w:cs="Times New Roman"/>
          <w:sz w:val="24"/>
          <w:szCs w:val="24"/>
        </w:rPr>
        <w:t xml:space="preserve">endedahan </w:t>
      </w:r>
      <w:r>
        <w:rPr>
          <w:rFonts w:ascii="Times New Roman" w:hAnsi="Times New Roman" w:cs="Times New Roman"/>
          <w:sz w:val="24"/>
          <w:szCs w:val="24"/>
        </w:rPr>
        <w:t>merupakan salah satu mekanisme untuk merapatkan</w:t>
      </w:r>
      <w:r w:rsidRPr="00273BA7">
        <w:rPr>
          <w:rFonts w:ascii="Times New Roman" w:hAnsi="Times New Roman" w:cs="Times New Roman"/>
          <w:sz w:val="24"/>
          <w:szCs w:val="24"/>
        </w:rPr>
        <w:t xml:space="preserve"> jurang maklumat </w:t>
      </w:r>
      <w:r>
        <w:rPr>
          <w:rFonts w:ascii="Times New Roman" w:hAnsi="Times New Roman" w:cs="Times New Roman"/>
          <w:sz w:val="24"/>
          <w:szCs w:val="24"/>
        </w:rPr>
        <w:t>antara ejen dan prinsipal.  Oleh itu p</w:t>
      </w:r>
      <w:r w:rsidRPr="00273BA7">
        <w:rPr>
          <w:rFonts w:ascii="Times New Roman" w:hAnsi="Times New Roman" w:cs="Times New Roman"/>
          <w:sz w:val="24"/>
          <w:szCs w:val="24"/>
        </w:rPr>
        <w:t xml:space="preserve">endedahan dan pelaporan UPB </w:t>
      </w:r>
      <w:r>
        <w:rPr>
          <w:rFonts w:ascii="Times New Roman" w:hAnsi="Times New Roman" w:cs="Times New Roman"/>
          <w:sz w:val="24"/>
          <w:szCs w:val="24"/>
        </w:rPr>
        <w:t xml:space="preserve">sangat kritikal untuk menyalurkan maklumat </w:t>
      </w:r>
      <w:r w:rsidRPr="00273BA7">
        <w:rPr>
          <w:rFonts w:ascii="Times New Roman" w:hAnsi="Times New Roman" w:cs="Times New Roman"/>
          <w:sz w:val="24"/>
          <w:szCs w:val="24"/>
        </w:rPr>
        <w:t xml:space="preserve">kepada bakal pelabur dan pemegang saham </w:t>
      </w:r>
      <w:r>
        <w:rPr>
          <w:rFonts w:ascii="Times New Roman" w:hAnsi="Times New Roman" w:cs="Times New Roman"/>
          <w:sz w:val="24"/>
          <w:szCs w:val="24"/>
        </w:rPr>
        <w:t>mengenai</w:t>
      </w:r>
      <w:r w:rsidRPr="00273BA7">
        <w:rPr>
          <w:rFonts w:ascii="Times New Roman" w:hAnsi="Times New Roman" w:cs="Times New Roman"/>
          <w:sz w:val="24"/>
          <w:szCs w:val="24"/>
        </w:rPr>
        <w:t xml:space="preserve"> UPB yang dijalankan oleh syarikat</w:t>
      </w:r>
      <w:r>
        <w:rPr>
          <w:rFonts w:ascii="Times New Roman" w:hAnsi="Times New Roman" w:cs="Times New Roman"/>
          <w:sz w:val="24"/>
          <w:szCs w:val="24"/>
        </w:rPr>
        <w:t xml:space="preserve">. Maklumat yang diperoleh dapat membantu mereka </w:t>
      </w:r>
      <w:r w:rsidRPr="00111937">
        <w:rPr>
          <w:rFonts w:ascii="Times New Roman" w:hAnsi="Times New Roman" w:cs="Times New Roman"/>
          <w:sz w:val="24"/>
          <w:szCs w:val="24"/>
        </w:rPr>
        <w:t xml:space="preserve">memberi perhatian sewajarnya </w:t>
      </w:r>
      <w:r>
        <w:rPr>
          <w:rFonts w:ascii="Times New Roman" w:hAnsi="Times New Roman" w:cs="Times New Roman"/>
          <w:sz w:val="24"/>
          <w:szCs w:val="24"/>
        </w:rPr>
        <w:t xml:space="preserve">serta mengambil langkah berjaga-jaga </w:t>
      </w:r>
      <w:r w:rsidRPr="00111937">
        <w:rPr>
          <w:rFonts w:ascii="Times New Roman" w:hAnsi="Times New Roman" w:cs="Times New Roman"/>
          <w:sz w:val="24"/>
          <w:szCs w:val="24"/>
        </w:rPr>
        <w:t>terhadap kemungkinan kedudukan kewangan dan keuntungan atau kerugian syarikat dipengaruhi oleh kewujudan UPB</w:t>
      </w:r>
      <w:r>
        <w:rPr>
          <w:rFonts w:ascii="Times New Roman" w:hAnsi="Times New Roman" w:cs="Times New Roman"/>
          <w:sz w:val="24"/>
          <w:szCs w:val="24"/>
        </w:rPr>
        <w:t xml:space="preserve"> (MFRS 124; Kohlbec</w:t>
      </w:r>
      <w:r w:rsidR="004A3075">
        <w:rPr>
          <w:rFonts w:ascii="Times New Roman" w:hAnsi="Times New Roman" w:cs="Times New Roman"/>
          <w:sz w:val="24"/>
          <w:szCs w:val="24"/>
        </w:rPr>
        <w:t>k</w:t>
      </w:r>
      <w:r>
        <w:rPr>
          <w:rFonts w:ascii="Times New Roman" w:hAnsi="Times New Roman" w:cs="Times New Roman"/>
          <w:sz w:val="24"/>
          <w:szCs w:val="24"/>
        </w:rPr>
        <w:t xml:space="preserve"> &amp; Mayhew 2010)</w:t>
      </w:r>
      <w:r w:rsidRPr="00111937">
        <w:rPr>
          <w:rFonts w:ascii="Times New Roman" w:hAnsi="Times New Roman" w:cs="Times New Roman"/>
          <w:sz w:val="24"/>
          <w:szCs w:val="24"/>
        </w:rPr>
        <w:t xml:space="preserve">. </w:t>
      </w:r>
      <w:r>
        <w:rPr>
          <w:rFonts w:ascii="Times New Roman" w:hAnsi="Times New Roman" w:cs="Times New Roman"/>
          <w:sz w:val="24"/>
          <w:szCs w:val="24"/>
        </w:rPr>
        <w:t xml:space="preserve">Selari dengan teori agensi, perlantikan firma audit sebagai badan pemantau bebas dapat memberi jaminan </w:t>
      </w:r>
      <w:r w:rsidRPr="00F17528">
        <w:rPr>
          <w:rFonts w:ascii="Times New Roman" w:hAnsi="Times New Roman" w:cs="Times New Roman"/>
          <w:sz w:val="24"/>
          <w:szCs w:val="24"/>
        </w:rPr>
        <w:t xml:space="preserve">yang munasabah bahawa penyata kewangan </w:t>
      </w:r>
      <w:r>
        <w:rPr>
          <w:rFonts w:ascii="Times New Roman" w:hAnsi="Times New Roman" w:cs="Times New Roman"/>
          <w:sz w:val="24"/>
          <w:szCs w:val="24"/>
        </w:rPr>
        <w:t xml:space="preserve">yang disediakan oleh syarikat termasuklah pendedahan berkaitan UPB, </w:t>
      </w:r>
      <w:r w:rsidRPr="00F17528">
        <w:rPr>
          <w:rFonts w:ascii="Times New Roman" w:hAnsi="Times New Roman" w:cs="Times New Roman"/>
          <w:sz w:val="24"/>
          <w:szCs w:val="24"/>
        </w:rPr>
        <w:t xml:space="preserve">bebas dari salah nyata yang </w:t>
      </w:r>
      <w:r>
        <w:rPr>
          <w:rFonts w:ascii="Times New Roman" w:hAnsi="Times New Roman" w:cs="Times New Roman"/>
          <w:sz w:val="24"/>
          <w:szCs w:val="24"/>
        </w:rPr>
        <w:t>material</w:t>
      </w:r>
      <w:r w:rsidRPr="00F17528">
        <w:rPr>
          <w:rFonts w:ascii="Times New Roman" w:hAnsi="Times New Roman" w:cs="Times New Roman"/>
          <w:sz w:val="24"/>
          <w:szCs w:val="24"/>
        </w:rPr>
        <w:t xml:space="preserve"> dan dis</w:t>
      </w:r>
      <w:r>
        <w:rPr>
          <w:rFonts w:ascii="Times New Roman" w:hAnsi="Times New Roman" w:cs="Times New Roman"/>
          <w:sz w:val="24"/>
          <w:szCs w:val="24"/>
        </w:rPr>
        <w:t>ediakan</w:t>
      </w:r>
      <w:r w:rsidRPr="00F17528">
        <w:rPr>
          <w:rFonts w:ascii="Times New Roman" w:hAnsi="Times New Roman" w:cs="Times New Roman"/>
          <w:sz w:val="24"/>
          <w:szCs w:val="24"/>
        </w:rPr>
        <w:t xml:space="preserve"> mengikut kerangka perakaunan.</w:t>
      </w:r>
      <w:r>
        <w:rPr>
          <w:rFonts w:ascii="Times New Roman" w:hAnsi="Times New Roman" w:cs="Times New Roman"/>
          <w:sz w:val="24"/>
          <w:szCs w:val="24"/>
        </w:rPr>
        <w:t xml:space="preserve">  </w:t>
      </w:r>
      <w:r w:rsidRPr="00B3401A">
        <w:rPr>
          <w:rFonts w:ascii="Times New Roman" w:hAnsi="Times New Roman" w:cs="Times New Roman"/>
          <w:sz w:val="24"/>
          <w:szCs w:val="24"/>
        </w:rPr>
        <w:t xml:space="preserve">Namun, sifat UPB yang pelbagai serta kompleks </w:t>
      </w:r>
      <w:r w:rsidR="004A3075">
        <w:rPr>
          <w:rFonts w:ascii="Times New Roman" w:hAnsi="Times New Roman" w:cs="Times New Roman"/>
          <w:sz w:val="24"/>
          <w:szCs w:val="24"/>
        </w:rPr>
        <w:t xml:space="preserve">dan tidak dijalankan secara ‘arm’s length’ </w:t>
      </w:r>
      <w:r w:rsidRPr="00B3401A">
        <w:rPr>
          <w:rFonts w:ascii="Times New Roman" w:hAnsi="Times New Roman" w:cs="Times New Roman"/>
          <w:sz w:val="24"/>
          <w:szCs w:val="24"/>
        </w:rPr>
        <w:t>menyukarkan firma audit dalam menjalankan pengauditan UPB berbanding urus niaga biasa.</w:t>
      </w:r>
      <w:r>
        <w:rPr>
          <w:rFonts w:ascii="Times New Roman" w:hAnsi="Times New Roman" w:cs="Times New Roman"/>
          <w:sz w:val="24"/>
          <w:szCs w:val="24"/>
        </w:rPr>
        <w:t xml:space="preserve"> Badan profesional perakaunan dan kajian terdahulu menyarankan firma audit yang mempunyai kepakaran industri mampu untuk menawarkan perkhidmatan audit yang lebih berkualiti berbanding firma audit bukan pakar terutamanya apabila berdepan dengan UPB (ICAEW 2010).  Pengauditan berulang dalam industri yang sama membolehkan firma audit meningkatkan kefahaman mengenai persekitaran industri dan operasian syarikat pelanggan serta lebih memahami keperluan perundangan dan piawaian pendedahan umum serta khusus berkaitan industri.  Kelebihan ini memberi manfaat kepada syarikat menerusi khidmat nasihat berkaitan pendedahan UPB.  Selain itu, FAPI mempunyai insentif yang lebih untuk membetulkan kesilapan atau melaporkan salah nyata bagi melindungi reputasi mereka (Dunn &amp; Mayhew 2004). Atas faktor yang dinyatakan di atas, maka FAPI berupaya untuk meningkatkan pendedahan UPB. </w:t>
      </w:r>
    </w:p>
    <w:p w14:paraId="687E0AA5" w14:textId="77777777" w:rsidR="00354D63" w:rsidRDefault="00354D63" w:rsidP="00354D63">
      <w:pPr>
        <w:spacing w:after="0" w:line="240" w:lineRule="auto"/>
        <w:ind w:firstLine="720"/>
        <w:jc w:val="both"/>
        <w:rPr>
          <w:rFonts w:ascii="Times New Roman" w:hAnsi="Times New Roman" w:cs="Times New Roman"/>
          <w:sz w:val="24"/>
          <w:szCs w:val="24"/>
        </w:rPr>
      </w:pPr>
    </w:p>
    <w:p w14:paraId="466B5999" w14:textId="516EC9D1" w:rsidR="00354D63" w:rsidRDefault="00354D63" w:rsidP="00354D6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Sehubungan dengan itu, kajian ini dijalankan untuk mengkaji hubungan antara firma audit pakar industri (FAPI) dan UPB.  Memandangkan UPB berbeza dengan urus niaga biasa yang lain dari segi risiko untuk disalahgunakan, maka kami menjangkakan firma audit yang mempunyai tahap kepakaran yang tinggi mampu untuk meningkatkan pendedahan UPB di kalangan syarikat tersenarai di Malaysia.  Kepakaran yang tinggi ini hanya dapat diperoleh menerusi penguasaan pasaran pelanggan dalam sesebuah industri.  Dalam kajian ini kami menjangkakan kepakaran dalam pengauditan UPB hanya dapat diperoleh jika firma audit menguasai lebih dari 20% pasaran pelanggan dalam sesuatu industri.  Hasil kajian menyokong hipotesis yang dicadangkan di mana pada nilai ambang 10%, FAPI tidak memberi kesan kepada UPB.  Sebaliknya pada nilai ambang 20%, FAPI didapati </w:t>
      </w:r>
      <w:r w:rsidRPr="00137BB4">
        <w:rPr>
          <w:rFonts w:ascii="Times New Roman" w:hAnsi="Times New Roman" w:cs="Times New Roman"/>
          <w:sz w:val="24"/>
          <w:szCs w:val="24"/>
        </w:rPr>
        <w:t xml:space="preserve">berhubungan secara positif </w:t>
      </w:r>
      <w:r>
        <w:rPr>
          <w:rFonts w:ascii="Times New Roman" w:hAnsi="Times New Roman" w:cs="Times New Roman"/>
          <w:sz w:val="24"/>
          <w:szCs w:val="24"/>
        </w:rPr>
        <w:t xml:space="preserve">dan signifikan </w:t>
      </w:r>
      <w:r w:rsidRPr="00137BB4">
        <w:rPr>
          <w:rFonts w:ascii="Times New Roman" w:hAnsi="Times New Roman" w:cs="Times New Roman"/>
          <w:sz w:val="24"/>
          <w:szCs w:val="24"/>
        </w:rPr>
        <w:t xml:space="preserve">dengan pendedahan UPB. </w:t>
      </w:r>
      <w:r w:rsidRPr="00462701">
        <w:rPr>
          <w:rFonts w:ascii="Times New Roman" w:hAnsi="Times New Roman" w:cs="Times New Roman"/>
          <w:sz w:val="24"/>
          <w:szCs w:val="24"/>
        </w:rPr>
        <w:t>Keputusan ini selari dengan kajian terdahulu (Balsam et al., 2003; Habib and Bhuiyan, 2011; Elder et al., 2015; Rusmin and Evans, 2017)</w:t>
      </w:r>
      <w:r>
        <w:rPr>
          <w:rFonts w:ascii="Times New Roman" w:hAnsi="Times New Roman" w:cs="Times New Roman"/>
          <w:sz w:val="24"/>
          <w:szCs w:val="24"/>
        </w:rPr>
        <w:t xml:space="preserve">. </w:t>
      </w:r>
      <w:r w:rsidRPr="00462701">
        <w:rPr>
          <w:rFonts w:ascii="Times New Roman" w:hAnsi="Times New Roman" w:cs="Times New Roman"/>
          <w:sz w:val="24"/>
          <w:szCs w:val="24"/>
        </w:rPr>
        <w:t xml:space="preserve">Oleh itu, kami menyimpulkan bahawa </w:t>
      </w:r>
      <w:r>
        <w:rPr>
          <w:rFonts w:ascii="Times New Roman" w:hAnsi="Times New Roman" w:cs="Times New Roman"/>
          <w:sz w:val="24"/>
          <w:szCs w:val="24"/>
        </w:rPr>
        <w:t xml:space="preserve">kepakaran industri dapat membantu firma audit dalam memantau UPB dan memastikan urus niaga tersebut </w:t>
      </w:r>
      <w:r w:rsidRPr="00462701">
        <w:rPr>
          <w:rFonts w:ascii="Times New Roman" w:hAnsi="Times New Roman" w:cs="Times New Roman"/>
          <w:sz w:val="24"/>
          <w:szCs w:val="24"/>
        </w:rPr>
        <w:t>didedahkan dengan sewajarnya.</w:t>
      </w:r>
    </w:p>
    <w:p w14:paraId="1F590D83" w14:textId="77777777" w:rsidR="00354D63" w:rsidRDefault="00354D63" w:rsidP="00354D63">
      <w:pPr>
        <w:spacing w:after="0" w:line="240" w:lineRule="auto"/>
        <w:ind w:firstLine="720"/>
        <w:jc w:val="both"/>
        <w:rPr>
          <w:rFonts w:ascii="Times New Roman" w:hAnsi="Times New Roman" w:cs="Times New Roman"/>
          <w:sz w:val="24"/>
          <w:szCs w:val="24"/>
        </w:rPr>
      </w:pPr>
    </w:p>
    <w:p w14:paraId="366826A5" w14:textId="77777777" w:rsidR="00354D63" w:rsidRDefault="00354D63" w:rsidP="00354D6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kajian ini memberi sumbangan kepada bidang ilmu dan praktikal dengan memberi bukti empirikal tambahan berkaitan kepentingan kepakaran industri untuk meningkatkan kualiti audit terutamanya dalam memantau UPB dari sebarang kegiatan penyembunyian maklumat atau kegiatan penyalahgunaan yang mungkin dilakukan oleh pihak berkaitan yang oportunis.  Kepakaran industri membolehkan firma audit memberikan khidmat nasihat kepada syarikat pelanggan berkaitan pendedahan UPB yang sewajarnya sebagaimana yang dikehendaki oleh MFRS 124 dan Keperluan Penyenaraian Bursa Malaysia.  Kualiti audit dari kepakaran industri dapat memberi jaminan dan mengembalikan kepercayaan pengguna penyata kewangan terhadap laporan kewangan yang dikeluarkan oleh syarikat termasuklah pelaporan UPB. Badan pengamal dan pengawalselia perakaunan juga boleh mempertimbangkan ciri kepakaran industri </w:t>
      </w:r>
      <w:r w:rsidRPr="00703EBC">
        <w:rPr>
          <w:rFonts w:ascii="Times New Roman" w:hAnsi="Times New Roman" w:cs="Times New Roman"/>
          <w:sz w:val="24"/>
          <w:szCs w:val="24"/>
        </w:rPr>
        <w:t>dalam mengawal selia syarikat-syarikat yang ter</w:t>
      </w:r>
      <w:r>
        <w:rPr>
          <w:rFonts w:ascii="Times New Roman" w:hAnsi="Times New Roman" w:cs="Times New Roman"/>
          <w:sz w:val="24"/>
          <w:szCs w:val="24"/>
        </w:rPr>
        <w:t>babit</w:t>
      </w:r>
      <w:r w:rsidRPr="00703EBC">
        <w:rPr>
          <w:rFonts w:ascii="Times New Roman" w:hAnsi="Times New Roman" w:cs="Times New Roman"/>
          <w:sz w:val="24"/>
          <w:szCs w:val="24"/>
        </w:rPr>
        <w:t xml:space="preserve"> dalam mana-mana kontrak yang melibatkan pihak-pihak berkaitan.</w:t>
      </w:r>
    </w:p>
    <w:p w14:paraId="549F496E" w14:textId="77777777" w:rsidR="00354D63" w:rsidRDefault="00354D63" w:rsidP="00354D63">
      <w:pPr>
        <w:spacing w:after="0" w:line="240" w:lineRule="auto"/>
        <w:ind w:firstLine="720"/>
        <w:jc w:val="both"/>
        <w:rPr>
          <w:rFonts w:ascii="Times New Roman" w:hAnsi="Times New Roman" w:cs="Times New Roman"/>
          <w:sz w:val="24"/>
          <w:szCs w:val="24"/>
        </w:rPr>
      </w:pPr>
    </w:p>
    <w:p w14:paraId="7DD0D15B" w14:textId="77777777" w:rsidR="00354D63" w:rsidRPr="001F7DB2" w:rsidRDefault="00354D63" w:rsidP="00354D63">
      <w:pPr>
        <w:spacing w:after="0" w:line="240" w:lineRule="auto"/>
        <w:ind w:firstLine="720"/>
        <w:jc w:val="both"/>
        <w:rPr>
          <w:rFonts w:ascii="Times New Roman" w:hAnsi="Times New Roman" w:cs="Times New Roman"/>
          <w:noProof/>
          <w:sz w:val="24"/>
          <w:szCs w:val="24"/>
          <w:lang w:val="ms-MY"/>
        </w:rPr>
      </w:pPr>
      <w:r>
        <w:rPr>
          <w:rFonts w:ascii="Times New Roman" w:hAnsi="Times New Roman" w:cs="Times New Roman"/>
          <w:sz w:val="24"/>
          <w:szCs w:val="24"/>
        </w:rPr>
        <w:t>Kajian ini</w:t>
      </w:r>
      <w:r w:rsidRPr="00137BB4">
        <w:rPr>
          <w:rFonts w:ascii="Times New Roman" w:hAnsi="Times New Roman" w:cs="Times New Roman"/>
          <w:sz w:val="24"/>
          <w:szCs w:val="24"/>
        </w:rPr>
        <w:t xml:space="preserve"> mempunyai beberapa limitasi (batasan)</w:t>
      </w:r>
      <w:r>
        <w:rPr>
          <w:rFonts w:ascii="Times New Roman" w:hAnsi="Times New Roman" w:cs="Times New Roman"/>
          <w:sz w:val="24"/>
          <w:szCs w:val="24"/>
        </w:rPr>
        <w:t xml:space="preserve">. </w:t>
      </w:r>
      <w:r w:rsidRPr="00137BB4">
        <w:rPr>
          <w:rFonts w:ascii="Times New Roman" w:hAnsi="Times New Roman" w:cs="Times New Roman"/>
          <w:sz w:val="24"/>
          <w:szCs w:val="24"/>
        </w:rPr>
        <w:t>Limitasi yang pertama melibatkan sampel kajian yang dipilih. Sampel kajian ini ialah syarikat tersenarai di Papan Utama Bursa Malaysia bagi tahun 2014</w:t>
      </w:r>
      <w:r>
        <w:rPr>
          <w:rFonts w:ascii="Times New Roman" w:hAnsi="Times New Roman" w:cs="Times New Roman"/>
          <w:sz w:val="24"/>
          <w:szCs w:val="24"/>
        </w:rPr>
        <w:t xml:space="preserve"> sehingga</w:t>
      </w:r>
      <w:r w:rsidRPr="00137BB4">
        <w:rPr>
          <w:rFonts w:ascii="Times New Roman" w:hAnsi="Times New Roman" w:cs="Times New Roman"/>
          <w:sz w:val="24"/>
          <w:szCs w:val="24"/>
        </w:rPr>
        <w:t xml:space="preserve"> 2018 iaitu lima tahun yang melibatkan 646 syarikat. Namun begitu, kajian ini tidak menggunakan keseluruhan populasi syarikat yang tersenarai kerana terdapat syarikat yang tidak mempunyai data yang lengkap berkaitan kajian ini. Maka, hasil kajian ini tidak boleh di generalisasikan kepada tempoh atau jenis syarikat lain yang tidak tersenarai mahupun melambangkan keseluruhan syarikat yang tersenarai di Bursa Malaysia. Kedua, UPB diukur berdasarkan </w:t>
      </w:r>
      <w:r>
        <w:rPr>
          <w:rFonts w:ascii="Times New Roman" w:hAnsi="Times New Roman" w:cs="Times New Roman"/>
          <w:sz w:val="24"/>
          <w:szCs w:val="24"/>
        </w:rPr>
        <w:t>amaun</w:t>
      </w:r>
      <w:r w:rsidRPr="00137BB4">
        <w:rPr>
          <w:rFonts w:ascii="Times New Roman" w:hAnsi="Times New Roman" w:cs="Times New Roman"/>
          <w:sz w:val="24"/>
          <w:szCs w:val="24"/>
        </w:rPr>
        <w:t xml:space="preserve"> yang di</w:t>
      </w:r>
      <w:r>
        <w:rPr>
          <w:rFonts w:ascii="Times New Roman" w:hAnsi="Times New Roman" w:cs="Times New Roman"/>
          <w:sz w:val="24"/>
          <w:szCs w:val="24"/>
        </w:rPr>
        <w:t>laporkan</w:t>
      </w:r>
      <w:r w:rsidRPr="00137BB4">
        <w:rPr>
          <w:rFonts w:ascii="Times New Roman" w:hAnsi="Times New Roman" w:cs="Times New Roman"/>
          <w:sz w:val="24"/>
          <w:szCs w:val="24"/>
        </w:rPr>
        <w:t xml:space="preserve"> dalam penyata kewangan</w:t>
      </w:r>
      <w:r>
        <w:rPr>
          <w:rFonts w:ascii="Times New Roman" w:hAnsi="Times New Roman" w:cs="Times New Roman"/>
          <w:sz w:val="24"/>
          <w:szCs w:val="24"/>
        </w:rPr>
        <w:t xml:space="preserve">.  Oleh itu, </w:t>
      </w:r>
      <w:r w:rsidRPr="00137BB4">
        <w:rPr>
          <w:rFonts w:ascii="Times New Roman" w:hAnsi="Times New Roman" w:cs="Times New Roman"/>
          <w:sz w:val="24"/>
          <w:szCs w:val="24"/>
        </w:rPr>
        <w:t xml:space="preserve">wujud kemungkinan UPB yang berlaku mungkin tidak dilaporkan sewajarnya oleh </w:t>
      </w:r>
      <w:r>
        <w:rPr>
          <w:rFonts w:ascii="Times New Roman" w:hAnsi="Times New Roman" w:cs="Times New Roman"/>
          <w:sz w:val="24"/>
          <w:szCs w:val="24"/>
        </w:rPr>
        <w:t>syarikat</w:t>
      </w:r>
      <w:r w:rsidRPr="00137BB4">
        <w:rPr>
          <w:rFonts w:ascii="Times New Roman" w:hAnsi="Times New Roman" w:cs="Times New Roman"/>
          <w:sz w:val="24"/>
          <w:szCs w:val="24"/>
        </w:rPr>
        <w:t xml:space="preserve">. Selain itu, walaupun </w:t>
      </w:r>
      <w:r>
        <w:rPr>
          <w:rFonts w:ascii="Times New Roman" w:hAnsi="Times New Roman" w:cs="Times New Roman"/>
          <w:sz w:val="24"/>
          <w:szCs w:val="24"/>
        </w:rPr>
        <w:t>firma audit</w:t>
      </w:r>
      <w:r w:rsidRPr="00137BB4">
        <w:rPr>
          <w:rFonts w:ascii="Times New Roman" w:hAnsi="Times New Roman" w:cs="Times New Roman"/>
          <w:sz w:val="24"/>
          <w:szCs w:val="24"/>
        </w:rPr>
        <w:t xml:space="preserve"> yang paling berkualiti ditugaskan mengaudit syarikat yang paling berkemungkinan mempunyai UPB yang banyak, namun sebagai manusia tetap wujud kebarangkalian risiko audit. Ini bermakna, juruaudit berkemungkinan gagal mengesan kewujudan UPB dan mendedahkan UPB tersebut walaupun prosedur audit telah dirancang dengan baik selaras dengan piawaian pengauditan yang telah diluluskan. </w:t>
      </w:r>
    </w:p>
    <w:p w14:paraId="4EFC8C70" w14:textId="77777777" w:rsidR="00354D63" w:rsidRPr="00137BB4" w:rsidRDefault="00354D63" w:rsidP="00354D63">
      <w:pPr>
        <w:spacing w:after="0" w:line="240" w:lineRule="auto"/>
        <w:jc w:val="both"/>
        <w:rPr>
          <w:rFonts w:ascii="Times New Roman" w:hAnsi="Times New Roman" w:cs="Times New Roman"/>
          <w:sz w:val="24"/>
          <w:szCs w:val="24"/>
        </w:rPr>
      </w:pPr>
    </w:p>
    <w:p w14:paraId="49A4929B" w14:textId="77777777" w:rsidR="00354D63" w:rsidRDefault="00354D63" w:rsidP="00354D63">
      <w:pPr>
        <w:spacing w:after="0" w:line="240" w:lineRule="auto"/>
        <w:jc w:val="both"/>
        <w:rPr>
          <w:rFonts w:ascii="Times New Roman" w:hAnsi="Times New Roman" w:cs="Times New Roman"/>
          <w:sz w:val="24"/>
          <w:szCs w:val="24"/>
        </w:rPr>
      </w:pPr>
      <w:r w:rsidRPr="00137BB4">
        <w:rPr>
          <w:rFonts w:ascii="Times New Roman" w:hAnsi="Times New Roman" w:cs="Times New Roman"/>
          <w:sz w:val="24"/>
          <w:szCs w:val="24"/>
        </w:rPr>
        <w:tab/>
      </w:r>
    </w:p>
    <w:p w14:paraId="4999300E" w14:textId="77777777" w:rsidR="00354D63" w:rsidRDefault="00354D63" w:rsidP="00354D63">
      <w:pPr>
        <w:spacing w:after="0" w:line="240" w:lineRule="auto"/>
        <w:jc w:val="both"/>
        <w:rPr>
          <w:rFonts w:ascii="Times New Roman" w:hAnsi="Times New Roman" w:cs="Times New Roman"/>
          <w:sz w:val="24"/>
          <w:szCs w:val="24"/>
        </w:rPr>
      </w:pPr>
    </w:p>
    <w:p w14:paraId="14D56A92" w14:textId="77777777" w:rsidR="00354D63" w:rsidRDefault="00354D63" w:rsidP="00354D63">
      <w:pPr>
        <w:spacing w:after="0" w:line="240" w:lineRule="auto"/>
        <w:jc w:val="both"/>
        <w:rPr>
          <w:rFonts w:ascii="Times New Roman" w:hAnsi="Times New Roman" w:cs="Times New Roman"/>
          <w:sz w:val="24"/>
          <w:szCs w:val="24"/>
        </w:rPr>
      </w:pPr>
    </w:p>
    <w:p w14:paraId="5A662294" w14:textId="4E6CD0E5" w:rsidR="00354D63" w:rsidRDefault="00354D63" w:rsidP="00354D63">
      <w:pPr>
        <w:spacing w:after="0" w:line="240" w:lineRule="auto"/>
        <w:jc w:val="both"/>
        <w:rPr>
          <w:rFonts w:ascii="Times New Roman" w:hAnsi="Times New Roman" w:cs="Times New Roman"/>
          <w:sz w:val="24"/>
          <w:szCs w:val="24"/>
        </w:rPr>
      </w:pPr>
    </w:p>
    <w:p w14:paraId="3F96C5E5" w14:textId="77777777" w:rsidR="00D81409" w:rsidRDefault="00D81409" w:rsidP="00354D63">
      <w:pPr>
        <w:spacing w:after="0" w:line="240" w:lineRule="auto"/>
        <w:jc w:val="both"/>
        <w:rPr>
          <w:rFonts w:ascii="Times New Roman" w:hAnsi="Times New Roman" w:cs="Times New Roman"/>
          <w:sz w:val="24"/>
          <w:szCs w:val="24"/>
        </w:rPr>
      </w:pPr>
      <w:bookmarkStart w:id="13" w:name="_GoBack"/>
      <w:bookmarkEnd w:id="13"/>
    </w:p>
    <w:p w14:paraId="1B4962CE" w14:textId="77777777" w:rsidR="00354D63" w:rsidRDefault="00354D63" w:rsidP="00354D63">
      <w:pPr>
        <w:spacing w:after="0" w:line="240" w:lineRule="auto"/>
        <w:jc w:val="both"/>
        <w:rPr>
          <w:rFonts w:ascii="Times New Roman" w:hAnsi="Times New Roman" w:cs="Times New Roman"/>
          <w:sz w:val="24"/>
          <w:szCs w:val="24"/>
        </w:rPr>
      </w:pPr>
    </w:p>
    <w:p w14:paraId="69A00482" w14:textId="77777777" w:rsidR="00354D63" w:rsidRDefault="00354D63" w:rsidP="00354D63">
      <w:pPr>
        <w:spacing w:after="0" w:line="240" w:lineRule="auto"/>
        <w:jc w:val="both"/>
        <w:rPr>
          <w:rFonts w:ascii="Times New Roman" w:hAnsi="Times New Roman" w:cs="Times New Roman"/>
          <w:sz w:val="24"/>
          <w:szCs w:val="24"/>
        </w:rPr>
      </w:pPr>
    </w:p>
    <w:p w14:paraId="3AD9D4D4" w14:textId="4EDB7020" w:rsidR="00354D63" w:rsidRPr="003E6DC5" w:rsidRDefault="00354D63" w:rsidP="00354D63">
      <w:pPr>
        <w:spacing w:after="0" w:line="240" w:lineRule="auto"/>
        <w:jc w:val="center"/>
        <w:rPr>
          <w:rFonts w:ascii="Times New Roman" w:hAnsi="Times New Roman" w:cs="Times New Roman"/>
          <w:b/>
          <w:sz w:val="24"/>
          <w:szCs w:val="24"/>
        </w:rPr>
      </w:pPr>
      <w:r w:rsidRPr="003E6DC5">
        <w:rPr>
          <w:rFonts w:ascii="Times New Roman" w:hAnsi="Times New Roman" w:cs="Times New Roman"/>
          <w:b/>
          <w:sz w:val="24"/>
          <w:szCs w:val="24"/>
        </w:rPr>
        <w:lastRenderedPageBreak/>
        <w:t>R</w:t>
      </w:r>
      <w:r w:rsidR="004A3075">
        <w:rPr>
          <w:rFonts w:ascii="Times New Roman" w:hAnsi="Times New Roman" w:cs="Times New Roman"/>
          <w:b/>
          <w:sz w:val="24"/>
          <w:szCs w:val="24"/>
        </w:rPr>
        <w:t>ujukan</w:t>
      </w:r>
    </w:p>
    <w:p w14:paraId="51C6AE8B" w14:textId="77777777" w:rsidR="00354D63" w:rsidRPr="003E6DC5" w:rsidRDefault="00354D63" w:rsidP="00354D63">
      <w:pPr>
        <w:spacing w:after="0" w:line="240" w:lineRule="auto"/>
        <w:jc w:val="center"/>
        <w:rPr>
          <w:rFonts w:ascii="Times New Roman" w:hAnsi="Times New Roman" w:cs="Times New Roman"/>
          <w:b/>
          <w:sz w:val="24"/>
          <w:szCs w:val="24"/>
        </w:rPr>
      </w:pPr>
    </w:p>
    <w:p w14:paraId="4E22E90E" w14:textId="77777777" w:rsidR="00354D63" w:rsidRPr="00FA0787" w:rsidRDefault="00354D63" w:rsidP="00354D63">
      <w:pPr>
        <w:spacing w:after="0" w:line="240" w:lineRule="auto"/>
        <w:jc w:val="both"/>
        <w:rPr>
          <w:rStyle w:val="Hyperlink"/>
          <w:rFonts w:ascii="Times New Roman" w:hAnsi="Times New Roman" w:cs="Times New Roman"/>
          <w:color w:val="auto"/>
          <w:sz w:val="24"/>
          <w:szCs w:val="24"/>
          <w:u w:val="none"/>
        </w:rPr>
      </w:pPr>
      <w:r w:rsidRPr="00FA0787">
        <w:rPr>
          <w:rFonts w:ascii="Times New Roman" w:hAnsi="Times New Roman" w:cs="Times New Roman"/>
          <w:sz w:val="24"/>
          <w:szCs w:val="24"/>
        </w:rPr>
        <w:t xml:space="preserve">Agnihotria, A. &amp; Bhattacharya, S. 2019. Internationalization, related party transactions, and </w:t>
      </w:r>
      <w:r>
        <w:rPr>
          <w:rFonts w:ascii="Times New Roman" w:hAnsi="Times New Roman" w:cs="Times New Roman"/>
          <w:sz w:val="24"/>
          <w:szCs w:val="24"/>
        </w:rPr>
        <w:tab/>
      </w:r>
      <w:r w:rsidRPr="00FA0787">
        <w:rPr>
          <w:rFonts w:ascii="Times New Roman" w:hAnsi="Times New Roman" w:cs="Times New Roman"/>
          <w:sz w:val="24"/>
          <w:szCs w:val="24"/>
        </w:rPr>
        <w:t xml:space="preserve">firm ownership structure: Empirical evidence from an emerging market. </w:t>
      </w:r>
      <w:r w:rsidRPr="00FA0787">
        <w:rPr>
          <w:rFonts w:ascii="Times New Roman" w:hAnsi="Times New Roman" w:cs="Times New Roman"/>
          <w:i/>
          <w:sz w:val="24"/>
          <w:szCs w:val="24"/>
        </w:rPr>
        <w:t xml:space="preserve">Research in </w:t>
      </w:r>
      <w:r>
        <w:rPr>
          <w:rFonts w:ascii="Times New Roman" w:hAnsi="Times New Roman" w:cs="Times New Roman"/>
          <w:i/>
          <w:sz w:val="24"/>
          <w:szCs w:val="24"/>
        </w:rPr>
        <w:tab/>
      </w:r>
      <w:r w:rsidRPr="00FA0787">
        <w:rPr>
          <w:rFonts w:ascii="Times New Roman" w:hAnsi="Times New Roman" w:cs="Times New Roman"/>
          <w:i/>
          <w:sz w:val="24"/>
          <w:szCs w:val="24"/>
        </w:rPr>
        <w:t>International Business and Finance</w:t>
      </w:r>
      <w:r w:rsidRPr="00FA0787">
        <w:rPr>
          <w:rFonts w:ascii="Times New Roman" w:hAnsi="Times New Roman" w:cs="Times New Roman"/>
          <w:sz w:val="24"/>
          <w:szCs w:val="24"/>
        </w:rPr>
        <w:t xml:space="preserve"> 48 (2019) 340–352. </w:t>
      </w:r>
      <w:r>
        <w:rPr>
          <w:rFonts w:ascii="Times New Roman" w:hAnsi="Times New Roman" w:cs="Times New Roman"/>
          <w:sz w:val="24"/>
          <w:szCs w:val="24"/>
        </w:rPr>
        <w:tab/>
      </w:r>
      <w:hyperlink r:id="rId7" w:history="1">
        <w:r w:rsidRPr="00FA0787">
          <w:rPr>
            <w:rStyle w:val="Hyperlink"/>
            <w:rFonts w:ascii="Times New Roman" w:hAnsi="Times New Roman" w:cs="Times New Roman"/>
            <w:color w:val="auto"/>
            <w:sz w:val="24"/>
            <w:szCs w:val="24"/>
            <w:u w:val="none"/>
          </w:rPr>
          <w:t>https://doi.org/10.1016/j.ribaf.2019.02.004</w:t>
        </w:r>
      </w:hyperlink>
    </w:p>
    <w:p w14:paraId="2C53A0C5" w14:textId="77777777" w:rsidR="00354D63" w:rsidRPr="00FA0787" w:rsidRDefault="00354D63" w:rsidP="00354D63">
      <w:pPr>
        <w:spacing w:after="0" w:line="240" w:lineRule="auto"/>
        <w:jc w:val="both"/>
        <w:rPr>
          <w:rStyle w:val="Hyperlink"/>
          <w:rFonts w:ascii="Times New Roman" w:hAnsi="Times New Roman" w:cs="Times New Roman"/>
          <w:color w:val="auto"/>
          <w:sz w:val="24"/>
          <w:szCs w:val="24"/>
          <w:u w:val="none"/>
        </w:rPr>
      </w:pPr>
    </w:p>
    <w:p w14:paraId="1F4B6183" w14:textId="77777777" w:rsidR="00354D63" w:rsidRPr="00FA0787" w:rsidRDefault="00354D63" w:rsidP="00354D63">
      <w:pPr>
        <w:jc w:val="both"/>
        <w:rPr>
          <w:rFonts w:ascii="Times New Roman" w:hAnsi="Times New Roman" w:cs="Times New Roman"/>
          <w:iCs/>
          <w:sz w:val="24"/>
          <w:szCs w:val="24"/>
        </w:rPr>
      </w:pPr>
      <w:r w:rsidRPr="00FA0787">
        <w:rPr>
          <w:rFonts w:ascii="Times New Roman" w:hAnsi="Times New Roman" w:cs="Times New Roman"/>
          <w:sz w:val="24"/>
          <w:szCs w:val="24"/>
        </w:rPr>
        <w:t xml:space="preserve">Aharony, J., Wang, J., &amp; Yuan, H. 2010. Tunneling as an incentive for earning management </w:t>
      </w:r>
      <w:r w:rsidRPr="00FA0787">
        <w:rPr>
          <w:rFonts w:ascii="Times New Roman" w:hAnsi="Times New Roman" w:cs="Times New Roman"/>
          <w:sz w:val="24"/>
          <w:szCs w:val="24"/>
        </w:rPr>
        <w:tab/>
        <w:t xml:space="preserve">during the IPO process in China. </w:t>
      </w:r>
      <w:r w:rsidRPr="00FA0787">
        <w:rPr>
          <w:rFonts w:ascii="Times New Roman" w:hAnsi="Times New Roman" w:cs="Times New Roman"/>
          <w:i/>
          <w:sz w:val="24"/>
          <w:szCs w:val="24"/>
        </w:rPr>
        <w:t>Jurnal of Accounting and Public Policy</w:t>
      </w:r>
      <w:r w:rsidRPr="00FA0787">
        <w:rPr>
          <w:rFonts w:ascii="Times New Roman" w:hAnsi="Times New Roman" w:cs="Times New Roman"/>
          <w:sz w:val="24"/>
          <w:szCs w:val="24"/>
        </w:rPr>
        <w:t xml:space="preserve"> 29(1): 1-</w:t>
      </w:r>
      <w:r w:rsidRPr="00FA0787">
        <w:rPr>
          <w:rFonts w:ascii="Times New Roman" w:hAnsi="Times New Roman" w:cs="Times New Roman"/>
          <w:sz w:val="24"/>
          <w:szCs w:val="24"/>
        </w:rPr>
        <w:tab/>
        <w:t xml:space="preserve">26. </w:t>
      </w:r>
    </w:p>
    <w:p w14:paraId="29E89E0E" w14:textId="77777777" w:rsidR="00354D63" w:rsidRDefault="00354D63" w:rsidP="00354D63">
      <w:pPr>
        <w:spacing w:after="0" w:line="240" w:lineRule="auto"/>
        <w:jc w:val="both"/>
        <w:rPr>
          <w:rFonts w:ascii="Times New Roman" w:hAnsi="Times New Roman" w:cs="Times New Roman"/>
          <w:sz w:val="24"/>
          <w:szCs w:val="24"/>
        </w:rPr>
      </w:pPr>
      <w:r w:rsidRPr="00FA0787">
        <w:rPr>
          <w:rFonts w:ascii="Times New Roman" w:hAnsi="Times New Roman" w:cs="Times New Roman"/>
          <w:sz w:val="24"/>
          <w:szCs w:val="24"/>
        </w:rPr>
        <w:t xml:space="preserve">AICPA. 2001. </w:t>
      </w:r>
      <w:r w:rsidRPr="00FA0787">
        <w:rPr>
          <w:rFonts w:ascii="Times New Roman" w:hAnsi="Times New Roman" w:cs="Times New Roman"/>
          <w:i/>
          <w:sz w:val="24"/>
          <w:szCs w:val="24"/>
        </w:rPr>
        <w:t xml:space="preserve">Accounting and Auditing for Related Party Transactions: A Toolkit for </w:t>
      </w:r>
      <w:r>
        <w:rPr>
          <w:rFonts w:ascii="Times New Roman" w:hAnsi="Times New Roman" w:cs="Times New Roman"/>
          <w:i/>
          <w:sz w:val="24"/>
          <w:szCs w:val="24"/>
        </w:rPr>
        <w:tab/>
      </w:r>
      <w:r w:rsidRPr="00FA0787">
        <w:rPr>
          <w:rFonts w:ascii="Times New Roman" w:hAnsi="Times New Roman" w:cs="Times New Roman"/>
          <w:i/>
          <w:sz w:val="24"/>
          <w:szCs w:val="24"/>
        </w:rPr>
        <w:t>Accountants and Auditors</w:t>
      </w:r>
      <w:r w:rsidRPr="00FA0787">
        <w:rPr>
          <w:rFonts w:ascii="Times New Roman" w:hAnsi="Times New Roman" w:cs="Times New Roman"/>
          <w:sz w:val="24"/>
          <w:szCs w:val="24"/>
        </w:rPr>
        <w:t>. AICPA. New York.</w:t>
      </w:r>
    </w:p>
    <w:p w14:paraId="5C045327" w14:textId="77777777" w:rsidR="00354D63" w:rsidRPr="00FA0787" w:rsidRDefault="00354D63" w:rsidP="00354D63">
      <w:pPr>
        <w:spacing w:after="0" w:line="240" w:lineRule="auto"/>
        <w:jc w:val="both"/>
        <w:rPr>
          <w:rFonts w:ascii="Times New Roman" w:hAnsi="Times New Roman" w:cs="Times New Roman"/>
          <w:sz w:val="24"/>
          <w:szCs w:val="24"/>
        </w:rPr>
      </w:pPr>
    </w:p>
    <w:p w14:paraId="2CF6F7BB" w14:textId="77777777" w:rsidR="00354D63" w:rsidRDefault="00354D63" w:rsidP="00354D63">
      <w:pPr>
        <w:spacing w:after="0" w:line="240" w:lineRule="auto"/>
        <w:jc w:val="both"/>
        <w:rPr>
          <w:rFonts w:ascii="Times New Roman" w:hAnsi="Times New Roman" w:cs="Times New Roman"/>
          <w:sz w:val="24"/>
          <w:szCs w:val="24"/>
        </w:rPr>
      </w:pPr>
      <w:r w:rsidRPr="00FA0787">
        <w:rPr>
          <w:rFonts w:ascii="Times New Roman" w:hAnsi="Times New Roman" w:cs="Times New Roman"/>
          <w:sz w:val="24"/>
          <w:szCs w:val="24"/>
        </w:rPr>
        <w:t xml:space="preserve">Arens, A. A., Best, P., Shailer, G., Fidler, B., Elder, R. J., &amp; Beasley, M. S. 2011. </w:t>
      </w:r>
      <w:r w:rsidRPr="00FA0787">
        <w:rPr>
          <w:rFonts w:ascii="Times New Roman" w:hAnsi="Times New Roman" w:cs="Times New Roman"/>
          <w:i/>
          <w:iCs/>
          <w:sz w:val="24"/>
          <w:szCs w:val="24"/>
        </w:rPr>
        <w:t xml:space="preserve">Auditing </w:t>
      </w:r>
      <w:r w:rsidRPr="00FA0787">
        <w:rPr>
          <w:rFonts w:ascii="Times New Roman" w:hAnsi="Times New Roman" w:cs="Times New Roman"/>
          <w:i/>
          <w:iCs/>
          <w:sz w:val="24"/>
          <w:szCs w:val="24"/>
        </w:rPr>
        <w:tab/>
        <w:t>Assurance Services in Australia: An Integrated</w:t>
      </w:r>
      <w:r w:rsidRPr="00FA0787">
        <w:rPr>
          <w:rFonts w:ascii="Times New Roman" w:hAnsi="Times New Roman" w:cs="Times New Roman"/>
          <w:iCs/>
          <w:sz w:val="24"/>
          <w:szCs w:val="24"/>
        </w:rPr>
        <w:t xml:space="preserve"> </w:t>
      </w:r>
      <w:r w:rsidRPr="00FA0787">
        <w:rPr>
          <w:rFonts w:ascii="Times New Roman" w:hAnsi="Times New Roman" w:cs="Times New Roman"/>
          <w:i/>
          <w:iCs/>
          <w:sz w:val="24"/>
          <w:szCs w:val="24"/>
        </w:rPr>
        <w:t xml:space="preserve">Approach. </w:t>
      </w:r>
      <w:r w:rsidRPr="00FA0787">
        <w:rPr>
          <w:rFonts w:ascii="Times New Roman" w:hAnsi="Times New Roman" w:cs="Times New Roman"/>
          <w:sz w:val="24"/>
          <w:szCs w:val="24"/>
        </w:rPr>
        <w:t xml:space="preserve">Ed. ke-8. Pearson </w:t>
      </w:r>
      <w:r w:rsidRPr="00FA0787">
        <w:rPr>
          <w:rFonts w:ascii="Times New Roman" w:hAnsi="Times New Roman" w:cs="Times New Roman"/>
          <w:sz w:val="24"/>
          <w:szCs w:val="24"/>
        </w:rPr>
        <w:tab/>
        <w:t xml:space="preserve">Australia. </w:t>
      </w:r>
    </w:p>
    <w:p w14:paraId="198A7E61" w14:textId="77777777" w:rsidR="00354D63" w:rsidRPr="00FA0787" w:rsidRDefault="00354D63" w:rsidP="00354D63">
      <w:pPr>
        <w:spacing w:after="0" w:line="240" w:lineRule="auto"/>
        <w:jc w:val="both"/>
        <w:rPr>
          <w:rFonts w:ascii="Times New Roman" w:hAnsi="Times New Roman" w:cs="Times New Roman"/>
          <w:sz w:val="24"/>
          <w:szCs w:val="24"/>
        </w:rPr>
      </w:pPr>
    </w:p>
    <w:p w14:paraId="711F009D" w14:textId="77777777" w:rsidR="00354D63" w:rsidRDefault="00354D63" w:rsidP="00354D63">
      <w:pPr>
        <w:spacing w:after="0" w:line="240" w:lineRule="auto"/>
        <w:jc w:val="both"/>
        <w:rPr>
          <w:rFonts w:ascii="Times New Roman" w:hAnsi="Times New Roman" w:cs="Times New Roman"/>
          <w:sz w:val="24"/>
          <w:szCs w:val="24"/>
        </w:rPr>
      </w:pPr>
      <w:r w:rsidRPr="00FA0787">
        <w:rPr>
          <w:rFonts w:ascii="Times New Roman" w:hAnsi="Times New Roman" w:cs="Times New Roman"/>
          <w:sz w:val="24"/>
          <w:szCs w:val="24"/>
        </w:rPr>
        <w:t xml:space="preserve">Balsam, S., Krishnan, J., Yang, J.S., 2003. Auditor industry specialization and earnings quality. </w:t>
      </w:r>
      <w:r>
        <w:rPr>
          <w:rFonts w:ascii="Times New Roman" w:hAnsi="Times New Roman" w:cs="Times New Roman"/>
          <w:sz w:val="24"/>
          <w:szCs w:val="24"/>
        </w:rPr>
        <w:tab/>
      </w:r>
      <w:r w:rsidRPr="00FA0787">
        <w:rPr>
          <w:rFonts w:ascii="Times New Roman" w:hAnsi="Times New Roman" w:cs="Times New Roman"/>
          <w:sz w:val="24"/>
          <w:szCs w:val="24"/>
        </w:rPr>
        <w:t>Auditing: A Journal of Practice and Theory 22, 71–97.</w:t>
      </w:r>
    </w:p>
    <w:p w14:paraId="4D677BC6" w14:textId="77777777" w:rsidR="00354D63" w:rsidRPr="00FA0787" w:rsidRDefault="00354D63" w:rsidP="00354D63">
      <w:pPr>
        <w:spacing w:after="0" w:line="240" w:lineRule="auto"/>
        <w:jc w:val="both"/>
        <w:rPr>
          <w:rFonts w:ascii="Times New Roman" w:hAnsi="Times New Roman" w:cs="Times New Roman"/>
          <w:sz w:val="24"/>
          <w:szCs w:val="24"/>
        </w:rPr>
      </w:pPr>
    </w:p>
    <w:p w14:paraId="160434C6" w14:textId="77777777" w:rsidR="00354D63" w:rsidRPr="00FA0787" w:rsidRDefault="00354D63" w:rsidP="00354D63">
      <w:pPr>
        <w:spacing w:after="0" w:line="240" w:lineRule="auto"/>
        <w:jc w:val="both"/>
        <w:rPr>
          <w:rFonts w:ascii="Times New Roman" w:hAnsi="Times New Roman" w:cs="Times New Roman"/>
          <w:sz w:val="24"/>
          <w:szCs w:val="24"/>
        </w:rPr>
      </w:pPr>
      <w:r w:rsidRPr="00FA0787">
        <w:rPr>
          <w:rStyle w:val="Strong"/>
          <w:rFonts w:ascii="Times New Roman" w:hAnsi="Times New Roman" w:cs="Times New Roman"/>
          <w:b w:val="0"/>
          <w:sz w:val="24"/>
          <w:szCs w:val="24"/>
          <w:shd w:val="clear" w:color="auto" w:fill="FFFFFF"/>
        </w:rPr>
        <w:t>Cahan</w:t>
      </w:r>
      <w:r w:rsidRPr="00FA0787">
        <w:rPr>
          <w:rFonts w:ascii="Times New Roman" w:hAnsi="Times New Roman" w:cs="Times New Roman"/>
          <w:sz w:val="24"/>
          <w:szCs w:val="24"/>
          <w:shd w:val="clear" w:color="auto" w:fill="FFFFFF"/>
        </w:rPr>
        <w:t>, S. F.</w:t>
      </w:r>
      <w:proofErr w:type="gramStart"/>
      <w:r w:rsidRPr="00FA0787">
        <w:rPr>
          <w:rFonts w:ascii="Times New Roman" w:hAnsi="Times New Roman" w:cs="Times New Roman"/>
          <w:sz w:val="24"/>
          <w:szCs w:val="24"/>
          <w:shd w:val="clear" w:color="auto" w:fill="FFFFFF"/>
        </w:rPr>
        <w:t>,  </w:t>
      </w:r>
      <w:r w:rsidRPr="00FA0787">
        <w:rPr>
          <w:rStyle w:val="Strong"/>
          <w:rFonts w:ascii="Times New Roman" w:hAnsi="Times New Roman" w:cs="Times New Roman"/>
          <w:b w:val="0"/>
          <w:sz w:val="24"/>
          <w:szCs w:val="24"/>
          <w:shd w:val="clear" w:color="auto" w:fill="FFFFFF"/>
        </w:rPr>
        <w:t>Jeter</w:t>
      </w:r>
      <w:proofErr w:type="gramEnd"/>
      <w:r w:rsidRPr="00FA0787">
        <w:rPr>
          <w:rFonts w:ascii="Times New Roman" w:hAnsi="Times New Roman" w:cs="Times New Roman"/>
          <w:sz w:val="24"/>
          <w:szCs w:val="24"/>
          <w:shd w:val="clear" w:color="auto" w:fill="FFFFFF"/>
        </w:rPr>
        <w:t xml:space="preserve">, D.C. &amp; Naiker, V. 2011.  Are all industry specialist auditors the </w:t>
      </w:r>
      <w:proofErr w:type="gramStart"/>
      <w:r w:rsidRPr="00FA0787">
        <w:rPr>
          <w:rFonts w:ascii="Times New Roman" w:hAnsi="Times New Roman" w:cs="Times New Roman"/>
          <w:sz w:val="24"/>
          <w:szCs w:val="24"/>
          <w:shd w:val="clear" w:color="auto" w:fill="FFFFFF"/>
        </w:rPr>
        <w:t>same?.</w:t>
      </w:r>
      <w:proofErr w:type="gramEnd"/>
      <w:r w:rsidRPr="00FA078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b/>
      </w:r>
      <w:r w:rsidRPr="00FA0787">
        <w:rPr>
          <w:rFonts w:ascii="Times New Roman" w:hAnsi="Times New Roman" w:cs="Times New Roman"/>
          <w:sz w:val="24"/>
          <w:szCs w:val="24"/>
          <w:shd w:val="clear" w:color="auto" w:fill="FFFFFF"/>
        </w:rPr>
        <w:t>Auditing:  30 (4): 191 - 222.</w:t>
      </w:r>
    </w:p>
    <w:p w14:paraId="3A693B3D" w14:textId="77777777" w:rsidR="00354D63" w:rsidRDefault="00354D63" w:rsidP="00354D63">
      <w:pPr>
        <w:spacing w:after="0" w:line="240" w:lineRule="auto"/>
        <w:jc w:val="both"/>
        <w:rPr>
          <w:rFonts w:ascii="Times New Roman" w:hAnsi="Times New Roman" w:cs="Times New Roman"/>
          <w:sz w:val="24"/>
          <w:szCs w:val="24"/>
        </w:rPr>
      </w:pPr>
    </w:p>
    <w:p w14:paraId="72126C8C" w14:textId="77777777" w:rsidR="00354D63" w:rsidRPr="00FA0787" w:rsidRDefault="00354D63" w:rsidP="00354D63">
      <w:pPr>
        <w:spacing w:after="0" w:line="240" w:lineRule="auto"/>
        <w:jc w:val="both"/>
        <w:rPr>
          <w:rFonts w:ascii="Times New Roman" w:hAnsi="Times New Roman" w:cs="Times New Roman"/>
          <w:sz w:val="24"/>
          <w:szCs w:val="24"/>
        </w:rPr>
      </w:pPr>
      <w:r w:rsidRPr="00FA0787">
        <w:rPr>
          <w:rFonts w:ascii="Times New Roman" w:hAnsi="Times New Roman" w:cs="Times New Roman"/>
          <w:sz w:val="24"/>
          <w:szCs w:val="24"/>
        </w:rPr>
        <w:t xml:space="preserve">Cheung, y.-L., Rau, P.R. &amp; Stouraitis, A. 2006. Tunneling, propping, and expropriation: </w:t>
      </w:r>
      <w:r w:rsidRPr="00FA0787">
        <w:rPr>
          <w:rFonts w:ascii="Times New Roman" w:hAnsi="Times New Roman" w:cs="Times New Roman"/>
          <w:sz w:val="24"/>
          <w:szCs w:val="24"/>
        </w:rPr>
        <w:tab/>
        <w:t>Evidence from connected party transactions in Hong Kong. Journal of Financial</w:t>
      </w:r>
      <w:r w:rsidRPr="00FA0787">
        <w:rPr>
          <w:rFonts w:ascii="Times New Roman" w:hAnsi="Times New Roman" w:cs="Times New Roman"/>
          <w:i/>
          <w:iCs/>
          <w:sz w:val="24"/>
          <w:szCs w:val="24"/>
        </w:rPr>
        <w:br/>
      </w:r>
      <w:r w:rsidRPr="00FA0787">
        <w:rPr>
          <w:rFonts w:ascii="Times New Roman" w:hAnsi="Times New Roman" w:cs="Times New Roman"/>
          <w:sz w:val="24"/>
          <w:szCs w:val="24"/>
        </w:rPr>
        <w:tab/>
        <w:t>Economics 82(2): 343-386.</w:t>
      </w:r>
    </w:p>
    <w:p w14:paraId="47DB2B73" w14:textId="77777777" w:rsidR="00354D63" w:rsidRDefault="00354D63" w:rsidP="00354D63">
      <w:pPr>
        <w:spacing w:after="0" w:line="240" w:lineRule="auto"/>
        <w:jc w:val="both"/>
        <w:rPr>
          <w:rStyle w:val="Strong"/>
          <w:rFonts w:ascii="Times New Roman" w:hAnsi="Times New Roman" w:cs="Times New Roman"/>
          <w:b w:val="0"/>
          <w:sz w:val="24"/>
          <w:szCs w:val="24"/>
          <w:shd w:val="clear" w:color="auto" w:fill="FFFFFF"/>
        </w:rPr>
      </w:pPr>
    </w:p>
    <w:p w14:paraId="3E1EA688" w14:textId="77777777" w:rsidR="00354D63" w:rsidRPr="00FA0787" w:rsidRDefault="00354D63" w:rsidP="00354D63">
      <w:pPr>
        <w:spacing w:after="0" w:line="240" w:lineRule="auto"/>
        <w:jc w:val="both"/>
        <w:rPr>
          <w:rFonts w:ascii="Times New Roman" w:hAnsi="Times New Roman" w:cs="Times New Roman"/>
          <w:sz w:val="24"/>
          <w:szCs w:val="24"/>
          <w:shd w:val="clear" w:color="auto" w:fill="FFFFFF"/>
        </w:rPr>
      </w:pPr>
      <w:r w:rsidRPr="00FA0787">
        <w:rPr>
          <w:rStyle w:val="Strong"/>
          <w:rFonts w:ascii="Times New Roman" w:hAnsi="Times New Roman" w:cs="Times New Roman"/>
          <w:b w:val="0"/>
          <w:sz w:val="24"/>
          <w:szCs w:val="24"/>
          <w:shd w:val="clear" w:color="auto" w:fill="FFFFFF"/>
        </w:rPr>
        <w:t>Claessens</w:t>
      </w:r>
      <w:r w:rsidRPr="00FA0787">
        <w:rPr>
          <w:rFonts w:ascii="Times New Roman" w:hAnsi="Times New Roman" w:cs="Times New Roman"/>
          <w:sz w:val="24"/>
          <w:szCs w:val="24"/>
          <w:shd w:val="clear" w:color="auto" w:fill="FFFFFF"/>
        </w:rPr>
        <w:t>, S., </w:t>
      </w:r>
      <w:r w:rsidRPr="00FA0787">
        <w:rPr>
          <w:rStyle w:val="Strong"/>
          <w:rFonts w:ascii="Times New Roman" w:hAnsi="Times New Roman" w:cs="Times New Roman"/>
          <w:b w:val="0"/>
          <w:sz w:val="24"/>
          <w:szCs w:val="24"/>
          <w:shd w:val="clear" w:color="auto" w:fill="FFFFFF"/>
        </w:rPr>
        <w:t>Djankov</w:t>
      </w:r>
      <w:r w:rsidRPr="00FA0787">
        <w:rPr>
          <w:rFonts w:ascii="Times New Roman" w:hAnsi="Times New Roman" w:cs="Times New Roman"/>
          <w:sz w:val="24"/>
          <w:szCs w:val="24"/>
          <w:shd w:val="clear" w:color="auto" w:fill="FFFFFF"/>
        </w:rPr>
        <w:t xml:space="preserve">, S. and Lang, L.H. (2000) The Separation of Ownership and Control in </w:t>
      </w:r>
      <w:r>
        <w:rPr>
          <w:rFonts w:ascii="Times New Roman" w:hAnsi="Times New Roman" w:cs="Times New Roman"/>
          <w:sz w:val="24"/>
          <w:szCs w:val="24"/>
          <w:shd w:val="clear" w:color="auto" w:fill="FFFFFF"/>
        </w:rPr>
        <w:tab/>
      </w:r>
      <w:r w:rsidRPr="00FA0787">
        <w:rPr>
          <w:rFonts w:ascii="Times New Roman" w:hAnsi="Times New Roman" w:cs="Times New Roman"/>
          <w:sz w:val="24"/>
          <w:szCs w:val="24"/>
          <w:shd w:val="clear" w:color="auto" w:fill="FFFFFF"/>
        </w:rPr>
        <w:t>East Asian Corporations. Journal of Financial Economics, 58, 81-112.</w:t>
      </w:r>
    </w:p>
    <w:p w14:paraId="38E77B62" w14:textId="77777777" w:rsidR="00354D63" w:rsidRDefault="00354D63" w:rsidP="00354D63">
      <w:pPr>
        <w:spacing w:after="0" w:line="240" w:lineRule="auto"/>
        <w:jc w:val="both"/>
        <w:rPr>
          <w:rFonts w:ascii="Times New Roman" w:hAnsi="Times New Roman" w:cs="Times New Roman"/>
          <w:sz w:val="24"/>
          <w:szCs w:val="24"/>
        </w:rPr>
      </w:pPr>
    </w:p>
    <w:p w14:paraId="23753F7C" w14:textId="77777777" w:rsidR="00354D63" w:rsidRPr="00FA0787" w:rsidRDefault="00354D63" w:rsidP="00354D63">
      <w:pPr>
        <w:spacing w:after="0" w:line="240" w:lineRule="auto"/>
        <w:jc w:val="both"/>
        <w:rPr>
          <w:rFonts w:ascii="Times New Roman" w:hAnsi="Times New Roman" w:cs="Times New Roman"/>
          <w:sz w:val="24"/>
          <w:szCs w:val="24"/>
        </w:rPr>
      </w:pPr>
      <w:r w:rsidRPr="00FA0787">
        <w:rPr>
          <w:rFonts w:ascii="Times New Roman" w:hAnsi="Times New Roman" w:cs="Times New Roman"/>
          <w:sz w:val="24"/>
          <w:szCs w:val="24"/>
        </w:rPr>
        <w:t xml:space="preserve">Craswell, A., J.R. Francis, and S.L. Taylor. 1995. Auditor brand name reputations and industry </w:t>
      </w:r>
      <w:r w:rsidRPr="00FA0787">
        <w:rPr>
          <w:rFonts w:ascii="Times New Roman" w:hAnsi="Times New Roman" w:cs="Times New Roman"/>
          <w:sz w:val="24"/>
          <w:szCs w:val="24"/>
        </w:rPr>
        <w:tab/>
        <w:t xml:space="preserve">specializations. </w:t>
      </w:r>
      <w:r w:rsidRPr="00FA0787">
        <w:rPr>
          <w:rFonts w:ascii="Times New Roman" w:hAnsi="Times New Roman" w:cs="Times New Roman"/>
          <w:i/>
          <w:sz w:val="24"/>
          <w:szCs w:val="24"/>
        </w:rPr>
        <w:t>Journal of Accounting &amp;</w:t>
      </w:r>
      <w:r w:rsidRPr="00FA0787">
        <w:rPr>
          <w:rFonts w:ascii="Times New Roman" w:hAnsi="Times New Roman" w:cs="Times New Roman"/>
          <w:i/>
          <w:iCs/>
          <w:sz w:val="24"/>
          <w:szCs w:val="24"/>
        </w:rPr>
        <w:t xml:space="preserve"> </w:t>
      </w:r>
      <w:r w:rsidRPr="00FA0787">
        <w:rPr>
          <w:rFonts w:ascii="Times New Roman" w:hAnsi="Times New Roman" w:cs="Times New Roman"/>
          <w:i/>
          <w:sz w:val="24"/>
          <w:szCs w:val="24"/>
        </w:rPr>
        <w:t>Economics</w:t>
      </w:r>
      <w:r w:rsidRPr="00FA0787">
        <w:rPr>
          <w:rFonts w:ascii="Times New Roman" w:hAnsi="Times New Roman" w:cs="Times New Roman"/>
          <w:sz w:val="24"/>
          <w:szCs w:val="24"/>
        </w:rPr>
        <w:t xml:space="preserve"> 20: 297-322.</w:t>
      </w:r>
    </w:p>
    <w:p w14:paraId="64114C90" w14:textId="77777777" w:rsidR="00354D63" w:rsidRPr="00FA0787" w:rsidRDefault="00354D63" w:rsidP="00354D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A0787">
        <w:rPr>
          <w:rFonts w:ascii="Times New Roman" w:hAnsi="Times New Roman" w:cs="Times New Roman"/>
          <w:sz w:val="24"/>
          <w:szCs w:val="24"/>
        </w:rPr>
        <w:t>DOI: 10.1080/16081625.2019.1566011</w:t>
      </w:r>
    </w:p>
    <w:p w14:paraId="06B32C53" w14:textId="77777777" w:rsidR="00354D63" w:rsidRDefault="00354D63" w:rsidP="00354D63">
      <w:pPr>
        <w:spacing w:after="0" w:line="240" w:lineRule="auto"/>
        <w:jc w:val="both"/>
        <w:rPr>
          <w:rFonts w:ascii="Times New Roman" w:hAnsi="Times New Roman" w:cs="Times New Roman"/>
          <w:sz w:val="24"/>
          <w:szCs w:val="24"/>
        </w:rPr>
      </w:pPr>
    </w:p>
    <w:p w14:paraId="22B810DF" w14:textId="77777777" w:rsidR="00354D63" w:rsidRPr="00FA0787" w:rsidRDefault="00354D63" w:rsidP="00354D63">
      <w:pPr>
        <w:spacing w:after="0" w:line="240" w:lineRule="auto"/>
        <w:jc w:val="both"/>
        <w:rPr>
          <w:rFonts w:ascii="Times New Roman" w:hAnsi="Times New Roman" w:cs="Times New Roman"/>
          <w:sz w:val="24"/>
          <w:szCs w:val="24"/>
        </w:rPr>
      </w:pPr>
      <w:r w:rsidRPr="00FA0787">
        <w:rPr>
          <w:rFonts w:ascii="Times New Roman" w:hAnsi="Times New Roman" w:cs="Times New Roman"/>
          <w:sz w:val="24"/>
          <w:szCs w:val="24"/>
        </w:rPr>
        <w:t xml:space="preserve">Dunn, K.A., Mayhew, B.H., 2004. Audit firm industry specialization and client disclosure </w:t>
      </w:r>
      <w:r>
        <w:rPr>
          <w:rFonts w:ascii="Times New Roman" w:hAnsi="Times New Roman" w:cs="Times New Roman"/>
          <w:sz w:val="24"/>
          <w:szCs w:val="24"/>
        </w:rPr>
        <w:tab/>
      </w:r>
      <w:r w:rsidRPr="00FA0787">
        <w:rPr>
          <w:rFonts w:ascii="Times New Roman" w:hAnsi="Times New Roman" w:cs="Times New Roman"/>
          <w:sz w:val="24"/>
          <w:szCs w:val="24"/>
        </w:rPr>
        <w:t>quality. Review of Accounting Studies 9, 35–58.</w:t>
      </w:r>
    </w:p>
    <w:p w14:paraId="0A6BEEA4" w14:textId="77777777" w:rsidR="00354D63" w:rsidRDefault="00354D63" w:rsidP="00354D63">
      <w:pPr>
        <w:spacing w:after="0" w:line="240" w:lineRule="auto"/>
        <w:jc w:val="both"/>
        <w:rPr>
          <w:rFonts w:ascii="Times New Roman" w:hAnsi="Times New Roman" w:cs="Times New Roman"/>
          <w:sz w:val="24"/>
          <w:szCs w:val="24"/>
        </w:rPr>
      </w:pPr>
    </w:p>
    <w:p w14:paraId="69AEC2D2" w14:textId="77777777" w:rsidR="00354D63" w:rsidRPr="00FA0787" w:rsidRDefault="00354D63" w:rsidP="00354D63">
      <w:pPr>
        <w:spacing w:after="0" w:line="240" w:lineRule="auto"/>
        <w:jc w:val="both"/>
        <w:rPr>
          <w:rFonts w:ascii="Times New Roman" w:hAnsi="Times New Roman" w:cs="Times New Roman"/>
          <w:sz w:val="24"/>
          <w:szCs w:val="24"/>
        </w:rPr>
      </w:pPr>
      <w:r w:rsidRPr="00FA0787">
        <w:rPr>
          <w:rFonts w:ascii="Times New Roman" w:hAnsi="Times New Roman" w:cs="Times New Roman"/>
          <w:sz w:val="24"/>
          <w:szCs w:val="24"/>
        </w:rPr>
        <w:t xml:space="preserve">Elaoud, A., &amp; Jarboui, A. 2017. Auditor specialization, accounting information quality and </w:t>
      </w:r>
      <w:r w:rsidRPr="00FA0787">
        <w:rPr>
          <w:rFonts w:ascii="Times New Roman" w:hAnsi="Times New Roman" w:cs="Times New Roman"/>
          <w:sz w:val="24"/>
          <w:szCs w:val="24"/>
        </w:rPr>
        <w:tab/>
        <w:t xml:space="preserve">investment efficiency. </w:t>
      </w:r>
      <w:r w:rsidRPr="00FA0787">
        <w:rPr>
          <w:rFonts w:ascii="Times New Roman" w:hAnsi="Times New Roman" w:cs="Times New Roman"/>
          <w:i/>
          <w:sz w:val="24"/>
          <w:szCs w:val="24"/>
        </w:rPr>
        <w:t>Research in International Business and Finance</w:t>
      </w:r>
      <w:r w:rsidRPr="00FA0787">
        <w:rPr>
          <w:rFonts w:ascii="Times New Roman" w:hAnsi="Times New Roman" w:cs="Times New Roman"/>
          <w:sz w:val="24"/>
          <w:szCs w:val="24"/>
        </w:rPr>
        <w:t xml:space="preserve"> 42: 616–629. </w:t>
      </w:r>
    </w:p>
    <w:p w14:paraId="7074E9CC" w14:textId="77777777" w:rsidR="00354D63" w:rsidRDefault="00354D63" w:rsidP="00354D63">
      <w:pPr>
        <w:spacing w:after="0" w:line="240" w:lineRule="auto"/>
        <w:jc w:val="both"/>
        <w:rPr>
          <w:rFonts w:ascii="Times New Roman" w:hAnsi="Times New Roman" w:cs="Times New Roman"/>
          <w:sz w:val="24"/>
          <w:szCs w:val="24"/>
        </w:rPr>
      </w:pPr>
    </w:p>
    <w:p w14:paraId="503A2C72" w14:textId="77777777" w:rsidR="00354D63" w:rsidRPr="00FA0787" w:rsidRDefault="00354D63" w:rsidP="00354D63">
      <w:pPr>
        <w:spacing w:after="0" w:line="240" w:lineRule="auto"/>
        <w:jc w:val="both"/>
        <w:rPr>
          <w:rFonts w:ascii="Times New Roman" w:hAnsi="Times New Roman" w:cs="Times New Roman"/>
          <w:sz w:val="24"/>
          <w:szCs w:val="24"/>
        </w:rPr>
      </w:pPr>
      <w:r w:rsidRPr="00FA0787">
        <w:rPr>
          <w:rFonts w:ascii="Times New Roman" w:hAnsi="Times New Roman" w:cs="Times New Roman"/>
          <w:sz w:val="24"/>
          <w:szCs w:val="24"/>
        </w:rPr>
        <w:t xml:space="preserve">Elder, R., Lowensohn, S. &amp; Reck, J. 2015. Audit firm rotation, auditor specialization, and </w:t>
      </w:r>
      <w:r w:rsidRPr="00FA0787">
        <w:rPr>
          <w:rFonts w:ascii="Times New Roman" w:hAnsi="Times New Roman" w:cs="Times New Roman"/>
          <w:sz w:val="24"/>
          <w:szCs w:val="24"/>
        </w:rPr>
        <w:tab/>
        <w:t xml:space="preserve">audit quality in the municipal audit context. </w:t>
      </w:r>
      <w:r w:rsidRPr="00FA0787">
        <w:rPr>
          <w:rFonts w:ascii="Times New Roman" w:hAnsi="Times New Roman" w:cs="Times New Roman"/>
          <w:i/>
          <w:sz w:val="24"/>
          <w:szCs w:val="24"/>
        </w:rPr>
        <w:t xml:space="preserve">Journal of Governmental &amp; Nonprofit </w:t>
      </w:r>
      <w:r w:rsidRPr="00FA0787">
        <w:rPr>
          <w:rFonts w:ascii="Times New Roman" w:hAnsi="Times New Roman" w:cs="Times New Roman"/>
          <w:i/>
          <w:sz w:val="24"/>
          <w:szCs w:val="24"/>
        </w:rPr>
        <w:tab/>
        <w:t>Accounting</w:t>
      </w:r>
      <w:r w:rsidRPr="00FA0787">
        <w:rPr>
          <w:rFonts w:ascii="Times New Roman" w:hAnsi="Times New Roman" w:cs="Times New Roman"/>
          <w:sz w:val="24"/>
          <w:szCs w:val="24"/>
        </w:rPr>
        <w:t xml:space="preserve"> 4: 73-100.</w:t>
      </w:r>
    </w:p>
    <w:p w14:paraId="62C7FCA2" w14:textId="77777777" w:rsidR="00354D63" w:rsidRDefault="00354D63" w:rsidP="00354D63">
      <w:pPr>
        <w:spacing w:after="0" w:line="240" w:lineRule="auto"/>
        <w:jc w:val="both"/>
        <w:rPr>
          <w:rFonts w:ascii="Times New Roman" w:eastAsia="Times New Roman" w:hAnsi="Times New Roman" w:cs="Times New Roman"/>
          <w:sz w:val="24"/>
          <w:szCs w:val="24"/>
          <w:lang w:eastAsia="en-MY"/>
        </w:rPr>
      </w:pPr>
    </w:p>
    <w:p w14:paraId="2D33D048" w14:textId="77777777" w:rsidR="00354D63" w:rsidRPr="00FA0787" w:rsidRDefault="00354D63" w:rsidP="00354D63">
      <w:pPr>
        <w:spacing w:after="0" w:line="240" w:lineRule="auto"/>
        <w:jc w:val="both"/>
        <w:rPr>
          <w:rFonts w:ascii="Times New Roman" w:eastAsia="Times New Roman" w:hAnsi="Times New Roman" w:cs="Times New Roman"/>
          <w:i/>
          <w:iCs/>
          <w:sz w:val="24"/>
          <w:szCs w:val="24"/>
          <w:lang w:eastAsia="en-MY"/>
        </w:rPr>
      </w:pPr>
      <w:r w:rsidRPr="00FA0787">
        <w:rPr>
          <w:rFonts w:ascii="Times New Roman" w:eastAsia="Times New Roman" w:hAnsi="Times New Roman" w:cs="Times New Roman"/>
          <w:sz w:val="24"/>
          <w:szCs w:val="24"/>
          <w:lang w:eastAsia="en-MY"/>
        </w:rPr>
        <w:t>Eshleman, J. D., &amp; Guo, P. 2020. </w:t>
      </w:r>
      <w:r w:rsidRPr="00FA0787">
        <w:rPr>
          <w:rFonts w:ascii="Times New Roman" w:eastAsia="Times New Roman" w:hAnsi="Times New Roman" w:cs="Times New Roman"/>
          <w:i/>
          <w:iCs/>
          <w:sz w:val="24"/>
          <w:szCs w:val="24"/>
          <w:lang w:eastAsia="en-MY"/>
        </w:rPr>
        <w:t xml:space="preserve">Do seasoned industry specialists provide higher audit </w:t>
      </w:r>
      <w:r>
        <w:rPr>
          <w:rFonts w:ascii="Times New Roman" w:eastAsia="Times New Roman" w:hAnsi="Times New Roman" w:cs="Times New Roman"/>
          <w:i/>
          <w:iCs/>
          <w:sz w:val="24"/>
          <w:szCs w:val="24"/>
          <w:lang w:eastAsia="en-MY"/>
        </w:rPr>
        <w:tab/>
      </w:r>
      <w:r w:rsidRPr="00FA0787">
        <w:rPr>
          <w:rFonts w:ascii="Times New Roman" w:eastAsia="Times New Roman" w:hAnsi="Times New Roman" w:cs="Times New Roman"/>
          <w:i/>
          <w:iCs/>
          <w:sz w:val="24"/>
          <w:szCs w:val="24"/>
          <w:lang w:eastAsia="en-MY"/>
        </w:rPr>
        <w:t>quality? A re-examination. Journal of Accounting and Public Policy, 106770</w:t>
      </w:r>
    </w:p>
    <w:p w14:paraId="37CA368B" w14:textId="77777777" w:rsidR="00354D63" w:rsidRDefault="00354D63" w:rsidP="00354D63">
      <w:pPr>
        <w:spacing w:after="0" w:line="240" w:lineRule="auto"/>
        <w:jc w:val="both"/>
        <w:rPr>
          <w:rFonts w:ascii="Times New Roman" w:hAnsi="Times New Roman" w:cs="Times New Roman"/>
          <w:sz w:val="24"/>
          <w:szCs w:val="24"/>
        </w:rPr>
      </w:pPr>
    </w:p>
    <w:p w14:paraId="639B4AE9" w14:textId="77777777" w:rsidR="00354D63" w:rsidRPr="00FA0787" w:rsidRDefault="00354D63" w:rsidP="00354D63">
      <w:pPr>
        <w:spacing w:after="0" w:line="240" w:lineRule="auto"/>
        <w:jc w:val="both"/>
        <w:rPr>
          <w:rFonts w:ascii="Times New Roman" w:hAnsi="Times New Roman" w:cs="Times New Roman"/>
          <w:sz w:val="24"/>
          <w:szCs w:val="24"/>
        </w:rPr>
      </w:pPr>
      <w:r w:rsidRPr="00FA0787">
        <w:rPr>
          <w:rFonts w:ascii="Times New Roman" w:hAnsi="Times New Roman" w:cs="Times New Roman"/>
          <w:sz w:val="24"/>
          <w:szCs w:val="24"/>
        </w:rPr>
        <w:t xml:space="preserve">Ferguson, A., and D. Stokes. 2002. Brand name audit pricing, industry specialization and </w:t>
      </w:r>
      <w:r w:rsidRPr="00FA0787">
        <w:rPr>
          <w:rFonts w:ascii="Times New Roman" w:hAnsi="Times New Roman" w:cs="Times New Roman"/>
          <w:sz w:val="24"/>
          <w:szCs w:val="24"/>
        </w:rPr>
        <w:tab/>
        <w:t xml:space="preserve">leadership premiums post Big 8 and Big 6 mergers. </w:t>
      </w:r>
      <w:r w:rsidRPr="00FA0787">
        <w:rPr>
          <w:rFonts w:ascii="Times New Roman" w:hAnsi="Times New Roman" w:cs="Times New Roman"/>
          <w:i/>
          <w:sz w:val="24"/>
          <w:szCs w:val="24"/>
        </w:rPr>
        <w:t xml:space="preserve">Contemporary Accounting </w:t>
      </w:r>
      <w:r w:rsidRPr="00FA0787">
        <w:rPr>
          <w:rFonts w:ascii="Times New Roman" w:hAnsi="Times New Roman" w:cs="Times New Roman"/>
          <w:i/>
          <w:sz w:val="24"/>
          <w:szCs w:val="24"/>
        </w:rPr>
        <w:tab/>
        <w:t>Research</w:t>
      </w:r>
      <w:r w:rsidRPr="00FA0787">
        <w:rPr>
          <w:rFonts w:ascii="Times New Roman" w:hAnsi="Times New Roman" w:cs="Times New Roman"/>
          <w:sz w:val="24"/>
          <w:szCs w:val="24"/>
        </w:rPr>
        <w:t xml:space="preserve"> 19: 77-110.</w:t>
      </w:r>
    </w:p>
    <w:p w14:paraId="5795B35F" w14:textId="77777777" w:rsidR="00354D63" w:rsidRPr="00FA0787" w:rsidRDefault="00354D63" w:rsidP="00354D63">
      <w:pPr>
        <w:spacing w:after="0" w:line="240" w:lineRule="auto"/>
        <w:jc w:val="both"/>
        <w:rPr>
          <w:rFonts w:ascii="Times New Roman" w:hAnsi="Times New Roman" w:cs="Times New Roman"/>
          <w:sz w:val="24"/>
          <w:szCs w:val="24"/>
        </w:rPr>
      </w:pPr>
      <w:r w:rsidRPr="00FA0787">
        <w:rPr>
          <w:rFonts w:ascii="Times New Roman" w:hAnsi="Times New Roman" w:cs="Times New Roman"/>
          <w:sz w:val="24"/>
          <w:szCs w:val="24"/>
        </w:rPr>
        <w:lastRenderedPageBreak/>
        <w:t xml:space="preserve">Ferguson, A., J. R. Francis, and D. J. Stokes. 2003. The effects of firm-wide and office-level </w:t>
      </w:r>
      <w:r w:rsidRPr="00FA0787">
        <w:rPr>
          <w:rFonts w:ascii="Times New Roman" w:hAnsi="Times New Roman" w:cs="Times New Roman"/>
          <w:sz w:val="24"/>
          <w:szCs w:val="24"/>
        </w:rPr>
        <w:tab/>
        <w:t>industry expertise on audit pricing. The Accounting Review 78 (2): 429–448.</w:t>
      </w:r>
    </w:p>
    <w:p w14:paraId="250F1E7A" w14:textId="77777777" w:rsidR="00354D63" w:rsidRDefault="00354D63" w:rsidP="00354D63">
      <w:pPr>
        <w:spacing w:after="0" w:line="240" w:lineRule="auto"/>
        <w:jc w:val="both"/>
        <w:rPr>
          <w:rFonts w:ascii="Times New Roman" w:hAnsi="Times New Roman" w:cs="Times New Roman"/>
          <w:sz w:val="24"/>
          <w:szCs w:val="24"/>
          <w:shd w:val="clear" w:color="auto" w:fill="FFFFFF"/>
        </w:rPr>
      </w:pPr>
    </w:p>
    <w:p w14:paraId="5010F56D" w14:textId="77777777" w:rsidR="00354D63" w:rsidRPr="00FA0787" w:rsidRDefault="00354D63" w:rsidP="00354D63">
      <w:pPr>
        <w:spacing w:after="0" w:line="240" w:lineRule="auto"/>
        <w:jc w:val="both"/>
        <w:rPr>
          <w:rFonts w:ascii="Times New Roman" w:hAnsi="Times New Roman" w:cs="Times New Roman"/>
          <w:sz w:val="24"/>
          <w:szCs w:val="24"/>
          <w:shd w:val="clear" w:color="auto" w:fill="FFFFFF"/>
        </w:rPr>
      </w:pPr>
      <w:r w:rsidRPr="00FA0787">
        <w:rPr>
          <w:rFonts w:ascii="Times New Roman" w:hAnsi="Times New Roman" w:cs="Times New Roman"/>
          <w:sz w:val="24"/>
          <w:szCs w:val="24"/>
          <w:shd w:val="clear" w:color="auto" w:fill="FFFFFF"/>
        </w:rPr>
        <w:t>Gaver, J. J. and S. Utke. 2019. Audit quality and specialist tenure. </w:t>
      </w:r>
      <w:r w:rsidRPr="00FA0787">
        <w:rPr>
          <w:rFonts w:ascii="Times New Roman" w:hAnsi="Times New Roman" w:cs="Times New Roman"/>
          <w:i/>
          <w:iCs/>
          <w:sz w:val="24"/>
          <w:szCs w:val="24"/>
          <w:shd w:val="clear" w:color="auto" w:fill="FFFFFF"/>
        </w:rPr>
        <w:t xml:space="preserve">The Accounting </w:t>
      </w:r>
      <w:r>
        <w:rPr>
          <w:rFonts w:ascii="Times New Roman" w:hAnsi="Times New Roman" w:cs="Times New Roman"/>
          <w:i/>
          <w:iCs/>
          <w:sz w:val="24"/>
          <w:szCs w:val="24"/>
          <w:shd w:val="clear" w:color="auto" w:fill="FFFFFF"/>
        </w:rPr>
        <w:tab/>
      </w:r>
      <w:r w:rsidRPr="00FA0787">
        <w:rPr>
          <w:rFonts w:ascii="Times New Roman" w:hAnsi="Times New Roman" w:cs="Times New Roman"/>
          <w:i/>
          <w:iCs/>
          <w:sz w:val="24"/>
          <w:szCs w:val="24"/>
          <w:shd w:val="clear" w:color="auto" w:fill="FFFFFF"/>
        </w:rPr>
        <w:t>Review</w:t>
      </w:r>
      <w:r w:rsidRPr="00FA0787">
        <w:rPr>
          <w:rFonts w:ascii="Times New Roman" w:hAnsi="Times New Roman" w:cs="Times New Roman"/>
          <w:sz w:val="24"/>
          <w:szCs w:val="24"/>
          <w:shd w:val="clear" w:color="auto" w:fill="FFFFFF"/>
        </w:rPr>
        <w:t> (May): 113-147.</w:t>
      </w:r>
    </w:p>
    <w:p w14:paraId="35A43EE6" w14:textId="77777777" w:rsidR="00354D63" w:rsidRDefault="00354D63" w:rsidP="00354D63">
      <w:pPr>
        <w:spacing w:after="0" w:line="240" w:lineRule="auto"/>
        <w:jc w:val="both"/>
        <w:rPr>
          <w:rFonts w:ascii="Times New Roman" w:hAnsi="Times New Roman" w:cs="Times New Roman"/>
          <w:sz w:val="24"/>
          <w:szCs w:val="24"/>
        </w:rPr>
      </w:pPr>
    </w:p>
    <w:p w14:paraId="790DD165" w14:textId="77777777" w:rsidR="00354D63" w:rsidRPr="00FA0787" w:rsidRDefault="00354D63" w:rsidP="00354D63">
      <w:pPr>
        <w:spacing w:after="0" w:line="240" w:lineRule="auto"/>
        <w:jc w:val="both"/>
        <w:rPr>
          <w:rFonts w:ascii="Times New Roman" w:hAnsi="Times New Roman" w:cs="Times New Roman"/>
          <w:sz w:val="24"/>
          <w:szCs w:val="24"/>
        </w:rPr>
      </w:pPr>
      <w:r w:rsidRPr="00FA0787">
        <w:rPr>
          <w:rFonts w:ascii="Times New Roman" w:hAnsi="Times New Roman" w:cs="Times New Roman"/>
          <w:sz w:val="24"/>
          <w:szCs w:val="24"/>
        </w:rPr>
        <w:t xml:space="preserve">Ge, W., Drury, D. H., Fortin, S., Liu, F., &amp; Tsang, D. 2010. Value relevance of disclosed related </w:t>
      </w:r>
      <w:r w:rsidRPr="00FA0787">
        <w:rPr>
          <w:rFonts w:ascii="Times New Roman" w:hAnsi="Times New Roman" w:cs="Times New Roman"/>
          <w:sz w:val="24"/>
          <w:szCs w:val="24"/>
        </w:rPr>
        <w:tab/>
        <w:t xml:space="preserve">party transactions. </w:t>
      </w:r>
      <w:r w:rsidRPr="00FA0787">
        <w:rPr>
          <w:rFonts w:ascii="Times New Roman" w:hAnsi="Times New Roman" w:cs="Times New Roman"/>
          <w:i/>
          <w:sz w:val="24"/>
          <w:szCs w:val="24"/>
        </w:rPr>
        <w:t xml:space="preserve">Advances in Accounting </w:t>
      </w:r>
      <w:r w:rsidRPr="00FA0787">
        <w:rPr>
          <w:rFonts w:ascii="Times New Roman" w:hAnsi="Times New Roman" w:cs="Times New Roman"/>
          <w:sz w:val="24"/>
          <w:szCs w:val="24"/>
        </w:rPr>
        <w:t xml:space="preserve">26(1): 134-141. </w:t>
      </w:r>
    </w:p>
    <w:p w14:paraId="222719B6" w14:textId="77777777" w:rsidR="00354D63" w:rsidRDefault="00354D63" w:rsidP="00354D63">
      <w:pPr>
        <w:spacing w:after="0" w:line="240" w:lineRule="auto"/>
        <w:jc w:val="both"/>
        <w:rPr>
          <w:rFonts w:ascii="Times New Roman" w:hAnsi="Times New Roman" w:cs="Times New Roman"/>
          <w:sz w:val="24"/>
          <w:szCs w:val="24"/>
        </w:rPr>
      </w:pPr>
    </w:p>
    <w:p w14:paraId="51122512" w14:textId="77777777" w:rsidR="00354D63" w:rsidRPr="00FA0787" w:rsidRDefault="00354D63" w:rsidP="00354D63">
      <w:pPr>
        <w:spacing w:after="0" w:line="240" w:lineRule="auto"/>
        <w:jc w:val="both"/>
        <w:rPr>
          <w:rFonts w:ascii="Times New Roman" w:hAnsi="Times New Roman" w:cs="Times New Roman"/>
          <w:sz w:val="24"/>
          <w:szCs w:val="24"/>
        </w:rPr>
      </w:pPr>
      <w:r w:rsidRPr="00FA0787">
        <w:rPr>
          <w:rFonts w:ascii="Times New Roman" w:hAnsi="Times New Roman" w:cs="Times New Roman"/>
          <w:sz w:val="24"/>
          <w:szCs w:val="24"/>
        </w:rPr>
        <w:t xml:space="preserve">Gordon, E. A., Henry, E. &amp; Palia, D. 2004. Related party transactions and corporate </w:t>
      </w:r>
      <w:r w:rsidRPr="00FA0787">
        <w:rPr>
          <w:rFonts w:ascii="Times New Roman" w:hAnsi="Times New Roman" w:cs="Times New Roman"/>
          <w:sz w:val="24"/>
          <w:szCs w:val="24"/>
        </w:rPr>
        <w:tab/>
        <w:t xml:space="preserve">governance in Mark Hirschey, Kose John and Anil K. Makhija (ed.). </w:t>
      </w:r>
      <w:r w:rsidRPr="00FA0787">
        <w:rPr>
          <w:rFonts w:ascii="Times New Roman" w:hAnsi="Times New Roman" w:cs="Times New Roman"/>
          <w:i/>
          <w:sz w:val="24"/>
          <w:szCs w:val="24"/>
        </w:rPr>
        <w:t xml:space="preserve">Corporate </w:t>
      </w:r>
      <w:r w:rsidRPr="00FA0787">
        <w:rPr>
          <w:rFonts w:ascii="Times New Roman" w:hAnsi="Times New Roman" w:cs="Times New Roman"/>
          <w:i/>
          <w:sz w:val="24"/>
          <w:szCs w:val="24"/>
        </w:rPr>
        <w:tab/>
        <w:t xml:space="preserve">Governance, Advances in Financial Economics </w:t>
      </w:r>
      <w:r w:rsidRPr="00FA0787">
        <w:rPr>
          <w:rFonts w:ascii="Times New Roman" w:hAnsi="Times New Roman" w:cs="Times New Roman"/>
          <w:sz w:val="24"/>
          <w:szCs w:val="24"/>
        </w:rPr>
        <w:t xml:space="preserve">9: 1-27. </w:t>
      </w:r>
    </w:p>
    <w:p w14:paraId="40250818" w14:textId="77777777" w:rsidR="00354D63" w:rsidRDefault="00354D63" w:rsidP="00354D63">
      <w:pPr>
        <w:spacing w:after="0" w:line="240" w:lineRule="auto"/>
        <w:jc w:val="both"/>
        <w:rPr>
          <w:rFonts w:ascii="Times New Roman" w:hAnsi="Times New Roman" w:cs="Times New Roman"/>
          <w:sz w:val="24"/>
          <w:szCs w:val="24"/>
        </w:rPr>
      </w:pPr>
    </w:p>
    <w:p w14:paraId="67B4516A" w14:textId="77777777" w:rsidR="00354D63" w:rsidRPr="00FA0787" w:rsidRDefault="00354D63" w:rsidP="00354D63">
      <w:pPr>
        <w:spacing w:after="0" w:line="240" w:lineRule="auto"/>
        <w:jc w:val="both"/>
        <w:rPr>
          <w:rFonts w:ascii="Times New Roman" w:hAnsi="Times New Roman" w:cs="Times New Roman"/>
          <w:sz w:val="24"/>
          <w:szCs w:val="24"/>
        </w:rPr>
      </w:pPr>
      <w:r w:rsidRPr="00FA0787">
        <w:rPr>
          <w:rFonts w:ascii="Times New Roman" w:hAnsi="Times New Roman" w:cs="Times New Roman"/>
          <w:sz w:val="24"/>
          <w:szCs w:val="24"/>
        </w:rPr>
        <w:t xml:space="preserve">Gramling, A. A., and D. N. Stone. 2001. Audit firm industry expertise: A review and synthesis </w:t>
      </w:r>
      <w:r w:rsidRPr="00FA0787">
        <w:rPr>
          <w:rFonts w:ascii="Times New Roman" w:hAnsi="Times New Roman" w:cs="Times New Roman"/>
          <w:sz w:val="24"/>
          <w:szCs w:val="24"/>
        </w:rPr>
        <w:tab/>
        <w:t xml:space="preserve">of the archival literature. </w:t>
      </w:r>
      <w:r w:rsidRPr="00FA0787">
        <w:rPr>
          <w:rFonts w:ascii="Times New Roman" w:hAnsi="Times New Roman" w:cs="Times New Roman"/>
          <w:i/>
          <w:sz w:val="24"/>
          <w:szCs w:val="24"/>
        </w:rPr>
        <w:t>Journal of Accounting Literature</w:t>
      </w:r>
      <w:r w:rsidRPr="00FA0787">
        <w:rPr>
          <w:rFonts w:ascii="Times New Roman" w:hAnsi="Times New Roman" w:cs="Times New Roman"/>
          <w:sz w:val="24"/>
          <w:szCs w:val="24"/>
        </w:rPr>
        <w:t xml:space="preserve"> 20: 1–27.</w:t>
      </w:r>
    </w:p>
    <w:p w14:paraId="0BA44167" w14:textId="77777777" w:rsidR="00354D63" w:rsidRDefault="00354D63" w:rsidP="00354D63">
      <w:pPr>
        <w:spacing w:after="0" w:line="240" w:lineRule="auto"/>
        <w:jc w:val="both"/>
        <w:rPr>
          <w:rFonts w:ascii="Times New Roman" w:hAnsi="Times New Roman" w:cs="Times New Roman"/>
          <w:sz w:val="24"/>
          <w:szCs w:val="24"/>
          <w:shd w:val="clear" w:color="auto" w:fill="FFFFFF"/>
        </w:rPr>
      </w:pPr>
    </w:p>
    <w:p w14:paraId="376DC37E" w14:textId="77777777" w:rsidR="00354D63" w:rsidRPr="00FA0787" w:rsidRDefault="00354D63" w:rsidP="00354D63">
      <w:pPr>
        <w:spacing w:after="0" w:line="240" w:lineRule="auto"/>
        <w:jc w:val="both"/>
        <w:rPr>
          <w:rFonts w:ascii="Times New Roman" w:hAnsi="Times New Roman" w:cs="Times New Roman"/>
          <w:sz w:val="24"/>
          <w:szCs w:val="24"/>
          <w:shd w:val="clear" w:color="auto" w:fill="FFFFFF"/>
        </w:rPr>
      </w:pPr>
      <w:r w:rsidRPr="00FA0787">
        <w:rPr>
          <w:rFonts w:ascii="Times New Roman" w:hAnsi="Times New Roman" w:cs="Times New Roman"/>
          <w:sz w:val="24"/>
          <w:szCs w:val="24"/>
          <w:shd w:val="clear" w:color="auto" w:fill="FFFFFF"/>
        </w:rPr>
        <w:t xml:space="preserve">Gul, F. A., </w:t>
      </w:r>
      <w:r w:rsidRPr="00FA0787">
        <w:rPr>
          <w:rStyle w:val="Strong"/>
          <w:rFonts w:ascii="Times New Roman" w:hAnsi="Times New Roman" w:cs="Times New Roman"/>
          <w:b w:val="0"/>
          <w:sz w:val="24"/>
          <w:szCs w:val="24"/>
          <w:shd w:val="clear" w:color="auto" w:fill="FFFFFF"/>
        </w:rPr>
        <w:t>Fung</w:t>
      </w:r>
      <w:r w:rsidRPr="00FA0787">
        <w:rPr>
          <w:rFonts w:ascii="Times New Roman" w:hAnsi="Times New Roman" w:cs="Times New Roman"/>
          <w:sz w:val="24"/>
          <w:szCs w:val="24"/>
          <w:shd w:val="clear" w:color="auto" w:fill="FFFFFF"/>
        </w:rPr>
        <w:t>, S. Y. K. &amp; </w:t>
      </w:r>
      <w:r w:rsidRPr="00FA0787">
        <w:rPr>
          <w:rStyle w:val="Strong"/>
          <w:rFonts w:ascii="Times New Roman" w:hAnsi="Times New Roman" w:cs="Times New Roman"/>
          <w:b w:val="0"/>
          <w:sz w:val="24"/>
          <w:szCs w:val="24"/>
          <w:shd w:val="clear" w:color="auto" w:fill="FFFFFF"/>
        </w:rPr>
        <w:t>Jaggi</w:t>
      </w:r>
      <w:r w:rsidRPr="00FA0787">
        <w:rPr>
          <w:rFonts w:ascii="Times New Roman" w:hAnsi="Times New Roman" w:cs="Times New Roman"/>
          <w:sz w:val="24"/>
          <w:szCs w:val="24"/>
          <w:shd w:val="clear" w:color="auto" w:fill="FFFFFF"/>
        </w:rPr>
        <w:t>, B. 2009, Earnings quality</w:t>
      </w:r>
      <w:r w:rsidRPr="00FA0787">
        <w:rPr>
          <w:rStyle w:val="Strong"/>
          <w:rFonts w:ascii="Times New Roman" w:hAnsi="Times New Roman" w:cs="Times New Roman"/>
          <w:b w:val="0"/>
          <w:sz w:val="24"/>
          <w:szCs w:val="24"/>
          <w:shd w:val="clear" w:color="auto" w:fill="FFFFFF"/>
        </w:rPr>
        <w:t>:</w:t>
      </w:r>
      <w:r w:rsidRPr="00FA0787">
        <w:rPr>
          <w:rFonts w:ascii="Times New Roman" w:hAnsi="Times New Roman" w:cs="Times New Roman"/>
          <w:sz w:val="24"/>
          <w:szCs w:val="24"/>
          <w:shd w:val="clear" w:color="auto" w:fill="FFFFFF"/>
        </w:rPr>
        <w:t xml:space="preserve"> some evidence on the role of </w:t>
      </w:r>
      <w:r>
        <w:rPr>
          <w:rFonts w:ascii="Times New Roman" w:hAnsi="Times New Roman" w:cs="Times New Roman"/>
          <w:sz w:val="24"/>
          <w:szCs w:val="24"/>
          <w:shd w:val="clear" w:color="auto" w:fill="FFFFFF"/>
        </w:rPr>
        <w:tab/>
      </w:r>
      <w:r w:rsidRPr="00FA0787">
        <w:rPr>
          <w:rFonts w:ascii="Times New Roman" w:hAnsi="Times New Roman" w:cs="Times New Roman"/>
          <w:sz w:val="24"/>
          <w:szCs w:val="24"/>
          <w:shd w:val="clear" w:color="auto" w:fill="FFFFFF"/>
        </w:rPr>
        <w:t xml:space="preserve">auditor tenure and auditors' industry expertise, Journal of Accounting and Economics, </w:t>
      </w:r>
      <w:r>
        <w:rPr>
          <w:rFonts w:ascii="Times New Roman" w:hAnsi="Times New Roman" w:cs="Times New Roman"/>
          <w:sz w:val="24"/>
          <w:szCs w:val="24"/>
          <w:shd w:val="clear" w:color="auto" w:fill="FFFFFF"/>
        </w:rPr>
        <w:tab/>
      </w:r>
      <w:r w:rsidRPr="00FA0787">
        <w:rPr>
          <w:rFonts w:ascii="Times New Roman" w:hAnsi="Times New Roman" w:cs="Times New Roman"/>
          <w:sz w:val="24"/>
          <w:szCs w:val="24"/>
          <w:shd w:val="clear" w:color="auto" w:fill="FFFFFF"/>
        </w:rPr>
        <w:t>vol. 47(3), 265-287. doi: 10.1016/j.jacceco.2009.03.001.</w:t>
      </w:r>
    </w:p>
    <w:p w14:paraId="08F17FA9" w14:textId="77777777" w:rsidR="00354D63" w:rsidRDefault="00354D63" w:rsidP="00354D63">
      <w:pPr>
        <w:spacing w:after="0" w:line="240" w:lineRule="auto"/>
        <w:jc w:val="both"/>
        <w:rPr>
          <w:rFonts w:ascii="Times New Roman" w:hAnsi="Times New Roman" w:cs="Times New Roman"/>
          <w:sz w:val="24"/>
          <w:szCs w:val="24"/>
        </w:rPr>
      </w:pPr>
    </w:p>
    <w:p w14:paraId="33BB236D" w14:textId="77777777" w:rsidR="00354D63" w:rsidRPr="00FA0787" w:rsidRDefault="00354D63" w:rsidP="00354D63">
      <w:pPr>
        <w:spacing w:after="0" w:line="240" w:lineRule="auto"/>
        <w:jc w:val="both"/>
        <w:rPr>
          <w:rFonts w:ascii="Times New Roman" w:hAnsi="Times New Roman" w:cs="Times New Roman"/>
          <w:sz w:val="24"/>
          <w:szCs w:val="24"/>
        </w:rPr>
      </w:pPr>
      <w:r w:rsidRPr="00FA0787">
        <w:rPr>
          <w:rFonts w:ascii="Times New Roman" w:hAnsi="Times New Roman" w:cs="Times New Roman"/>
          <w:sz w:val="24"/>
          <w:szCs w:val="24"/>
        </w:rPr>
        <w:t xml:space="preserve">Habib, A., Bhuiyan, M.B. 2011. Audit firm industry specialization and the audit report lag. </w:t>
      </w:r>
      <w:r w:rsidRPr="00FA0787">
        <w:rPr>
          <w:rFonts w:ascii="Times New Roman" w:hAnsi="Times New Roman" w:cs="Times New Roman"/>
          <w:sz w:val="24"/>
          <w:szCs w:val="24"/>
        </w:rPr>
        <w:tab/>
      </w:r>
      <w:r w:rsidRPr="00FA0787">
        <w:rPr>
          <w:rFonts w:ascii="Times New Roman" w:hAnsi="Times New Roman" w:cs="Times New Roman"/>
          <w:i/>
          <w:sz w:val="24"/>
          <w:szCs w:val="24"/>
        </w:rPr>
        <w:t>Journal of International Accounting, Auditing and Taxation</w:t>
      </w:r>
      <w:r w:rsidRPr="00FA0787">
        <w:rPr>
          <w:rFonts w:ascii="Times New Roman" w:hAnsi="Times New Roman" w:cs="Times New Roman"/>
          <w:sz w:val="24"/>
          <w:szCs w:val="24"/>
        </w:rPr>
        <w:t xml:space="preserve"> 20: 32-44. </w:t>
      </w:r>
    </w:p>
    <w:p w14:paraId="2D4AECCF" w14:textId="77777777" w:rsidR="00354D63" w:rsidRPr="003E6DC5" w:rsidRDefault="00354D63" w:rsidP="00354D63">
      <w:pPr>
        <w:spacing w:after="0" w:line="240" w:lineRule="auto"/>
        <w:ind w:right="240"/>
        <w:jc w:val="both"/>
        <w:outlineLvl w:val="2"/>
        <w:rPr>
          <w:rFonts w:ascii="Times New Roman" w:hAnsi="Times New Roman" w:cs="Times New Roman"/>
          <w:sz w:val="24"/>
          <w:szCs w:val="24"/>
        </w:rPr>
      </w:pPr>
      <w:r>
        <w:rPr>
          <w:rFonts w:ascii="Times New Roman" w:hAnsi="Times New Roman" w:cs="Times New Roman"/>
          <w:sz w:val="24"/>
          <w:szCs w:val="24"/>
        </w:rPr>
        <w:tab/>
      </w:r>
      <w:hyperlink r:id="rId8" w:history="1">
        <w:r w:rsidRPr="003E6DC5">
          <w:rPr>
            <w:rStyle w:val="Hyperlink"/>
            <w:rFonts w:ascii="Times New Roman" w:hAnsi="Times New Roman" w:cs="Times New Roman"/>
            <w:color w:val="auto"/>
            <w:sz w:val="24"/>
            <w:szCs w:val="24"/>
            <w:u w:val="none"/>
          </w:rPr>
          <w:t>https://doi.org/10.17576/pengurusan-2018-51-04</w:t>
        </w:r>
      </w:hyperlink>
    </w:p>
    <w:p w14:paraId="2E6B7D5E" w14:textId="77777777" w:rsidR="00354D63" w:rsidRDefault="00354D63" w:rsidP="00354D63">
      <w:pPr>
        <w:spacing w:after="0" w:line="240" w:lineRule="auto"/>
        <w:jc w:val="both"/>
        <w:rPr>
          <w:rFonts w:ascii="Times New Roman" w:eastAsiaTheme="majorEastAsia" w:hAnsi="Times New Roman" w:cs="Times New Roman"/>
          <w:sz w:val="24"/>
          <w:szCs w:val="24"/>
        </w:rPr>
      </w:pPr>
    </w:p>
    <w:p w14:paraId="6CB55384" w14:textId="77777777" w:rsidR="00354D63" w:rsidRPr="00FA0787" w:rsidRDefault="00354D63" w:rsidP="00354D63">
      <w:pPr>
        <w:spacing w:after="0" w:line="240" w:lineRule="auto"/>
        <w:jc w:val="both"/>
        <w:rPr>
          <w:rFonts w:ascii="Times New Roman" w:eastAsiaTheme="majorEastAsia" w:hAnsi="Times New Roman" w:cs="Times New Roman"/>
          <w:sz w:val="24"/>
          <w:szCs w:val="24"/>
        </w:rPr>
      </w:pPr>
      <w:r w:rsidRPr="00FA0787">
        <w:rPr>
          <w:rFonts w:ascii="Times New Roman" w:eastAsiaTheme="majorEastAsia" w:hAnsi="Times New Roman" w:cs="Times New Roman"/>
          <w:sz w:val="24"/>
          <w:szCs w:val="24"/>
        </w:rPr>
        <w:t>ICAEW. 2010. The audit of related parties in practice. UK London.</w:t>
      </w:r>
    </w:p>
    <w:p w14:paraId="0351DD07" w14:textId="77777777" w:rsidR="00354D63" w:rsidRDefault="00354D63" w:rsidP="00354D63">
      <w:pPr>
        <w:autoSpaceDE w:val="0"/>
        <w:autoSpaceDN w:val="0"/>
        <w:adjustRightInd w:val="0"/>
        <w:spacing w:after="0" w:line="240" w:lineRule="auto"/>
        <w:jc w:val="both"/>
        <w:rPr>
          <w:rFonts w:ascii="Times New Roman" w:hAnsi="Times New Roman" w:cs="Times New Roman"/>
          <w:sz w:val="24"/>
          <w:szCs w:val="24"/>
        </w:rPr>
      </w:pPr>
    </w:p>
    <w:p w14:paraId="76990292" w14:textId="77777777" w:rsidR="00354D63" w:rsidRPr="00FA0787" w:rsidRDefault="00354D63" w:rsidP="00354D63">
      <w:pPr>
        <w:spacing w:after="0" w:line="240" w:lineRule="auto"/>
        <w:jc w:val="both"/>
        <w:rPr>
          <w:rFonts w:ascii="Times New Roman" w:hAnsi="Times New Roman" w:cs="Times New Roman"/>
          <w:sz w:val="24"/>
          <w:szCs w:val="24"/>
          <w:lang w:val="ms-MY"/>
        </w:rPr>
      </w:pPr>
      <w:r w:rsidRPr="00FA0787">
        <w:rPr>
          <w:rFonts w:ascii="Times New Roman" w:hAnsi="Times New Roman" w:cs="Times New Roman"/>
          <w:sz w:val="24"/>
          <w:szCs w:val="24"/>
          <w:lang w:val="ms-MY"/>
        </w:rPr>
        <w:t xml:space="preserve">Jensen, M.C. &amp; Meckling, W.H. 1976. Theory of the firm: Managerial behavior, agency costs </w:t>
      </w:r>
      <w:r w:rsidRPr="00FA0787">
        <w:rPr>
          <w:rFonts w:ascii="Times New Roman" w:hAnsi="Times New Roman" w:cs="Times New Roman"/>
          <w:sz w:val="24"/>
          <w:szCs w:val="24"/>
          <w:lang w:val="ms-MY"/>
        </w:rPr>
        <w:tab/>
        <w:t xml:space="preserve">and ownership structure. </w:t>
      </w:r>
      <w:r w:rsidRPr="00FA0787">
        <w:rPr>
          <w:rFonts w:ascii="Times New Roman" w:hAnsi="Times New Roman" w:cs="Times New Roman"/>
          <w:i/>
          <w:sz w:val="24"/>
          <w:szCs w:val="24"/>
          <w:lang w:val="ms-MY"/>
        </w:rPr>
        <w:t>Journal of Financial Economics</w:t>
      </w:r>
      <w:r w:rsidRPr="00FA0787">
        <w:rPr>
          <w:rFonts w:ascii="Times New Roman" w:hAnsi="Times New Roman" w:cs="Times New Roman"/>
          <w:sz w:val="24"/>
          <w:szCs w:val="24"/>
          <w:lang w:val="ms-MY"/>
        </w:rPr>
        <w:t xml:space="preserve"> 3: 305-360.</w:t>
      </w:r>
    </w:p>
    <w:p w14:paraId="6704A19C" w14:textId="77777777" w:rsidR="00354D63" w:rsidRDefault="00354D63" w:rsidP="00354D63">
      <w:pPr>
        <w:spacing w:after="0" w:line="240" w:lineRule="auto"/>
        <w:jc w:val="both"/>
        <w:rPr>
          <w:rFonts w:ascii="Times New Roman" w:hAnsi="Times New Roman" w:cs="Times New Roman"/>
          <w:sz w:val="24"/>
          <w:szCs w:val="24"/>
        </w:rPr>
      </w:pPr>
    </w:p>
    <w:p w14:paraId="37B8D748" w14:textId="77777777" w:rsidR="00354D63" w:rsidRPr="00FA0787" w:rsidRDefault="00354D63" w:rsidP="00354D63">
      <w:pPr>
        <w:spacing w:after="0" w:line="240" w:lineRule="auto"/>
        <w:jc w:val="both"/>
        <w:rPr>
          <w:rFonts w:ascii="Times New Roman" w:hAnsi="Times New Roman" w:cs="Times New Roman"/>
          <w:sz w:val="24"/>
          <w:szCs w:val="24"/>
          <w:lang w:val="ms-MY"/>
        </w:rPr>
      </w:pPr>
      <w:r w:rsidRPr="00FA0787">
        <w:rPr>
          <w:rFonts w:ascii="Times New Roman" w:hAnsi="Times New Roman" w:cs="Times New Roman"/>
          <w:sz w:val="24"/>
          <w:szCs w:val="24"/>
        </w:rPr>
        <w:t xml:space="preserve">Jian, M., &amp; Wong, T. J. 2010. Propping through related party transactions. </w:t>
      </w:r>
      <w:r w:rsidRPr="00FA0787">
        <w:rPr>
          <w:rFonts w:ascii="Times New Roman" w:hAnsi="Times New Roman" w:cs="Times New Roman"/>
          <w:i/>
          <w:sz w:val="24"/>
          <w:szCs w:val="24"/>
        </w:rPr>
        <w:t xml:space="preserve">Review of </w:t>
      </w:r>
      <w:r w:rsidRPr="00FA0787">
        <w:rPr>
          <w:rFonts w:ascii="Times New Roman" w:hAnsi="Times New Roman" w:cs="Times New Roman"/>
          <w:i/>
          <w:sz w:val="24"/>
          <w:szCs w:val="24"/>
        </w:rPr>
        <w:tab/>
        <w:t>Accounting Studies</w:t>
      </w:r>
      <w:r w:rsidRPr="00FA0787">
        <w:rPr>
          <w:rFonts w:ascii="Times New Roman" w:hAnsi="Times New Roman" w:cs="Times New Roman"/>
          <w:sz w:val="24"/>
          <w:szCs w:val="24"/>
        </w:rPr>
        <w:t xml:space="preserve"> 15(1): 70-105.</w:t>
      </w:r>
    </w:p>
    <w:p w14:paraId="4927B76D" w14:textId="77777777" w:rsidR="00354D63" w:rsidRDefault="00354D63" w:rsidP="00354D63">
      <w:pPr>
        <w:spacing w:after="0" w:line="240" w:lineRule="auto"/>
        <w:jc w:val="both"/>
        <w:rPr>
          <w:rFonts w:ascii="Times New Roman" w:hAnsi="Times New Roman" w:cs="Times New Roman"/>
          <w:sz w:val="24"/>
          <w:szCs w:val="24"/>
        </w:rPr>
      </w:pPr>
    </w:p>
    <w:p w14:paraId="13B4BB60" w14:textId="77777777" w:rsidR="00354D63" w:rsidRPr="00FA0787" w:rsidRDefault="00354D63" w:rsidP="00354D63">
      <w:pPr>
        <w:spacing w:after="0" w:line="240" w:lineRule="auto"/>
        <w:jc w:val="both"/>
        <w:rPr>
          <w:rFonts w:ascii="Times New Roman" w:hAnsi="Times New Roman" w:cs="Times New Roman"/>
          <w:sz w:val="24"/>
          <w:szCs w:val="24"/>
        </w:rPr>
      </w:pPr>
      <w:r w:rsidRPr="00FA0787">
        <w:rPr>
          <w:rFonts w:ascii="Times New Roman" w:hAnsi="Times New Roman" w:cs="Times New Roman"/>
          <w:sz w:val="24"/>
          <w:szCs w:val="24"/>
        </w:rPr>
        <w:t xml:space="preserve">Kang, M., Lee, H.Y., Lee, M.G. and Park, J.C. (2014), “The association between related-party </w:t>
      </w:r>
      <w:r>
        <w:rPr>
          <w:rFonts w:ascii="Times New Roman" w:hAnsi="Times New Roman" w:cs="Times New Roman"/>
          <w:sz w:val="24"/>
          <w:szCs w:val="24"/>
        </w:rPr>
        <w:tab/>
      </w:r>
      <w:r w:rsidRPr="00FA0787">
        <w:rPr>
          <w:rFonts w:ascii="Times New Roman" w:hAnsi="Times New Roman" w:cs="Times New Roman"/>
          <w:sz w:val="24"/>
          <w:szCs w:val="24"/>
        </w:rPr>
        <w:t xml:space="preserve">transactions and control–ownership wedge”, Pacific-Basin Finance Journal, Vol. 29, </w:t>
      </w:r>
      <w:r>
        <w:rPr>
          <w:rFonts w:ascii="Times New Roman" w:hAnsi="Times New Roman" w:cs="Times New Roman"/>
          <w:sz w:val="24"/>
          <w:szCs w:val="24"/>
        </w:rPr>
        <w:tab/>
      </w:r>
      <w:r w:rsidRPr="00FA0787">
        <w:rPr>
          <w:rFonts w:ascii="Times New Roman" w:hAnsi="Times New Roman" w:cs="Times New Roman"/>
          <w:sz w:val="24"/>
          <w:szCs w:val="24"/>
        </w:rPr>
        <w:t>pp. 272-296</w:t>
      </w:r>
    </w:p>
    <w:p w14:paraId="1784FF22" w14:textId="77777777" w:rsidR="00354D63" w:rsidRDefault="00354D63" w:rsidP="00354D63">
      <w:pPr>
        <w:spacing w:after="0" w:line="240" w:lineRule="auto"/>
        <w:jc w:val="both"/>
        <w:rPr>
          <w:rFonts w:ascii="Times New Roman" w:hAnsi="Times New Roman" w:cs="Times New Roman"/>
          <w:sz w:val="24"/>
          <w:szCs w:val="24"/>
        </w:rPr>
      </w:pPr>
    </w:p>
    <w:p w14:paraId="643C8A19" w14:textId="77777777" w:rsidR="00354D63" w:rsidRPr="00FA0787" w:rsidRDefault="00354D63" w:rsidP="00354D63">
      <w:pPr>
        <w:spacing w:after="0" w:line="240" w:lineRule="auto"/>
        <w:jc w:val="both"/>
        <w:rPr>
          <w:rFonts w:ascii="Times New Roman" w:hAnsi="Times New Roman" w:cs="Times New Roman"/>
          <w:sz w:val="24"/>
          <w:szCs w:val="24"/>
        </w:rPr>
      </w:pPr>
      <w:r w:rsidRPr="00FA0787">
        <w:rPr>
          <w:rFonts w:ascii="Times New Roman" w:hAnsi="Times New Roman" w:cs="Times New Roman"/>
          <w:sz w:val="24"/>
          <w:szCs w:val="24"/>
        </w:rPr>
        <w:t xml:space="preserve">Kohlbeck, M.J. &amp; Mayhew, B.W. (2010). Valuation of firms that disclose related party </w:t>
      </w:r>
      <w:r>
        <w:rPr>
          <w:rFonts w:ascii="Times New Roman" w:hAnsi="Times New Roman" w:cs="Times New Roman"/>
          <w:sz w:val="24"/>
          <w:szCs w:val="24"/>
        </w:rPr>
        <w:tab/>
      </w:r>
      <w:r w:rsidRPr="00FA0787">
        <w:rPr>
          <w:rFonts w:ascii="Times New Roman" w:hAnsi="Times New Roman" w:cs="Times New Roman"/>
          <w:sz w:val="24"/>
          <w:szCs w:val="24"/>
        </w:rPr>
        <w:t xml:space="preserve">transactions. </w:t>
      </w:r>
      <w:r w:rsidRPr="00FA0787">
        <w:rPr>
          <w:rFonts w:ascii="Times New Roman" w:hAnsi="Times New Roman" w:cs="Times New Roman"/>
          <w:i/>
          <w:sz w:val="24"/>
          <w:szCs w:val="24"/>
        </w:rPr>
        <w:t>Journal of Accounting and Public Policy</w:t>
      </w:r>
      <w:r w:rsidRPr="00FA0787">
        <w:rPr>
          <w:rFonts w:ascii="Times New Roman" w:hAnsi="Times New Roman" w:cs="Times New Roman"/>
          <w:sz w:val="24"/>
          <w:szCs w:val="24"/>
        </w:rPr>
        <w:t>, Vol. 29(2), 115-137.</w:t>
      </w:r>
    </w:p>
    <w:p w14:paraId="018ADD9E" w14:textId="77777777" w:rsidR="00354D63" w:rsidRDefault="00354D63" w:rsidP="00354D63">
      <w:pPr>
        <w:spacing w:after="0" w:line="240" w:lineRule="auto"/>
        <w:jc w:val="both"/>
        <w:rPr>
          <w:rFonts w:ascii="Times New Roman" w:hAnsi="Times New Roman" w:cs="Times New Roman"/>
          <w:sz w:val="24"/>
          <w:szCs w:val="24"/>
        </w:rPr>
      </w:pPr>
    </w:p>
    <w:p w14:paraId="4764A587" w14:textId="77777777" w:rsidR="00354D63" w:rsidRPr="00FA0787" w:rsidRDefault="00354D63" w:rsidP="00354D63">
      <w:pPr>
        <w:spacing w:after="0" w:line="240" w:lineRule="auto"/>
        <w:jc w:val="both"/>
        <w:rPr>
          <w:rFonts w:ascii="Times New Roman" w:hAnsi="Times New Roman" w:cs="Times New Roman"/>
          <w:sz w:val="24"/>
          <w:szCs w:val="24"/>
        </w:rPr>
      </w:pPr>
      <w:r w:rsidRPr="00FA0787">
        <w:rPr>
          <w:rFonts w:ascii="Times New Roman" w:hAnsi="Times New Roman" w:cs="Times New Roman"/>
          <w:sz w:val="24"/>
          <w:szCs w:val="24"/>
        </w:rPr>
        <w:t xml:space="preserve">Krishnan, G.V., 2003. Does big 6 auditor industry expertise constrain earnings management? </w:t>
      </w:r>
      <w:r>
        <w:rPr>
          <w:rFonts w:ascii="Times New Roman" w:hAnsi="Times New Roman" w:cs="Times New Roman"/>
          <w:sz w:val="24"/>
          <w:szCs w:val="24"/>
        </w:rPr>
        <w:tab/>
      </w:r>
      <w:r w:rsidRPr="00FA0787">
        <w:rPr>
          <w:rFonts w:ascii="Times New Roman" w:hAnsi="Times New Roman" w:cs="Times New Roman"/>
          <w:sz w:val="24"/>
          <w:szCs w:val="24"/>
        </w:rPr>
        <w:t>Accounting Horizons (Suppl.), 1–16.</w:t>
      </w:r>
    </w:p>
    <w:p w14:paraId="7B2F0F8C" w14:textId="77777777" w:rsidR="00354D63" w:rsidRDefault="00354D63" w:rsidP="00354D63">
      <w:pPr>
        <w:spacing w:after="0" w:line="240" w:lineRule="auto"/>
        <w:jc w:val="both"/>
        <w:rPr>
          <w:rFonts w:ascii="Times New Roman" w:hAnsi="Times New Roman" w:cs="Times New Roman"/>
          <w:sz w:val="24"/>
          <w:szCs w:val="24"/>
        </w:rPr>
      </w:pPr>
    </w:p>
    <w:p w14:paraId="57745B8E" w14:textId="77777777" w:rsidR="00354D63" w:rsidRPr="00FA0787" w:rsidRDefault="00354D63" w:rsidP="00354D63">
      <w:pPr>
        <w:spacing w:after="0" w:line="240" w:lineRule="auto"/>
        <w:jc w:val="both"/>
        <w:rPr>
          <w:rFonts w:ascii="Times New Roman" w:hAnsi="Times New Roman" w:cs="Times New Roman"/>
          <w:sz w:val="24"/>
          <w:szCs w:val="24"/>
        </w:rPr>
      </w:pPr>
      <w:r w:rsidRPr="00FA0787">
        <w:rPr>
          <w:rFonts w:ascii="Times New Roman" w:hAnsi="Times New Roman" w:cs="Times New Roman"/>
          <w:sz w:val="24"/>
          <w:szCs w:val="24"/>
        </w:rPr>
        <w:t xml:space="preserve">Kwon, S. Y., C. Y. Lem, and P. Tan. 2007. Legal systems and earnings quality: The role of </w:t>
      </w:r>
      <w:r w:rsidRPr="00FA0787">
        <w:rPr>
          <w:rFonts w:ascii="Times New Roman" w:hAnsi="Times New Roman" w:cs="Times New Roman"/>
          <w:sz w:val="24"/>
          <w:szCs w:val="24"/>
        </w:rPr>
        <w:tab/>
        <w:t xml:space="preserve">auditor industry specialization. </w:t>
      </w:r>
      <w:r w:rsidRPr="00FA0787">
        <w:rPr>
          <w:rFonts w:ascii="Times New Roman" w:hAnsi="Times New Roman" w:cs="Times New Roman"/>
          <w:i/>
          <w:sz w:val="24"/>
          <w:szCs w:val="24"/>
        </w:rPr>
        <w:t>Auditing: A Journal of Practice &amp; Theory</w:t>
      </w:r>
      <w:r w:rsidRPr="00FA0787">
        <w:rPr>
          <w:rFonts w:ascii="Times New Roman" w:hAnsi="Times New Roman" w:cs="Times New Roman"/>
          <w:sz w:val="24"/>
          <w:szCs w:val="24"/>
        </w:rPr>
        <w:t xml:space="preserve"> 26 </w:t>
      </w:r>
      <w:r w:rsidRPr="00FA0787">
        <w:rPr>
          <w:rFonts w:ascii="Times New Roman" w:hAnsi="Times New Roman" w:cs="Times New Roman"/>
          <w:sz w:val="24"/>
          <w:szCs w:val="24"/>
        </w:rPr>
        <w:tab/>
        <w:t>(November): 25–55.</w:t>
      </w:r>
    </w:p>
    <w:p w14:paraId="25E92D6E" w14:textId="77777777" w:rsidR="00354D63" w:rsidRDefault="00354D63" w:rsidP="00354D63">
      <w:pPr>
        <w:spacing w:after="0" w:line="240" w:lineRule="auto"/>
        <w:jc w:val="both"/>
        <w:rPr>
          <w:rFonts w:ascii="Times New Roman" w:hAnsi="Times New Roman" w:cs="Times New Roman"/>
          <w:sz w:val="24"/>
          <w:szCs w:val="24"/>
        </w:rPr>
      </w:pPr>
    </w:p>
    <w:p w14:paraId="7D809C70" w14:textId="77777777" w:rsidR="00354D63" w:rsidRPr="00FA0787" w:rsidRDefault="00354D63" w:rsidP="00354D63">
      <w:pPr>
        <w:spacing w:after="0" w:line="240" w:lineRule="auto"/>
        <w:jc w:val="both"/>
        <w:rPr>
          <w:rFonts w:ascii="Times New Roman" w:hAnsi="Times New Roman" w:cs="Times New Roman"/>
          <w:sz w:val="24"/>
          <w:szCs w:val="24"/>
        </w:rPr>
      </w:pPr>
      <w:r w:rsidRPr="00FA0787">
        <w:rPr>
          <w:rFonts w:ascii="Times New Roman" w:hAnsi="Times New Roman" w:cs="Times New Roman"/>
          <w:sz w:val="24"/>
          <w:szCs w:val="24"/>
        </w:rPr>
        <w:t xml:space="preserve">Malaysia Financial Reporting Standards (MFRS) 124 </w:t>
      </w:r>
      <w:r w:rsidRPr="00FA0787">
        <w:rPr>
          <w:rFonts w:ascii="Times New Roman" w:hAnsi="Times New Roman" w:cs="Times New Roman"/>
          <w:i/>
          <w:sz w:val="24"/>
          <w:szCs w:val="24"/>
        </w:rPr>
        <w:t>Related Party Disclosures.</w:t>
      </w:r>
    </w:p>
    <w:p w14:paraId="49FE7FD4" w14:textId="77777777" w:rsidR="00354D63" w:rsidRDefault="00354D63" w:rsidP="00354D63">
      <w:pPr>
        <w:spacing w:after="0" w:line="240" w:lineRule="auto"/>
        <w:ind w:right="240"/>
        <w:jc w:val="both"/>
        <w:outlineLvl w:val="2"/>
        <w:rPr>
          <w:rFonts w:ascii="Times New Roman" w:eastAsia="Times New Roman" w:hAnsi="Times New Roman" w:cs="Times New Roman"/>
          <w:sz w:val="24"/>
          <w:szCs w:val="24"/>
          <w:lang w:eastAsia="en-MY"/>
        </w:rPr>
      </w:pPr>
    </w:p>
    <w:p w14:paraId="437ACDB2" w14:textId="77777777" w:rsidR="00354D63" w:rsidRPr="00FA0787" w:rsidRDefault="00354D63" w:rsidP="00354D63">
      <w:pPr>
        <w:spacing w:after="0" w:line="240" w:lineRule="auto"/>
        <w:ind w:right="240"/>
        <w:jc w:val="both"/>
        <w:outlineLvl w:val="2"/>
        <w:rPr>
          <w:rFonts w:ascii="Times New Roman" w:hAnsi="Times New Roman" w:cs="Times New Roman"/>
          <w:sz w:val="24"/>
          <w:szCs w:val="24"/>
        </w:rPr>
      </w:pPr>
      <w:r w:rsidRPr="00FA0787">
        <w:rPr>
          <w:rFonts w:ascii="Times New Roman" w:eastAsia="Times New Roman" w:hAnsi="Times New Roman" w:cs="Times New Roman"/>
          <w:sz w:val="24"/>
          <w:szCs w:val="24"/>
          <w:lang w:eastAsia="en-MY"/>
        </w:rPr>
        <w:lastRenderedPageBreak/>
        <w:t xml:space="preserve">Md Nor, H. &amp; Ku Ismail, K. N. I. 2017. The Moderating Effects of Independent Directors’ </w:t>
      </w:r>
      <w:r>
        <w:rPr>
          <w:rFonts w:ascii="Times New Roman" w:eastAsia="Times New Roman" w:hAnsi="Times New Roman" w:cs="Times New Roman"/>
          <w:sz w:val="24"/>
          <w:szCs w:val="24"/>
          <w:lang w:eastAsia="en-MY"/>
        </w:rPr>
        <w:tab/>
      </w:r>
      <w:r w:rsidRPr="00FA0787">
        <w:rPr>
          <w:rFonts w:ascii="Times New Roman" w:eastAsia="Times New Roman" w:hAnsi="Times New Roman" w:cs="Times New Roman"/>
          <w:sz w:val="24"/>
          <w:szCs w:val="24"/>
          <w:lang w:eastAsia="en-MY"/>
        </w:rPr>
        <w:t xml:space="preserve">Human Capital on the Relationship between Related Party Transactions and Firm </w:t>
      </w:r>
      <w:r>
        <w:rPr>
          <w:rFonts w:ascii="Times New Roman" w:eastAsia="Times New Roman" w:hAnsi="Times New Roman" w:cs="Times New Roman"/>
          <w:sz w:val="24"/>
          <w:szCs w:val="24"/>
          <w:lang w:eastAsia="en-MY"/>
        </w:rPr>
        <w:tab/>
      </w:r>
      <w:r w:rsidRPr="00FA0787">
        <w:rPr>
          <w:rFonts w:ascii="Times New Roman" w:eastAsia="Times New Roman" w:hAnsi="Times New Roman" w:cs="Times New Roman"/>
          <w:sz w:val="24"/>
          <w:szCs w:val="24"/>
          <w:lang w:eastAsia="en-MY"/>
        </w:rPr>
        <w:t xml:space="preserve">Performance: Evidence from Malaysia. Jurnal Pengurusan, </w:t>
      </w:r>
      <w:r w:rsidRPr="00FA0787">
        <w:rPr>
          <w:rFonts w:ascii="Times New Roman" w:hAnsi="Times New Roman" w:cs="Times New Roman"/>
          <w:sz w:val="24"/>
          <w:szCs w:val="24"/>
        </w:rPr>
        <w:t xml:space="preserve">51(2017) 37 – 52. </w:t>
      </w:r>
    </w:p>
    <w:p w14:paraId="5931EBCC" w14:textId="77777777" w:rsidR="00354D63" w:rsidRDefault="00354D63" w:rsidP="00354D63">
      <w:pPr>
        <w:spacing w:after="0" w:line="240" w:lineRule="auto"/>
        <w:jc w:val="both"/>
        <w:rPr>
          <w:rFonts w:ascii="Times New Roman" w:hAnsi="Times New Roman" w:cs="Times New Roman"/>
          <w:sz w:val="24"/>
          <w:szCs w:val="24"/>
        </w:rPr>
      </w:pPr>
    </w:p>
    <w:p w14:paraId="6B2FCB8C" w14:textId="430C8436" w:rsidR="00354D63" w:rsidRDefault="00354D63" w:rsidP="00354D63">
      <w:pPr>
        <w:spacing w:after="0" w:line="240" w:lineRule="auto"/>
        <w:jc w:val="both"/>
        <w:rPr>
          <w:rStyle w:val="Hyperlink"/>
          <w:rFonts w:ascii="Times New Roman" w:hAnsi="Times New Roman" w:cs="Times New Roman"/>
          <w:color w:val="auto"/>
          <w:sz w:val="24"/>
          <w:szCs w:val="24"/>
          <w:u w:val="none"/>
        </w:rPr>
      </w:pPr>
      <w:r w:rsidRPr="00FA0787">
        <w:rPr>
          <w:rFonts w:ascii="Times New Roman" w:hAnsi="Times New Roman" w:cs="Times New Roman"/>
          <w:sz w:val="24"/>
          <w:szCs w:val="24"/>
        </w:rPr>
        <w:t xml:space="preserve">Mohd Kharuddin, K. A., Basioudis, I. G. &amp; Al Farooque, O. 2021. Effects of the Big 4 national </w:t>
      </w:r>
      <w:r>
        <w:rPr>
          <w:rFonts w:ascii="Times New Roman" w:hAnsi="Times New Roman" w:cs="Times New Roman"/>
          <w:sz w:val="24"/>
          <w:szCs w:val="24"/>
        </w:rPr>
        <w:tab/>
      </w:r>
      <w:r w:rsidRPr="00FA0787">
        <w:rPr>
          <w:rFonts w:ascii="Times New Roman" w:hAnsi="Times New Roman" w:cs="Times New Roman"/>
          <w:sz w:val="24"/>
          <w:szCs w:val="24"/>
        </w:rPr>
        <w:t xml:space="preserve">and city-level industry expertise on audit quality in the United Kingdom. </w:t>
      </w:r>
      <w:r w:rsidRPr="00FA0787">
        <w:rPr>
          <w:rFonts w:ascii="Times New Roman" w:hAnsi="Times New Roman" w:cs="Times New Roman"/>
          <w:i/>
          <w:sz w:val="24"/>
          <w:szCs w:val="24"/>
        </w:rPr>
        <w:t xml:space="preserve">Journal of </w:t>
      </w:r>
      <w:r>
        <w:rPr>
          <w:rFonts w:ascii="Times New Roman" w:hAnsi="Times New Roman" w:cs="Times New Roman"/>
          <w:i/>
          <w:sz w:val="24"/>
          <w:szCs w:val="24"/>
        </w:rPr>
        <w:tab/>
      </w:r>
      <w:r w:rsidRPr="00FA0787">
        <w:rPr>
          <w:rFonts w:ascii="Times New Roman" w:hAnsi="Times New Roman" w:cs="Times New Roman"/>
          <w:i/>
          <w:sz w:val="24"/>
          <w:szCs w:val="24"/>
        </w:rPr>
        <w:t xml:space="preserve">International Accounting, Auditing and Taxation </w:t>
      </w:r>
      <w:r w:rsidRPr="00FA0787">
        <w:rPr>
          <w:rFonts w:ascii="Times New Roman" w:hAnsi="Times New Roman" w:cs="Times New Roman"/>
          <w:sz w:val="24"/>
          <w:szCs w:val="24"/>
        </w:rPr>
        <w:t xml:space="preserve">43. </w:t>
      </w:r>
      <w:r>
        <w:rPr>
          <w:rFonts w:ascii="Times New Roman" w:hAnsi="Times New Roman" w:cs="Times New Roman"/>
          <w:sz w:val="24"/>
          <w:szCs w:val="24"/>
        </w:rPr>
        <w:tab/>
      </w:r>
      <w:hyperlink r:id="rId9" w:history="1">
        <w:r w:rsidRPr="003E6DC5">
          <w:rPr>
            <w:rStyle w:val="Hyperlink"/>
            <w:rFonts w:ascii="Times New Roman" w:hAnsi="Times New Roman" w:cs="Times New Roman"/>
            <w:color w:val="auto"/>
            <w:sz w:val="24"/>
            <w:szCs w:val="24"/>
            <w:u w:val="none"/>
          </w:rPr>
          <w:t>https://doi.org/10.1016/j.intaccaudtax.2021.100398</w:t>
        </w:r>
      </w:hyperlink>
    </w:p>
    <w:p w14:paraId="5238E3A8" w14:textId="6B828E47" w:rsidR="00570B91" w:rsidRDefault="00570B91" w:rsidP="00354D63">
      <w:pPr>
        <w:spacing w:after="0" w:line="240" w:lineRule="auto"/>
        <w:jc w:val="both"/>
        <w:rPr>
          <w:rStyle w:val="Hyperlink"/>
          <w:rFonts w:ascii="Times New Roman" w:hAnsi="Times New Roman" w:cs="Times New Roman"/>
          <w:color w:val="auto"/>
          <w:sz w:val="24"/>
          <w:szCs w:val="24"/>
          <w:u w:val="none"/>
        </w:rPr>
      </w:pPr>
    </w:p>
    <w:p w14:paraId="0A99295D" w14:textId="13C07276" w:rsidR="00570B91" w:rsidRPr="003E6DC5" w:rsidRDefault="00570B91" w:rsidP="00354D63">
      <w:pPr>
        <w:spacing w:after="0" w:line="240" w:lineRule="auto"/>
        <w:jc w:val="both"/>
        <w:rPr>
          <w:rStyle w:val="Hyperlink"/>
          <w:rFonts w:ascii="Times New Roman" w:hAnsi="Times New Roman" w:cs="Times New Roman"/>
          <w:color w:val="auto"/>
          <w:sz w:val="24"/>
          <w:szCs w:val="24"/>
          <w:u w:val="none"/>
        </w:rPr>
      </w:pPr>
      <w:r w:rsidRPr="00273BA7">
        <w:rPr>
          <w:rFonts w:ascii="Times New Roman" w:hAnsi="Times New Roman" w:cs="Times New Roman"/>
          <w:sz w:val="24"/>
          <w:szCs w:val="24"/>
        </w:rPr>
        <w:t>Montgomery, D.C. &amp; Peck, L.A. 1982. Introduction to Linear R</w:t>
      </w:r>
      <w:r>
        <w:rPr>
          <w:rFonts w:ascii="Times New Roman" w:hAnsi="Times New Roman" w:cs="Times New Roman"/>
          <w:sz w:val="24"/>
          <w:szCs w:val="24"/>
        </w:rPr>
        <w:t xml:space="preserve">egression Analysis. John Wiley </w:t>
      </w:r>
      <w:r>
        <w:rPr>
          <w:rFonts w:ascii="Times New Roman" w:hAnsi="Times New Roman" w:cs="Times New Roman"/>
          <w:sz w:val="24"/>
          <w:szCs w:val="24"/>
        </w:rPr>
        <w:tab/>
      </w:r>
      <w:r w:rsidRPr="00273BA7">
        <w:rPr>
          <w:rFonts w:ascii="Times New Roman" w:hAnsi="Times New Roman" w:cs="Times New Roman"/>
          <w:sz w:val="24"/>
          <w:szCs w:val="24"/>
        </w:rPr>
        <w:t xml:space="preserve">and Sons, New York. </w:t>
      </w:r>
    </w:p>
    <w:p w14:paraId="23A09CEB" w14:textId="77777777" w:rsidR="00354D63" w:rsidRDefault="00354D63" w:rsidP="00354D63">
      <w:pPr>
        <w:spacing w:after="0" w:line="240" w:lineRule="auto"/>
        <w:jc w:val="both"/>
        <w:rPr>
          <w:rFonts w:ascii="Times New Roman" w:hAnsi="Times New Roman" w:cs="Times New Roman"/>
          <w:sz w:val="24"/>
          <w:szCs w:val="24"/>
        </w:rPr>
      </w:pPr>
    </w:p>
    <w:p w14:paraId="63B09BF1" w14:textId="34680901" w:rsidR="00354D63" w:rsidRDefault="00354D63" w:rsidP="00354D63">
      <w:pPr>
        <w:spacing w:after="0" w:line="240" w:lineRule="auto"/>
        <w:jc w:val="both"/>
        <w:rPr>
          <w:rFonts w:ascii="Times New Roman" w:hAnsi="Times New Roman" w:cs="Times New Roman"/>
          <w:sz w:val="24"/>
          <w:szCs w:val="24"/>
        </w:rPr>
      </w:pPr>
      <w:r w:rsidRPr="00FA0787">
        <w:rPr>
          <w:rFonts w:ascii="Times New Roman" w:hAnsi="Times New Roman" w:cs="Times New Roman"/>
          <w:sz w:val="24"/>
          <w:szCs w:val="24"/>
        </w:rPr>
        <w:t xml:space="preserve">Munir, S., Mohd Salleh, N., Jaafar, R. and Yatim, P. (2013), “Family Ownership, Related-Party </w:t>
      </w:r>
      <w:r>
        <w:rPr>
          <w:rFonts w:ascii="Times New Roman" w:hAnsi="Times New Roman" w:cs="Times New Roman"/>
          <w:sz w:val="24"/>
          <w:szCs w:val="24"/>
        </w:rPr>
        <w:tab/>
      </w:r>
      <w:r w:rsidRPr="00FA0787">
        <w:rPr>
          <w:rFonts w:ascii="Times New Roman" w:hAnsi="Times New Roman" w:cs="Times New Roman"/>
          <w:sz w:val="24"/>
          <w:szCs w:val="24"/>
        </w:rPr>
        <w:t xml:space="preserve">Transactions and Earnings Quality”, Asian Academy of Management Journal of </w:t>
      </w:r>
      <w:r>
        <w:rPr>
          <w:rFonts w:ascii="Times New Roman" w:hAnsi="Times New Roman" w:cs="Times New Roman"/>
          <w:sz w:val="24"/>
          <w:szCs w:val="24"/>
        </w:rPr>
        <w:tab/>
      </w:r>
      <w:r w:rsidRPr="00FA0787">
        <w:rPr>
          <w:rFonts w:ascii="Times New Roman" w:hAnsi="Times New Roman" w:cs="Times New Roman"/>
          <w:sz w:val="24"/>
          <w:szCs w:val="24"/>
        </w:rPr>
        <w:t>Accouting and Finance, Vol. 9, No. 1, pp. 129-153.</w:t>
      </w:r>
    </w:p>
    <w:p w14:paraId="162E479A" w14:textId="087DA96E" w:rsidR="00570B91" w:rsidRDefault="00570B91" w:rsidP="00354D63">
      <w:pPr>
        <w:spacing w:after="0" w:line="240" w:lineRule="auto"/>
        <w:jc w:val="both"/>
        <w:rPr>
          <w:rFonts w:ascii="Times New Roman" w:hAnsi="Times New Roman" w:cs="Times New Roman"/>
          <w:sz w:val="24"/>
          <w:szCs w:val="24"/>
        </w:rPr>
      </w:pPr>
    </w:p>
    <w:p w14:paraId="57D98334" w14:textId="2B249327" w:rsidR="00570B91" w:rsidRPr="00FA0787" w:rsidRDefault="00570B91" w:rsidP="00354D63">
      <w:pPr>
        <w:spacing w:after="0" w:line="240" w:lineRule="auto"/>
        <w:jc w:val="both"/>
        <w:rPr>
          <w:rFonts w:ascii="Times New Roman" w:hAnsi="Times New Roman" w:cs="Times New Roman"/>
          <w:sz w:val="24"/>
          <w:szCs w:val="24"/>
        </w:rPr>
      </w:pPr>
      <w:r w:rsidRPr="00273BA7">
        <w:rPr>
          <w:rFonts w:ascii="Times New Roman" w:hAnsi="Times New Roman" w:cs="Times New Roman"/>
          <w:sz w:val="24"/>
          <w:szCs w:val="24"/>
        </w:rPr>
        <w:t>Neter, J., Kutner, M.A., Nachtsheim, C.J. &amp; Wasserman, W. 19</w:t>
      </w:r>
      <w:r>
        <w:rPr>
          <w:rFonts w:ascii="Times New Roman" w:hAnsi="Times New Roman" w:cs="Times New Roman"/>
          <w:sz w:val="24"/>
          <w:szCs w:val="24"/>
        </w:rPr>
        <w:t xml:space="preserve">96. Applied Linear Statistical </w:t>
      </w:r>
      <w:r>
        <w:rPr>
          <w:rFonts w:ascii="Times New Roman" w:hAnsi="Times New Roman" w:cs="Times New Roman"/>
          <w:sz w:val="24"/>
          <w:szCs w:val="24"/>
        </w:rPr>
        <w:tab/>
      </w:r>
      <w:r w:rsidRPr="00273BA7">
        <w:rPr>
          <w:rFonts w:ascii="Times New Roman" w:hAnsi="Times New Roman" w:cs="Times New Roman"/>
          <w:sz w:val="24"/>
          <w:szCs w:val="24"/>
        </w:rPr>
        <w:t xml:space="preserve">Models. Edisi ke-4. Chicago, IL: Irwin. </w:t>
      </w:r>
    </w:p>
    <w:p w14:paraId="095B4BB7" w14:textId="77777777" w:rsidR="00354D63" w:rsidRDefault="00354D63" w:rsidP="00354D63">
      <w:pPr>
        <w:spacing w:after="0" w:line="240" w:lineRule="auto"/>
        <w:jc w:val="both"/>
        <w:rPr>
          <w:rFonts w:ascii="Times New Roman" w:hAnsi="Times New Roman" w:cs="Times New Roman"/>
          <w:sz w:val="24"/>
          <w:szCs w:val="24"/>
        </w:rPr>
      </w:pPr>
    </w:p>
    <w:p w14:paraId="0E7452D2" w14:textId="77777777" w:rsidR="00354D63" w:rsidRPr="00FA0787" w:rsidRDefault="00354D63" w:rsidP="00354D63">
      <w:pPr>
        <w:spacing w:after="0" w:line="240" w:lineRule="auto"/>
        <w:jc w:val="both"/>
        <w:rPr>
          <w:rFonts w:ascii="Times New Roman" w:hAnsi="Times New Roman" w:cs="Times New Roman"/>
          <w:sz w:val="24"/>
          <w:szCs w:val="24"/>
        </w:rPr>
      </w:pPr>
      <w:r w:rsidRPr="00FA0787">
        <w:rPr>
          <w:rFonts w:ascii="Times New Roman" w:hAnsi="Times New Roman" w:cs="Times New Roman"/>
          <w:sz w:val="24"/>
          <w:szCs w:val="24"/>
        </w:rPr>
        <w:t>Norman Mohd Saleh. 2018.</w:t>
      </w:r>
      <w:r w:rsidRPr="00FA0787">
        <w:rPr>
          <w:rFonts w:ascii="Times New Roman" w:hAnsi="Times New Roman" w:cs="Times New Roman"/>
          <w:i/>
          <w:sz w:val="24"/>
          <w:szCs w:val="24"/>
        </w:rPr>
        <w:t xml:space="preserve"> Pelaporan dan jurang maklumat korporat di Malaysia</w:t>
      </w:r>
      <w:r w:rsidRPr="00FA0787">
        <w:rPr>
          <w:rFonts w:ascii="Times New Roman" w:hAnsi="Times New Roman" w:cs="Times New Roman"/>
          <w:sz w:val="24"/>
          <w:szCs w:val="24"/>
        </w:rPr>
        <w:t xml:space="preserve">. Norman </w:t>
      </w:r>
      <w:r w:rsidRPr="00FA0787">
        <w:rPr>
          <w:rFonts w:ascii="Times New Roman" w:hAnsi="Times New Roman" w:cs="Times New Roman"/>
          <w:sz w:val="24"/>
          <w:szCs w:val="24"/>
        </w:rPr>
        <w:tab/>
        <w:t xml:space="preserve">Mohd Saleh, Zaini Embong &amp; Romlah Jaffar. Bangi, Selangor: Penerbit Universiti </w:t>
      </w:r>
      <w:r w:rsidRPr="00FA0787">
        <w:rPr>
          <w:rFonts w:ascii="Times New Roman" w:hAnsi="Times New Roman" w:cs="Times New Roman"/>
          <w:sz w:val="24"/>
          <w:szCs w:val="24"/>
        </w:rPr>
        <w:tab/>
        <w:t>Kebangsaan Malaysia. pp 37-67.</w:t>
      </w:r>
    </w:p>
    <w:p w14:paraId="1F9A03A1" w14:textId="77777777" w:rsidR="00354D63" w:rsidRDefault="00354D63" w:rsidP="00354D63">
      <w:pPr>
        <w:spacing w:after="0" w:line="240" w:lineRule="auto"/>
        <w:jc w:val="both"/>
        <w:rPr>
          <w:rFonts w:ascii="Times New Roman" w:hAnsi="Times New Roman" w:cs="Times New Roman"/>
          <w:sz w:val="24"/>
          <w:szCs w:val="24"/>
        </w:rPr>
      </w:pPr>
    </w:p>
    <w:p w14:paraId="7289F9F2" w14:textId="77777777" w:rsidR="00354D63" w:rsidRPr="00FA0787" w:rsidRDefault="00354D63" w:rsidP="00354D63">
      <w:pPr>
        <w:spacing w:after="0" w:line="240" w:lineRule="auto"/>
        <w:jc w:val="both"/>
        <w:rPr>
          <w:rFonts w:ascii="Times New Roman" w:hAnsi="Times New Roman" w:cs="Times New Roman"/>
          <w:iCs/>
          <w:sz w:val="24"/>
          <w:szCs w:val="24"/>
        </w:rPr>
      </w:pPr>
      <w:r w:rsidRPr="00FA0787">
        <w:rPr>
          <w:rFonts w:ascii="Times New Roman" w:hAnsi="Times New Roman" w:cs="Times New Roman"/>
          <w:sz w:val="24"/>
          <w:szCs w:val="24"/>
        </w:rPr>
        <w:t>Owhoso, V. E., Messier, Jr., W. F., &amp; Lynch, Jr., J. G. 2002. </w:t>
      </w:r>
      <w:r w:rsidRPr="00FA0787">
        <w:rPr>
          <w:rFonts w:ascii="Times New Roman" w:hAnsi="Times New Roman" w:cs="Times New Roman"/>
          <w:iCs/>
          <w:sz w:val="24"/>
          <w:szCs w:val="24"/>
        </w:rPr>
        <w:t>Error Detection by Industry-</w:t>
      </w:r>
      <w:r w:rsidRPr="00FA0787">
        <w:rPr>
          <w:rFonts w:ascii="Times New Roman" w:hAnsi="Times New Roman" w:cs="Times New Roman"/>
          <w:iCs/>
          <w:sz w:val="24"/>
          <w:szCs w:val="24"/>
        </w:rPr>
        <w:tab/>
        <w:t>Specialized Teams during Sequential Audit Review</w:t>
      </w:r>
      <w:r w:rsidRPr="00FA0787">
        <w:rPr>
          <w:rFonts w:ascii="Times New Roman" w:hAnsi="Times New Roman" w:cs="Times New Roman"/>
          <w:i/>
          <w:iCs/>
          <w:sz w:val="24"/>
          <w:szCs w:val="24"/>
        </w:rPr>
        <w:t xml:space="preserve">. Journal of Accounting Research </w:t>
      </w:r>
      <w:r w:rsidRPr="00FA0787">
        <w:rPr>
          <w:rFonts w:ascii="Times New Roman" w:hAnsi="Times New Roman" w:cs="Times New Roman"/>
          <w:i/>
          <w:iCs/>
          <w:sz w:val="24"/>
          <w:szCs w:val="24"/>
        </w:rPr>
        <w:tab/>
      </w:r>
      <w:r w:rsidRPr="00FA0787">
        <w:rPr>
          <w:rFonts w:ascii="Times New Roman" w:hAnsi="Times New Roman" w:cs="Times New Roman"/>
          <w:iCs/>
          <w:sz w:val="24"/>
          <w:szCs w:val="24"/>
        </w:rPr>
        <w:t>40(3): 883–900.</w:t>
      </w:r>
    </w:p>
    <w:p w14:paraId="3246BD8A" w14:textId="77777777" w:rsidR="00354D63" w:rsidRDefault="00354D63" w:rsidP="00354D63">
      <w:pPr>
        <w:spacing w:after="0" w:line="240" w:lineRule="auto"/>
        <w:jc w:val="both"/>
        <w:rPr>
          <w:rFonts w:ascii="Times New Roman" w:hAnsi="Times New Roman" w:cs="Times New Roman"/>
          <w:sz w:val="24"/>
          <w:szCs w:val="24"/>
        </w:rPr>
      </w:pPr>
    </w:p>
    <w:p w14:paraId="5EE21E17" w14:textId="77777777" w:rsidR="00354D63" w:rsidRPr="00FA0787" w:rsidRDefault="00354D63" w:rsidP="00354D63">
      <w:pPr>
        <w:spacing w:after="0" w:line="240" w:lineRule="auto"/>
        <w:jc w:val="both"/>
        <w:rPr>
          <w:rFonts w:ascii="Times New Roman" w:hAnsi="Times New Roman" w:cs="Times New Roman"/>
          <w:sz w:val="24"/>
          <w:szCs w:val="24"/>
        </w:rPr>
      </w:pPr>
      <w:r w:rsidRPr="00FA0787">
        <w:rPr>
          <w:rFonts w:ascii="Times New Roman" w:hAnsi="Times New Roman" w:cs="Times New Roman"/>
          <w:sz w:val="24"/>
          <w:szCs w:val="24"/>
        </w:rPr>
        <w:t xml:space="preserve">Pong, C.K.M. 1999. Auditor concentration: a replication and extension for the UK audit </w:t>
      </w:r>
      <w:r w:rsidRPr="00FA0787">
        <w:rPr>
          <w:rFonts w:ascii="Times New Roman" w:hAnsi="Times New Roman" w:cs="Times New Roman"/>
          <w:sz w:val="24"/>
          <w:szCs w:val="24"/>
        </w:rPr>
        <w:tab/>
        <w:t xml:space="preserve">market 1991–1995. </w:t>
      </w:r>
      <w:r w:rsidRPr="00FA0787">
        <w:rPr>
          <w:rFonts w:ascii="Times New Roman" w:hAnsi="Times New Roman" w:cs="Times New Roman"/>
          <w:i/>
          <w:iCs/>
          <w:sz w:val="24"/>
          <w:szCs w:val="24"/>
        </w:rPr>
        <w:t xml:space="preserve">Journal of Business Finance and Accounting </w:t>
      </w:r>
      <w:r w:rsidRPr="00FA0787">
        <w:rPr>
          <w:rFonts w:ascii="Times New Roman" w:hAnsi="Times New Roman" w:cs="Times New Roman"/>
          <w:sz w:val="24"/>
          <w:szCs w:val="24"/>
        </w:rPr>
        <w:t xml:space="preserve">Vol. 26, Nos. 3 and </w:t>
      </w:r>
      <w:r w:rsidRPr="00FA0787">
        <w:rPr>
          <w:rFonts w:ascii="Times New Roman" w:hAnsi="Times New Roman" w:cs="Times New Roman"/>
          <w:sz w:val="24"/>
          <w:szCs w:val="24"/>
        </w:rPr>
        <w:tab/>
        <w:t>4: 451–475.</w:t>
      </w:r>
    </w:p>
    <w:p w14:paraId="23A932B9" w14:textId="77777777" w:rsidR="00354D63" w:rsidRDefault="00354D63" w:rsidP="00354D63">
      <w:pPr>
        <w:spacing w:after="0" w:line="240" w:lineRule="auto"/>
        <w:jc w:val="both"/>
        <w:rPr>
          <w:rFonts w:ascii="Times New Roman" w:hAnsi="Times New Roman" w:cs="Times New Roman"/>
          <w:sz w:val="24"/>
          <w:szCs w:val="24"/>
        </w:rPr>
      </w:pPr>
    </w:p>
    <w:p w14:paraId="2D0B98EF" w14:textId="77777777" w:rsidR="00354D63" w:rsidRPr="00FA0787" w:rsidRDefault="00354D63" w:rsidP="00354D63">
      <w:pPr>
        <w:spacing w:after="0" w:line="240" w:lineRule="auto"/>
        <w:jc w:val="both"/>
        <w:rPr>
          <w:rFonts w:ascii="Times New Roman" w:hAnsi="Times New Roman" w:cs="Times New Roman"/>
          <w:sz w:val="24"/>
          <w:szCs w:val="24"/>
        </w:rPr>
      </w:pPr>
      <w:r w:rsidRPr="00FA0787">
        <w:rPr>
          <w:rFonts w:ascii="Times New Roman" w:hAnsi="Times New Roman" w:cs="Times New Roman"/>
          <w:sz w:val="24"/>
          <w:szCs w:val="24"/>
        </w:rPr>
        <w:t xml:space="preserve">Rahmat, M. M. &amp; Mohd Iskadar, T.  2004. Audit fee premiums from brand name, </w:t>
      </w:r>
      <w:r w:rsidRPr="00FA0787">
        <w:rPr>
          <w:rFonts w:ascii="Times New Roman" w:hAnsi="Times New Roman" w:cs="Times New Roman"/>
          <w:sz w:val="24"/>
          <w:szCs w:val="24"/>
        </w:rPr>
        <w:tab/>
        <w:t xml:space="preserve">industry </w:t>
      </w:r>
      <w:r>
        <w:rPr>
          <w:rFonts w:ascii="Times New Roman" w:hAnsi="Times New Roman" w:cs="Times New Roman"/>
          <w:sz w:val="24"/>
          <w:szCs w:val="24"/>
        </w:rPr>
        <w:tab/>
      </w:r>
      <w:r w:rsidRPr="00FA0787">
        <w:rPr>
          <w:rFonts w:ascii="Times New Roman" w:hAnsi="Times New Roman" w:cs="Times New Roman"/>
          <w:sz w:val="24"/>
          <w:szCs w:val="24"/>
        </w:rPr>
        <w:t xml:space="preserve">specialization and industry leadership: A study of the post Big 6 merger in Malaysia. </w:t>
      </w:r>
      <w:r>
        <w:rPr>
          <w:rFonts w:ascii="Times New Roman" w:hAnsi="Times New Roman" w:cs="Times New Roman"/>
          <w:sz w:val="24"/>
          <w:szCs w:val="24"/>
        </w:rPr>
        <w:tab/>
      </w:r>
      <w:r w:rsidRPr="00FA0787">
        <w:rPr>
          <w:rFonts w:ascii="Times New Roman" w:hAnsi="Times New Roman" w:cs="Times New Roman"/>
          <w:i/>
          <w:sz w:val="24"/>
          <w:szCs w:val="24"/>
        </w:rPr>
        <w:t>Asian Review of Accounting</w:t>
      </w:r>
      <w:r w:rsidRPr="00FA0787">
        <w:rPr>
          <w:rFonts w:ascii="Times New Roman" w:hAnsi="Times New Roman" w:cs="Times New Roman"/>
          <w:sz w:val="24"/>
          <w:szCs w:val="24"/>
        </w:rPr>
        <w:t xml:space="preserve"> 12: 1-24.</w:t>
      </w:r>
      <w:r w:rsidRPr="00FA0787">
        <w:rPr>
          <w:rFonts w:ascii="Times New Roman" w:hAnsi="Times New Roman" w:cs="Times New Roman"/>
          <w:i/>
          <w:sz w:val="24"/>
          <w:szCs w:val="24"/>
        </w:rPr>
        <w:t xml:space="preserve"> </w:t>
      </w:r>
    </w:p>
    <w:p w14:paraId="30F6C55E" w14:textId="77777777" w:rsidR="00354D63" w:rsidRDefault="00354D63" w:rsidP="00354D63">
      <w:pPr>
        <w:spacing w:after="0" w:line="240" w:lineRule="auto"/>
        <w:jc w:val="both"/>
        <w:rPr>
          <w:rFonts w:ascii="Times New Roman" w:hAnsi="Times New Roman" w:cs="Times New Roman"/>
          <w:sz w:val="24"/>
          <w:szCs w:val="24"/>
        </w:rPr>
      </w:pPr>
    </w:p>
    <w:p w14:paraId="05FE7800" w14:textId="77777777" w:rsidR="00354D63" w:rsidRPr="00FA0787" w:rsidRDefault="00354D63" w:rsidP="00354D63">
      <w:pPr>
        <w:spacing w:after="0" w:line="240" w:lineRule="auto"/>
        <w:jc w:val="both"/>
        <w:rPr>
          <w:rFonts w:ascii="Times New Roman" w:hAnsi="Times New Roman" w:cs="Times New Roman"/>
          <w:sz w:val="24"/>
          <w:szCs w:val="24"/>
        </w:rPr>
      </w:pPr>
      <w:r w:rsidRPr="00FA0787">
        <w:rPr>
          <w:rFonts w:ascii="Times New Roman" w:hAnsi="Times New Roman" w:cs="Times New Roman"/>
          <w:sz w:val="24"/>
          <w:szCs w:val="24"/>
        </w:rPr>
        <w:t xml:space="preserve">Rahmat, M. M., Mohd Amin, H. A.  &amp; Mohd Saleh, N.  2018. Controlling </w:t>
      </w:r>
      <w:r w:rsidRPr="00FA0787">
        <w:rPr>
          <w:rFonts w:ascii="Times New Roman" w:hAnsi="Times New Roman" w:cs="Times New Roman"/>
          <w:sz w:val="24"/>
          <w:szCs w:val="24"/>
        </w:rPr>
        <w:tab/>
        <w:t xml:space="preserve">shareholders’ </w:t>
      </w:r>
      <w:r>
        <w:rPr>
          <w:rFonts w:ascii="Times New Roman" w:hAnsi="Times New Roman" w:cs="Times New Roman"/>
          <w:sz w:val="24"/>
          <w:szCs w:val="24"/>
        </w:rPr>
        <w:tab/>
      </w:r>
      <w:r w:rsidRPr="00FA0787">
        <w:rPr>
          <w:rFonts w:ascii="Times New Roman" w:hAnsi="Times New Roman" w:cs="Times New Roman"/>
          <w:sz w:val="24"/>
          <w:szCs w:val="24"/>
        </w:rPr>
        <w:t xml:space="preserve">networks and related party transactions: moderating role of director remuneration in </w:t>
      </w:r>
      <w:r>
        <w:rPr>
          <w:rFonts w:ascii="Times New Roman" w:hAnsi="Times New Roman" w:cs="Times New Roman"/>
          <w:sz w:val="24"/>
          <w:szCs w:val="24"/>
        </w:rPr>
        <w:tab/>
      </w:r>
      <w:r w:rsidRPr="00FA0787">
        <w:rPr>
          <w:rFonts w:ascii="Times New Roman" w:hAnsi="Times New Roman" w:cs="Times New Roman"/>
          <w:sz w:val="24"/>
          <w:szCs w:val="24"/>
        </w:rPr>
        <w:t>Malaysia.</w:t>
      </w:r>
      <w:r w:rsidRPr="00FA0787">
        <w:rPr>
          <w:rFonts w:ascii="Times New Roman" w:hAnsi="Times New Roman" w:cs="Times New Roman"/>
          <w:i/>
          <w:sz w:val="24"/>
          <w:szCs w:val="24"/>
        </w:rPr>
        <w:t xml:space="preserve"> Jurnal Pengurusan</w:t>
      </w:r>
      <w:r w:rsidRPr="00FA0787">
        <w:rPr>
          <w:rFonts w:ascii="Times New Roman" w:hAnsi="Times New Roman" w:cs="Times New Roman"/>
          <w:sz w:val="24"/>
          <w:szCs w:val="24"/>
        </w:rPr>
        <w:t xml:space="preserve"> 53: 107-117.</w:t>
      </w:r>
    </w:p>
    <w:p w14:paraId="0E4E4B1B" w14:textId="77777777" w:rsidR="00354D63" w:rsidRDefault="00354D63" w:rsidP="00354D63">
      <w:pPr>
        <w:spacing w:after="0" w:line="240" w:lineRule="auto"/>
        <w:jc w:val="both"/>
        <w:rPr>
          <w:rFonts w:ascii="Times New Roman" w:hAnsi="Times New Roman" w:cs="Times New Roman"/>
          <w:sz w:val="24"/>
          <w:szCs w:val="24"/>
        </w:rPr>
      </w:pPr>
    </w:p>
    <w:p w14:paraId="6CA3F9A3" w14:textId="77777777" w:rsidR="00354D63" w:rsidRPr="00FA0787" w:rsidRDefault="00402F1E" w:rsidP="00354D63">
      <w:pPr>
        <w:spacing w:after="0" w:line="240" w:lineRule="auto"/>
        <w:jc w:val="both"/>
        <w:rPr>
          <w:rFonts w:ascii="Times New Roman" w:hAnsi="Times New Roman" w:cs="Times New Roman"/>
          <w:sz w:val="24"/>
          <w:szCs w:val="24"/>
        </w:rPr>
      </w:pPr>
      <w:hyperlink r:id="rId10" w:tooltip="Mohd Mohid Rahmat" w:history="1">
        <w:r w:rsidR="00354D63" w:rsidRPr="00FA0787">
          <w:rPr>
            <w:rFonts w:ascii="Times New Roman" w:hAnsi="Times New Roman" w:cs="Times New Roman"/>
            <w:sz w:val="24"/>
            <w:szCs w:val="24"/>
            <w:shd w:val="clear" w:color="auto" w:fill="FFFFFF"/>
          </w:rPr>
          <w:t>Rahmat, M.M.</w:t>
        </w:r>
      </w:hyperlink>
      <w:r w:rsidR="00354D63" w:rsidRPr="00FA0787">
        <w:rPr>
          <w:rFonts w:ascii="Times New Roman" w:hAnsi="Times New Roman" w:cs="Times New Roman"/>
          <w:sz w:val="24"/>
          <w:szCs w:val="24"/>
          <w:shd w:val="clear" w:color="auto" w:fill="FFFFFF"/>
        </w:rPr>
        <w:t>, </w:t>
      </w:r>
      <w:hyperlink r:id="rId11" w:tooltip="Siti Hajar Asmah Ali" w:history="1">
        <w:r w:rsidR="00354D63" w:rsidRPr="00FA0787">
          <w:rPr>
            <w:rFonts w:ascii="Times New Roman" w:hAnsi="Times New Roman" w:cs="Times New Roman"/>
            <w:sz w:val="24"/>
            <w:szCs w:val="24"/>
            <w:shd w:val="clear" w:color="auto" w:fill="FFFFFF"/>
          </w:rPr>
          <w:t>Ali, S.H.A.</w:t>
        </w:r>
      </w:hyperlink>
      <w:r w:rsidR="00354D63" w:rsidRPr="00FA0787">
        <w:rPr>
          <w:rFonts w:ascii="Times New Roman" w:hAnsi="Times New Roman" w:cs="Times New Roman"/>
          <w:sz w:val="24"/>
          <w:szCs w:val="24"/>
          <w:shd w:val="clear" w:color="auto" w:fill="FFFFFF"/>
        </w:rPr>
        <w:t xml:space="preserve"> &amp; </w:t>
      </w:r>
      <w:hyperlink r:id="rId12" w:tooltip="Norman Mohd Saleh" w:history="1">
        <w:r w:rsidR="00354D63" w:rsidRPr="00FA0787">
          <w:rPr>
            <w:rFonts w:ascii="Times New Roman" w:hAnsi="Times New Roman" w:cs="Times New Roman"/>
            <w:sz w:val="24"/>
            <w:szCs w:val="24"/>
            <w:shd w:val="clear" w:color="auto" w:fill="FFFFFF"/>
          </w:rPr>
          <w:t>Mohd Saleh, N.</w:t>
        </w:r>
      </w:hyperlink>
      <w:r w:rsidR="00354D63" w:rsidRPr="00FA0787">
        <w:rPr>
          <w:rFonts w:ascii="Times New Roman" w:hAnsi="Times New Roman" w:cs="Times New Roman"/>
          <w:sz w:val="24"/>
          <w:szCs w:val="24"/>
          <w:shd w:val="clear" w:color="auto" w:fill="FFFFFF"/>
        </w:rPr>
        <w:t xml:space="preserve"> (2021). Auditor-client relationship and related </w:t>
      </w:r>
      <w:r w:rsidR="00354D63">
        <w:rPr>
          <w:rFonts w:ascii="Times New Roman" w:hAnsi="Times New Roman" w:cs="Times New Roman"/>
          <w:sz w:val="24"/>
          <w:szCs w:val="24"/>
          <w:shd w:val="clear" w:color="auto" w:fill="FFFFFF"/>
        </w:rPr>
        <w:tab/>
      </w:r>
      <w:r w:rsidR="00354D63" w:rsidRPr="00FA0787">
        <w:rPr>
          <w:rFonts w:ascii="Times New Roman" w:hAnsi="Times New Roman" w:cs="Times New Roman"/>
          <w:sz w:val="24"/>
          <w:szCs w:val="24"/>
          <w:shd w:val="clear" w:color="auto" w:fill="FFFFFF"/>
        </w:rPr>
        <w:t xml:space="preserve">party transactions disclosure: the role of family controlling shareholders from a network </w:t>
      </w:r>
      <w:r w:rsidR="00354D63">
        <w:rPr>
          <w:rFonts w:ascii="Times New Roman" w:hAnsi="Times New Roman" w:cs="Times New Roman"/>
          <w:sz w:val="24"/>
          <w:szCs w:val="24"/>
          <w:shd w:val="clear" w:color="auto" w:fill="FFFFFF"/>
        </w:rPr>
        <w:tab/>
      </w:r>
      <w:r w:rsidR="00354D63" w:rsidRPr="00FA0787">
        <w:rPr>
          <w:rFonts w:ascii="Times New Roman" w:hAnsi="Times New Roman" w:cs="Times New Roman"/>
          <w:sz w:val="24"/>
          <w:szCs w:val="24"/>
          <w:shd w:val="clear" w:color="auto" w:fill="FFFFFF"/>
        </w:rPr>
        <w:t xml:space="preserve">perspective. </w:t>
      </w:r>
      <w:hyperlink r:id="rId13" w:history="1">
        <w:r w:rsidR="00354D63" w:rsidRPr="00FA0787">
          <w:rPr>
            <w:rStyle w:val="Hyperlink"/>
            <w:rFonts w:ascii="Times New Roman" w:hAnsi="Times New Roman" w:cs="Times New Roman"/>
            <w:i/>
            <w:iCs/>
            <w:color w:val="auto"/>
            <w:sz w:val="24"/>
            <w:szCs w:val="24"/>
            <w:u w:val="none"/>
          </w:rPr>
          <w:t>Managerial Auditing Journal</w:t>
        </w:r>
      </w:hyperlink>
      <w:r w:rsidR="00354D63" w:rsidRPr="00FA0787">
        <w:rPr>
          <w:rFonts w:ascii="Times New Roman" w:hAnsi="Times New Roman" w:cs="Times New Roman"/>
          <w:sz w:val="24"/>
          <w:szCs w:val="24"/>
          <w:shd w:val="clear" w:color="auto" w:fill="FFFFFF"/>
        </w:rPr>
        <w:t>, Vol. 36(4), 591-</w:t>
      </w:r>
      <w:r w:rsidR="00354D63">
        <w:rPr>
          <w:rFonts w:ascii="Times New Roman" w:hAnsi="Times New Roman" w:cs="Times New Roman"/>
          <w:sz w:val="24"/>
          <w:szCs w:val="24"/>
          <w:shd w:val="clear" w:color="auto" w:fill="FFFFFF"/>
        </w:rPr>
        <w:tab/>
      </w:r>
      <w:r w:rsidR="00354D63" w:rsidRPr="00FA0787">
        <w:rPr>
          <w:rFonts w:ascii="Times New Roman" w:hAnsi="Times New Roman" w:cs="Times New Roman"/>
          <w:sz w:val="24"/>
          <w:szCs w:val="24"/>
          <w:shd w:val="clear" w:color="auto" w:fill="FFFFFF"/>
        </w:rPr>
        <w:t>615. </w:t>
      </w:r>
      <w:hyperlink r:id="rId14" w:tooltip="DOI: https://doi.org/10.1108/MAJ-05-2019-2312" w:history="1">
        <w:r w:rsidR="00354D63" w:rsidRPr="00FA0787">
          <w:rPr>
            <w:rFonts w:ascii="Times New Roman" w:hAnsi="Times New Roman" w:cs="Times New Roman"/>
            <w:sz w:val="24"/>
            <w:szCs w:val="24"/>
            <w:shd w:val="clear" w:color="auto" w:fill="FFFFFF"/>
          </w:rPr>
          <w:t>https://doi.org/10.1108/MAJ-05-2019-2312</w:t>
        </w:r>
      </w:hyperlink>
    </w:p>
    <w:p w14:paraId="69ACD035" w14:textId="77777777" w:rsidR="00354D63" w:rsidRDefault="00354D63" w:rsidP="00354D63">
      <w:pPr>
        <w:spacing w:after="0" w:line="240" w:lineRule="auto"/>
        <w:jc w:val="both"/>
        <w:rPr>
          <w:rFonts w:ascii="Times New Roman" w:hAnsi="Times New Roman" w:cs="Times New Roman"/>
          <w:sz w:val="24"/>
          <w:szCs w:val="24"/>
        </w:rPr>
      </w:pPr>
    </w:p>
    <w:p w14:paraId="25BC73F9" w14:textId="77777777" w:rsidR="00354D63" w:rsidRPr="00FA0787" w:rsidRDefault="00354D63" w:rsidP="00354D63">
      <w:pPr>
        <w:spacing w:after="0" w:line="240" w:lineRule="auto"/>
        <w:jc w:val="both"/>
        <w:rPr>
          <w:rFonts w:ascii="Times New Roman" w:hAnsi="Times New Roman" w:cs="Times New Roman"/>
          <w:sz w:val="24"/>
          <w:szCs w:val="24"/>
        </w:rPr>
      </w:pPr>
      <w:r w:rsidRPr="00FA0787">
        <w:rPr>
          <w:rFonts w:ascii="Times New Roman" w:hAnsi="Times New Roman" w:cs="Times New Roman"/>
          <w:sz w:val="24"/>
          <w:szCs w:val="24"/>
        </w:rPr>
        <w:t xml:space="preserve">Reichelt, K. J., and D. Wang. 2010. National and office-specific measures of auditor industry </w:t>
      </w:r>
      <w:r w:rsidRPr="00FA0787">
        <w:rPr>
          <w:rFonts w:ascii="Times New Roman" w:hAnsi="Times New Roman" w:cs="Times New Roman"/>
          <w:sz w:val="24"/>
          <w:szCs w:val="24"/>
        </w:rPr>
        <w:tab/>
        <w:t>expertise and effects on audit quality. Journal of Accounting Research 48 (3): 647–686.</w:t>
      </w:r>
    </w:p>
    <w:p w14:paraId="49B9CE74" w14:textId="77777777" w:rsidR="00354D63" w:rsidRDefault="00354D63" w:rsidP="00354D63">
      <w:pPr>
        <w:spacing w:after="0" w:line="240" w:lineRule="auto"/>
        <w:jc w:val="both"/>
        <w:rPr>
          <w:rFonts w:ascii="Times New Roman" w:hAnsi="Times New Roman" w:cs="Times New Roman"/>
          <w:sz w:val="24"/>
          <w:szCs w:val="24"/>
        </w:rPr>
      </w:pPr>
    </w:p>
    <w:p w14:paraId="78321E6A" w14:textId="77777777" w:rsidR="00354D63" w:rsidRPr="00FA0787" w:rsidRDefault="00354D63" w:rsidP="00354D63">
      <w:pPr>
        <w:spacing w:after="0" w:line="240" w:lineRule="auto"/>
        <w:jc w:val="both"/>
        <w:rPr>
          <w:rFonts w:ascii="Times New Roman" w:hAnsi="Times New Roman" w:cs="Times New Roman"/>
          <w:sz w:val="24"/>
          <w:szCs w:val="24"/>
        </w:rPr>
      </w:pPr>
      <w:r w:rsidRPr="00FA0787">
        <w:rPr>
          <w:rFonts w:ascii="Times New Roman" w:hAnsi="Times New Roman" w:cs="Times New Roman"/>
          <w:sz w:val="24"/>
          <w:szCs w:val="24"/>
        </w:rPr>
        <w:t xml:space="preserve">Romanus, R. N., Maher, J. J., &amp; Fleming, D. M. 2008. Auditor industry specialization, auditor </w:t>
      </w:r>
      <w:r w:rsidRPr="00FA0787">
        <w:rPr>
          <w:rFonts w:ascii="Times New Roman" w:hAnsi="Times New Roman" w:cs="Times New Roman"/>
          <w:sz w:val="24"/>
          <w:szCs w:val="24"/>
        </w:rPr>
        <w:tab/>
        <w:t xml:space="preserve">changes, and accounting restatements. </w:t>
      </w:r>
      <w:r w:rsidRPr="00FA0787">
        <w:rPr>
          <w:rFonts w:ascii="Times New Roman" w:hAnsi="Times New Roman" w:cs="Times New Roman"/>
          <w:i/>
          <w:sz w:val="24"/>
          <w:szCs w:val="24"/>
        </w:rPr>
        <w:t>Accounting Horizon</w:t>
      </w:r>
      <w:r w:rsidRPr="00FA0787">
        <w:rPr>
          <w:rFonts w:ascii="Times New Roman" w:hAnsi="Times New Roman" w:cs="Times New Roman"/>
          <w:sz w:val="24"/>
          <w:szCs w:val="24"/>
        </w:rPr>
        <w:t>s 22(4): 389–413.</w:t>
      </w:r>
    </w:p>
    <w:p w14:paraId="35C5C663" w14:textId="77777777" w:rsidR="00354D63" w:rsidRDefault="00354D63" w:rsidP="00354D63">
      <w:pPr>
        <w:spacing w:after="0" w:line="240" w:lineRule="auto"/>
        <w:jc w:val="both"/>
        <w:rPr>
          <w:rFonts w:ascii="Times New Roman" w:hAnsi="Times New Roman" w:cs="Times New Roman"/>
          <w:sz w:val="24"/>
          <w:szCs w:val="24"/>
        </w:rPr>
      </w:pPr>
    </w:p>
    <w:p w14:paraId="7F58A3CB" w14:textId="224146F2" w:rsidR="00354D63" w:rsidRDefault="00354D63" w:rsidP="00354D63">
      <w:pPr>
        <w:spacing w:after="0" w:line="240" w:lineRule="auto"/>
        <w:jc w:val="both"/>
        <w:rPr>
          <w:rFonts w:ascii="Times New Roman" w:hAnsi="Times New Roman" w:cs="Times New Roman"/>
          <w:sz w:val="24"/>
          <w:szCs w:val="24"/>
        </w:rPr>
      </w:pPr>
      <w:r w:rsidRPr="00FA0787">
        <w:rPr>
          <w:rFonts w:ascii="Times New Roman" w:hAnsi="Times New Roman" w:cs="Times New Roman"/>
          <w:sz w:val="24"/>
          <w:szCs w:val="24"/>
        </w:rPr>
        <w:lastRenderedPageBreak/>
        <w:t xml:space="preserve">Ross, S. 1973. The economic theory of agency: The principal’s problem. </w:t>
      </w:r>
      <w:r w:rsidRPr="00FA0787">
        <w:rPr>
          <w:rFonts w:ascii="Times New Roman" w:hAnsi="Times New Roman" w:cs="Times New Roman"/>
          <w:i/>
          <w:iCs/>
          <w:sz w:val="24"/>
          <w:szCs w:val="24"/>
        </w:rPr>
        <w:t>American</w:t>
      </w:r>
      <w:r w:rsidRPr="00FA0787">
        <w:rPr>
          <w:rFonts w:ascii="Times New Roman" w:hAnsi="Times New Roman" w:cs="Times New Roman"/>
          <w:i/>
          <w:iCs/>
          <w:sz w:val="24"/>
          <w:szCs w:val="24"/>
        </w:rPr>
        <w:br/>
      </w:r>
      <w:r w:rsidRPr="00FA0787">
        <w:rPr>
          <w:rFonts w:ascii="Times New Roman" w:hAnsi="Times New Roman" w:cs="Times New Roman"/>
          <w:i/>
          <w:iCs/>
          <w:sz w:val="24"/>
          <w:szCs w:val="24"/>
        </w:rPr>
        <w:tab/>
        <w:t xml:space="preserve">Economic Review </w:t>
      </w:r>
      <w:r w:rsidRPr="00FA0787">
        <w:rPr>
          <w:rFonts w:ascii="Times New Roman" w:hAnsi="Times New Roman" w:cs="Times New Roman"/>
          <w:iCs/>
          <w:sz w:val="24"/>
          <w:szCs w:val="24"/>
        </w:rPr>
        <w:t>63</w:t>
      </w:r>
      <w:r w:rsidRPr="00FA0787">
        <w:rPr>
          <w:rFonts w:ascii="Times New Roman" w:hAnsi="Times New Roman" w:cs="Times New Roman"/>
          <w:i/>
          <w:sz w:val="24"/>
          <w:szCs w:val="24"/>
        </w:rPr>
        <w:t>(2</w:t>
      </w:r>
      <w:r w:rsidRPr="00FA0787">
        <w:rPr>
          <w:rFonts w:ascii="Times New Roman" w:hAnsi="Times New Roman" w:cs="Times New Roman"/>
          <w:sz w:val="24"/>
          <w:szCs w:val="24"/>
        </w:rPr>
        <w:t>): 134–139.</w:t>
      </w:r>
    </w:p>
    <w:p w14:paraId="3D4B7A98" w14:textId="13AAFA67" w:rsidR="00570B91" w:rsidRDefault="00570B91" w:rsidP="00354D63">
      <w:pPr>
        <w:spacing w:after="0" w:line="240" w:lineRule="auto"/>
        <w:jc w:val="both"/>
        <w:rPr>
          <w:rFonts w:ascii="Times New Roman" w:hAnsi="Times New Roman" w:cs="Times New Roman"/>
          <w:sz w:val="24"/>
          <w:szCs w:val="24"/>
        </w:rPr>
      </w:pPr>
    </w:p>
    <w:p w14:paraId="0690AF2A" w14:textId="0F73B2AE" w:rsidR="00354D63" w:rsidRDefault="00570B91" w:rsidP="00570B91">
      <w:pPr>
        <w:spacing w:after="0" w:line="240" w:lineRule="auto"/>
        <w:jc w:val="both"/>
        <w:rPr>
          <w:rFonts w:ascii="Times New Roman" w:hAnsi="Times New Roman" w:cs="Times New Roman"/>
          <w:sz w:val="24"/>
          <w:szCs w:val="24"/>
        </w:rPr>
      </w:pPr>
      <w:r w:rsidRPr="00570B91">
        <w:rPr>
          <w:rFonts w:ascii="Times New Roman" w:hAnsi="Times New Roman" w:cs="Times New Roman"/>
          <w:sz w:val="24"/>
          <w:szCs w:val="24"/>
        </w:rPr>
        <w:t xml:space="preserve">Rusmin, R., dan Evans, J. (2017). Audit quality and audit report lag: Case of Indonesian listed </w:t>
      </w:r>
      <w:r>
        <w:rPr>
          <w:rFonts w:ascii="Times New Roman" w:hAnsi="Times New Roman" w:cs="Times New Roman"/>
          <w:sz w:val="24"/>
          <w:szCs w:val="24"/>
        </w:rPr>
        <w:tab/>
      </w:r>
      <w:r w:rsidRPr="00570B91">
        <w:rPr>
          <w:rFonts w:ascii="Times New Roman" w:hAnsi="Times New Roman" w:cs="Times New Roman"/>
          <w:sz w:val="24"/>
          <w:szCs w:val="24"/>
        </w:rPr>
        <w:t>companies. Asian Review of Accounting, 25(2), 191-210. doi:10.1108/ara-06-2015-</w:t>
      </w:r>
      <w:r>
        <w:rPr>
          <w:rFonts w:ascii="Times New Roman" w:hAnsi="Times New Roman" w:cs="Times New Roman"/>
          <w:sz w:val="24"/>
          <w:szCs w:val="24"/>
        </w:rPr>
        <w:tab/>
      </w:r>
      <w:r w:rsidRPr="00570B91">
        <w:rPr>
          <w:rFonts w:ascii="Times New Roman" w:hAnsi="Times New Roman" w:cs="Times New Roman"/>
          <w:sz w:val="24"/>
          <w:szCs w:val="24"/>
        </w:rPr>
        <w:t>0062</w:t>
      </w:r>
    </w:p>
    <w:p w14:paraId="649A67EB" w14:textId="77777777" w:rsidR="00570B91" w:rsidRPr="00570B91" w:rsidRDefault="00570B91" w:rsidP="00570B91">
      <w:pPr>
        <w:spacing w:after="0" w:line="240" w:lineRule="auto"/>
        <w:jc w:val="both"/>
        <w:rPr>
          <w:rFonts w:ascii="Times New Roman" w:hAnsi="Times New Roman" w:cs="Times New Roman"/>
          <w:sz w:val="24"/>
          <w:szCs w:val="24"/>
        </w:rPr>
      </w:pPr>
    </w:p>
    <w:p w14:paraId="779CA104" w14:textId="77777777" w:rsidR="00354D63" w:rsidRPr="00FA0787" w:rsidRDefault="00354D63" w:rsidP="00354D63">
      <w:pPr>
        <w:jc w:val="both"/>
        <w:rPr>
          <w:rFonts w:ascii="Times New Roman" w:hAnsi="Times New Roman" w:cs="Times New Roman"/>
          <w:sz w:val="24"/>
          <w:szCs w:val="24"/>
        </w:rPr>
      </w:pPr>
      <w:r w:rsidRPr="00FA0787">
        <w:rPr>
          <w:rFonts w:ascii="Times New Roman" w:hAnsi="Times New Roman" w:cs="Times New Roman"/>
          <w:sz w:val="24"/>
          <w:szCs w:val="24"/>
        </w:rPr>
        <w:t xml:space="preserve">Ryngaert, M., &amp; Thomas, S. (2012). Not all related party transactions (RPTs) are the same: Ex </w:t>
      </w:r>
      <w:r>
        <w:rPr>
          <w:rFonts w:ascii="Times New Roman" w:hAnsi="Times New Roman" w:cs="Times New Roman"/>
          <w:sz w:val="24"/>
          <w:szCs w:val="24"/>
        </w:rPr>
        <w:tab/>
      </w:r>
      <w:r w:rsidRPr="00FA0787">
        <w:rPr>
          <w:rFonts w:ascii="Times New Roman" w:hAnsi="Times New Roman" w:cs="Times New Roman"/>
          <w:sz w:val="24"/>
          <w:szCs w:val="24"/>
        </w:rPr>
        <w:t>ante versus ex post RPTs. Journal of Accounting Research, 50(3), 845-882.</w:t>
      </w:r>
    </w:p>
    <w:p w14:paraId="4EDA1096" w14:textId="77777777" w:rsidR="00354D63" w:rsidRPr="00FA0787" w:rsidRDefault="00354D63" w:rsidP="00354D63">
      <w:pPr>
        <w:spacing w:after="0" w:line="240" w:lineRule="auto"/>
        <w:jc w:val="both"/>
        <w:rPr>
          <w:rFonts w:ascii="Times New Roman" w:hAnsi="Times New Roman" w:cs="Times New Roman"/>
          <w:sz w:val="24"/>
          <w:szCs w:val="24"/>
        </w:rPr>
      </w:pPr>
      <w:r w:rsidRPr="00FA0787">
        <w:rPr>
          <w:rFonts w:ascii="Times New Roman" w:hAnsi="Times New Roman" w:cs="Times New Roman"/>
          <w:sz w:val="24"/>
          <w:szCs w:val="24"/>
        </w:rPr>
        <w:t xml:space="preserve">Tuanakotta, T.M. 2011. Critical Thinking in Auditing. 1st edition, Salemba Empat Publisher, </w:t>
      </w:r>
      <w:r w:rsidRPr="00FA0787">
        <w:rPr>
          <w:rFonts w:ascii="Times New Roman" w:hAnsi="Times New Roman" w:cs="Times New Roman"/>
          <w:sz w:val="24"/>
          <w:szCs w:val="24"/>
        </w:rPr>
        <w:tab/>
        <w:t>Jakarta. 12610.</w:t>
      </w:r>
    </w:p>
    <w:p w14:paraId="1EBB2755" w14:textId="77777777" w:rsidR="00354D63" w:rsidRDefault="00354D63" w:rsidP="00354D63">
      <w:pPr>
        <w:jc w:val="both"/>
        <w:rPr>
          <w:rFonts w:ascii="Times New Roman" w:hAnsi="Times New Roman" w:cs="Times New Roman"/>
          <w:sz w:val="24"/>
          <w:szCs w:val="24"/>
        </w:rPr>
      </w:pPr>
    </w:p>
    <w:p w14:paraId="0CE09D62" w14:textId="77777777" w:rsidR="00354D63" w:rsidRPr="00FA0787" w:rsidRDefault="00354D63" w:rsidP="00354D63">
      <w:pPr>
        <w:jc w:val="both"/>
        <w:rPr>
          <w:rFonts w:ascii="Times New Roman" w:hAnsi="Times New Roman" w:cs="Times New Roman"/>
          <w:sz w:val="24"/>
          <w:szCs w:val="24"/>
        </w:rPr>
      </w:pPr>
      <w:r w:rsidRPr="00FA0787">
        <w:rPr>
          <w:rFonts w:ascii="Times New Roman" w:hAnsi="Times New Roman" w:cs="Times New Roman"/>
          <w:sz w:val="24"/>
          <w:szCs w:val="24"/>
        </w:rPr>
        <w:t>Wong, R.M.K., Kim, J.B., Lo, A.W.Y., 2015. Are related-partysales value-adding or value-</w:t>
      </w:r>
      <w:r>
        <w:rPr>
          <w:rFonts w:ascii="Times New Roman" w:hAnsi="Times New Roman" w:cs="Times New Roman"/>
          <w:sz w:val="24"/>
          <w:szCs w:val="24"/>
        </w:rPr>
        <w:tab/>
      </w:r>
      <w:r w:rsidRPr="00FA0787">
        <w:rPr>
          <w:rFonts w:ascii="Times New Roman" w:hAnsi="Times New Roman" w:cs="Times New Roman"/>
          <w:sz w:val="24"/>
          <w:szCs w:val="24"/>
        </w:rPr>
        <w:t xml:space="preserve">destroying? Evidence from China. J.Int. Financ. Manag. Account. 26 (1), 1---38, </w:t>
      </w:r>
      <w:r>
        <w:rPr>
          <w:rFonts w:ascii="Times New Roman" w:hAnsi="Times New Roman" w:cs="Times New Roman"/>
          <w:sz w:val="24"/>
          <w:szCs w:val="24"/>
        </w:rPr>
        <w:tab/>
      </w:r>
      <w:r w:rsidRPr="00FA0787">
        <w:rPr>
          <w:rFonts w:ascii="Times New Roman" w:hAnsi="Times New Roman" w:cs="Times New Roman"/>
          <w:sz w:val="24"/>
          <w:szCs w:val="24"/>
        </w:rPr>
        <w:t>http://dx.doi.org/10.1111/jifm.12023</w:t>
      </w:r>
    </w:p>
    <w:p w14:paraId="2002603E" w14:textId="77777777" w:rsidR="00354D63" w:rsidRPr="00FA0787" w:rsidRDefault="00354D63" w:rsidP="00354D63">
      <w:pPr>
        <w:jc w:val="both"/>
        <w:rPr>
          <w:rFonts w:ascii="Times New Roman" w:hAnsi="Times New Roman" w:cs="Times New Roman"/>
          <w:sz w:val="24"/>
          <w:szCs w:val="24"/>
        </w:rPr>
      </w:pPr>
      <w:r w:rsidRPr="00FA0787">
        <w:rPr>
          <w:rFonts w:ascii="Times New Roman" w:hAnsi="Times New Roman" w:cs="Times New Roman"/>
          <w:sz w:val="24"/>
          <w:szCs w:val="24"/>
        </w:rPr>
        <w:t>Yuan, R., Cheng, Y., &amp; Ye, K. (2016). </w:t>
      </w:r>
      <w:r w:rsidRPr="00FA0787">
        <w:rPr>
          <w:rFonts w:ascii="Times New Roman" w:hAnsi="Times New Roman" w:cs="Times New Roman"/>
          <w:iCs/>
          <w:sz w:val="24"/>
          <w:szCs w:val="24"/>
        </w:rPr>
        <w:t xml:space="preserve">Auditor Industry Specialization and Discretionary </w:t>
      </w:r>
      <w:r w:rsidRPr="00FA0787">
        <w:rPr>
          <w:rFonts w:ascii="Times New Roman" w:hAnsi="Times New Roman" w:cs="Times New Roman"/>
          <w:iCs/>
          <w:sz w:val="24"/>
          <w:szCs w:val="24"/>
        </w:rPr>
        <w:tab/>
        <w:t>Accruals: The Role of Client Strategy.</w:t>
      </w:r>
      <w:r w:rsidRPr="00FA0787">
        <w:rPr>
          <w:rFonts w:ascii="Times New Roman" w:hAnsi="Times New Roman" w:cs="Times New Roman"/>
          <w:i/>
          <w:iCs/>
          <w:sz w:val="24"/>
          <w:szCs w:val="24"/>
        </w:rPr>
        <w:t xml:space="preserve"> The International Journal of Accounting </w:t>
      </w:r>
      <w:r w:rsidRPr="00FA0787">
        <w:rPr>
          <w:rFonts w:ascii="Times New Roman" w:hAnsi="Times New Roman" w:cs="Times New Roman"/>
          <w:iCs/>
          <w:sz w:val="24"/>
          <w:szCs w:val="24"/>
        </w:rPr>
        <w:t xml:space="preserve">51(2): </w:t>
      </w:r>
      <w:r w:rsidRPr="00FA0787">
        <w:rPr>
          <w:rFonts w:ascii="Times New Roman" w:hAnsi="Times New Roman" w:cs="Times New Roman"/>
          <w:iCs/>
          <w:sz w:val="24"/>
          <w:szCs w:val="24"/>
        </w:rPr>
        <w:tab/>
        <w:t>217–239</w:t>
      </w:r>
    </w:p>
    <w:p w14:paraId="7E01D01D" w14:textId="40004320" w:rsidR="00354D63" w:rsidRPr="00137BB4" w:rsidRDefault="00354D63" w:rsidP="00346674">
      <w:pPr>
        <w:keepNext/>
        <w:keepLines/>
        <w:spacing w:after="0" w:line="240" w:lineRule="auto"/>
        <w:jc w:val="both"/>
        <w:outlineLvl w:val="1"/>
        <w:rPr>
          <w:rFonts w:ascii="Times New Roman" w:hAnsi="Times New Roman" w:cs="Times New Roman"/>
          <w:sz w:val="24"/>
          <w:szCs w:val="24"/>
        </w:rPr>
        <w:sectPr w:rsidR="00354D63" w:rsidRPr="00137BB4" w:rsidSect="00AE6ACA">
          <w:headerReference w:type="default" r:id="rId15"/>
          <w:footerReference w:type="default" r:id="rId16"/>
          <w:headerReference w:type="first" r:id="rId17"/>
          <w:pgSz w:w="11906" w:h="16838" w:code="9"/>
          <w:pgMar w:top="1440" w:right="1440" w:bottom="1440" w:left="1440" w:header="851" w:footer="851" w:gutter="0"/>
          <w:pgNumType w:start="1"/>
          <w:cols w:space="708"/>
          <w:docGrid w:linePitch="360"/>
        </w:sectPr>
      </w:pPr>
    </w:p>
    <w:p w14:paraId="6326394F" w14:textId="457EDEB7" w:rsidR="00137BB4" w:rsidRPr="00137BB4" w:rsidRDefault="00137BB4" w:rsidP="008142A6">
      <w:pPr>
        <w:jc w:val="both"/>
        <w:rPr>
          <w:rFonts w:ascii="Times New Roman" w:eastAsiaTheme="majorEastAsia" w:hAnsi="Times New Roman" w:cs="Times New Roman"/>
          <w:b/>
          <w:sz w:val="24"/>
          <w:szCs w:val="24"/>
        </w:rPr>
        <w:sectPr w:rsidR="00137BB4" w:rsidRPr="00137BB4" w:rsidSect="00AE6ACA">
          <w:pgSz w:w="11906" w:h="16838" w:code="9"/>
          <w:pgMar w:top="1440" w:right="1440" w:bottom="1440" w:left="1440" w:header="851" w:footer="851" w:gutter="0"/>
          <w:pgNumType w:start="78"/>
          <w:cols w:space="708"/>
          <w:docGrid w:linePitch="360"/>
        </w:sectPr>
      </w:pPr>
    </w:p>
    <w:p w14:paraId="771DDF47" w14:textId="77777777" w:rsidR="003E6DC5" w:rsidRDefault="003E6DC5" w:rsidP="00354D63">
      <w:pPr>
        <w:keepNext/>
        <w:keepLines/>
        <w:spacing w:after="0" w:line="240" w:lineRule="auto"/>
        <w:jc w:val="both"/>
        <w:outlineLvl w:val="0"/>
        <w:rPr>
          <w:rFonts w:ascii="Times New Roman" w:hAnsi="Times New Roman" w:cs="Times New Roman"/>
          <w:sz w:val="24"/>
          <w:szCs w:val="24"/>
        </w:rPr>
      </w:pPr>
    </w:p>
    <w:sectPr w:rsidR="003E6DC5" w:rsidSect="00AE6A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44283" w14:textId="77777777" w:rsidR="009C1B6A" w:rsidRDefault="009C1B6A" w:rsidP="00137BB4">
      <w:pPr>
        <w:spacing w:after="0" w:line="240" w:lineRule="auto"/>
      </w:pPr>
      <w:r>
        <w:separator/>
      </w:r>
    </w:p>
  </w:endnote>
  <w:endnote w:type="continuationSeparator" w:id="0">
    <w:p w14:paraId="62761D60" w14:textId="77777777" w:rsidR="009C1B6A" w:rsidRDefault="009C1B6A" w:rsidP="00137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7BB40" w14:textId="212E8D9A" w:rsidR="00402F1E" w:rsidRDefault="00402F1E">
    <w:pPr>
      <w:pStyle w:val="Footer"/>
    </w:pPr>
  </w:p>
  <w:p w14:paraId="044379E7" w14:textId="77777777" w:rsidR="00402F1E" w:rsidRDefault="00402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5EEE9" w14:textId="77777777" w:rsidR="009C1B6A" w:rsidRDefault="009C1B6A" w:rsidP="00137BB4">
      <w:pPr>
        <w:spacing w:after="0" w:line="240" w:lineRule="auto"/>
      </w:pPr>
      <w:r>
        <w:separator/>
      </w:r>
    </w:p>
  </w:footnote>
  <w:footnote w:type="continuationSeparator" w:id="0">
    <w:p w14:paraId="209B3885" w14:textId="77777777" w:rsidR="009C1B6A" w:rsidRDefault="009C1B6A" w:rsidP="00137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64432" w14:textId="57FA7E06" w:rsidR="00402F1E" w:rsidRDefault="00402F1E">
    <w:pPr>
      <w:pStyle w:val="Header"/>
    </w:pPr>
  </w:p>
  <w:p w14:paraId="14CAE190" w14:textId="5F845539" w:rsidR="00402F1E" w:rsidRDefault="00402F1E" w:rsidP="00137BB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2182968"/>
      <w:docPartObj>
        <w:docPartGallery w:val="Page Numbers (Top of Page)"/>
        <w:docPartUnique/>
      </w:docPartObj>
    </w:sdtPr>
    <w:sdtEndPr>
      <w:rPr>
        <w:noProof/>
      </w:rPr>
    </w:sdtEndPr>
    <w:sdtContent>
      <w:p w14:paraId="0631DAD6" w14:textId="77777777" w:rsidR="00402F1E" w:rsidRDefault="00402F1E">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41A4FAD1" w14:textId="77777777" w:rsidR="00402F1E" w:rsidRDefault="00402F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4611B"/>
    <w:multiLevelType w:val="hybridMultilevel"/>
    <w:tmpl w:val="4CCCC59A"/>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5A96456"/>
    <w:multiLevelType w:val="hybridMultilevel"/>
    <w:tmpl w:val="CA5EF53C"/>
    <w:lvl w:ilvl="0" w:tplc="8D1A8CF2">
      <w:start w:val="1"/>
      <w:numFmt w:val="lowerRoman"/>
      <w:lvlText w:val="(%1)"/>
      <w:lvlJc w:val="left"/>
      <w:pPr>
        <w:ind w:left="1080" w:hanging="72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C183072"/>
    <w:multiLevelType w:val="hybridMultilevel"/>
    <w:tmpl w:val="CA5EF53C"/>
    <w:lvl w:ilvl="0" w:tplc="8D1A8CF2">
      <w:start w:val="1"/>
      <w:numFmt w:val="lowerRoman"/>
      <w:lvlText w:val="(%1)"/>
      <w:lvlJc w:val="left"/>
      <w:pPr>
        <w:ind w:left="1080" w:hanging="72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CD86906"/>
    <w:multiLevelType w:val="multilevel"/>
    <w:tmpl w:val="A1F84A1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09A09F2"/>
    <w:multiLevelType w:val="hybridMultilevel"/>
    <w:tmpl w:val="7C4AA36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2323CA2"/>
    <w:multiLevelType w:val="hybridMultilevel"/>
    <w:tmpl w:val="AEA09BCA"/>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1A9C0CCA"/>
    <w:multiLevelType w:val="hybridMultilevel"/>
    <w:tmpl w:val="6E343200"/>
    <w:lvl w:ilvl="0" w:tplc="5F3CECA0">
      <w:start w:val="4"/>
      <w:numFmt w:val="bullet"/>
      <w:lvlText w:val="-"/>
      <w:lvlJc w:val="left"/>
      <w:pPr>
        <w:ind w:left="720" w:hanging="360"/>
      </w:pPr>
      <w:rPr>
        <w:rFonts w:ascii="Times New Roman" w:eastAsiaTheme="minorHAns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1B5F5270"/>
    <w:multiLevelType w:val="hybridMultilevel"/>
    <w:tmpl w:val="BFDC0BCA"/>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D3D6AB4"/>
    <w:multiLevelType w:val="multilevel"/>
    <w:tmpl w:val="B9604404"/>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BB0284"/>
    <w:multiLevelType w:val="hybridMultilevel"/>
    <w:tmpl w:val="64128D2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32331AE7"/>
    <w:multiLevelType w:val="multilevel"/>
    <w:tmpl w:val="7AA0DA0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F16205"/>
    <w:multiLevelType w:val="hybridMultilevel"/>
    <w:tmpl w:val="3CD2AA42"/>
    <w:lvl w:ilvl="0" w:tplc="41CA40E0">
      <w:start w:val="2"/>
      <w:numFmt w:val="decimal"/>
      <w:lvlText w:val="%1."/>
      <w:lvlJc w:val="left"/>
      <w:pPr>
        <w:tabs>
          <w:tab w:val="num" w:pos="720"/>
        </w:tabs>
        <w:ind w:left="720" w:hanging="360"/>
      </w:pPr>
    </w:lvl>
    <w:lvl w:ilvl="1" w:tplc="2BA0F7CA" w:tentative="1">
      <w:start w:val="1"/>
      <w:numFmt w:val="decimal"/>
      <w:lvlText w:val="%2."/>
      <w:lvlJc w:val="left"/>
      <w:pPr>
        <w:tabs>
          <w:tab w:val="num" w:pos="1440"/>
        </w:tabs>
        <w:ind w:left="1440" w:hanging="360"/>
      </w:pPr>
    </w:lvl>
    <w:lvl w:ilvl="2" w:tplc="BE44BE8E">
      <w:start w:val="82"/>
      <w:numFmt w:val="bullet"/>
      <w:lvlText w:val=""/>
      <w:lvlJc w:val="left"/>
      <w:pPr>
        <w:tabs>
          <w:tab w:val="num" w:pos="2160"/>
        </w:tabs>
        <w:ind w:left="2160" w:hanging="360"/>
      </w:pPr>
      <w:rPr>
        <w:rFonts w:ascii="Wingdings" w:hAnsi="Wingdings" w:hint="default"/>
      </w:rPr>
    </w:lvl>
    <w:lvl w:ilvl="3" w:tplc="CE844FEA" w:tentative="1">
      <w:start w:val="1"/>
      <w:numFmt w:val="decimal"/>
      <w:lvlText w:val="%4."/>
      <w:lvlJc w:val="left"/>
      <w:pPr>
        <w:tabs>
          <w:tab w:val="num" w:pos="2880"/>
        </w:tabs>
        <w:ind w:left="2880" w:hanging="360"/>
      </w:pPr>
    </w:lvl>
    <w:lvl w:ilvl="4" w:tplc="1660ADC6" w:tentative="1">
      <w:start w:val="1"/>
      <w:numFmt w:val="decimal"/>
      <w:lvlText w:val="%5."/>
      <w:lvlJc w:val="left"/>
      <w:pPr>
        <w:tabs>
          <w:tab w:val="num" w:pos="3600"/>
        </w:tabs>
        <w:ind w:left="3600" w:hanging="360"/>
      </w:pPr>
    </w:lvl>
    <w:lvl w:ilvl="5" w:tplc="2098E058" w:tentative="1">
      <w:start w:val="1"/>
      <w:numFmt w:val="decimal"/>
      <w:lvlText w:val="%6."/>
      <w:lvlJc w:val="left"/>
      <w:pPr>
        <w:tabs>
          <w:tab w:val="num" w:pos="4320"/>
        </w:tabs>
        <w:ind w:left="4320" w:hanging="360"/>
      </w:pPr>
    </w:lvl>
    <w:lvl w:ilvl="6" w:tplc="4F76E17C" w:tentative="1">
      <w:start w:val="1"/>
      <w:numFmt w:val="decimal"/>
      <w:lvlText w:val="%7."/>
      <w:lvlJc w:val="left"/>
      <w:pPr>
        <w:tabs>
          <w:tab w:val="num" w:pos="5040"/>
        </w:tabs>
        <w:ind w:left="5040" w:hanging="360"/>
      </w:pPr>
    </w:lvl>
    <w:lvl w:ilvl="7" w:tplc="D35AE446" w:tentative="1">
      <w:start w:val="1"/>
      <w:numFmt w:val="decimal"/>
      <w:lvlText w:val="%8."/>
      <w:lvlJc w:val="left"/>
      <w:pPr>
        <w:tabs>
          <w:tab w:val="num" w:pos="5760"/>
        </w:tabs>
        <w:ind w:left="5760" w:hanging="360"/>
      </w:pPr>
    </w:lvl>
    <w:lvl w:ilvl="8" w:tplc="E3000FEC" w:tentative="1">
      <w:start w:val="1"/>
      <w:numFmt w:val="decimal"/>
      <w:lvlText w:val="%9."/>
      <w:lvlJc w:val="left"/>
      <w:pPr>
        <w:tabs>
          <w:tab w:val="num" w:pos="6480"/>
        </w:tabs>
        <w:ind w:left="6480" w:hanging="360"/>
      </w:pPr>
    </w:lvl>
  </w:abstractNum>
  <w:abstractNum w:abstractNumId="12" w15:restartNumberingAfterBreak="0">
    <w:nsid w:val="3BC70A08"/>
    <w:multiLevelType w:val="hybridMultilevel"/>
    <w:tmpl w:val="2DE65C5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3F60003F"/>
    <w:multiLevelType w:val="hybridMultilevel"/>
    <w:tmpl w:val="7D72DD08"/>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14" w15:restartNumberingAfterBreak="0">
    <w:nsid w:val="4543589F"/>
    <w:multiLevelType w:val="hybridMultilevel"/>
    <w:tmpl w:val="CA5EF53C"/>
    <w:lvl w:ilvl="0" w:tplc="8D1A8CF2">
      <w:start w:val="1"/>
      <w:numFmt w:val="lowerRoman"/>
      <w:lvlText w:val="(%1)"/>
      <w:lvlJc w:val="left"/>
      <w:pPr>
        <w:ind w:left="1080" w:hanging="72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46C11AD3"/>
    <w:multiLevelType w:val="hybridMultilevel"/>
    <w:tmpl w:val="60E8FD0C"/>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47334401"/>
    <w:multiLevelType w:val="multilevel"/>
    <w:tmpl w:val="76D091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373BDE"/>
    <w:multiLevelType w:val="hybridMultilevel"/>
    <w:tmpl w:val="94725A8A"/>
    <w:lvl w:ilvl="0" w:tplc="F052FA30">
      <w:numFmt w:val="bullet"/>
      <w:lvlText w:val="-"/>
      <w:lvlJc w:val="left"/>
      <w:pPr>
        <w:ind w:left="720" w:hanging="360"/>
      </w:pPr>
      <w:rPr>
        <w:rFonts w:ascii="Times New Roman" w:eastAsiaTheme="minorHAns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48C621C4"/>
    <w:multiLevelType w:val="hybridMultilevel"/>
    <w:tmpl w:val="024691C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4B122549"/>
    <w:multiLevelType w:val="multilevel"/>
    <w:tmpl w:val="76D091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78E198B"/>
    <w:multiLevelType w:val="hybridMultilevel"/>
    <w:tmpl w:val="1FBE2930"/>
    <w:lvl w:ilvl="0" w:tplc="9678FD26">
      <w:start w:val="1"/>
      <w:numFmt w:val="decimal"/>
      <w:lvlText w:val="%1."/>
      <w:lvlJc w:val="left"/>
      <w:pPr>
        <w:tabs>
          <w:tab w:val="num" w:pos="720"/>
        </w:tabs>
        <w:ind w:left="720" w:hanging="360"/>
      </w:pPr>
    </w:lvl>
    <w:lvl w:ilvl="1" w:tplc="5936D4E2" w:tentative="1">
      <w:start w:val="1"/>
      <w:numFmt w:val="decimal"/>
      <w:lvlText w:val="%2."/>
      <w:lvlJc w:val="left"/>
      <w:pPr>
        <w:tabs>
          <w:tab w:val="num" w:pos="1440"/>
        </w:tabs>
        <w:ind w:left="1440" w:hanging="360"/>
      </w:pPr>
    </w:lvl>
    <w:lvl w:ilvl="2" w:tplc="A1DAB68C">
      <w:start w:val="82"/>
      <w:numFmt w:val="bullet"/>
      <w:lvlText w:val=""/>
      <w:lvlJc w:val="left"/>
      <w:pPr>
        <w:tabs>
          <w:tab w:val="num" w:pos="2160"/>
        </w:tabs>
        <w:ind w:left="2160" w:hanging="360"/>
      </w:pPr>
      <w:rPr>
        <w:rFonts w:ascii="Wingdings" w:hAnsi="Wingdings" w:hint="default"/>
      </w:rPr>
    </w:lvl>
    <w:lvl w:ilvl="3" w:tplc="AA561222" w:tentative="1">
      <w:start w:val="1"/>
      <w:numFmt w:val="decimal"/>
      <w:lvlText w:val="%4."/>
      <w:lvlJc w:val="left"/>
      <w:pPr>
        <w:tabs>
          <w:tab w:val="num" w:pos="2880"/>
        </w:tabs>
        <w:ind w:left="2880" w:hanging="360"/>
      </w:pPr>
    </w:lvl>
    <w:lvl w:ilvl="4" w:tplc="131200AA" w:tentative="1">
      <w:start w:val="1"/>
      <w:numFmt w:val="decimal"/>
      <w:lvlText w:val="%5."/>
      <w:lvlJc w:val="left"/>
      <w:pPr>
        <w:tabs>
          <w:tab w:val="num" w:pos="3600"/>
        </w:tabs>
        <w:ind w:left="3600" w:hanging="360"/>
      </w:pPr>
    </w:lvl>
    <w:lvl w:ilvl="5" w:tplc="E8CA206E" w:tentative="1">
      <w:start w:val="1"/>
      <w:numFmt w:val="decimal"/>
      <w:lvlText w:val="%6."/>
      <w:lvlJc w:val="left"/>
      <w:pPr>
        <w:tabs>
          <w:tab w:val="num" w:pos="4320"/>
        </w:tabs>
        <w:ind w:left="4320" w:hanging="360"/>
      </w:pPr>
    </w:lvl>
    <w:lvl w:ilvl="6" w:tplc="6A8AC278" w:tentative="1">
      <w:start w:val="1"/>
      <w:numFmt w:val="decimal"/>
      <w:lvlText w:val="%7."/>
      <w:lvlJc w:val="left"/>
      <w:pPr>
        <w:tabs>
          <w:tab w:val="num" w:pos="5040"/>
        </w:tabs>
        <w:ind w:left="5040" w:hanging="360"/>
      </w:pPr>
    </w:lvl>
    <w:lvl w:ilvl="7" w:tplc="3188A7BC" w:tentative="1">
      <w:start w:val="1"/>
      <w:numFmt w:val="decimal"/>
      <w:lvlText w:val="%8."/>
      <w:lvlJc w:val="left"/>
      <w:pPr>
        <w:tabs>
          <w:tab w:val="num" w:pos="5760"/>
        </w:tabs>
        <w:ind w:left="5760" w:hanging="360"/>
      </w:pPr>
    </w:lvl>
    <w:lvl w:ilvl="8" w:tplc="8634EEB4" w:tentative="1">
      <w:start w:val="1"/>
      <w:numFmt w:val="decimal"/>
      <w:lvlText w:val="%9."/>
      <w:lvlJc w:val="left"/>
      <w:pPr>
        <w:tabs>
          <w:tab w:val="num" w:pos="6480"/>
        </w:tabs>
        <w:ind w:left="6480" w:hanging="360"/>
      </w:pPr>
    </w:lvl>
  </w:abstractNum>
  <w:abstractNum w:abstractNumId="21" w15:restartNumberingAfterBreak="0">
    <w:nsid w:val="5C2072A7"/>
    <w:multiLevelType w:val="hybridMultilevel"/>
    <w:tmpl w:val="7290995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61DE5A27"/>
    <w:multiLevelType w:val="hybridMultilevel"/>
    <w:tmpl w:val="9AD2EF3C"/>
    <w:lvl w:ilvl="0" w:tplc="7AC67602">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646700C3"/>
    <w:multiLevelType w:val="multilevel"/>
    <w:tmpl w:val="AEC8D368"/>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6E40F40"/>
    <w:multiLevelType w:val="hybridMultilevel"/>
    <w:tmpl w:val="842ADB74"/>
    <w:lvl w:ilvl="0" w:tplc="7AC67602">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70680BB2"/>
    <w:multiLevelType w:val="hybridMultilevel"/>
    <w:tmpl w:val="60E8FD0C"/>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7488499F"/>
    <w:multiLevelType w:val="hybridMultilevel"/>
    <w:tmpl w:val="6B760BF6"/>
    <w:lvl w:ilvl="0" w:tplc="F1FCE54E">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763F13CC"/>
    <w:multiLevelType w:val="hybridMultilevel"/>
    <w:tmpl w:val="CA5EF53C"/>
    <w:lvl w:ilvl="0" w:tplc="8D1A8CF2">
      <w:start w:val="1"/>
      <w:numFmt w:val="lowerRoman"/>
      <w:lvlText w:val="(%1)"/>
      <w:lvlJc w:val="left"/>
      <w:pPr>
        <w:ind w:left="1080" w:hanging="72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79CF5CD2"/>
    <w:multiLevelType w:val="hybridMultilevel"/>
    <w:tmpl w:val="78DC339A"/>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7D561429"/>
    <w:multiLevelType w:val="multilevel"/>
    <w:tmpl w:val="53D6A834"/>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15"/>
  </w:num>
  <w:num w:numId="3">
    <w:abstractNumId w:val="10"/>
  </w:num>
  <w:num w:numId="4">
    <w:abstractNumId w:val="9"/>
  </w:num>
  <w:num w:numId="5">
    <w:abstractNumId w:val="5"/>
  </w:num>
  <w:num w:numId="6">
    <w:abstractNumId w:val="7"/>
  </w:num>
  <w:num w:numId="7">
    <w:abstractNumId w:val="12"/>
  </w:num>
  <w:num w:numId="8">
    <w:abstractNumId w:val="0"/>
  </w:num>
  <w:num w:numId="9">
    <w:abstractNumId w:val="17"/>
  </w:num>
  <w:num w:numId="10">
    <w:abstractNumId w:val="19"/>
  </w:num>
  <w:num w:numId="11">
    <w:abstractNumId w:val="26"/>
  </w:num>
  <w:num w:numId="12">
    <w:abstractNumId w:val="1"/>
  </w:num>
  <w:num w:numId="13">
    <w:abstractNumId w:val="21"/>
  </w:num>
  <w:num w:numId="14">
    <w:abstractNumId w:val="20"/>
  </w:num>
  <w:num w:numId="15">
    <w:abstractNumId w:val="11"/>
  </w:num>
  <w:num w:numId="16">
    <w:abstractNumId w:val="16"/>
  </w:num>
  <w:num w:numId="17">
    <w:abstractNumId w:val="4"/>
  </w:num>
  <w:num w:numId="18">
    <w:abstractNumId w:val="28"/>
  </w:num>
  <w:num w:numId="19">
    <w:abstractNumId w:val="29"/>
  </w:num>
  <w:num w:numId="20">
    <w:abstractNumId w:val="8"/>
  </w:num>
  <w:num w:numId="21">
    <w:abstractNumId w:val="14"/>
  </w:num>
  <w:num w:numId="22">
    <w:abstractNumId w:val="27"/>
  </w:num>
  <w:num w:numId="23">
    <w:abstractNumId w:val="18"/>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6"/>
  </w:num>
  <w:num w:numId="27">
    <w:abstractNumId w:val="2"/>
  </w:num>
  <w:num w:numId="28">
    <w:abstractNumId w:val="24"/>
  </w:num>
  <w:num w:numId="29">
    <w:abstractNumId w:val="3"/>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BB4"/>
    <w:rsid w:val="00000C1B"/>
    <w:rsid w:val="00007176"/>
    <w:rsid w:val="000109CE"/>
    <w:rsid w:val="00011B30"/>
    <w:rsid w:val="000125D5"/>
    <w:rsid w:val="00012F7B"/>
    <w:rsid w:val="000269EE"/>
    <w:rsid w:val="000354DA"/>
    <w:rsid w:val="00036134"/>
    <w:rsid w:val="00041DA3"/>
    <w:rsid w:val="0004242F"/>
    <w:rsid w:val="00050263"/>
    <w:rsid w:val="00061D19"/>
    <w:rsid w:val="00081520"/>
    <w:rsid w:val="0008267D"/>
    <w:rsid w:val="000A3FC3"/>
    <w:rsid w:val="000A60DC"/>
    <w:rsid w:val="000B17D8"/>
    <w:rsid w:val="000B2542"/>
    <w:rsid w:val="000B4319"/>
    <w:rsid w:val="000B53BF"/>
    <w:rsid w:val="000B7CD5"/>
    <w:rsid w:val="000D211C"/>
    <w:rsid w:val="000D51D0"/>
    <w:rsid w:val="000E0452"/>
    <w:rsid w:val="000E3645"/>
    <w:rsid w:val="000E4964"/>
    <w:rsid w:val="000F3DDA"/>
    <w:rsid w:val="000F712E"/>
    <w:rsid w:val="00104CF2"/>
    <w:rsid w:val="00111937"/>
    <w:rsid w:val="00120789"/>
    <w:rsid w:val="00120D86"/>
    <w:rsid w:val="00121A87"/>
    <w:rsid w:val="00137BB4"/>
    <w:rsid w:val="001416B2"/>
    <w:rsid w:val="001455C7"/>
    <w:rsid w:val="00154810"/>
    <w:rsid w:val="001611E8"/>
    <w:rsid w:val="001612EA"/>
    <w:rsid w:val="00174CA6"/>
    <w:rsid w:val="00185804"/>
    <w:rsid w:val="001A1091"/>
    <w:rsid w:val="001A249C"/>
    <w:rsid w:val="001A38D5"/>
    <w:rsid w:val="001B4D4F"/>
    <w:rsid w:val="001C55E6"/>
    <w:rsid w:val="001C5B06"/>
    <w:rsid w:val="001F7DB2"/>
    <w:rsid w:val="002071FB"/>
    <w:rsid w:val="00207701"/>
    <w:rsid w:val="002123F5"/>
    <w:rsid w:val="00213D87"/>
    <w:rsid w:val="002166F4"/>
    <w:rsid w:val="0023044D"/>
    <w:rsid w:val="00230914"/>
    <w:rsid w:val="00231915"/>
    <w:rsid w:val="00233071"/>
    <w:rsid w:val="0023584D"/>
    <w:rsid w:val="00253A2C"/>
    <w:rsid w:val="002563AC"/>
    <w:rsid w:val="0025766A"/>
    <w:rsid w:val="0026779F"/>
    <w:rsid w:val="0027056F"/>
    <w:rsid w:val="002723BC"/>
    <w:rsid w:val="00274311"/>
    <w:rsid w:val="00276D47"/>
    <w:rsid w:val="00293C72"/>
    <w:rsid w:val="00295993"/>
    <w:rsid w:val="002A656D"/>
    <w:rsid w:val="002B42D2"/>
    <w:rsid w:val="002D1F37"/>
    <w:rsid w:val="002D432C"/>
    <w:rsid w:val="002E2C99"/>
    <w:rsid w:val="002E4039"/>
    <w:rsid w:val="002F27B3"/>
    <w:rsid w:val="0030791F"/>
    <w:rsid w:val="00310EE6"/>
    <w:rsid w:val="003110A7"/>
    <w:rsid w:val="00311C78"/>
    <w:rsid w:val="00314502"/>
    <w:rsid w:val="0032709D"/>
    <w:rsid w:val="0034503E"/>
    <w:rsid w:val="00346674"/>
    <w:rsid w:val="00351986"/>
    <w:rsid w:val="00354D63"/>
    <w:rsid w:val="0036098C"/>
    <w:rsid w:val="00367D3D"/>
    <w:rsid w:val="00374A0B"/>
    <w:rsid w:val="00374C74"/>
    <w:rsid w:val="00383DBD"/>
    <w:rsid w:val="003939E2"/>
    <w:rsid w:val="00393DE4"/>
    <w:rsid w:val="003B64B8"/>
    <w:rsid w:val="003B6DFD"/>
    <w:rsid w:val="003C197A"/>
    <w:rsid w:val="003C1BB0"/>
    <w:rsid w:val="003E6413"/>
    <w:rsid w:val="003E6DC5"/>
    <w:rsid w:val="003F31E3"/>
    <w:rsid w:val="00401760"/>
    <w:rsid w:val="00402F1E"/>
    <w:rsid w:val="00406143"/>
    <w:rsid w:val="00411B22"/>
    <w:rsid w:val="004262A5"/>
    <w:rsid w:val="004417EF"/>
    <w:rsid w:val="00451941"/>
    <w:rsid w:val="00462701"/>
    <w:rsid w:val="00485201"/>
    <w:rsid w:val="00485D9E"/>
    <w:rsid w:val="0049471E"/>
    <w:rsid w:val="0049473D"/>
    <w:rsid w:val="004A2B07"/>
    <w:rsid w:val="004A3075"/>
    <w:rsid w:val="004A6E66"/>
    <w:rsid w:val="004B08B9"/>
    <w:rsid w:val="004B6AB0"/>
    <w:rsid w:val="004B7AD9"/>
    <w:rsid w:val="004C4F0F"/>
    <w:rsid w:val="004D7323"/>
    <w:rsid w:val="004E53E8"/>
    <w:rsid w:val="005156AB"/>
    <w:rsid w:val="00516D5A"/>
    <w:rsid w:val="005177DD"/>
    <w:rsid w:val="005202B9"/>
    <w:rsid w:val="00521117"/>
    <w:rsid w:val="005221E0"/>
    <w:rsid w:val="00524F19"/>
    <w:rsid w:val="0053177D"/>
    <w:rsid w:val="005329B3"/>
    <w:rsid w:val="00545962"/>
    <w:rsid w:val="005503BC"/>
    <w:rsid w:val="0056563F"/>
    <w:rsid w:val="00570B91"/>
    <w:rsid w:val="00570CB6"/>
    <w:rsid w:val="00573C9C"/>
    <w:rsid w:val="00587DB1"/>
    <w:rsid w:val="0059142C"/>
    <w:rsid w:val="0059316B"/>
    <w:rsid w:val="0059430C"/>
    <w:rsid w:val="00595D16"/>
    <w:rsid w:val="005B3D22"/>
    <w:rsid w:val="005C724B"/>
    <w:rsid w:val="005E3F1E"/>
    <w:rsid w:val="005E7DA1"/>
    <w:rsid w:val="005F2C85"/>
    <w:rsid w:val="006112D3"/>
    <w:rsid w:val="00617383"/>
    <w:rsid w:val="00624147"/>
    <w:rsid w:val="0066057A"/>
    <w:rsid w:val="006632C2"/>
    <w:rsid w:val="00670760"/>
    <w:rsid w:val="00677569"/>
    <w:rsid w:val="006928AF"/>
    <w:rsid w:val="006A06A8"/>
    <w:rsid w:val="006A3C53"/>
    <w:rsid w:val="006A4F14"/>
    <w:rsid w:val="006C4F77"/>
    <w:rsid w:val="006D57E1"/>
    <w:rsid w:val="006E7855"/>
    <w:rsid w:val="006F4419"/>
    <w:rsid w:val="006F778E"/>
    <w:rsid w:val="00701609"/>
    <w:rsid w:val="00703EBC"/>
    <w:rsid w:val="00733091"/>
    <w:rsid w:val="00740E96"/>
    <w:rsid w:val="007671E0"/>
    <w:rsid w:val="00782DC0"/>
    <w:rsid w:val="00794AE6"/>
    <w:rsid w:val="007A186E"/>
    <w:rsid w:val="007B43BB"/>
    <w:rsid w:val="007B48FF"/>
    <w:rsid w:val="007C1972"/>
    <w:rsid w:val="007C6378"/>
    <w:rsid w:val="007C78E7"/>
    <w:rsid w:val="007E52F1"/>
    <w:rsid w:val="007F4FD8"/>
    <w:rsid w:val="007F6C7F"/>
    <w:rsid w:val="007F6E65"/>
    <w:rsid w:val="00807730"/>
    <w:rsid w:val="008142A6"/>
    <w:rsid w:val="00823DEE"/>
    <w:rsid w:val="00826494"/>
    <w:rsid w:val="00830545"/>
    <w:rsid w:val="00834189"/>
    <w:rsid w:val="00844AC7"/>
    <w:rsid w:val="00845813"/>
    <w:rsid w:val="008A08BF"/>
    <w:rsid w:val="008A21C7"/>
    <w:rsid w:val="008A6A18"/>
    <w:rsid w:val="008B37C6"/>
    <w:rsid w:val="008C3D20"/>
    <w:rsid w:val="008D1879"/>
    <w:rsid w:val="008E198F"/>
    <w:rsid w:val="008F567C"/>
    <w:rsid w:val="008F5FEB"/>
    <w:rsid w:val="00900247"/>
    <w:rsid w:val="009069CB"/>
    <w:rsid w:val="009141C4"/>
    <w:rsid w:val="009162E1"/>
    <w:rsid w:val="0092288D"/>
    <w:rsid w:val="00925996"/>
    <w:rsid w:val="0092657A"/>
    <w:rsid w:val="009559CE"/>
    <w:rsid w:val="00967522"/>
    <w:rsid w:val="00974971"/>
    <w:rsid w:val="00976177"/>
    <w:rsid w:val="00981233"/>
    <w:rsid w:val="00986005"/>
    <w:rsid w:val="00995911"/>
    <w:rsid w:val="009B1806"/>
    <w:rsid w:val="009B3588"/>
    <w:rsid w:val="009C04EA"/>
    <w:rsid w:val="009C1B6A"/>
    <w:rsid w:val="009C4E1F"/>
    <w:rsid w:val="009D1CFE"/>
    <w:rsid w:val="009E2218"/>
    <w:rsid w:val="009F680A"/>
    <w:rsid w:val="009F7A81"/>
    <w:rsid w:val="00A051DE"/>
    <w:rsid w:val="00A12CAE"/>
    <w:rsid w:val="00A12F76"/>
    <w:rsid w:val="00A322E9"/>
    <w:rsid w:val="00A41C1F"/>
    <w:rsid w:val="00A42A2E"/>
    <w:rsid w:val="00A43556"/>
    <w:rsid w:val="00A44A31"/>
    <w:rsid w:val="00A46611"/>
    <w:rsid w:val="00A46C3D"/>
    <w:rsid w:val="00A708A2"/>
    <w:rsid w:val="00A74B57"/>
    <w:rsid w:val="00A760F7"/>
    <w:rsid w:val="00A8256E"/>
    <w:rsid w:val="00A879C3"/>
    <w:rsid w:val="00A938D6"/>
    <w:rsid w:val="00AA74EC"/>
    <w:rsid w:val="00AB0933"/>
    <w:rsid w:val="00AB3414"/>
    <w:rsid w:val="00AC7D84"/>
    <w:rsid w:val="00AD1615"/>
    <w:rsid w:val="00AE6544"/>
    <w:rsid w:val="00AE6ACA"/>
    <w:rsid w:val="00AF1889"/>
    <w:rsid w:val="00B06405"/>
    <w:rsid w:val="00B16877"/>
    <w:rsid w:val="00B20012"/>
    <w:rsid w:val="00B3401A"/>
    <w:rsid w:val="00B34A0C"/>
    <w:rsid w:val="00B36B3D"/>
    <w:rsid w:val="00B4531D"/>
    <w:rsid w:val="00B507B3"/>
    <w:rsid w:val="00B508C9"/>
    <w:rsid w:val="00B53560"/>
    <w:rsid w:val="00B57CF3"/>
    <w:rsid w:val="00B60206"/>
    <w:rsid w:val="00B73990"/>
    <w:rsid w:val="00B752DA"/>
    <w:rsid w:val="00BA7E1B"/>
    <w:rsid w:val="00BC02C7"/>
    <w:rsid w:val="00BC061C"/>
    <w:rsid w:val="00BC115F"/>
    <w:rsid w:val="00BD09E4"/>
    <w:rsid w:val="00BD4932"/>
    <w:rsid w:val="00BE08C4"/>
    <w:rsid w:val="00BE44FB"/>
    <w:rsid w:val="00BE69C3"/>
    <w:rsid w:val="00BF0716"/>
    <w:rsid w:val="00C050FA"/>
    <w:rsid w:val="00C06EF9"/>
    <w:rsid w:val="00C11A8C"/>
    <w:rsid w:val="00C16CBB"/>
    <w:rsid w:val="00C2226C"/>
    <w:rsid w:val="00C42CB6"/>
    <w:rsid w:val="00C43FFE"/>
    <w:rsid w:val="00C510C8"/>
    <w:rsid w:val="00C6138E"/>
    <w:rsid w:val="00C6222A"/>
    <w:rsid w:val="00C661E6"/>
    <w:rsid w:val="00C67B0F"/>
    <w:rsid w:val="00C70FB4"/>
    <w:rsid w:val="00C72919"/>
    <w:rsid w:val="00CA266A"/>
    <w:rsid w:val="00CA3C5A"/>
    <w:rsid w:val="00CB2DD8"/>
    <w:rsid w:val="00CC1311"/>
    <w:rsid w:val="00CC491D"/>
    <w:rsid w:val="00CD4047"/>
    <w:rsid w:val="00CE2B33"/>
    <w:rsid w:val="00CE5889"/>
    <w:rsid w:val="00CF41E4"/>
    <w:rsid w:val="00CF43E5"/>
    <w:rsid w:val="00CF5EA6"/>
    <w:rsid w:val="00D04CAA"/>
    <w:rsid w:val="00D236D3"/>
    <w:rsid w:val="00D31F42"/>
    <w:rsid w:val="00D331D8"/>
    <w:rsid w:val="00D33B5A"/>
    <w:rsid w:val="00D34B37"/>
    <w:rsid w:val="00D40E94"/>
    <w:rsid w:val="00D41840"/>
    <w:rsid w:val="00D5079C"/>
    <w:rsid w:val="00D52C58"/>
    <w:rsid w:val="00D54C22"/>
    <w:rsid w:val="00D556ED"/>
    <w:rsid w:val="00D760DE"/>
    <w:rsid w:val="00D81409"/>
    <w:rsid w:val="00D872FD"/>
    <w:rsid w:val="00DA48AB"/>
    <w:rsid w:val="00DA69A2"/>
    <w:rsid w:val="00DD2819"/>
    <w:rsid w:val="00DE37BB"/>
    <w:rsid w:val="00DE763F"/>
    <w:rsid w:val="00E04692"/>
    <w:rsid w:val="00E05746"/>
    <w:rsid w:val="00E1358D"/>
    <w:rsid w:val="00E13F66"/>
    <w:rsid w:val="00E275E2"/>
    <w:rsid w:val="00E33AB2"/>
    <w:rsid w:val="00E4082E"/>
    <w:rsid w:val="00E41C97"/>
    <w:rsid w:val="00E4313D"/>
    <w:rsid w:val="00E46694"/>
    <w:rsid w:val="00E54B19"/>
    <w:rsid w:val="00E73099"/>
    <w:rsid w:val="00E73F8B"/>
    <w:rsid w:val="00E83177"/>
    <w:rsid w:val="00EA1E4D"/>
    <w:rsid w:val="00EB40D2"/>
    <w:rsid w:val="00EB43AE"/>
    <w:rsid w:val="00EC1701"/>
    <w:rsid w:val="00ED063C"/>
    <w:rsid w:val="00ED3B76"/>
    <w:rsid w:val="00ED420A"/>
    <w:rsid w:val="00ED68B7"/>
    <w:rsid w:val="00EF6E89"/>
    <w:rsid w:val="00F06E32"/>
    <w:rsid w:val="00F12CB7"/>
    <w:rsid w:val="00F15CF3"/>
    <w:rsid w:val="00F17528"/>
    <w:rsid w:val="00F1779B"/>
    <w:rsid w:val="00F24465"/>
    <w:rsid w:val="00F25695"/>
    <w:rsid w:val="00F27361"/>
    <w:rsid w:val="00F313B0"/>
    <w:rsid w:val="00F31AAC"/>
    <w:rsid w:val="00F459AB"/>
    <w:rsid w:val="00F517C5"/>
    <w:rsid w:val="00F757B3"/>
    <w:rsid w:val="00F772E2"/>
    <w:rsid w:val="00F8020C"/>
    <w:rsid w:val="00F84A57"/>
    <w:rsid w:val="00F93983"/>
    <w:rsid w:val="00FB097C"/>
    <w:rsid w:val="00FB2165"/>
    <w:rsid w:val="00FB6702"/>
    <w:rsid w:val="00FC093C"/>
    <w:rsid w:val="00FC78CB"/>
    <w:rsid w:val="00FE6F81"/>
    <w:rsid w:val="00FF7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044B3"/>
  <w15:chartTrackingRefBased/>
  <w15:docId w15:val="{38B4B8B0-9231-4B98-8B6B-2CEEA029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7BB4"/>
    <w:rPr>
      <w:lang w:val="en-MY"/>
    </w:rPr>
  </w:style>
  <w:style w:type="paragraph" w:styleId="Heading1">
    <w:name w:val="heading 1"/>
    <w:basedOn w:val="Normal"/>
    <w:next w:val="Normal"/>
    <w:link w:val="Heading1Char"/>
    <w:uiPriority w:val="9"/>
    <w:qFormat/>
    <w:rsid w:val="00137B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7B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C1B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7BB4"/>
    <w:rPr>
      <w:rFonts w:asciiTheme="majorHAnsi" w:eastAsiaTheme="majorEastAsia" w:hAnsiTheme="majorHAnsi" w:cstheme="majorBidi"/>
      <w:color w:val="2F5496" w:themeColor="accent1" w:themeShade="BF"/>
      <w:sz w:val="26"/>
      <w:szCs w:val="26"/>
      <w:lang w:val="en-MY"/>
    </w:rPr>
  </w:style>
  <w:style w:type="table" w:customStyle="1" w:styleId="TableGrid1">
    <w:name w:val="Table Grid1"/>
    <w:basedOn w:val="TableNormal"/>
    <w:next w:val="TableGrid"/>
    <w:uiPriority w:val="39"/>
    <w:rsid w:val="00137BB4"/>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37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7B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BB4"/>
    <w:rPr>
      <w:rFonts w:ascii="Segoe UI" w:hAnsi="Segoe UI" w:cs="Segoe UI"/>
      <w:sz w:val="18"/>
      <w:szCs w:val="18"/>
      <w:lang w:val="en-MY"/>
    </w:rPr>
  </w:style>
  <w:style w:type="character" w:customStyle="1" w:styleId="Heading1Char">
    <w:name w:val="Heading 1 Char"/>
    <w:basedOn w:val="DefaultParagraphFont"/>
    <w:link w:val="Heading1"/>
    <w:uiPriority w:val="9"/>
    <w:rsid w:val="00137BB4"/>
    <w:rPr>
      <w:rFonts w:asciiTheme="majorHAnsi" w:eastAsiaTheme="majorEastAsia" w:hAnsiTheme="majorHAnsi" w:cstheme="majorBidi"/>
      <w:color w:val="2F5496" w:themeColor="accent1" w:themeShade="BF"/>
      <w:sz w:val="32"/>
      <w:szCs w:val="32"/>
      <w:lang w:val="en-MY"/>
    </w:rPr>
  </w:style>
  <w:style w:type="paragraph" w:styleId="Header">
    <w:name w:val="header"/>
    <w:basedOn w:val="Normal"/>
    <w:link w:val="HeaderChar"/>
    <w:uiPriority w:val="99"/>
    <w:unhideWhenUsed/>
    <w:rsid w:val="00137B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BB4"/>
    <w:rPr>
      <w:lang w:val="en-MY"/>
    </w:rPr>
  </w:style>
  <w:style w:type="paragraph" w:styleId="Footer">
    <w:name w:val="footer"/>
    <w:basedOn w:val="Normal"/>
    <w:link w:val="FooterChar"/>
    <w:uiPriority w:val="99"/>
    <w:unhideWhenUsed/>
    <w:rsid w:val="00137B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BB4"/>
    <w:rPr>
      <w:lang w:val="en-MY"/>
    </w:rPr>
  </w:style>
  <w:style w:type="paragraph" w:styleId="NoSpacing">
    <w:name w:val="No Spacing"/>
    <w:uiPriority w:val="1"/>
    <w:qFormat/>
    <w:rsid w:val="00137BB4"/>
    <w:pPr>
      <w:spacing w:after="0" w:line="240" w:lineRule="auto"/>
      <w:jc w:val="both"/>
    </w:pPr>
    <w:rPr>
      <w:rFonts w:ascii="Times New Roman" w:eastAsia="MS Mincho" w:hAnsi="Times New Roman" w:cs="Arial"/>
      <w:sz w:val="24"/>
      <w:szCs w:val="24"/>
    </w:rPr>
  </w:style>
  <w:style w:type="character" w:styleId="Hyperlink">
    <w:name w:val="Hyperlink"/>
    <w:basedOn w:val="DefaultParagraphFont"/>
    <w:uiPriority w:val="99"/>
    <w:unhideWhenUsed/>
    <w:rsid w:val="00137BB4"/>
    <w:rPr>
      <w:color w:val="0563C1" w:themeColor="hyperlink"/>
      <w:u w:val="single"/>
    </w:rPr>
  </w:style>
  <w:style w:type="paragraph" w:styleId="TOCHeading">
    <w:name w:val="TOC Heading"/>
    <w:basedOn w:val="Heading1"/>
    <w:next w:val="Normal"/>
    <w:uiPriority w:val="39"/>
    <w:unhideWhenUsed/>
    <w:qFormat/>
    <w:rsid w:val="00137BB4"/>
    <w:pPr>
      <w:outlineLvl w:val="9"/>
    </w:pPr>
    <w:rPr>
      <w:lang w:val="en-US"/>
    </w:rPr>
  </w:style>
  <w:style w:type="paragraph" w:styleId="TOC1">
    <w:name w:val="toc 1"/>
    <w:basedOn w:val="Normal"/>
    <w:next w:val="Normal"/>
    <w:autoRedefine/>
    <w:uiPriority w:val="39"/>
    <w:unhideWhenUsed/>
    <w:rsid w:val="00137BB4"/>
    <w:pPr>
      <w:spacing w:after="100"/>
    </w:pPr>
  </w:style>
  <w:style w:type="paragraph" w:styleId="TOC2">
    <w:name w:val="toc 2"/>
    <w:basedOn w:val="Normal"/>
    <w:next w:val="Normal"/>
    <w:autoRedefine/>
    <w:uiPriority w:val="39"/>
    <w:unhideWhenUsed/>
    <w:rsid w:val="00137BB4"/>
    <w:pPr>
      <w:tabs>
        <w:tab w:val="left" w:pos="1100"/>
        <w:tab w:val="right" w:leader="dot" w:pos="9016"/>
      </w:tabs>
      <w:spacing w:after="100"/>
      <w:ind w:left="220" w:firstLine="489"/>
    </w:pPr>
  </w:style>
  <w:style w:type="numbering" w:customStyle="1" w:styleId="NoList1">
    <w:name w:val="No List1"/>
    <w:next w:val="NoList"/>
    <w:uiPriority w:val="99"/>
    <w:semiHidden/>
    <w:unhideWhenUsed/>
    <w:rsid w:val="00137BB4"/>
  </w:style>
  <w:style w:type="paragraph" w:styleId="ListParagraph">
    <w:name w:val="List Paragraph"/>
    <w:basedOn w:val="Normal"/>
    <w:uiPriority w:val="34"/>
    <w:qFormat/>
    <w:rsid w:val="00137BB4"/>
    <w:pPr>
      <w:ind w:left="720"/>
      <w:contextualSpacing/>
    </w:pPr>
  </w:style>
  <w:style w:type="character" w:customStyle="1" w:styleId="fontstyle01">
    <w:name w:val="fontstyle01"/>
    <w:basedOn w:val="DefaultParagraphFont"/>
    <w:rsid w:val="00137BB4"/>
    <w:rPr>
      <w:rFonts w:ascii="TimesNewRomanPSMT" w:hAnsi="TimesNewRomanPSMT" w:hint="default"/>
      <w:b w:val="0"/>
      <w:bCs w:val="0"/>
      <w:i w:val="0"/>
      <w:iCs w:val="0"/>
      <w:color w:val="000000"/>
      <w:sz w:val="16"/>
      <w:szCs w:val="16"/>
    </w:rPr>
  </w:style>
  <w:style w:type="character" w:customStyle="1" w:styleId="fontstyle21">
    <w:name w:val="fontstyle21"/>
    <w:basedOn w:val="DefaultParagraphFont"/>
    <w:rsid w:val="00137BB4"/>
    <w:rPr>
      <w:rFonts w:ascii="TimesNewRomanPS-ItalicMT" w:hAnsi="TimesNewRomanPS-ItalicMT" w:hint="default"/>
      <w:b w:val="0"/>
      <w:bCs w:val="0"/>
      <w:i/>
      <w:iCs/>
      <w:color w:val="000000"/>
      <w:sz w:val="16"/>
      <w:szCs w:val="16"/>
    </w:rPr>
  </w:style>
  <w:style w:type="paragraph" w:styleId="NormalWeb">
    <w:name w:val="Normal (Web)"/>
    <w:basedOn w:val="Normal"/>
    <w:uiPriority w:val="99"/>
    <w:unhideWhenUsed/>
    <w:rsid w:val="00137BB4"/>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styleId="Bibliography">
    <w:name w:val="Bibliography"/>
    <w:basedOn w:val="Normal"/>
    <w:next w:val="Normal"/>
    <w:uiPriority w:val="37"/>
    <w:unhideWhenUsed/>
    <w:rsid w:val="00137BB4"/>
  </w:style>
  <w:style w:type="character" w:styleId="CommentReference">
    <w:name w:val="annotation reference"/>
    <w:basedOn w:val="DefaultParagraphFont"/>
    <w:uiPriority w:val="99"/>
    <w:semiHidden/>
    <w:unhideWhenUsed/>
    <w:rsid w:val="00137BB4"/>
    <w:rPr>
      <w:sz w:val="16"/>
      <w:szCs w:val="16"/>
    </w:rPr>
  </w:style>
  <w:style w:type="paragraph" w:styleId="CommentText">
    <w:name w:val="annotation text"/>
    <w:basedOn w:val="Normal"/>
    <w:link w:val="CommentTextChar"/>
    <w:uiPriority w:val="99"/>
    <w:semiHidden/>
    <w:unhideWhenUsed/>
    <w:rsid w:val="00137BB4"/>
    <w:pPr>
      <w:spacing w:line="240" w:lineRule="auto"/>
    </w:pPr>
    <w:rPr>
      <w:sz w:val="20"/>
      <w:szCs w:val="20"/>
    </w:rPr>
  </w:style>
  <w:style w:type="character" w:customStyle="1" w:styleId="CommentTextChar">
    <w:name w:val="Comment Text Char"/>
    <w:basedOn w:val="DefaultParagraphFont"/>
    <w:link w:val="CommentText"/>
    <w:uiPriority w:val="99"/>
    <w:semiHidden/>
    <w:rsid w:val="00137BB4"/>
    <w:rPr>
      <w:sz w:val="20"/>
      <w:szCs w:val="20"/>
      <w:lang w:val="en-MY"/>
    </w:rPr>
  </w:style>
  <w:style w:type="paragraph" w:styleId="CommentSubject">
    <w:name w:val="annotation subject"/>
    <w:basedOn w:val="CommentText"/>
    <w:next w:val="CommentText"/>
    <w:link w:val="CommentSubjectChar"/>
    <w:uiPriority w:val="99"/>
    <w:semiHidden/>
    <w:unhideWhenUsed/>
    <w:rsid w:val="00137BB4"/>
    <w:rPr>
      <w:b/>
      <w:bCs/>
    </w:rPr>
  </w:style>
  <w:style w:type="character" w:customStyle="1" w:styleId="CommentSubjectChar">
    <w:name w:val="Comment Subject Char"/>
    <w:basedOn w:val="CommentTextChar"/>
    <w:link w:val="CommentSubject"/>
    <w:uiPriority w:val="99"/>
    <w:semiHidden/>
    <w:rsid w:val="00137BB4"/>
    <w:rPr>
      <w:b/>
      <w:bCs/>
      <w:sz w:val="20"/>
      <w:szCs w:val="20"/>
      <w:lang w:val="en-MY"/>
    </w:rPr>
  </w:style>
  <w:style w:type="paragraph" w:styleId="Revision">
    <w:name w:val="Revision"/>
    <w:hidden/>
    <w:uiPriority w:val="99"/>
    <w:semiHidden/>
    <w:rsid w:val="00137BB4"/>
    <w:pPr>
      <w:spacing w:after="0" w:line="240" w:lineRule="auto"/>
    </w:pPr>
    <w:rPr>
      <w:lang w:val="en-MY"/>
    </w:rPr>
  </w:style>
  <w:style w:type="paragraph" w:customStyle="1" w:styleId="Default">
    <w:name w:val="Default"/>
    <w:rsid w:val="008F567C"/>
    <w:pPr>
      <w:autoSpaceDE w:val="0"/>
      <w:autoSpaceDN w:val="0"/>
      <w:adjustRightInd w:val="0"/>
      <w:spacing w:after="0" w:line="240" w:lineRule="auto"/>
    </w:pPr>
    <w:rPr>
      <w:rFonts w:ascii="Times New Roman" w:hAnsi="Times New Roman" w:cs="Times New Roman"/>
      <w:color w:val="000000"/>
      <w:sz w:val="24"/>
      <w:szCs w:val="24"/>
      <w:lang w:val="en-MY"/>
    </w:rPr>
  </w:style>
  <w:style w:type="character" w:customStyle="1" w:styleId="A7">
    <w:name w:val="A7"/>
    <w:uiPriority w:val="99"/>
    <w:rsid w:val="008F567C"/>
    <w:rPr>
      <w:color w:val="000000"/>
      <w:sz w:val="18"/>
      <w:szCs w:val="18"/>
    </w:rPr>
  </w:style>
  <w:style w:type="character" w:customStyle="1" w:styleId="Heading3Char">
    <w:name w:val="Heading 3 Char"/>
    <w:basedOn w:val="DefaultParagraphFont"/>
    <w:link w:val="Heading3"/>
    <w:uiPriority w:val="9"/>
    <w:semiHidden/>
    <w:rsid w:val="003C1BB0"/>
    <w:rPr>
      <w:rFonts w:asciiTheme="majorHAnsi" w:eastAsiaTheme="majorEastAsia" w:hAnsiTheme="majorHAnsi" w:cstheme="majorBidi"/>
      <w:color w:val="1F3763" w:themeColor="accent1" w:themeShade="7F"/>
      <w:sz w:val="24"/>
      <w:szCs w:val="24"/>
      <w:lang w:val="en-MY"/>
    </w:rPr>
  </w:style>
  <w:style w:type="paragraph" w:customStyle="1" w:styleId="11Normal02-PerengganKeduaonward">
    <w:name w:val="11 Normal02 - PerengganKedua onward"/>
    <w:qFormat/>
    <w:rsid w:val="00CF5EA6"/>
    <w:pPr>
      <w:spacing w:beforeLines="150" w:before="150" w:afterLines="150" w:after="150" w:line="360" w:lineRule="auto"/>
      <w:ind w:firstLine="720"/>
      <w:jc w:val="both"/>
    </w:pPr>
    <w:rPr>
      <w:rFonts w:ascii="Times New Roman" w:eastAsia="MS Mincho" w:hAnsi="Times New Roman" w:cs="Arial"/>
      <w:sz w:val="24"/>
      <w:szCs w:val="24"/>
    </w:rPr>
  </w:style>
  <w:style w:type="character" w:styleId="UnresolvedMention">
    <w:name w:val="Unresolved Mention"/>
    <w:basedOn w:val="DefaultParagraphFont"/>
    <w:uiPriority w:val="99"/>
    <w:semiHidden/>
    <w:unhideWhenUsed/>
    <w:rsid w:val="00485D9E"/>
    <w:rPr>
      <w:color w:val="605E5C"/>
      <w:shd w:val="clear" w:color="auto" w:fill="E1DFDD"/>
    </w:rPr>
  </w:style>
  <w:style w:type="character" w:styleId="Strong">
    <w:name w:val="Strong"/>
    <w:basedOn w:val="DefaultParagraphFont"/>
    <w:uiPriority w:val="22"/>
    <w:qFormat/>
    <w:rsid w:val="002319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216726">
      <w:bodyDiv w:val="1"/>
      <w:marLeft w:val="0"/>
      <w:marRight w:val="0"/>
      <w:marTop w:val="0"/>
      <w:marBottom w:val="0"/>
      <w:divBdr>
        <w:top w:val="none" w:sz="0" w:space="0" w:color="auto"/>
        <w:left w:val="none" w:sz="0" w:space="0" w:color="auto"/>
        <w:bottom w:val="none" w:sz="0" w:space="0" w:color="auto"/>
        <w:right w:val="none" w:sz="0" w:space="0" w:color="auto"/>
      </w:divBdr>
    </w:div>
    <w:div w:id="1478693350">
      <w:bodyDiv w:val="1"/>
      <w:marLeft w:val="0"/>
      <w:marRight w:val="0"/>
      <w:marTop w:val="0"/>
      <w:marBottom w:val="0"/>
      <w:divBdr>
        <w:top w:val="none" w:sz="0" w:space="0" w:color="auto"/>
        <w:left w:val="none" w:sz="0" w:space="0" w:color="auto"/>
        <w:bottom w:val="none" w:sz="0" w:space="0" w:color="auto"/>
        <w:right w:val="none" w:sz="0" w:space="0" w:color="auto"/>
      </w:divBdr>
    </w:div>
    <w:div w:id="1752702667">
      <w:bodyDiv w:val="1"/>
      <w:marLeft w:val="0"/>
      <w:marRight w:val="0"/>
      <w:marTop w:val="0"/>
      <w:marBottom w:val="0"/>
      <w:divBdr>
        <w:top w:val="none" w:sz="0" w:space="0" w:color="auto"/>
        <w:left w:val="none" w:sz="0" w:space="0" w:color="auto"/>
        <w:bottom w:val="none" w:sz="0" w:space="0" w:color="auto"/>
        <w:right w:val="none" w:sz="0" w:space="0" w:color="auto"/>
      </w:divBdr>
      <w:divsChild>
        <w:div w:id="593561276">
          <w:marLeft w:val="0"/>
          <w:marRight w:val="0"/>
          <w:marTop w:val="0"/>
          <w:marBottom w:val="0"/>
          <w:divBdr>
            <w:top w:val="none" w:sz="0" w:space="0" w:color="auto"/>
            <w:left w:val="none" w:sz="0" w:space="0" w:color="auto"/>
            <w:bottom w:val="none" w:sz="0" w:space="0" w:color="auto"/>
            <w:right w:val="none" w:sz="0" w:space="0" w:color="auto"/>
          </w:divBdr>
        </w:div>
      </w:divsChild>
    </w:div>
    <w:div w:id="1759062859">
      <w:bodyDiv w:val="1"/>
      <w:marLeft w:val="0"/>
      <w:marRight w:val="0"/>
      <w:marTop w:val="0"/>
      <w:marBottom w:val="0"/>
      <w:divBdr>
        <w:top w:val="none" w:sz="0" w:space="0" w:color="auto"/>
        <w:left w:val="none" w:sz="0" w:space="0" w:color="auto"/>
        <w:bottom w:val="none" w:sz="0" w:space="0" w:color="auto"/>
        <w:right w:val="none" w:sz="0" w:space="0" w:color="auto"/>
      </w:divBdr>
    </w:div>
    <w:div w:id="1760757336">
      <w:bodyDiv w:val="1"/>
      <w:marLeft w:val="0"/>
      <w:marRight w:val="0"/>
      <w:marTop w:val="0"/>
      <w:marBottom w:val="0"/>
      <w:divBdr>
        <w:top w:val="none" w:sz="0" w:space="0" w:color="auto"/>
        <w:left w:val="none" w:sz="0" w:space="0" w:color="auto"/>
        <w:bottom w:val="none" w:sz="0" w:space="0" w:color="auto"/>
        <w:right w:val="none" w:sz="0" w:space="0" w:color="auto"/>
      </w:divBdr>
    </w:div>
    <w:div w:id="183969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576/pengurusan-2018-51-04" TargetMode="External"/><Relationship Id="rId13" Type="http://schemas.openxmlformats.org/officeDocument/2006/relationships/hyperlink" Target="Managerial%20Auditing%20Journa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6/j.ribaf.2019.02.004" TargetMode="External"/><Relationship Id="rId12" Type="http://schemas.openxmlformats.org/officeDocument/2006/relationships/hyperlink" Target="https://www.emerald.com/insight/search?q=Norman%20Mohd%20Saleh"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merald.com/insight/search?q=Siti%20Hajar%20Asmah%20Ali"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emerald.com/insight/search?q=Mohd%20Mohid%20Rahma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intaccaudtax.2021.100398" TargetMode="External"/><Relationship Id="rId14" Type="http://schemas.openxmlformats.org/officeDocument/2006/relationships/hyperlink" Target="https://doi.org/10.1108/MAJ-05-2019-23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26924</TotalTime>
  <Pages>22</Pages>
  <Words>9276</Words>
  <Characters>52875</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HAMEZAH MD NOR</dc:creator>
  <cp:keywords/>
  <dc:description/>
  <cp:lastModifiedBy>HAMEZAH MD NOR</cp:lastModifiedBy>
  <cp:revision>120</cp:revision>
  <dcterms:created xsi:type="dcterms:W3CDTF">2021-07-16T01:55:00Z</dcterms:created>
  <dcterms:modified xsi:type="dcterms:W3CDTF">2021-09-05T02:45:00Z</dcterms:modified>
</cp:coreProperties>
</file>