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2590A" w14:textId="77777777" w:rsidR="00AE2677" w:rsidRDefault="00AE2677" w:rsidP="00AE2677">
      <w:pPr>
        <w:spacing w:line="240" w:lineRule="auto"/>
        <w:jc w:val="center"/>
        <w:rPr>
          <w:rFonts w:ascii="Times New Roman" w:hAnsi="Times New Roman"/>
          <w:sz w:val="24"/>
          <w:szCs w:val="24"/>
          <w:lang w:val="en-US"/>
        </w:rPr>
      </w:pPr>
      <w:bookmarkStart w:id="0" w:name="_GoBack"/>
      <w:bookmarkEnd w:id="0"/>
      <w:r>
        <w:rPr>
          <w:rFonts w:ascii="Times New Roman" w:hAnsi="Times New Roman"/>
          <w:sz w:val="24"/>
          <w:szCs w:val="24"/>
          <w:lang w:val="en-US"/>
        </w:rPr>
        <w:t>Measurement of the Variable</w:t>
      </w:r>
    </w:p>
    <w:tbl>
      <w:tblPr>
        <w:tblStyle w:val="TableGrid"/>
        <w:tblW w:w="0" w:type="auto"/>
        <w:tblLook w:val="04A0" w:firstRow="1" w:lastRow="0" w:firstColumn="1" w:lastColumn="0" w:noHBand="0" w:noVBand="1"/>
      </w:tblPr>
      <w:tblGrid>
        <w:gridCol w:w="1413"/>
        <w:gridCol w:w="3544"/>
        <w:gridCol w:w="2126"/>
        <w:gridCol w:w="1933"/>
      </w:tblGrid>
      <w:tr w:rsidR="00AE2677" w14:paraId="3B03BE44" w14:textId="77777777" w:rsidTr="00B93ADB">
        <w:tc>
          <w:tcPr>
            <w:tcW w:w="1413" w:type="dxa"/>
          </w:tcPr>
          <w:p w14:paraId="07AE9201" w14:textId="77777777" w:rsidR="00AE2677" w:rsidRDefault="00AE2677" w:rsidP="00B93ADB">
            <w:pPr>
              <w:spacing w:after="0" w:line="240" w:lineRule="auto"/>
              <w:jc w:val="center"/>
              <w:rPr>
                <w:rFonts w:ascii="Times New Roman" w:hAnsi="Times New Roman"/>
                <w:sz w:val="24"/>
                <w:szCs w:val="24"/>
                <w:lang w:val="en-US"/>
              </w:rPr>
            </w:pPr>
            <w:r>
              <w:rPr>
                <w:rFonts w:ascii="Times New Roman" w:hAnsi="Times New Roman"/>
                <w:sz w:val="24"/>
                <w:szCs w:val="24"/>
                <w:lang w:val="en-US"/>
              </w:rPr>
              <w:t>Variable</w:t>
            </w:r>
          </w:p>
        </w:tc>
        <w:tc>
          <w:tcPr>
            <w:tcW w:w="3544" w:type="dxa"/>
          </w:tcPr>
          <w:p w14:paraId="4F23DAC6" w14:textId="77777777" w:rsidR="00AE2677" w:rsidRDefault="00AE2677" w:rsidP="00B93ADB">
            <w:pPr>
              <w:spacing w:after="0" w:line="240" w:lineRule="auto"/>
              <w:jc w:val="center"/>
              <w:rPr>
                <w:rFonts w:ascii="Times New Roman" w:hAnsi="Times New Roman"/>
                <w:sz w:val="24"/>
                <w:szCs w:val="24"/>
                <w:lang w:val="en-US"/>
              </w:rPr>
            </w:pPr>
            <w:r>
              <w:rPr>
                <w:rFonts w:ascii="Times New Roman" w:hAnsi="Times New Roman"/>
                <w:sz w:val="24"/>
                <w:szCs w:val="24"/>
                <w:lang w:val="en-US"/>
              </w:rPr>
              <w:t>Indicator</w:t>
            </w:r>
          </w:p>
        </w:tc>
        <w:tc>
          <w:tcPr>
            <w:tcW w:w="2126" w:type="dxa"/>
          </w:tcPr>
          <w:p w14:paraId="2D8CB06D" w14:textId="77777777" w:rsidR="00AE2677" w:rsidRDefault="00AE2677" w:rsidP="00B93ADB">
            <w:pPr>
              <w:spacing w:after="0" w:line="240" w:lineRule="auto"/>
              <w:jc w:val="center"/>
              <w:rPr>
                <w:rFonts w:ascii="Times New Roman" w:hAnsi="Times New Roman"/>
                <w:sz w:val="24"/>
                <w:szCs w:val="24"/>
                <w:lang w:val="en-US"/>
              </w:rPr>
            </w:pPr>
            <w:r>
              <w:rPr>
                <w:rFonts w:ascii="Times New Roman" w:hAnsi="Times New Roman"/>
                <w:sz w:val="24"/>
                <w:szCs w:val="24"/>
                <w:lang w:val="en-US"/>
              </w:rPr>
              <w:t>Source</w:t>
            </w:r>
          </w:p>
        </w:tc>
        <w:tc>
          <w:tcPr>
            <w:tcW w:w="1933" w:type="dxa"/>
          </w:tcPr>
          <w:p w14:paraId="09591EEA" w14:textId="77777777" w:rsidR="00AE2677" w:rsidRDefault="00AE2677" w:rsidP="00B93ADB">
            <w:pPr>
              <w:spacing w:after="0" w:line="240" w:lineRule="auto"/>
              <w:jc w:val="center"/>
              <w:rPr>
                <w:rFonts w:ascii="Times New Roman" w:hAnsi="Times New Roman"/>
                <w:sz w:val="24"/>
                <w:szCs w:val="24"/>
                <w:lang w:val="en-US"/>
              </w:rPr>
            </w:pPr>
            <w:r>
              <w:rPr>
                <w:rFonts w:ascii="Times New Roman" w:hAnsi="Times New Roman"/>
                <w:sz w:val="24"/>
                <w:szCs w:val="24"/>
                <w:lang w:val="en-US"/>
              </w:rPr>
              <w:t>Scale</w:t>
            </w:r>
          </w:p>
        </w:tc>
      </w:tr>
      <w:tr w:rsidR="00AE2677" w14:paraId="48B7C71B" w14:textId="77777777" w:rsidTr="00B93ADB">
        <w:tc>
          <w:tcPr>
            <w:tcW w:w="1413" w:type="dxa"/>
          </w:tcPr>
          <w:p w14:paraId="19A70694" w14:textId="77777777" w:rsidR="00AE2677" w:rsidRPr="00A83186" w:rsidRDefault="00AE2677" w:rsidP="00B93ADB">
            <w:pPr>
              <w:spacing w:after="0" w:line="240" w:lineRule="auto"/>
              <w:jc w:val="both"/>
              <w:rPr>
                <w:rFonts w:ascii="Times New Roman" w:hAnsi="Times New Roman"/>
                <w:sz w:val="24"/>
                <w:szCs w:val="24"/>
                <w:lang w:val="en-US"/>
              </w:rPr>
            </w:pPr>
            <w:r>
              <w:rPr>
                <w:rFonts w:ascii="Times New Roman" w:hAnsi="Times New Roman"/>
                <w:lang w:val="en-US"/>
              </w:rPr>
              <w:t>Deskilling of Automation</w:t>
            </w:r>
          </w:p>
        </w:tc>
        <w:tc>
          <w:tcPr>
            <w:tcW w:w="3544" w:type="dxa"/>
          </w:tcPr>
          <w:p w14:paraId="37B4275E" w14:textId="77777777" w:rsidR="00AE2677" w:rsidRPr="00613003" w:rsidRDefault="00AE2677" w:rsidP="00AE2677">
            <w:pPr>
              <w:numPr>
                <w:ilvl w:val="0"/>
                <w:numId w:val="1"/>
              </w:numPr>
              <w:suppressAutoHyphens w:val="0"/>
              <w:spacing w:after="0" w:line="240" w:lineRule="auto"/>
              <w:ind w:left="356"/>
              <w:rPr>
                <w:rFonts w:ascii="Times New Roman" w:hAnsi="Times New Roman"/>
                <w:lang w:val="en-MY"/>
              </w:rPr>
            </w:pPr>
            <w:r w:rsidRPr="00613003">
              <w:rPr>
                <w:rFonts w:ascii="Times New Roman" w:hAnsi="Times New Roman"/>
                <w:lang w:val="en-MY"/>
              </w:rPr>
              <w:t>Simplified of the Tasks</w:t>
            </w:r>
          </w:p>
          <w:p w14:paraId="1557258E" w14:textId="77777777" w:rsidR="00AE2677" w:rsidRPr="00613003" w:rsidRDefault="00AE2677" w:rsidP="00AE2677">
            <w:pPr>
              <w:numPr>
                <w:ilvl w:val="0"/>
                <w:numId w:val="1"/>
              </w:numPr>
              <w:suppressAutoHyphens w:val="0"/>
              <w:spacing w:after="0" w:line="240" w:lineRule="auto"/>
              <w:ind w:left="356"/>
              <w:rPr>
                <w:rFonts w:ascii="Times New Roman" w:hAnsi="Times New Roman"/>
                <w:lang w:val="en-MY"/>
              </w:rPr>
            </w:pPr>
            <w:r w:rsidRPr="00613003">
              <w:rPr>
                <w:rFonts w:ascii="Times New Roman" w:hAnsi="Times New Roman"/>
                <w:lang w:val="en-MY"/>
              </w:rPr>
              <w:t>Tasks are reduced</w:t>
            </w:r>
          </w:p>
          <w:p w14:paraId="4B487B59" w14:textId="77777777" w:rsidR="00AE2677" w:rsidRPr="00613003" w:rsidRDefault="00AE2677" w:rsidP="00AE2677">
            <w:pPr>
              <w:numPr>
                <w:ilvl w:val="0"/>
                <w:numId w:val="1"/>
              </w:numPr>
              <w:suppressAutoHyphens w:val="0"/>
              <w:spacing w:after="0" w:line="240" w:lineRule="auto"/>
              <w:ind w:left="356"/>
              <w:rPr>
                <w:rFonts w:ascii="Times New Roman" w:hAnsi="Times New Roman"/>
                <w:lang w:val="en-MY"/>
              </w:rPr>
            </w:pPr>
            <w:r w:rsidRPr="00613003">
              <w:rPr>
                <w:rFonts w:ascii="Times New Roman" w:hAnsi="Times New Roman"/>
                <w:lang w:val="en-MY"/>
              </w:rPr>
              <w:t>Repetitive of the Tasks</w:t>
            </w:r>
          </w:p>
          <w:p w14:paraId="36B0D91A" w14:textId="77777777" w:rsidR="00AE2677" w:rsidRDefault="00AE2677" w:rsidP="00AE2677">
            <w:pPr>
              <w:numPr>
                <w:ilvl w:val="0"/>
                <w:numId w:val="1"/>
              </w:numPr>
              <w:suppressAutoHyphens w:val="0"/>
              <w:spacing w:after="0" w:line="240" w:lineRule="auto"/>
              <w:ind w:left="356"/>
              <w:rPr>
                <w:rFonts w:ascii="Times New Roman" w:hAnsi="Times New Roman"/>
                <w:lang w:val="en-MY"/>
              </w:rPr>
            </w:pPr>
            <w:r w:rsidRPr="00613003">
              <w:rPr>
                <w:rFonts w:ascii="Times New Roman" w:hAnsi="Times New Roman"/>
                <w:lang w:val="en-MY"/>
              </w:rPr>
              <w:t>Lack of discretion or autonomy</w:t>
            </w:r>
          </w:p>
          <w:p w14:paraId="39859722" w14:textId="77777777" w:rsidR="00AE2677" w:rsidRPr="00A83186" w:rsidRDefault="00AE2677" w:rsidP="00AE2677">
            <w:pPr>
              <w:numPr>
                <w:ilvl w:val="0"/>
                <w:numId w:val="1"/>
              </w:numPr>
              <w:suppressAutoHyphens w:val="0"/>
              <w:spacing w:after="0" w:line="240" w:lineRule="auto"/>
              <w:ind w:left="356"/>
              <w:rPr>
                <w:rFonts w:ascii="Times New Roman" w:hAnsi="Times New Roman"/>
                <w:lang w:val="en-MY"/>
              </w:rPr>
            </w:pPr>
            <w:r w:rsidRPr="00A83186">
              <w:rPr>
                <w:rFonts w:ascii="Times New Roman" w:hAnsi="Times New Roman"/>
                <w:lang w:val="en-MY"/>
              </w:rPr>
              <w:t>Role of users is reduced</w:t>
            </w:r>
          </w:p>
        </w:tc>
        <w:tc>
          <w:tcPr>
            <w:tcW w:w="2126" w:type="dxa"/>
          </w:tcPr>
          <w:p w14:paraId="5503C147" w14:textId="77777777" w:rsidR="00AE2677" w:rsidRPr="00A83186" w:rsidRDefault="00AE2677" w:rsidP="00B93ADB">
            <w:pPr>
              <w:rPr>
                <w:rFonts w:ascii="Times New Roman" w:hAnsi="Times New Roman"/>
                <w:lang w:val="en-MY"/>
              </w:rPr>
            </w:pPr>
            <w:r w:rsidRPr="00613003">
              <w:rPr>
                <w:rFonts w:ascii="Times New Roman" w:hAnsi="Times New Roman"/>
                <w:lang w:val="en-MY"/>
              </w:rPr>
              <w:t>Brown et. al., (2019)</w:t>
            </w:r>
            <w:r>
              <w:rPr>
                <w:rFonts w:ascii="Times New Roman" w:hAnsi="Times New Roman"/>
                <w:lang w:val="en-MY"/>
              </w:rPr>
              <w:t xml:space="preserve">, </w:t>
            </w:r>
            <w:r>
              <w:rPr>
                <w:rFonts w:ascii="Times New Roman" w:hAnsi="Times New Roman"/>
                <w:lang w:val="en-MY"/>
              </w:rPr>
              <w:fldChar w:fldCharType="begin" w:fldLock="1"/>
            </w:r>
            <w:r>
              <w:rPr>
                <w:rFonts w:ascii="Times New Roman" w:hAnsi="Times New Roman"/>
                <w:lang w:val="en-MY"/>
              </w:rPr>
              <w:instrText>ADDIN CSL_CITATION {"citationItems":[{"id":"ITEM-1","itemData":{"DOI":"10.1016/S0925-5273(97)00092-3","ISSN":"09255273","abstract":"The deskilling/reskilling controversy within the labour process debate is considered within the context of the implementation of Computer Integrated Manufacturing (CIM). Effective implementation of CIM is shown to require an appreciation of the social and organizational issues associated with organizational change. As such the deskilling/reskilling issue is worthy of analysis within the CIM context and aspects of the labour process debate are examined. The effects of technological change on the skills of shopfloor oerators and supervisors are examined by analysing two dimensions of skill, technical complexity and discretion or autonomy. The paper concludes that the outcomes of technical change are framed by managerial perceptions and consequent decisions on how technology should be implemented in terms of work organisation.","author":[{"dropping-particle":"","family":"Agnew","given":"Andrew","non-dropping-particle":"","parse-names":false,"suffix":""},{"dropping-particle":"","family":"Forrester","given":"Paul","non-dropping-particle":"","parse-names":false,"suffix":""},{"dropping-particle":"","family":"Hassard","given":"John","non-dropping-particle":"","parse-names":false,"suffix":""},{"dropping-particle":"","family":"Procter","given":"Stephen","non-dropping-particle":"","parse-names":false,"suffix":""}],"container-title":"International Journal of Production Economics","id":"ITEM-1","issue":"3","issued":{"date-parts":[["1997"]]},"page":"317-324","title":"Deskilling and reskilling within the labour process: The case of computer integrated manufacturing","type":"article-journal","volume":"52"},"uris":["http://www.mendeley.com/documents/?uuid=cef24bae-6026-4aa0-89e3-874181a473d4"]}],"mendeley":{"formattedCitation":"(Agnew et al., 1997)","plainTextFormattedCitation":"(Agnew et al., 1997)","previouslyFormattedCitation":"(Agnew et al., 1997)"},"properties":{"noteIndex":0},"schema":"https://github.com/citation-style-language/schema/raw/master/csl-citation.json"}</w:instrText>
            </w:r>
            <w:r>
              <w:rPr>
                <w:rFonts w:ascii="Times New Roman" w:hAnsi="Times New Roman"/>
                <w:lang w:val="en-MY"/>
              </w:rPr>
              <w:fldChar w:fldCharType="separate"/>
            </w:r>
            <w:r w:rsidRPr="00A779DA">
              <w:rPr>
                <w:rFonts w:ascii="Times New Roman" w:hAnsi="Times New Roman"/>
                <w:noProof/>
                <w:lang w:val="en-MY"/>
              </w:rPr>
              <w:t>(Agnew et al., 1997)</w:t>
            </w:r>
            <w:r>
              <w:rPr>
                <w:rFonts w:ascii="Times New Roman" w:hAnsi="Times New Roman"/>
                <w:lang w:val="en-MY"/>
              </w:rPr>
              <w:fldChar w:fldCharType="end"/>
            </w:r>
            <w:r>
              <w:rPr>
                <w:rFonts w:ascii="Times New Roman" w:hAnsi="Times New Roman"/>
                <w:lang w:val="en-MY"/>
              </w:rPr>
              <w:t xml:space="preserve">, </w:t>
            </w:r>
            <w:r>
              <w:rPr>
                <w:rFonts w:ascii="Times New Roman" w:hAnsi="Times New Roman"/>
                <w:lang w:val="en-MY"/>
              </w:rPr>
              <w:fldChar w:fldCharType="begin" w:fldLock="1"/>
            </w:r>
            <w:r>
              <w:rPr>
                <w:rFonts w:ascii="Times New Roman" w:hAnsi="Times New Roman"/>
                <w:lang w:val="en-MY"/>
              </w:rPr>
              <w:instrText>ADDIN CSL_CITATION {"citationItems":[{"id":"ITEM-1","itemData":{"DOI":"10.1109/3468.844354","ISSN":"10834427","PMID":"11760769","abstract":"Technical developments in computer hardware and software now make it possible to introduce automation into virtually all aspects of human-machine systems. Given these technical capabilities, which system functions should be automated and to what extent? We outline a model for types and levels of automation that provides a framework and an objective basis for making such choices. Appropriate selection is important because automation does not merely supplant but changes human activity and can impose new coordination demands on the human operator. We propose that automation can be applied to four broad classes of functions: 1) information acquisition; 2) information analysis; 3) decision and action selection; and 4) action implementation. Within each of these types, automation can be applied across a continuum of levels from low to high, i.e., from fully manual to fully automatic. A particular system can involve automation of all four types at different levels. The human performance consequences of particular types and levels of automation constitute primary evaluative criteria for automation design using our model. Secondary evaluative criteria include automation reliability and the costs of decision/action consequences, among others. Examples of recommended types and levels of automation are provided to illustrate the application of the model to automation design. © 2000 IEEE.","author":[{"dropping-particle":"","family":"Parasuraman","given":"Raja","non-dropping-particle":"","parse-names":false,"suffix":""},{"dropping-particle":"","family":"Sheridan","given":"Thomas B.","non-dropping-particle":"","parse-names":false,"suffix":""},{"dropping-particle":"","family":"Wickens","given":"Christopher D.","non-dropping-particle":"","parse-names":false,"suffix":""}],"container-title":"IEEE Transactions on Systems, Man, and Cybernetics Part A:Systems and Humans.","id":"ITEM-1","issue":"3","issued":{"date-parts":[["2000"]]},"page":"286-297","title":"A model for types and levels of human interaction with automation","type":"article-journal","volume":"30"},"uris":["http://www.mendeley.com/documents/?uuid=34a77cc8-6236-4fb0-a061-f99fff9168ea"]}],"mendeley":{"formattedCitation":"(Parasuraman et al., 2000)","plainTextFormattedCitation":"(Parasuraman et al., 2000)","previouslyFormattedCitation":"(Parasuraman et al., 2000)"},"properties":{"noteIndex":0},"schema":"https://github.com/citation-style-language/schema/raw/master/csl-citation.json"}</w:instrText>
            </w:r>
            <w:r>
              <w:rPr>
                <w:rFonts w:ascii="Times New Roman" w:hAnsi="Times New Roman"/>
                <w:lang w:val="en-MY"/>
              </w:rPr>
              <w:fldChar w:fldCharType="separate"/>
            </w:r>
            <w:r w:rsidRPr="00A779DA">
              <w:rPr>
                <w:rFonts w:ascii="Times New Roman" w:hAnsi="Times New Roman"/>
                <w:noProof/>
                <w:lang w:val="en-MY"/>
              </w:rPr>
              <w:t>(Parasuraman et al., 2000)</w:t>
            </w:r>
            <w:r>
              <w:rPr>
                <w:rFonts w:ascii="Times New Roman" w:hAnsi="Times New Roman"/>
                <w:lang w:val="en-MY"/>
              </w:rPr>
              <w:fldChar w:fldCharType="end"/>
            </w:r>
            <w:r>
              <w:rPr>
                <w:rFonts w:ascii="Times New Roman" w:hAnsi="Times New Roman"/>
                <w:lang w:val="en-MY"/>
              </w:rPr>
              <w:t xml:space="preserve"> </w:t>
            </w:r>
          </w:p>
        </w:tc>
        <w:tc>
          <w:tcPr>
            <w:tcW w:w="1933" w:type="dxa"/>
          </w:tcPr>
          <w:p w14:paraId="0C1A970A" w14:textId="77777777" w:rsidR="00AE2677" w:rsidRPr="00613003" w:rsidRDefault="00AE2677" w:rsidP="00B93ADB">
            <w:pPr>
              <w:spacing w:after="0"/>
              <w:rPr>
                <w:rFonts w:ascii="Times New Roman" w:hAnsi="Times New Roman"/>
                <w:lang w:val="en-MY"/>
              </w:rPr>
            </w:pPr>
            <w:r w:rsidRPr="00613003">
              <w:rPr>
                <w:rFonts w:ascii="Times New Roman" w:hAnsi="Times New Roman"/>
                <w:lang w:val="en-MY"/>
              </w:rPr>
              <w:t>5 points scale</w:t>
            </w:r>
          </w:p>
          <w:p w14:paraId="732110BA" w14:textId="77777777" w:rsidR="00AE2677" w:rsidRDefault="00AE2677" w:rsidP="00B93ADB">
            <w:pPr>
              <w:spacing w:after="0" w:line="240" w:lineRule="auto"/>
              <w:jc w:val="both"/>
              <w:rPr>
                <w:rFonts w:ascii="Times New Roman" w:hAnsi="Times New Roman"/>
                <w:lang w:val="en-MY"/>
              </w:rPr>
            </w:pPr>
            <w:r w:rsidRPr="00613003">
              <w:rPr>
                <w:rFonts w:ascii="Times New Roman" w:hAnsi="Times New Roman"/>
                <w:lang w:val="en-MY"/>
              </w:rPr>
              <w:t xml:space="preserve">1=Strongly disagree and </w:t>
            </w:r>
          </w:p>
          <w:p w14:paraId="568BB551" w14:textId="77777777" w:rsidR="00AE2677" w:rsidRDefault="00AE2677" w:rsidP="00B93ADB">
            <w:pPr>
              <w:spacing w:after="0" w:line="240" w:lineRule="auto"/>
              <w:jc w:val="both"/>
              <w:rPr>
                <w:rFonts w:ascii="Times New Roman" w:hAnsi="Times New Roman"/>
                <w:sz w:val="24"/>
                <w:szCs w:val="24"/>
                <w:lang w:val="en-US"/>
              </w:rPr>
            </w:pPr>
            <w:r w:rsidRPr="00613003">
              <w:rPr>
                <w:rFonts w:ascii="Times New Roman" w:hAnsi="Times New Roman"/>
                <w:lang w:val="en-MY"/>
              </w:rPr>
              <w:t>5 = Strongly agree</w:t>
            </w:r>
            <w:r>
              <w:rPr>
                <w:rFonts w:ascii="Times New Roman" w:hAnsi="Times New Roman"/>
                <w:sz w:val="24"/>
                <w:szCs w:val="24"/>
                <w:lang w:val="en-US"/>
              </w:rPr>
              <w:t xml:space="preserve"> </w:t>
            </w:r>
          </w:p>
        </w:tc>
      </w:tr>
      <w:tr w:rsidR="00AE2677" w14:paraId="5AAD1A9D" w14:textId="77777777" w:rsidTr="00B93ADB">
        <w:tc>
          <w:tcPr>
            <w:tcW w:w="1413" w:type="dxa"/>
          </w:tcPr>
          <w:p w14:paraId="4D5E391D" w14:textId="77777777" w:rsidR="00AE2677" w:rsidRPr="00A83186" w:rsidRDefault="00AE2677" w:rsidP="00B93ADB">
            <w:pPr>
              <w:spacing w:after="0" w:line="240" w:lineRule="auto"/>
              <w:jc w:val="both"/>
              <w:rPr>
                <w:rFonts w:ascii="Times New Roman" w:hAnsi="Times New Roman"/>
                <w:sz w:val="24"/>
                <w:szCs w:val="24"/>
                <w:lang w:val="en-US"/>
              </w:rPr>
            </w:pPr>
            <w:r>
              <w:rPr>
                <w:rFonts w:ascii="Times New Roman" w:hAnsi="Times New Roman"/>
                <w:lang w:val="en-US"/>
              </w:rPr>
              <w:t>Usability of Automation</w:t>
            </w:r>
          </w:p>
        </w:tc>
        <w:tc>
          <w:tcPr>
            <w:tcW w:w="3544" w:type="dxa"/>
          </w:tcPr>
          <w:p w14:paraId="32C1F35D" w14:textId="77777777" w:rsidR="00AE2677" w:rsidRPr="00613003" w:rsidRDefault="00AE2677" w:rsidP="00AE2677">
            <w:pPr>
              <w:numPr>
                <w:ilvl w:val="0"/>
                <w:numId w:val="2"/>
              </w:numPr>
              <w:suppressAutoHyphens w:val="0"/>
              <w:spacing w:after="0" w:line="240" w:lineRule="auto"/>
              <w:ind w:left="356"/>
              <w:rPr>
                <w:rFonts w:ascii="Times New Roman" w:hAnsi="Times New Roman"/>
                <w:lang w:val="en-MY"/>
              </w:rPr>
            </w:pPr>
            <w:r w:rsidRPr="00613003">
              <w:rPr>
                <w:rFonts w:ascii="Times New Roman" w:hAnsi="Times New Roman"/>
                <w:lang w:val="en-MY"/>
              </w:rPr>
              <w:t>Learn new knowledge</w:t>
            </w:r>
          </w:p>
          <w:p w14:paraId="55A20ADB" w14:textId="77777777" w:rsidR="00AE2677" w:rsidRPr="00613003" w:rsidRDefault="00AE2677" w:rsidP="00AE2677">
            <w:pPr>
              <w:numPr>
                <w:ilvl w:val="0"/>
                <w:numId w:val="2"/>
              </w:numPr>
              <w:suppressAutoHyphens w:val="0"/>
              <w:spacing w:after="0" w:line="240" w:lineRule="auto"/>
              <w:ind w:left="356"/>
              <w:rPr>
                <w:rFonts w:ascii="Times New Roman" w:hAnsi="Times New Roman"/>
                <w:lang w:val="en-MY"/>
              </w:rPr>
            </w:pPr>
            <w:r w:rsidRPr="00613003">
              <w:rPr>
                <w:rFonts w:ascii="Times New Roman" w:hAnsi="Times New Roman"/>
                <w:lang w:val="en-MY"/>
              </w:rPr>
              <w:t>Leverage employee skill</w:t>
            </w:r>
          </w:p>
          <w:p w14:paraId="448745C1" w14:textId="77777777" w:rsidR="00AE2677" w:rsidRPr="00613003" w:rsidRDefault="00AE2677" w:rsidP="00AE2677">
            <w:pPr>
              <w:numPr>
                <w:ilvl w:val="0"/>
                <w:numId w:val="2"/>
              </w:numPr>
              <w:suppressAutoHyphens w:val="0"/>
              <w:spacing w:after="0" w:line="240" w:lineRule="auto"/>
              <w:ind w:left="356"/>
              <w:rPr>
                <w:rFonts w:ascii="Times New Roman" w:hAnsi="Times New Roman"/>
                <w:lang w:val="en-MY"/>
              </w:rPr>
            </w:pPr>
            <w:r w:rsidRPr="00613003">
              <w:rPr>
                <w:rFonts w:ascii="Times New Roman" w:hAnsi="Times New Roman"/>
                <w:lang w:val="en-MY"/>
              </w:rPr>
              <w:t>Improve employee intelligent</w:t>
            </w:r>
          </w:p>
          <w:p w14:paraId="148BE0EC" w14:textId="77777777" w:rsidR="00AE2677" w:rsidRDefault="00AE2677" w:rsidP="00AE2677">
            <w:pPr>
              <w:numPr>
                <w:ilvl w:val="0"/>
                <w:numId w:val="2"/>
              </w:numPr>
              <w:suppressAutoHyphens w:val="0"/>
              <w:spacing w:after="0" w:line="240" w:lineRule="auto"/>
              <w:ind w:left="356"/>
              <w:rPr>
                <w:rFonts w:ascii="Times New Roman" w:hAnsi="Times New Roman"/>
                <w:lang w:val="en-MY"/>
              </w:rPr>
            </w:pPr>
            <w:r w:rsidRPr="00613003">
              <w:rPr>
                <w:rFonts w:ascii="Times New Roman" w:hAnsi="Times New Roman"/>
                <w:lang w:val="en-MY"/>
              </w:rPr>
              <w:t>Enhance user capabilities</w:t>
            </w:r>
          </w:p>
          <w:p w14:paraId="55406F1C" w14:textId="77777777" w:rsidR="00AE2677" w:rsidRPr="00A83186" w:rsidRDefault="00AE2677" w:rsidP="00AE2677">
            <w:pPr>
              <w:numPr>
                <w:ilvl w:val="0"/>
                <w:numId w:val="2"/>
              </w:numPr>
              <w:suppressAutoHyphens w:val="0"/>
              <w:spacing w:after="0" w:line="240" w:lineRule="auto"/>
              <w:ind w:left="356"/>
              <w:rPr>
                <w:rFonts w:ascii="Times New Roman" w:hAnsi="Times New Roman"/>
                <w:lang w:val="en-MY"/>
              </w:rPr>
            </w:pPr>
            <w:r w:rsidRPr="00A83186">
              <w:rPr>
                <w:rFonts w:ascii="Times New Roman" w:hAnsi="Times New Roman"/>
                <w:lang w:val="en-MY"/>
              </w:rPr>
              <w:t>Search new ways to upgrade the work tasks</w:t>
            </w:r>
          </w:p>
        </w:tc>
        <w:tc>
          <w:tcPr>
            <w:tcW w:w="2126" w:type="dxa"/>
          </w:tcPr>
          <w:p w14:paraId="23F379EA" w14:textId="77777777" w:rsidR="00AE2677" w:rsidRDefault="00AE2677" w:rsidP="00B93ADB">
            <w:pPr>
              <w:spacing w:after="0" w:line="240" w:lineRule="auto"/>
              <w:jc w:val="both"/>
              <w:rPr>
                <w:rFonts w:ascii="Times New Roman" w:hAnsi="Times New Roman"/>
                <w:sz w:val="24"/>
                <w:szCs w:val="24"/>
                <w:lang w:val="en-US"/>
              </w:rPr>
            </w:pPr>
            <w:r w:rsidRPr="00613003">
              <w:rPr>
                <w:rFonts w:ascii="Times New Roman" w:hAnsi="Times New Roman"/>
                <w:lang w:val="en-MY"/>
              </w:rPr>
              <w:t>Brown et. al., (2019)</w:t>
            </w:r>
            <w:r>
              <w:rPr>
                <w:rFonts w:ascii="Times New Roman" w:hAnsi="Times New Roman"/>
                <w:lang w:val="en-MY"/>
              </w:rPr>
              <w:t xml:space="preserve">, </w:t>
            </w:r>
            <w:r>
              <w:rPr>
                <w:rFonts w:ascii="Times New Roman" w:hAnsi="Times New Roman"/>
                <w:lang w:val="en-MY"/>
              </w:rPr>
              <w:fldChar w:fldCharType="begin" w:fldLock="1"/>
            </w:r>
            <w:r>
              <w:rPr>
                <w:rFonts w:ascii="Times New Roman" w:hAnsi="Times New Roman"/>
                <w:lang w:val="en-MY"/>
              </w:rPr>
              <w:instrText>ADDIN CSL_CITATION {"citationItems":[{"id":"ITEM-1","itemData":{"DOI":"10.1016/S0925-5273(97)00092-3","ISSN":"09255273","abstract":"The deskilling/reskilling controversy within the labour process debate is considered within the context of the implementation of Computer Integrated Manufacturing (CIM). Effective implementation of CIM is shown to require an appreciation of the social and organizational issues associated with organizational change. As such the deskilling/reskilling issue is worthy of analysis within the CIM context and aspects of the labour process debate are examined. The effects of technological change on the skills of shopfloor oerators and supervisors are examined by analysing two dimensions of skill, technical complexity and discretion or autonomy. The paper concludes that the outcomes of technical change are framed by managerial perceptions and consequent decisions on how technology should be implemented in terms of work organisation.","author":[{"dropping-particle":"","family":"Agnew","given":"Andrew","non-dropping-particle":"","parse-names":false,"suffix":""},{"dropping-particle":"","family":"Forrester","given":"Paul","non-dropping-particle":"","parse-names":false,"suffix":""},{"dropping-particle":"","family":"Hassard","given":"John","non-dropping-particle":"","parse-names":false,"suffix":""},{"dropping-particle":"","family":"Procter","given":"Stephen","non-dropping-particle":"","parse-names":false,"suffix":""}],"container-title":"International Journal of Production Economics","id":"ITEM-1","issue":"3","issued":{"date-parts":[["1997"]]},"page":"317-324","title":"Deskilling and reskilling within the labour process: The case of computer integrated manufacturing","type":"article-journal","volume":"52"},"uris":["http://www.mendeley.com/documents/?uuid=cef24bae-6026-4aa0-89e3-874181a473d4"]}],"mendeley":{"formattedCitation":"(Agnew et al., 1997)","plainTextFormattedCitation":"(Agnew et al., 1997)","previouslyFormattedCitation":"(Agnew et al., 1997)"},"properties":{"noteIndex":0},"schema":"https://github.com/citation-style-language/schema/raw/master/csl-citation.json"}</w:instrText>
            </w:r>
            <w:r>
              <w:rPr>
                <w:rFonts w:ascii="Times New Roman" w:hAnsi="Times New Roman"/>
                <w:lang w:val="en-MY"/>
              </w:rPr>
              <w:fldChar w:fldCharType="separate"/>
            </w:r>
            <w:r w:rsidRPr="00A779DA">
              <w:rPr>
                <w:rFonts w:ascii="Times New Roman" w:hAnsi="Times New Roman"/>
                <w:noProof/>
                <w:lang w:val="en-MY"/>
              </w:rPr>
              <w:t>(Agnew et al., 1997)</w:t>
            </w:r>
            <w:r>
              <w:rPr>
                <w:rFonts w:ascii="Times New Roman" w:hAnsi="Times New Roman"/>
                <w:lang w:val="en-MY"/>
              </w:rPr>
              <w:fldChar w:fldCharType="end"/>
            </w:r>
            <w:r>
              <w:rPr>
                <w:rFonts w:ascii="Times New Roman" w:hAnsi="Times New Roman"/>
                <w:lang w:val="en-MY"/>
              </w:rPr>
              <w:t xml:space="preserve">, </w:t>
            </w:r>
            <w:r>
              <w:rPr>
                <w:rFonts w:ascii="Times New Roman" w:hAnsi="Times New Roman"/>
                <w:lang w:val="en-MY"/>
              </w:rPr>
              <w:fldChar w:fldCharType="begin" w:fldLock="1"/>
            </w:r>
            <w:r>
              <w:rPr>
                <w:rFonts w:ascii="Times New Roman" w:hAnsi="Times New Roman"/>
                <w:lang w:val="en-MY"/>
              </w:rPr>
              <w:instrText>ADDIN CSL_CITATION {"citationItems":[{"id":"ITEM-1","itemData":{"DOI":"10.1109/3468.844354","ISSN":"10834427","PMID":"11760769","abstract":"Technical developments in computer hardware and software now make it possible to introduce automation into virtually all aspects of human-machine systems. Given these technical capabilities, which system functions should be automated and to what extent? We outline a model for types and levels of automation that provides a framework and an objective basis for making such choices. Appropriate selection is important because automation does not merely supplant but changes human activity and can impose new coordination demands on the human operator. We propose that automation can be applied to four broad classes of functions: 1) information acquisition; 2) information analysis; 3) decision and action selection; and 4) action implementation. Within each of these types, automation can be applied across a continuum of levels from low to high, i.e., from fully manual to fully automatic. A particular system can involve automation of all four types at different levels. The human performance consequences of particular types and levels of automation constitute primary evaluative criteria for automation design using our model. Secondary evaluative criteria include automation reliability and the costs of decision/action consequences, among others. Examples of recommended types and levels of automation are provided to illustrate the application of the model to automation design. © 2000 IEEE.","author":[{"dropping-particle":"","family":"Parasuraman","given":"Raja","non-dropping-particle":"","parse-names":false,"suffix":""},{"dropping-particle":"","family":"Sheridan","given":"Thomas B.","non-dropping-particle":"","parse-names":false,"suffix":""},{"dropping-particle":"","family":"Wickens","given":"Christopher D.","non-dropping-particle":"","parse-names":false,"suffix":""}],"container-title":"IEEE Transactions on Systems, Man, and Cybernetics Part A:Systems and Humans.","id":"ITEM-1","issue":"3","issued":{"date-parts":[["2000"]]},"page":"286-297","title":"A model for types and levels of human interaction with automation","type":"article-journal","volume":"30"},"uris":["http://www.mendeley.com/documents/?uuid=34a77cc8-6236-4fb0-a061-f99fff9168ea"]}],"mendeley":{"formattedCitation":"(Parasuraman et al., 2000)","plainTextFormattedCitation":"(Parasuraman et al., 2000)","previouslyFormattedCitation":"(Parasuraman et al., 2000)"},"properties":{"noteIndex":0},"schema":"https://github.com/citation-style-language/schema/raw/master/csl-citation.json"}</w:instrText>
            </w:r>
            <w:r>
              <w:rPr>
                <w:rFonts w:ascii="Times New Roman" w:hAnsi="Times New Roman"/>
                <w:lang w:val="en-MY"/>
              </w:rPr>
              <w:fldChar w:fldCharType="separate"/>
            </w:r>
            <w:r w:rsidRPr="00A779DA">
              <w:rPr>
                <w:rFonts w:ascii="Times New Roman" w:hAnsi="Times New Roman"/>
                <w:noProof/>
                <w:lang w:val="en-MY"/>
              </w:rPr>
              <w:t>(Parasuraman et al., 2000)</w:t>
            </w:r>
            <w:r>
              <w:rPr>
                <w:rFonts w:ascii="Times New Roman" w:hAnsi="Times New Roman"/>
                <w:lang w:val="en-MY"/>
              </w:rPr>
              <w:fldChar w:fldCharType="end"/>
            </w:r>
          </w:p>
        </w:tc>
        <w:tc>
          <w:tcPr>
            <w:tcW w:w="1933" w:type="dxa"/>
          </w:tcPr>
          <w:p w14:paraId="4E98B955" w14:textId="77777777" w:rsidR="00AE2677" w:rsidRPr="00613003" w:rsidRDefault="00AE2677" w:rsidP="00B93ADB">
            <w:pPr>
              <w:spacing w:after="0"/>
              <w:rPr>
                <w:rFonts w:ascii="Times New Roman" w:hAnsi="Times New Roman"/>
                <w:lang w:val="en-MY"/>
              </w:rPr>
            </w:pPr>
            <w:r w:rsidRPr="00613003">
              <w:rPr>
                <w:rFonts w:ascii="Times New Roman" w:hAnsi="Times New Roman"/>
                <w:lang w:val="en-MY"/>
              </w:rPr>
              <w:t>5 points scale</w:t>
            </w:r>
          </w:p>
          <w:p w14:paraId="540ADBFA" w14:textId="77777777" w:rsidR="00AE2677" w:rsidRDefault="00AE2677" w:rsidP="00B93ADB">
            <w:pPr>
              <w:spacing w:after="0" w:line="240" w:lineRule="auto"/>
              <w:jc w:val="both"/>
              <w:rPr>
                <w:rFonts w:ascii="Times New Roman" w:hAnsi="Times New Roman"/>
                <w:lang w:val="en-MY"/>
              </w:rPr>
            </w:pPr>
            <w:r w:rsidRPr="00613003">
              <w:rPr>
                <w:rFonts w:ascii="Times New Roman" w:hAnsi="Times New Roman"/>
                <w:lang w:val="en-MY"/>
              </w:rPr>
              <w:t xml:space="preserve">1=Strongly disagree and </w:t>
            </w:r>
          </w:p>
          <w:p w14:paraId="3FA5E774" w14:textId="77777777" w:rsidR="00AE2677" w:rsidRPr="004F4C18" w:rsidRDefault="00AE2677" w:rsidP="00B93ADB">
            <w:pPr>
              <w:spacing w:after="0" w:line="240" w:lineRule="auto"/>
              <w:ind w:left="-14"/>
              <w:rPr>
                <w:rFonts w:ascii="Times New Roman" w:hAnsi="Times New Roman"/>
              </w:rPr>
            </w:pPr>
            <w:r w:rsidRPr="00613003">
              <w:rPr>
                <w:rFonts w:ascii="Times New Roman" w:hAnsi="Times New Roman"/>
                <w:lang w:val="en-MY"/>
              </w:rPr>
              <w:t>5 = Strongly agree</w:t>
            </w:r>
          </w:p>
        </w:tc>
      </w:tr>
      <w:tr w:rsidR="00AE2677" w14:paraId="7679EAFE" w14:textId="77777777" w:rsidTr="00B93ADB">
        <w:tc>
          <w:tcPr>
            <w:tcW w:w="1413" w:type="dxa"/>
          </w:tcPr>
          <w:p w14:paraId="3DE2F232" w14:textId="77777777" w:rsidR="00AE2677" w:rsidRPr="00A83186" w:rsidRDefault="00AE2677" w:rsidP="00B93ADB">
            <w:pPr>
              <w:spacing w:after="0" w:line="240" w:lineRule="auto"/>
              <w:jc w:val="both"/>
              <w:rPr>
                <w:rFonts w:ascii="Times New Roman" w:hAnsi="Times New Roman"/>
                <w:sz w:val="24"/>
                <w:szCs w:val="24"/>
                <w:lang w:val="en-US"/>
              </w:rPr>
            </w:pPr>
            <w:r>
              <w:rPr>
                <w:rFonts w:ascii="Times New Roman" w:hAnsi="Times New Roman"/>
                <w:lang w:val="en-US"/>
              </w:rPr>
              <w:t>Coercive formalization</w:t>
            </w:r>
          </w:p>
        </w:tc>
        <w:tc>
          <w:tcPr>
            <w:tcW w:w="3544" w:type="dxa"/>
          </w:tcPr>
          <w:p w14:paraId="467236FD" w14:textId="77777777" w:rsidR="00AE2677" w:rsidRPr="00613003" w:rsidRDefault="00AE2677" w:rsidP="00AE2677">
            <w:pPr>
              <w:numPr>
                <w:ilvl w:val="0"/>
                <w:numId w:val="3"/>
              </w:numPr>
              <w:suppressAutoHyphens w:val="0"/>
              <w:spacing w:after="0" w:line="240" w:lineRule="auto"/>
              <w:ind w:left="356"/>
              <w:rPr>
                <w:rFonts w:ascii="Times New Roman" w:hAnsi="Times New Roman"/>
                <w:lang w:val="en-MY"/>
              </w:rPr>
            </w:pPr>
            <w:r w:rsidRPr="00613003">
              <w:rPr>
                <w:rFonts w:ascii="Times New Roman" w:hAnsi="Times New Roman"/>
                <w:lang w:val="en-MY"/>
              </w:rPr>
              <w:t>Standardization of the procedure</w:t>
            </w:r>
          </w:p>
          <w:p w14:paraId="26B4650C" w14:textId="77777777" w:rsidR="00AE2677" w:rsidRPr="00613003" w:rsidRDefault="00AE2677" w:rsidP="00AE2677">
            <w:pPr>
              <w:numPr>
                <w:ilvl w:val="0"/>
                <w:numId w:val="3"/>
              </w:numPr>
              <w:suppressAutoHyphens w:val="0"/>
              <w:spacing w:after="0" w:line="240" w:lineRule="auto"/>
              <w:ind w:left="356"/>
              <w:rPr>
                <w:rFonts w:ascii="Times New Roman" w:hAnsi="Times New Roman"/>
                <w:lang w:val="en-MY"/>
              </w:rPr>
            </w:pPr>
            <w:r w:rsidRPr="00613003">
              <w:rPr>
                <w:rFonts w:ascii="Times New Roman" w:hAnsi="Times New Roman"/>
                <w:lang w:val="en-MY"/>
              </w:rPr>
              <w:t xml:space="preserve">Lack of freedom </w:t>
            </w:r>
          </w:p>
          <w:p w14:paraId="71954EBB" w14:textId="77777777" w:rsidR="00AE2677" w:rsidRDefault="00AE2677" w:rsidP="00AE2677">
            <w:pPr>
              <w:numPr>
                <w:ilvl w:val="0"/>
                <w:numId w:val="3"/>
              </w:numPr>
              <w:suppressAutoHyphens w:val="0"/>
              <w:spacing w:after="0" w:line="240" w:lineRule="auto"/>
              <w:ind w:left="356"/>
              <w:rPr>
                <w:rFonts w:ascii="Times New Roman" w:hAnsi="Times New Roman"/>
                <w:lang w:val="en-MY"/>
              </w:rPr>
            </w:pPr>
            <w:r w:rsidRPr="00613003">
              <w:rPr>
                <w:rFonts w:ascii="Times New Roman" w:hAnsi="Times New Roman"/>
                <w:lang w:val="en-MY"/>
              </w:rPr>
              <w:t>Always stick to the schedules</w:t>
            </w:r>
          </w:p>
          <w:p w14:paraId="07FA3FD1" w14:textId="77777777" w:rsidR="00AE2677" w:rsidRPr="00A83186" w:rsidRDefault="00AE2677" w:rsidP="00AE2677">
            <w:pPr>
              <w:numPr>
                <w:ilvl w:val="0"/>
                <w:numId w:val="3"/>
              </w:numPr>
              <w:suppressAutoHyphens w:val="0"/>
              <w:spacing w:after="0" w:line="240" w:lineRule="auto"/>
              <w:ind w:left="356"/>
              <w:rPr>
                <w:rFonts w:ascii="Times New Roman" w:hAnsi="Times New Roman"/>
                <w:lang w:val="en-MY"/>
              </w:rPr>
            </w:pPr>
            <w:r w:rsidRPr="00A83186">
              <w:rPr>
                <w:rFonts w:ascii="Times New Roman" w:hAnsi="Times New Roman"/>
                <w:lang w:val="en-MY"/>
              </w:rPr>
              <w:t>Impose pre-set consumption pattern</w:t>
            </w:r>
          </w:p>
        </w:tc>
        <w:tc>
          <w:tcPr>
            <w:tcW w:w="2126" w:type="dxa"/>
          </w:tcPr>
          <w:p w14:paraId="266EED59" w14:textId="77777777" w:rsidR="00AE2677" w:rsidRPr="00A83186" w:rsidRDefault="00AE2677" w:rsidP="00B93ADB">
            <w:pPr>
              <w:rPr>
                <w:rFonts w:ascii="Times New Roman" w:hAnsi="Times New Roman"/>
                <w:lang w:val="en-MY"/>
              </w:rPr>
            </w:pPr>
            <w:r w:rsidRPr="00613003">
              <w:rPr>
                <w:rFonts w:ascii="Times New Roman" w:hAnsi="Times New Roman"/>
                <w:lang w:val="en-MY"/>
              </w:rPr>
              <w:t>Brown et. al., (2019)</w:t>
            </w:r>
            <w:r>
              <w:rPr>
                <w:rFonts w:ascii="Times New Roman" w:hAnsi="Times New Roman"/>
                <w:lang w:val="en-MY"/>
              </w:rPr>
              <w:t xml:space="preserve">, </w:t>
            </w:r>
            <w:r>
              <w:rPr>
                <w:rFonts w:ascii="Times New Roman" w:hAnsi="Times New Roman"/>
                <w:lang w:val="en-MY"/>
              </w:rPr>
              <w:fldChar w:fldCharType="begin" w:fldLock="1"/>
            </w:r>
            <w:r>
              <w:rPr>
                <w:rFonts w:ascii="Times New Roman" w:hAnsi="Times New Roman"/>
                <w:lang w:val="en-MY"/>
              </w:rPr>
              <w:instrText>ADDIN CSL_CITATION {"citationItems":[{"id":"ITEM-1","itemData":{"DOI":"10.1108/QRAM-07-2017-0065","ISSN":"11766093","author":[{"dropping-particle":"","family":"O’Grady","given":"Winnie","non-dropping-particle":"","parse-names":false,"suffix":""}],"container-title":"Qualitative Research in Accounting and Management","id":"ITEM-1","issued":{"date-parts":[["2019"]]},"title":"Enabling control in a radically decentralized organization","type":"article-journal"},"uris":["http://www.mendeley.com/documents/?uuid=06b9e028-c974-425a-85d2-4856ada8e52b"]}],"mendeley":{"formattedCitation":"(O’Grady, 2019)","plainTextFormattedCitation":"(O’Grady, 2019)","previouslyFormattedCitation":"(O’Grady, 2019)"},"properties":{"noteIndex":0},"schema":"https://github.com/citation-style-language/schema/raw/master/csl-citation.json"}</w:instrText>
            </w:r>
            <w:r>
              <w:rPr>
                <w:rFonts w:ascii="Times New Roman" w:hAnsi="Times New Roman"/>
                <w:lang w:val="en-MY"/>
              </w:rPr>
              <w:fldChar w:fldCharType="separate"/>
            </w:r>
            <w:r w:rsidRPr="00A779DA">
              <w:rPr>
                <w:rFonts w:ascii="Times New Roman" w:hAnsi="Times New Roman"/>
                <w:noProof/>
                <w:lang w:val="en-MY"/>
              </w:rPr>
              <w:t>(O’Grady, 2019)</w:t>
            </w:r>
            <w:r>
              <w:rPr>
                <w:rFonts w:ascii="Times New Roman" w:hAnsi="Times New Roman"/>
                <w:lang w:val="en-MY"/>
              </w:rPr>
              <w:fldChar w:fldCharType="end"/>
            </w:r>
          </w:p>
        </w:tc>
        <w:tc>
          <w:tcPr>
            <w:tcW w:w="1933" w:type="dxa"/>
          </w:tcPr>
          <w:p w14:paraId="0894408F" w14:textId="77777777" w:rsidR="00AE2677" w:rsidRDefault="00AE2677" w:rsidP="00B93ADB">
            <w:pPr>
              <w:spacing w:after="0" w:line="240" w:lineRule="auto"/>
              <w:rPr>
                <w:rFonts w:ascii="Times New Roman" w:hAnsi="Times New Roman"/>
                <w:lang w:val="en-MY"/>
              </w:rPr>
            </w:pPr>
            <w:r w:rsidRPr="00613003">
              <w:rPr>
                <w:rFonts w:ascii="Times New Roman" w:hAnsi="Times New Roman"/>
                <w:lang w:val="en-MY"/>
              </w:rPr>
              <w:t>5 points scale</w:t>
            </w:r>
          </w:p>
          <w:p w14:paraId="3A7D5D88" w14:textId="77777777" w:rsidR="00AE2677" w:rsidRPr="00A83186" w:rsidRDefault="00AE2677" w:rsidP="00B93ADB">
            <w:pPr>
              <w:spacing w:after="0" w:line="240" w:lineRule="auto"/>
              <w:rPr>
                <w:rFonts w:ascii="Times New Roman" w:hAnsi="Times New Roman"/>
                <w:lang w:val="en-MY"/>
              </w:rPr>
            </w:pPr>
            <w:r w:rsidRPr="00613003">
              <w:rPr>
                <w:rFonts w:ascii="Times New Roman" w:hAnsi="Times New Roman"/>
                <w:lang w:val="en-MY"/>
              </w:rPr>
              <w:t>1 = Small extent and 5 = Large extent</w:t>
            </w:r>
          </w:p>
        </w:tc>
      </w:tr>
      <w:tr w:rsidR="00AE2677" w14:paraId="3680E672" w14:textId="77777777" w:rsidTr="00B93ADB">
        <w:tc>
          <w:tcPr>
            <w:tcW w:w="1413" w:type="dxa"/>
          </w:tcPr>
          <w:p w14:paraId="3E390224" w14:textId="77777777" w:rsidR="00AE2677" w:rsidRPr="00A83186" w:rsidRDefault="00AE2677" w:rsidP="00B93ADB">
            <w:pPr>
              <w:spacing w:after="0" w:line="240" w:lineRule="auto"/>
              <w:jc w:val="both"/>
              <w:rPr>
                <w:rFonts w:ascii="Times New Roman" w:hAnsi="Times New Roman"/>
                <w:sz w:val="24"/>
                <w:szCs w:val="24"/>
                <w:lang w:val="en-US"/>
              </w:rPr>
            </w:pPr>
            <w:r>
              <w:rPr>
                <w:rFonts w:ascii="Times New Roman" w:hAnsi="Times New Roman"/>
                <w:lang w:val="en-US"/>
              </w:rPr>
              <w:t>Enabling formalization</w:t>
            </w:r>
          </w:p>
        </w:tc>
        <w:tc>
          <w:tcPr>
            <w:tcW w:w="3544" w:type="dxa"/>
          </w:tcPr>
          <w:p w14:paraId="2C140043" w14:textId="77777777" w:rsidR="00AE2677" w:rsidRPr="00613003" w:rsidRDefault="00AE2677" w:rsidP="00AE2677">
            <w:pPr>
              <w:numPr>
                <w:ilvl w:val="0"/>
                <w:numId w:val="4"/>
              </w:numPr>
              <w:suppressAutoHyphens w:val="0"/>
              <w:spacing w:after="0" w:line="240" w:lineRule="auto"/>
              <w:ind w:left="356"/>
              <w:rPr>
                <w:rFonts w:ascii="Times New Roman" w:hAnsi="Times New Roman"/>
                <w:lang w:val="en-MY"/>
              </w:rPr>
            </w:pPr>
            <w:r w:rsidRPr="00613003">
              <w:rPr>
                <w:rFonts w:ascii="Times New Roman" w:hAnsi="Times New Roman"/>
                <w:lang w:val="en-MY"/>
              </w:rPr>
              <w:t>Dealing with unexpected system breakdown</w:t>
            </w:r>
          </w:p>
          <w:p w14:paraId="165AD45F" w14:textId="77777777" w:rsidR="00AE2677" w:rsidRPr="00613003" w:rsidRDefault="00AE2677" w:rsidP="00AE2677">
            <w:pPr>
              <w:numPr>
                <w:ilvl w:val="0"/>
                <w:numId w:val="4"/>
              </w:numPr>
              <w:suppressAutoHyphens w:val="0"/>
              <w:spacing w:after="0" w:line="240" w:lineRule="auto"/>
              <w:ind w:left="356"/>
              <w:rPr>
                <w:rFonts w:ascii="Times New Roman" w:hAnsi="Times New Roman"/>
                <w:lang w:val="en-MY"/>
              </w:rPr>
            </w:pPr>
            <w:r w:rsidRPr="00613003">
              <w:rPr>
                <w:rFonts w:ascii="Times New Roman" w:hAnsi="Times New Roman"/>
                <w:lang w:val="en-MY"/>
              </w:rPr>
              <w:t>Identify opportunities for improvement</w:t>
            </w:r>
          </w:p>
          <w:p w14:paraId="359205AC" w14:textId="77777777" w:rsidR="00AE2677" w:rsidRDefault="00AE2677" w:rsidP="00AE2677">
            <w:pPr>
              <w:numPr>
                <w:ilvl w:val="0"/>
                <w:numId w:val="4"/>
              </w:numPr>
              <w:suppressAutoHyphens w:val="0"/>
              <w:spacing w:after="0" w:line="240" w:lineRule="auto"/>
              <w:ind w:left="356"/>
              <w:rPr>
                <w:rFonts w:ascii="Times New Roman" w:hAnsi="Times New Roman"/>
                <w:lang w:val="en-MY"/>
              </w:rPr>
            </w:pPr>
            <w:r w:rsidRPr="00613003">
              <w:rPr>
                <w:rFonts w:ascii="Times New Roman" w:hAnsi="Times New Roman"/>
                <w:lang w:val="en-MY"/>
              </w:rPr>
              <w:t>Deviating from procedure</w:t>
            </w:r>
          </w:p>
          <w:p w14:paraId="3DF06410" w14:textId="77777777" w:rsidR="00AE2677" w:rsidRDefault="00AE2677" w:rsidP="00AE2677">
            <w:pPr>
              <w:numPr>
                <w:ilvl w:val="0"/>
                <w:numId w:val="4"/>
              </w:numPr>
              <w:suppressAutoHyphens w:val="0"/>
              <w:spacing w:after="0" w:line="240" w:lineRule="auto"/>
              <w:ind w:left="356"/>
              <w:rPr>
                <w:rFonts w:ascii="Times New Roman" w:hAnsi="Times New Roman"/>
                <w:lang w:val="en-MY"/>
              </w:rPr>
            </w:pPr>
            <w:r w:rsidRPr="00A83186">
              <w:rPr>
                <w:rFonts w:ascii="Times New Roman" w:hAnsi="Times New Roman"/>
                <w:lang w:val="en-MY"/>
              </w:rPr>
              <w:t>Users allow to repair during the process.</w:t>
            </w:r>
          </w:p>
          <w:p w14:paraId="4A3B85B7" w14:textId="77777777" w:rsidR="00AE2677" w:rsidRDefault="00AE2677" w:rsidP="00AE2677">
            <w:pPr>
              <w:numPr>
                <w:ilvl w:val="0"/>
                <w:numId w:val="4"/>
              </w:numPr>
              <w:suppressAutoHyphens w:val="0"/>
              <w:spacing w:after="0" w:line="240" w:lineRule="auto"/>
              <w:ind w:left="356"/>
              <w:rPr>
                <w:rFonts w:ascii="Times New Roman" w:hAnsi="Times New Roman"/>
                <w:lang w:val="en-MY"/>
              </w:rPr>
            </w:pPr>
            <w:r w:rsidRPr="00A83186">
              <w:rPr>
                <w:rFonts w:ascii="Times New Roman" w:hAnsi="Times New Roman"/>
                <w:lang w:val="en-MY"/>
              </w:rPr>
              <w:t>Transparent during internal process</w:t>
            </w:r>
          </w:p>
          <w:p w14:paraId="68859764" w14:textId="77777777" w:rsidR="00AE2677" w:rsidRDefault="00AE2677" w:rsidP="00AE2677">
            <w:pPr>
              <w:numPr>
                <w:ilvl w:val="0"/>
                <w:numId w:val="4"/>
              </w:numPr>
              <w:suppressAutoHyphens w:val="0"/>
              <w:spacing w:after="0" w:line="240" w:lineRule="auto"/>
              <w:ind w:left="356"/>
              <w:rPr>
                <w:rFonts w:ascii="Times New Roman" w:hAnsi="Times New Roman"/>
                <w:lang w:val="en-MY"/>
              </w:rPr>
            </w:pPr>
            <w:r w:rsidRPr="00A83186">
              <w:rPr>
                <w:rFonts w:ascii="Times New Roman" w:hAnsi="Times New Roman"/>
                <w:lang w:val="en-MY"/>
              </w:rPr>
              <w:t>Visibility of internal process</w:t>
            </w:r>
          </w:p>
          <w:p w14:paraId="680DD654" w14:textId="77777777" w:rsidR="00AE2677" w:rsidRDefault="00AE2677" w:rsidP="00AE2677">
            <w:pPr>
              <w:numPr>
                <w:ilvl w:val="0"/>
                <w:numId w:val="4"/>
              </w:numPr>
              <w:suppressAutoHyphens w:val="0"/>
              <w:spacing w:after="0" w:line="240" w:lineRule="auto"/>
              <w:ind w:left="356"/>
              <w:rPr>
                <w:rFonts w:ascii="Times New Roman" w:hAnsi="Times New Roman"/>
                <w:lang w:val="en-MY"/>
              </w:rPr>
            </w:pPr>
            <w:r w:rsidRPr="00A83186">
              <w:rPr>
                <w:rFonts w:ascii="Times New Roman" w:hAnsi="Times New Roman"/>
                <w:lang w:val="en-MY"/>
              </w:rPr>
              <w:t>Accessibility</w:t>
            </w:r>
          </w:p>
          <w:p w14:paraId="75E45025" w14:textId="77777777" w:rsidR="00AE2677" w:rsidRDefault="00AE2677" w:rsidP="00AE2677">
            <w:pPr>
              <w:numPr>
                <w:ilvl w:val="0"/>
                <w:numId w:val="4"/>
              </w:numPr>
              <w:suppressAutoHyphens w:val="0"/>
              <w:spacing w:after="0" w:line="240" w:lineRule="auto"/>
              <w:ind w:left="356"/>
              <w:rPr>
                <w:rFonts w:ascii="Times New Roman" w:hAnsi="Times New Roman"/>
                <w:lang w:val="en-MY"/>
              </w:rPr>
            </w:pPr>
            <w:r w:rsidRPr="00A83186">
              <w:rPr>
                <w:rFonts w:ascii="Times New Roman" w:hAnsi="Times New Roman"/>
                <w:lang w:val="en-MY"/>
              </w:rPr>
              <w:t>Integration</w:t>
            </w:r>
          </w:p>
          <w:p w14:paraId="52E39067" w14:textId="77777777" w:rsidR="00AE2677" w:rsidRDefault="00AE2677" w:rsidP="00AE2677">
            <w:pPr>
              <w:numPr>
                <w:ilvl w:val="0"/>
                <w:numId w:val="4"/>
              </w:numPr>
              <w:suppressAutoHyphens w:val="0"/>
              <w:spacing w:after="0" w:line="240" w:lineRule="auto"/>
              <w:ind w:left="356"/>
              <w:rPr>
                <w:rFonts w:ascii="Times New Roman" w:hAnsi="Times New Roman"/>
                <w:lang w:val="en-MY"/>
              </w:rPr>
            </w:pPr>
            <w:r w:rsidRPr="00A83186">
              <w:rPr>
                <w:rFonts w:ascii="Times New Roman" w:hAnsi="Times New Roman"/>
                <w:lang w:val="en-MY"/>
              </w:rPr>
              <w:t>Transparent in global context especially in broader system</w:t>
            </w:r>
          </w:p>
          <w:p w14:paraId="7F27AE15" w14:textId="77777777" w:rsidR="00AE2677" w:rsidRDefault="00AE2677" w:rsidP="00AE2677">
            <w:pPr>
              <w:numPr>
                <w:ilvl w:val="0"/>
                <w:numId w:val="4"/>
              </w:numPr>
              <w:suppressAutoHyphens w:val="0"/>
              <w:spacing w:after="0" w:line="240" w:lineRule="auto"/>
              <w:ind w:left="356"/>
              <w:rPr>
                <w:rFonts w:ascii="Times New Roman" w:hAnsi="Times New Roman"/>
                <w:lang w:val="en-MY"/>
              </w:rPr>
            </w:pPr>
            <w:r w:rsidRPr="00A83186">
              <w:rPr>
                <w:rFonts w:ascii="Times New Roman" w:hAnsi="Times New Roman"/>
                <w:lang w:val="en-MY"/>
              </w:rPr>
              <w:t>Comprehensive information of the whole system process</w:t>
            </w:r>
          </w:p>
          <w:p w14:paraId="304E66B2" w14:textId="77777777" w:rsidR="00AE2677" w:rsidRDefault="00AE2677" w:rsidP="00AE2677">
            <w:pPr>
              <w:numPr>
                <w:ilvl w:val="0"/>
                <w:numId w:val="4"/>
              </w:numPr>
              <w:suppressAutoHyphens w:val="0"/>
              <w:spacing w:after="0" w:line="240" w:lineRule="auto"/>
              <w:ind w:left="356"/>
              <w:rPr>
                <w:rFonts w:ascii="Times New Roman" w:hAnsi="Times New Roman"/>
                <w:lang w:val="en-MY"/>
              </w:rPr>
            </w:pPr>
            <w:r w:rsidRPr="00A83186">
              <w:rPr>
                <w:rFonts w:ascii="Times New Roman" w:hAnsi="Times New Roman"/>
                <w:lang w:val="en-MY"/>
              </w:rPr>
              <w:t>Degree of freedom provided by system</w:t>
            </w:r>
          </w:p>
          <w:p w14:paraId="4AC6994C" w14:textId="77777777" w:rsidR="00AE2677" w:rsidRDefault="00AE2677" w:rsidP="00AE2677">
            <w:pPr>
              <w:numPr>
                <w:ilvl w:val="0"/>
                <w:numId w:val="4"/>
              </w:numPr>
              <w:suppressAutoHyphens w:val="0"/>
              <w:spacing w:after="0" w:line="240" w:lineRule="auto"/>
              <w:ind w:left="356"/>
              <w:rPr>
                <w:rFonts w:ascii="Times New Roman" w:hAnsi="Times New Roman"/>
                <w:lang w:val="en-MY"/>
              </w:rPr>
            </w:pPr>
            <w:r w:rsidRPr="00A83186">
              <w:rPr>
                <w:rFonts w:ascii="Times New Roman" w:hAnsi="Times New Roman"/>
                <w:lang w:val="en-MY"/>
              </w:rPr>
              <w:t>The system able to operate that suit with the employee preference</w:t>
            </w:r>
          </w:p>
          <w:p w14:paraId="3FF3E242" w14:textId="77777777" w:rsidR="00AE2677" w:rsidRPr="00A83186" w:rsidRDefault="00AE2677" w:rsidP="00AE2677">
            <w:pPr>
              <w:numPr>
                <w:ilvl w:val="0"/>
                <w:numId w:val="4"/>
              </w:numPr>
              <w:suppressAutoHyphens w:val="0"/>
              <w:spacing w:after="0" w:line="240" w:lineRule="auto"/>
              <w:ind w:left="356"/>
              <w:rPr>
                <w:rFonts w:ascii="Times New Roman" w:hAnsi="Times New Roman"/>
                <w:lang w:val="en-MY"/>
              </w:rPr>
            </w:pPr>
            <w:r w:rsidRPr="00A83186">
              <w:rPr>
                <w:rFonts w:ascii="Times New Roman" w:hAnsi="Times New Roman"/>
                <w:lang w:val="en-MY"/>
              </w:rPr>
              <w:t>System can be customized</w:t>
            </w:r>
          </w:p>
        </w:tc>
        <w:tc>
          <w:tcPr>
            <w:tcW w:w="2126" w:type="dxa"/>
          </w:tcPr>
          <w:p w14:paraId="0A3BDC2A" w14:textId="77777777" w:rsidR="00AE2677" w:rsidRDefault="00AE2677" w:rsidP="00B93ADB">
            <w:pPr>
              <w:spacing w:after="0" w:line="240" w:lineRule="auto"/>
              <w:jc w:val="both"/>
              <w:rPr>
                <w:rFonts w:ascii="Times New Roman" w:hAnsi="Times New Roman"/>
                <w:sz w:val="24"/>
                <w:szCs w:val="24"/>
                <w:lang w:val="en-US"/>
              </w:rPr>
            </w:pPr>
            <w:r w:rsidRPr="00613003">
              <w:rPr>
                <w:rFonts w:ascii="Times New Roman" w:hAnsi="Times New Roman"/>
                <w:lang w:val="en-MY"/>
              </w:rPr>
              <w:t>Brown et. al., (2019)</w:t>
            </w:r>
            <w:r>
              <w:rPr>
                <w:rFonts w:ascii="Times New Roman" w:hAnsi="Times New Roman"/>
                <w:lang w:val="en-MY"/>
              </w:rPr>
              <w:t xml:space="preserve">, </w:t>
            </w:r>
            <w:r>
              <w:rPr>
                <w:rFonts w:ascii="Times New Roman" w:hAnsi="Times New Roman"/>
                <w:lang w:val="en-MY"/>
              </w:rPr>
              <w:fldChar w:fldCharType="begin" w:fldLock="1"/>
            </w:r>
            <w:r>
              <w:rPr>
                <w:rFonts w:ascii="Times New Roman" w:hAnsi="Times New Roman"/>
                <w:lang w:val="en-MY"/>
              </w:rPr>
              <w:instrText>ADDIN CSL_CITATION {"citationItems":[{"id":"ITEM-1","itemData":{"DOI":"10.1108/QRAM-07-2017-0065","ISSN":"11766093","author":[{"dropping-particle":"","family":"O’Grady","given":"Winnie","non-dropping-particle":"","parse-names":false,"suffix":""}],"container-title":"Qualitative Research in Accounting and Management","id":"ITEM-1","issued":{"date-parts":[["2019"]]},"title":"Enabling control in a radically decentralized organization","type":"article-journal"},"uris":["http://www.mendeley.com/documents/?uuid=06b9e028-c974-425a-85d2-4856ada8e52b"]}],"mendeley":{"formattedCitation":"(O’Grady, 2019)","plainTextFormattedCitation":"(O’Grady, 2019)","previouslyFormattedCitation":"(O’Grady, 2019)"},"properties":{"noteIndex":0},"schema":"https://github.com/citation-style-language/schema/raw/master/csl-citation.json"}</w:instrText>
            </w:r>
            <w:r>
              <w:rPr>
                <w:rFonts w:ascii="Times New Roman" w:hAnsi="Times New Roman"/>
                <w:lang w:val="en-MY"/>
              </w:rPr>
              <w:fldChar w:fldCharType="separate"/>
            </w:r>
            <w:r w:rsidRPr="00A779DA">
              <w:rPr>
                <w:rFonts w:ascii="Times New Roman" w:hAnsi="Times New Roman"/>
                <w:noProof/>
                <w:lang w:val="en-MY"/>
              </w:rPr>
              <w:t>(O’Grady, 2019)</w:t>
            </w:r>
            <w:r>
              <w:rPr>
                <w:rFonts w:ascii="Times New Roman" w:hAnsi="Times New Roman"/>
                <w:lang w:val="en-MY"/>
              </w:rPr>
              <w:fldChar w:fldCharType="end"/>
            </w:r>
            <w:r>
              <w:rPr>
                <w:rFonts w:ascii="Times New Roman" w:hAnsi="Times New Roman"/>
                <w:lang w:val="en-MY"/>
              </w:rPr>
              <w:t xml:space="preserve"> </w:t>
            </w:r>
          </w:p>
        </w:tc>
        <w:tc>
          <w:tcPr>
            <w:tcW w:w="1933" w:type="dxa"/>
          </w:tcPr>
          <w:p w14:paraId="3579F719" w14:textId="77777777" w:rsidR="00AE2677" w:rsidRDefault="00AE2677" w:rsidP="00B93ADB">
            <w:pPr>
              <w:spacing w:after="0" w:line="240" w:lineRule="auto"/>
              <w:rPr>
                <w:rFonts w:ascii="Times New Roman" w:hAnsi="Times New Roman"/>
                <w:lang w:val="en-MY"/>
              </w:rPr>
            </w:pPr>
            <w:r w:rsidRPr="00613003">
              <w:rPr>
                <w:rFonts w:ascii="Times New Roman" w:hAnsi="Times New Roman"/>
                <w:lang w:val="en-MY"/>
              </w:rPr>
              <w:t>5 points scale</w:t>
            </w:r>
          </w:p>
          <w:p w14:paraId="23094AA2" w14:textId="77777777" w:rsidR="00AE2677" w:rsidRDefault="00AE2677" w:rsidP="00B93ADB">
            <w:pPr>
              <w:spacing w:after="0" w:line="240" w:lineRule="auto"/>
              <w:jc w:val="both"/>
              <w:rPr>
                <w:rFonts w:ascii="Times New Roman" w:hAnsi="Times New Roman"/>
                <w:sz w:val="24"/>
                <w:szCs w:val="24"/>
                <w:lang w:val="en-US"/>
              </w:rPr>
            </w:pPr>
            <w:r w:rsidRPr="00613003">
              <w:rPr>
                <w:rFonts w:ascii="Times New Roman" w:hAnsi="Times New Roman"/>
                <w:lang w:val="en-MY"/>
              </w:rPr>
              <w:t>1 = Small extent and 5 = Large extent</w:t>
            </w:r>
            <w:r>
              <w:rPr>
                <w:rFonts w:ascii="Times New Roman" w:hAnsi="Times New Roman"/>
                <w:sz w:val="24"/>
                <w:szCs w:val="24"/>
                <w:lang w:val="en-US"/>
              </w:rPr>
              <w:t xml:space="preserve"> </w:t>
            </w:r>
          </w:p>
        </w:tc>
      </w:tr>
      <w:tr w:rsidR="00AE2677" w14:paraId="1E5E4101" w14:textId="77777777" w:rsidTr="00B93ADB">
        <w:tc>
          <w:tcPr>
            <w:tcW w:w="1413" w:type="dxa"/>
          </w:tcPr>
          <w:p w14:paraId="0A1562BB" w14:textId="77777777" w:rsidR="00AE2677" w:rsidRPr="00A83186" w:rsidRDefault="00AE2677" w:rsidP="00B93ADB">
            <w:pPr>
              <w:spacing w:after="0" w:line="240" w:lineRule="auto"/>
              <w:jc w:val="both"/>
              <w:rPr>
                <w:rFonts w:ascii="Times New Roman" w:hAnsi="Times New Roman"/>
                <w:lang w:val="en-US"/>
              </w:rPr>
            </w:pPr>
            <w:r>
              <w:rPr>
                <w:rFonts w:ascii="Times New Roman" w:hAnsi="Times New Roman"/>
                <w:lang w:val="en-US"/>
              </w:rPr>
              <w:t>FinTech Performance</w:t>
            </w:r>
          </w:p>
        </w:tc>
        <w:tc>
          <w:tcPr>
            <w:tcW w:w="3544" w:type="dxa"/>
          </w:tcPr>
          <w:p w14:paraId="71796610" w14:textId="77777777" w:rsidR="00AE2677" w:rsidRDefault="00AE2677" w:rsidP="00AE2677">
            <w:pPr>
              <w:pStyle w:val="ListParagraph"/>
              <w:numPr>
                <w:ilvl w:val="0"/>
                <w:numId w:val="5"/>
              </w:numPr>
              <w:suppressAutoHyphens w:val="0"/>
              <w:spacing w:after="0" w:line="240" w:lineRule="auto"/>
              <w:ind w:left="363"/>
              <w:contextualSpacing/>
              <w:rPr>
                <w:rFonts w:ascii="Times New Roman" w:hAnsi="Times New Roman"/>
              </w:rPr>
            </w:pPr>
            <w:r>
              <w:rPr>
                <w:rFonts w:ascii="Times New Roman" w:hAnsi="Times New Roman"/>
              </w:rPr>
              <w:t>Improve FinTech product quality</w:t>
            </w:r>
          </w:p>
          <w:p w14:paraId="594D749D" w14:textId="77777777" w:rsidR="00AE2677" w:rsidRDefault="00AE2677" w:rsidP="00AE2677">
            <w:pPr>
              <w:pStyle w:val="ListParagraph"/>
              <w:numPr>
                <w:ilvl w:val="0"/>
                <w:numId w:val="5"/>
              </w:numPr>
              <w:suppressAutoHyphens w:val="0"/>
              <w:spacing w:after="0" w:line="240" w:lineRule="auto"/>
              <w:ind w:left="363"/>
              <w:contextualSpacing/>
              <w:rPr>
                <w:rFonts w:ascii="Times New Roman" w:hAnsi="Times New Roman"/>
              </w:rPr>
            </w:pPr>
            <w:r>
              <w:rPr>
                <w:rFonts w:ascii="Times New Roman" w:hAnsi="Times New Roman"/>
              </w:rPr>
              <w:t xml:space="preserve">Improve FinTech service quality </w:t>
            </w:r>
          </w:p>
          <w:p w14:paraId="0B7F8E2B" w14:textId="77777777" w:rsidR="00AE2677" w:rsidRDefault="00AE2677" w:rsidP="00AE2677">
            <w:pPr>
              <w:pStyle w:val="ListParagraph"/>
              <w:numPr>
                <w:ilvl w:val="0"/>
                <w:numId w:val="5"/>
              </w:numPr>
              <w:suppressAutoHyphens w:val="0"/>
              <w:spacing w:after="0" w:line="240" w:lineRule="auto"/>
              <w:ind w:left="363"/>
              <w:contextualSpacing/>
              <w:rPr>
                <w:rFonts w:ascii="Times New Roman" w:hAnsi="Times New Roman"/>
              </w:rPr>
            </w:pPr>
            <w:r>
              <w:rPr>
                <w:rFonts w:ascii="Times New Roman" w:hAnsi="Times New Roman"/>
              </w:rPr>
              <w:t>Improve work efficiency</w:t>
            </w:r>
          </w:p>
          <w:p w14:paraId="377DC703" w14:textId="77777777" w:rsidR="00AE2677" w:rsidRPr="00C62847" w:rsidRDefault="00AE2677" w:rsidP="00AE2677">
            <w:pPr>
              <w:pStyle w:val="ListParagraph"/>
              <w:numPr>
                <w:ilvl w:val="0"/>
                <w:numId w:val="5"/>
              </w:numPr>
              <w:suppressAutoHyphens w:val="0"/>
              <w:spacing w:after="0" w:line="240" w:lineRule="auto"/>
              <w:ind w:left="363"/>
              <w:contextualSpacing/>
              <w:rPr>
                <w:rFonts w:ascii="Times New Roman" w:hAnsi="Times New Roman"/>
              </w:rPr>
            </w:pPr>
            <w:r w:rsidRPr="00C62847">
              <w:rPr>
                <w:rFonts w:ascii="Times New Roman" w:hAnsi="Times New Roman"/>
              </w:rPr>
              <w:t>ROI</w:t>
            </w:r>
          </w:p>
          <w:p w14:paraId="6F488B30" w14:textId="77777777" w:rsidR="00AE2677" w:rsidRDefault="00AE2677" w:rsidP="00AE2677">
            <w:pPr>
              <w:pStyle w:val="ListParagraph"/>
              <w:numPr>
                <w:ilvl w:val="0"/>
                <w:numId w:val="5"/>
              </w:numPr>
              <w:suppressAutoHyphens w:val="0"/>
              <w:spacing w:after="0" w:line="240" w:lineRule="auto"/>
              <w:ind w:left="363"/>
              <w:contextualSpacing/>
              <w:rPr>
                <w:rFonts w:ascii="Times New Roman" w:hAnsi="Times New Roman"/>
              </w:rPr>
            </w:pPr>
            <w:r>
              <w:rPr>
                <w:rFonts w:ascii="Times New Roman" w:hAnsi="Times New Roman"/>
              </w:rPr>
              <w:t>ROA</w:t>
            </w:r>
          </w:p>
          <w:p w14:paraId="4D10AD1E" w14:textId="77777777" w:rsidR="00AE2677" w:rsidRDefault="00AE2677" w:rsidP="00AE2677">
            <w:pPr>
              <w:pStyle w:val="ListParagraph"/>
              <w:numPr>
                <w:ilvl w:val="0"/>
                <w:numId w:val="5"/>
              </w:numPr>
              <w:suppressAutoHyphens w:val="0"/>
              <w:spacing w:after="0" w:line="240" w:lineRule="auto"/>
              <w:ind w:left="363"/>
              <w:contextualSpacing/>
              <w:rPr>
                <w:rFonts w:ascii="Times New Roman" w:hAnsi="Times New Roman"/>
              </w:rPr>
            </w:pPr>
            <w:r>
              <w:rPr>
                <w:rFonts w:ascii="Times New Roman" w:hAnsi="Times New Roman"/>
              </w:rPr>
              <w:t>Reduce the cost</w:t>
            </w:r>
          </w:p>
          <w:p w14:paraId="13CE3B55" w14:textId="77777777" w:rsidR="00AE2677" w:rsidRPr="00A83186" w:rsidRDefault="00AE2677" w:rsidP="00AE2677">
            <w:pPr>
              <w:pStyle w:val="ListParagraph"/>
              <w:numPr>
                <w:ilvl w:val="0"/>
                <w:numId w:val="5"/>
              </w:numPr>
              <w:suppressAutoHyphens w:val="0"/>
              <w:spacing w:after="0" w:line="240" w:lineRule="auto"/>
              <w:ind w:left="363"/>
              <w:contextualSpacing/>
              <w:rPr>
                <w:rFonts w:ascii="Times New Roman" w:hAnsi="Times New Roman"/>
              </w:rPr>
            </w:pPr>
            <w:r w:rsidRPr="00A83186">
              <w:rPr>
                <w:rFonts w:ascii="Times New Roman" w:hAnsi="Times New Roman"/>
              </w:rPr>
              <w:t>Operating profit</w:t>
            </w:r>
          </w:p>
        </w:tc>
        <w:tc>
          <w:tcPr>
            <w:tcW w:w="2126" w:type="dxa"/>
          </w:tcPr>
          <w:p w14:paraId="69C6E0C7" w14:textId="77777777" w:rsidR="00AE2677" w:rsidRPr="00A779DA" w:rsidRDefault="00AE2677" w:rsidP="00B93ADB">
            <w:pPr>
              <w:rPr>
                <w:rFonts w:ascii="Times New Roman" w:hAnsi="Times New Roman"/>
                <w:lang w:val="en-US"/>
              </w:rPr>
            </w:pPr>
            <w:r>
              <w:rPr>
                <w:rFonts w:ascii="Times New Roman" w:hAnsi="Times New Roman"/>
              </w:rPr>
              <w:fldChar w:fldCharType="begin" w:fldLock="1"/>
            </w:r>
            <w:r>
              <w:rPr>
                <w:rFonts w:ascii="Times New Roman" w:hAnsi="Times New Roman"/>
              </w:rPr>
              <w:instrText>ADDIN CSL_CITATION {"citationItems":[{"id":"ITEM-1","itemData":{"DOI":"10.1016/j.techfore.2021.120645","ISSN":"00401625","abstract":"As the impacts of the COVID-19 pandemic play out globally, the banking industry has been affected in both positive and negative ways, with the crisis creating both opportunities and threats for the collaborations between FinTech and banks. The aim of this study is to investigate the impact of FinTech products (FTPs) on commercial bank's performance in China. Required data are collected with a quantitative approach and two self-designed questionnaires were distributed to customers and employees of commercial banks in China. The gathered data were examined using the structural equation modeling technique. The results of this study reveal that the perceived usefulness (PU) of FTPs has positive and significant impacts on customer satisfaction, low expectation of bank employee assistance, bank's service quality and employee work efficiency. Additionally, the perceived difficulty of use (PD) of FTPs has negative and significant impacts on customer satisfaction and low expectation of assistance. Interestingly, there is a positive and significant relationship between PD and banks' service quality and work efficiency, meaning that the service quality and work efficiency can reduce some shortcomings of using FTPs. This study recognizes the need to enhance the understanding of FTPs on non-financial firm performance. This is the first study that helps commercial banks in China understand the perception of FTPs from both customer and employee perspectives.","author":[{"dropping-particle":"","family":"Chen","given":"Xihui","non-dropping-particle":"","parse-names":false,"suffix":""},{"dropping-particle":"","family":"You","given":"Xuyuan","non-dropping-particle":"","parse-names":false,"suffix":""},{"dropping-particle":"","family":"Chang","given":"Victor","non-dropping-particle":"","parse-names":false,"suffix":""}],"container-title":"Technological Forecasting and Social Change","id":"ITEM-1","issue":"October 2020","issued":{"date-parts":[["2021"]]},"page":"120645","publisher":"Elsevier Inc.","title":"FinTech and commercial banks' performance in China: A leap forward or survival of the fittest?","type":"article-journal","volume":"166"},"uris":["http://www.mendeley.com/documents/?uuid=e531a380-56ba-41e1-a5f3-f413d3080e0f"]}],"mendeley":{"formattedCitation":"(Chen et al., 2021)","plainTextFormattedCitation":"(Chen et al., 2021)","previouslyFormattedCitation":"(Chen et al., 2021)"},"properties":{"noteIndex":0},"schema":"https://github.com/citation-style-language/schema/raw/master/csl-citation.json"}</w:instrText>
            </w:r>
            <w:r>
              <w:rPr>
                <w:rFonts w:ascii="Times New Roman" w:hAnsi="Times New Roman"/>
              </w:rPr>
              <w:fldChar w:fldCharType="separate"/>
            </w:r>
            <w:r w:rsidRPr="00A779DA">
              <w:rPr>
                <w:rFonts w:ascii="Times New Roman" w:hAnsi="Times New Roman"/>
                <w:noProof/>
              </w:rPr>
              <w:t>(Chen et al., 2021)</w:t>
            </w:r>
            <w:r>
              <w:rPr>
                <w:rFonts w:ascii="Times New Roman" w:hAnsi="Times New Roman"/>
              </w:rPr>
              <w:fldChar w:fldCharType="end"/>
            </w:r>
            <w:r>
              <w:rPr>
                <w:rFonts w:ascii="Times New Roman" w:hAnsi="Times New Roman"/>
                <w:lang w:val="en-US"/>
              </w:rPr>
              <w:t xml:space="preserve">, </w:t>
            </w:r>
            <w:r>
              <w:rPr>
                <w:rFonts w:ascii="Times New Roman" w:hAnsi="Times New Roman"/>
                <w:lang w:val="en-US"/>
              </w:rPr>
              <w:fldChar w:fldCharType="begin" w:fldLock="1"/>
            </w:r>
            <w:r>
              <w:rPr>
                <w:rFonts w:ascii="Times New Roman" w:hAnsi="Times New Roman"/>
                <w:lang w:val="en-US"/>
              </w:rPr>
              <w:instrText>ADDIN CSL_CITATION {"citationItems":[{"id":"ITEM-1","itemData":{"DOI":"10.1108/JM2-11-2020-0297","ISSN":"17465672","abstract":"Purpose: This study aims to purpose a strategy for Financial Technology (Fintech) service development to increase user adoption of Fintech services. Design/methodology/approach: A conceptual model based on a risk-benefit approach was adopted based on the theory of reasoned action, the theory of planned behaviour and technology acceptance models. The partial least squares structural equation modelling method was used to test the proposed model and estimate the relationship between constructs. The results are used to develop strategies, which are then categorised based on the integration of an importance-performance analysis and the Kano model. Findings: The results show that trust, economic benefit and convenience significantly influence users to adopt Fintech services, whereas privacy awareness, financial risk and legal risk factors affect user trust. A strategy for consumer protection against security threats and financial losses warrants the highest priority for improvement. Practical implications: The findings of this study can help Fintech product managers classify their service improvements and help regulators make the appropriate policy decisions related to customer security and the adoption of Fintech. Social implications: There are some limitations of this research that should be noted. First, the research target respondents were millennials who have been statistically proven to have the highest affinity in using Fintech services. Second, the Fintech services used in this research were only mobile payments, peer-to-peer lending and crowdfunding. Future research could expand the number of research respondents to improve research validity, including other Fintech services or focus on one Fintech service at a time for targeted results and consider moderation variables, such as customer experience with Fintech services based on age and gender. Originality/value: This study contributes to the development of new frameworks for evaluating Fintech adoption intention based on a risk-benefit approach. It also presents strategy recommendations to be implemented by Indonesian Fintech companies.","author":[{"dropping-particle":"","family":"Suzianti","given":"Amalia","non-dropping-particle":"","parse-names":false,"suffix":""},{"dropping-particle":"","family":"Haqqi","given":"Fannisa Rahma","non-dropping-particle":"","parse-names":false,"suffix":""},{"dropping-particle":"","family":"Fathia","given":"Safira Nurul","non-dropping-particle":"","parse-names":false,"suffix":""}],"container-title":"Journal of Modelling in Management","id":"ITEM-1","issued":{"date-parts":[["2021"]]},"title":"Strategic recommendations for financial technology service development: a comprehensive risk-benefit IPA-Kano analysis","type":"article-journal"},"uris":["http://www.mendeley.com/documents/?uuid=1a8eb272-3057-4a62-8642-c496c6981eea"]}],"mendeley":{"formattedCitation":"(Suzianti et al., 2021)","plainTextFormattedCitation":"(Suzianti et al., 2021)","previouslyFormattedCitation":"(Suzianti et al., 2021)"},"properties":{"noteIndex":0},"schema":"https://github.com/citation-style-language/schema/raw/master/csl-citation.json"}</w:instrText>
            </w:r>
            <w:r>
              <w:rPr>
                <w:rFonts w:ascii="Times New Roman" w:hAnsi="Times New Roman"/>
                <w:lang w:val="en-US"/>
              </w:rPr>
              <w:fldChar w:fldCharType="separate"/>
            </w:r>
            <w:r w:rsidRPr="00A779DA">
              <w:rPr>
                <w:rFonts w:ascii="Times New Roman" w:hAnsi="Times New Roman"/>
                <w:noProof/>
                <w:lang w:val="en-US"/>
              </w:rPr>
              <w:t>(Suzianti et al., 2021)</w:t>
            </w:r>
            <w:r>
              <w:rPr>
                <w:rFonts w:ascii="Times New Roman" w:hAnsi="Times New Roman"/>
                <w:lang w:val="en-US"/>
              </w:rPr>
              <w:fldChar w:fldCharType="end"/>
            </w:r>
            <w:r>
              <w:rPr>
                <w:rFonts w:ascii="Times New Roman" w:hAnsi="Times New Roman"/>
                <w:lang w:val="en-US"/>
              </w:rPr>
              <w:t xml:space="preserve">, </w:t>
            </w:r>
            <w:r>
              <w:rPr>
                <w:rFonts w:ascii="Times New Roman" w:hAnsi="Times New Roman"/>
                <w:lang w:val="en-US"/>
              </w:rPr>
              <w:fldChar w:fldCharType="begin" w:fldLock="1"/>
            </w:r>
            <w:r>
              <w:rPr>
                <w:rFonts w:ascii="Times New Roman" w:hAnsi="Times New Roman"/>
                <w:lang w:val="en-US"/>
              </w:rPr>
              <w:instrText>ADDIN CSL_CITATION {"citationItems":[{"id":"ITEM-1","itemData":{"DOI":"10.21511/imfi.16(2).2019.29","ISSN":"18129358","abstract":"FinTech innovations are one of strategic decisions to increase the profitability of a company. This study determines the level of profitability of companies before and after the emergence of FinTech products. The authors focused on companies that have launched FinTech products and published their financial reports. The study sample consisted of 17 FinTech products from 16 companies in Indonesia. The limited number of the sample was caused by not all of them having published its financial reports, while we have checked 157 FinTech companies. An event study approach using paired sample T-test is utilized. The period used in this study is four years, covering two years before and two years after the company launched FinTech products. Data were obtained from IDX, FinTech.id, and company web-pages. The results clearly showed that there was a significant influence on return on assets (ROA), but no significant difference in return on equity (ROE). This finding gives more contribution to the FinTech industry about the company’s profitability impact of launching FinTech product.","author":[{"dropping-particle":"","family":"Putri","given":"Wika Harisa","non-dropping-particle":"","parse-names":false,"suffix":""},{"dropping-particle":"","family":"Nurwiyanta","given":"Nurwiyanta","non-dropping-particle":"","parse-names":false,"suffix":""},{"dropping-particle":"","family":"Sungkono","given":"Sungkono","non-dropping-particle":"","parse-names":false,"suffix":""},{"dropping-particle":"","family":"Wahyuningsih","given":"Tia","non-dropping-particle":"","parse-names":false,"suffix":""}],"container-title":"Investment Management and Financial Innovations","id":"ITEM-1","issue":"2","issued":{"date-parts":[["2019"]]},"page":"348-354","title":"The emerging fintech and financial slack on corporate financial performance","type":"article-journal","volume":"16"},"uris":["http://www.mendeley.com/documents/?uuid=75f120a6-a3da-4289-a902-e2863f8e3506"]}],"mendeley":{"formattedCitation":"(Putri et al., 2019)","plainTextFormattedCitation":"(Putri et al., 2019)","previouslyFormattedCitation":"(Putri et al., 2019)"},"properties":{"noteIndex":0},"schema":"https://github.com/citation-style-language/schema/raw/master/csl-citation.json"}</w:instrText>
            </w:r>
            <w:r>
              <w:rPr>
                <w:rFonts w:ascii="Times New Roman" w:hAnsi="Times New Roman"/>
                <w:lang w:val="en-US"/>
              </w:rPr>
              <w:fldChar w:fldCharType="separate"/>
            </w:r>
            <w:r w:rsidRPr="00A779DA">
              <w:rPr>
                <w:rFonts w:ascii="Times New Roman" w:hAnsi="Times New Roman"/>
                <w:noProof/>
                <w:lang w:val="en-US"/>
              </w:rPr>
              <w:t>(Putri et al., 2019)</w:t>
            </w:r>
            <w:r>
              <w:rPr>
                <w:rFonts w:ascii="Times New Roman" w:hAnsi="Times New Roman"/>
                <w:lang w:val="en-US"/>
              </w:rPr>
              <w:fldChar w:fldCharType="end"/>
            </w:r>
            <w:r>
              <w:rPr>
                <w:rFonts w:ascii="Times New Roman" w:hAnsi="Times New Roman"/>
                <w:lang w:val="en-US"/>
              </w:rPr>
              <w:t xml:space="preserve">, </w:t>
            </w:r>
            <w:r>
              <w:rPr>
                <w:rFonts w:ascii="Times New Roman" w:hAnsi="Times New Roman"/>
                <w:lang w:val="en-US"/>
              </w:rPr>
              <w:fldChar w:fldCharType="begin" w:fldLock="1"/>
            </w:r>
            <w:r>
              <w:rPr>
                <w:rFonts w:ascii="Times New Roman" w:hAnsi="Times New Roman"/>
                <w:lang w:val="en-US"/>
              </w:rPr>
              <w:instrText>ADDIN CSL_CITATION {"citationItems":[{"id":"ITEM-1","itemData":{"DOI":"10.2991/aebmr.k.201212.011","abstract":"Business management is no longer centered on individual ownership, but becomes a division of roles or collaboration or mutual cooperation. It takes a system that can carry out this role that can be carried out by all members of the organization. Management control …","author":[{"dropping-particle":"","family":"Adiputra","given":"I Made Pradana","non-dropping-particle":"","parse-names":false,"suffix":""},{"dropping-particle":"","family":"Werastuti","given":"Desak Nyoman Sri","non-dropping-particle":"","parse-names":false,"suffix":""},{"dropping-particle":"","family":"Sinarwati","given":"Ni Kadek","non-dropping-particle":"","parse-names":false,"suffix":""},{"dropping-particle":"","family":"Oktariyana","given":"Made Denny","non-dropping-particle":"","parse-names":false,"suffix":""}],"id":"ITEM-1","issue":"Teams","issued":{"date-parts":[["2020"]]},"page":"80-88","title":"Levers of Control and Enterprise Risk Management: A Conceptual Study of the Business Strategy and Financial Performance of State-Owned Enterprises","type":"article-journal","volume":"158"},"uris":["http://www.mendeley.com/documents/?uuid=88ad8954-b5c4-47ce-9257-dac791256538"]}],"mendeley":{"formattedCitation":"(Adiputra et al., 2020)","plainTextFormattedCitation":"(Adiputra et al., 2020)","previouslyFormattedCitation":"(Adiputra et al., 2020)"},"properties":{"noteIndex":0},"schema":"https://github.com/citation-style-language/schema/raw/master/csl-citation.json"}</w:instrText>
            </w:r>
            <w:r>
              <w:rPr>
                <w:rFonts w:ascii="Times New Roman" w:hAnsi="Times New Roman"/>
                <w:lang w:val="en-US"/>
              </w:rPr>
              <w:fldChar w:fldCharType="separate"/>
            </w:r>
            <w:r w:rsidRPr="00A779DA">
              <w:rPr>
                <w:rFonts w:ascii="Times New Roman" w:hAnsi="Times New Roman"/>
                <w:noProof/>
                <w:lang w:val="en-US"/>
              </w:rPr>
              <w:t>(Adiputra et al., 2020)</w:t>
            </w:r>
            <w:r>
              <w:rPr>
                <w:rFonts w:ascii="Times New Roman" w:hAnsi="Times New Roman"/>
                <w:lang w:val="en-US"/>
              </w:rPr>
              <w:fldChar w:fldCharType="end"/>
            </w:r>
          </w:p>
        </w:tc>
        <w:tc>
          <w:tcPr>
            <w:tcW w:w="1933" w:type="dxa"/>
          </w:tcPr>
          <w:p w14:paraId="0DAA1547" w14:textId="77777777" w:rsidR="00AE2677" w:rsidRDefault="00AE2677" w:rsidP="00B93ADB">
            <w:pPr>
              <w:spacing w:after="0" w:line="240" w:lineRule="auto"/>
              <w:rPr>
                <w:rFonts w:ascii="Times New Roman" w:hAnsi="Times New Roman"/>
              </w:rPr>
            </w:pPr>
            <w:r w:rsidRPr="00C03A3D">
              <w:rPr>
                <w:rFonts w:ascii="Times New Roman" w:hAnsi="Times New Roman"/>
              </w:rPr>
              <w:t xml:space="preserve">5 Likert scale </w:t>
            </w:r>
          </w:p>
          <w:p w14:paraId="50FEF63F" w14:textId="77777777" w:rsidR="00AE2677" w:rsidRDefault="00AE2677" w:rsidP="00B93ADB">
            <w:pPr>
              <w:spacing w:after="0" w:line="240" w:lineRule="auto"/>
              <w:rPr>
                <w:rFonts w:ascii="Times New Roman" w:hAnsi="Times New Roman"/>
              </w:rPr>
            </w:pPr>
            <w:r w:rsidRPr="00C03A3D">
              <w:rPr>
                <w:rFonts w:ascii="Times New Roman" w:hAnsi="Times New Roman"/>
              </w:rPr>
              <w:t>1</w:t>
            </w:r>
            <w:r>
              <w:rPr>
                <w:rFonts w:ascii="Times New Roman" w:hAnsi="Times New Roman"/>
              </w:rPr>
              <w:t xml:space="preserve"> </w:t>
            </w:r>
            <w:r w:rsidRPr="00C03A3D">
              <w:rPr>
                <w:rFonts w:ascii="Times New Roman" w:hAnsi="Times New Roman"/>
              </w:rPr>
              <w:t xml:space="preserve">= </w:t>
            </w:r>
            <w:r>
              <w:rPr>
                <w:rFonts w:ascii="Times New Roman" w:hAnsi="Times New Roman"/>
              </w:rPr>
              <w:t>Significant lower</w:t>
            </w:r>
            <w:r w:rsidRPr="00C03A3D">
              <w:rPr>
                <w:rFonts w:ascii="Times New Roman" w:hAnsi="Times New Roman"/>
              </w:rPr>
              <w:t>,</w:t>
            </w:r>
          </w:p>
          <w:p w14:paraId="6039A43A" w14:textId="77777777" w:rsidR="00AE2677" w:rsidRPr="004F4C18" w:rsidRDefault="00AE2677" w:rsidP="00B93ADB">
            <w:pPr>
              <w:spacing w:after="0" w:line="240" w:lineRule="auto"/>
              <w:ind w:left="-14"/>
              <w:rPr>
                <w:rFonts w:ascii="Times New Roman" w:hAnsi="Times New Roman"/>
              </w:rPr>
            </w:pPr>
            <w:r w:rsidRPr="00C03A3D">
              <w:rPr>
                <w:rFonts w:ascii="Times New Roman" w:hAnsi="Times New Roman"/>
              </w:rPr>
              <w:t xml:space="preserve">5 = </w:t>
            </w:r>
            <w:r>
              <w:rPr>
                <w:rFonts w:ascii="Times New Roman" w:hAnsi="Times New Roman"/>
              </w:rPr>
              <w:t>Significant higher</w:t>
            </w:r>
          </w:p>
        </w:tc>
      </w:tr>
    </w:tbl>
    <w:p w14:paraId="51296EE9" w14:textId="77777777" w:rsidR="00D209E4" w:rsidRDefault="00D209E4"/>
    <w:sectPr w:rsidR="00D20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46C08"/>
    <w:multiLevelType w:val="hybridMultilevel"/>
    <w:tmpl w:val="88581C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9F57DB9"/>
    <w:multiLevelType w:val="hybridMultilevel"/>
    <w:tmpl w:val="6FFE05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82C6568"/>
    <w:multiLevelType w:val="multilevel"/>
    <w:tmpl w:val="A5D0B5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6B3098"/>
    <w:multiLevelType w:val="hybridMultilevel"/>
    <w:tmpl w:val="CC264C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A00270D"/>
    <w:multiLevelType w:val="hybridMultilevel"/>
    <w:tmpl w:val="01101B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77"/>
    <w:rsid w:val="00AE2677"/>
    <w:rsid w:val="00D209E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AD14"/>
  <w15:chartTrackingRefBased/>
  <w15:docId w15:val="{F87F425B-727C-4658-AFB3-3166E50B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77"/>
    <w:pPr>
      <w:suppressAutoHyphens/>
      <w:spacing w:after="200" w:line="276" w:lineRule="auto"/>
    </w:pPr>
    <w:rPr>
      <w:rFonts w:ascii="Calibri" w:eastAsia="Times New Roman" w:hAnsi="Calibri" w:cs="Times New Roman"/>
      <w:lang w:val="id-ID"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677"/>
    <w:pPr>
      <w:ind w:left="720"/>
    </w:pPr>
  </w:style>
  <w:style w:type="table" w:styleId="TableGrid">
    <w:name w:val="Table Grid"/>
    <w:basedOn w:val="TableNormal"/>
    <w:uiPriority w:val="59"/>
    <w:rsid w:val="00AE26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3394</Words>
  <Characters>19350</Characters>
  <Application>Microsoft Office Word</Application>
  <DocSecurity>0</DocSecurity>
  <Lines>161</Lines>
  <Paragraphs>45</Paragraphs>
  <ScaleCrop>false</ScaleCrop>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 andri</dc:creator>
  <cp:keywords/>
  <dc:description/>
  <cp:lastModifiedBy>alfi andri</cp:lastModifiedBy>
  <cp:revision>1</cp:revision>
  <dcterms:created xsi:type="dcterms:W3CDTF">2023-10-06T03:31:00Z</dcterms:created>
  <dcterms:modified xsi:type="dcterms:W3CDTF">2023-10-06T03:32:00Z</dcterms:modified>
</cp:coreProperties>
</file>