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7D1E1" w14:textId="799E2A29" w:rsidR="007F4167" w:rsidRPr="00C753AE" w:rsidRDefault="00C753AE" w:rsidP="00A65125">
      <w:pPr>
        <w:jc w:val="center"/>
        <w:rPr>
          <w:color w:val="000000"/>
          <w:kern w:val="2"/>
          <w:sz w:val="28"/>
          <w:szCs w:val="20"/>
          <w:lang w:val="en-MY" w:eastAsia="en-US"/>
        </w:rPr>
      </w:pPr>
      <w:r w:rsidRPr="00C753AE">
        <w:rPr>
          <w:color w:val="000000"/>
          <w:kern w:val="2"/>
          <w:sz w:val="28"/>
          <w:szCs w:val="20"/>
          <w:lang w:val="en-MY" w:eastAsia="en-US"/>
        </w:rPr>
        <w:t xml:space="preserve">Interorganisational Collaboration Workflow Challenges </w:t>
      </w:r>
      <w:r>
        <w:rPr>
          <w:color w:val="000000"/>
          <w:kern w:val="2"/>
          <w:sz w:val="28"/>
          <w:szCs w:val="20"/>
          <w:lang w:val="en-MY" w:eastAsia="en-US"/>
        </w:rPr>
        <w:t>a</w:t>
      </w:r>
      <w:r w:rsidRPr="00C753AE">
        <w:rPr>
          <w:color w:val="000000"/>
          <w:kern w:val="2"/>
          <w:sz w:val="28"/>
          <w:szCs w:val="20"/>
          <w:lang w:val="en-MY" w:eastAsia="en-US"/>
        </w:rPr>
        <w:t xml:space="preserve">nd </w:t>
      </w:r>
      <w:r>
        <w:rPr>
          <w:color w:val="EE0000"/>
          <w:kern w:val="2"/>
          <w:sz w:val="28"/>
          <w:szCs w:val="20"/>
          <w:lang w:val="en-MY" w:eastAsia="en-US"/>
        </w:rPr>
        <w:t>t</w:t>
      </w:r>
      <w:r w:rsidRPr="00C753AE">
        <w:rPr>
          <w:color w:val="EE0000"/>
          <w:kern w:val="2"/>
          <w:sz w:val="28"/>
          <w:szCs w:val="20"/>
          <w:lang w:val="en-MY" w:eastAsia="en-US"/>
        </w:rPr>
        <w:t xml:space="preserve">he Potential </w:t>
      </w:r>
      <w:r>
        <w:rPr>
          <w:color w:val="EE0000"/>
          <w:kern w:val="2"/>
          <w:sz w:val="28"/>
          <w:szCs w:val="20"/>
          <w:lang w:val="en-MY" w:eastAsia="en-US"/>
        </w:rPr>
        <w:t>o</w:t>
      </w:r>
      <w:r w:rsidRPr="00C753AE">
        <w:rPr>
          <w:color w:val="EE0000"/>
          <w:kern w:val="2"/>
          <w:sz w:val="28"/>
          <w:szCs w:val="20"/>
          <w:lang w:val="en-MY" w:eastAsia="en-US"/>
        </w:rPr>
        <w:t xml:space="preserve">f Technology Integration </w:t>
      </w:r>
      <w:r>
        <w:rPr>
          <w:color w:val="000000"/>
          <w:kern w:val="2"/>
          <w:sz w:val="28"/>
          <w:szCs w:val="20"/>
          <w:lang w:val="en-MY" w:eastAsia="en-US"/>
        </w:rPr>
        <w:t>f</w:t>
      </w:r>
      <w:r w:rsidRPr="00C753AE">
        <w:rPr>
          <w:color w:val="000000"/>
          <w:kern w:val="2"/>
          <w:sz w:val="28"/>
          <w:szCs w:val="20"/>
          <w:lang w:val="en-MY" w:eastAsia="en-US"/>
        </w:rPr>
        <w:t xml:space="preserve">or E-Payment Process Improvement: A Case Study </w:t>
      </w:r>
      <w:r>
        <w:rPr>
          <w:color w:val="000000"/>
          <w:kern w:val="2"/>
          <w:sz w:val="28"/>
          <w:szCs w:val="20"/>
          <w:lang w:val="en-MY" w:eastAsia="en-US"/>
        </w:rPr>
        <w:t>o</w:t>
      </w:r>
      <w:r w:rsidRPr="00C753AE">
        <w:rPr>
          <w:color w:val="000000"/>
          <w:kern w:val="2"/>
          <w:sz w:val="28"/>
          <w:szCs w:val="20"/>
          <w:lang w:val="en-MY" w:eastAsia="en-US"/>
        </w:rPr>
        <w:t xml:space="preserve">f </w:t>
      </w:r>
      <w:r>
        <w:rPr>
          <w:color w:val="000000"/>
          <w:kern w:val="2"/>
          <w:sz w:val="28"/>
          <w:szCs w:val="20"/>
          <w:lang w:val="en-MY" w:eastAsia="en-US"/>
        </w:rPr>
        <w:t>a</w:t>
      </w:r>
      <w:r w:rsidRPr="00C753AE">
        <w:rPr>
          <w:color w:val="000000"/>
          <w:kern w:val="2"/>
          <w:sz w:val="28"/>
          <w:szCs w:val="20"/>
          <w:lang w:val="en-MY" w:eastAsia="en-US"/>
        </w:rPr>
        <w:t xml:space="preserve"> Malaysian Public Sector Agency</w:t>
      </w:r>
    </w:p>
    <w:p w14:paraId="246DCE60" w14:textId="77777777" w:rsidR="001604A4" w:rsidRPr="00A65125" w:rsidRDefault="001604A4" w:rsidP="00A65125">
      <w:pPr>
        <w:rPr>
          <w:b/>
          <w:color w:val="000000"/>
          <w:kern w:val="2"/>
          <w:sz w:val="20"/>
          <w:szCs w:val="20"/>
          <w:lang w:val="en-MY" w:eastAsia="en-US"/>
        </w:rPr>
      </w:pPr>
    </w:p>
    <w:p w14:paraId="6B2B3154" w14:textId="3ED926A4" w:rsidR="00180FE0" w:rsidRPr="00A65125" w:rsidRDefault="007F4167" w:rsidP="00A65125">
      <w:pPr>
        <w:jc w:val="center"/>
        <w:rPr>
          <w:sz w:val="20"/>
          <w:szCs w:val="20"/>
        </w:rPr>
      </w:pPr>
      <w:r w:rsidRPr="00A65125">
        <w:rPr>
          <w:sz w:val="20"/>
          <w:szCs w:val="20"/>
        </w:rPr>
        <w:t>KHAIRIL FAIZAL KHAIRI</w:t>
      </w:r>
      <w:r w:rsidR="00371254">
        <w:rPr>
          <w:sz w:val="20"/>
          <w:szCs w:val="20"/>
        </w:rPr>
        <w:t xml:space="preserve"> &amp;</w:t>
      </w:r>
      <w:r w:rsidR="006B1B7B" w:rsidRPr="00A65125">
        <w:rPr>
          <w:sz w:val="20"/>
          <w:szCs w:val="20"/>
        </w:rPr>
        <w:t xml:space="preserve"> NAHARUDIN SAADAN</w:t>
      </w:r>
    </w:p>
    <w:p w14:paraId="6900EA58" w14:textId="77777777" w:rsidR="00774386" w:rsidRPr="00A65125" w:rsidRDefault="00774386" w:rsidP="00A65125">
      <w:pPr>
        <w:jc w:val="center"/>
        <w:rPr>
          <w:sz w:val="20"/>
          <w:szCs w:val="20"/>
        </w:rPr>
      </w:pPr>
    </w:p>
    <w:p w14:paraId="0AC078B4" w14:textId="77777777" w:rsidR="00774386" w:rsidRPr="00A65125" w:rsidRDefault="00774386" w:rsidP="00A65125">
      <w:pPr>
        <w:jc w:val="center"/>
        <w:rPr>
          <w:sz w:val="20"/>
          <w:szCs w:val="20"/>
        </w:rPr>
      </w:pPr>
    </w:p>
    <w:p w14:paraId="6E4805AC" w14:textId="4C6A659E" w:rsidR="007F4167" w:rsidRPr="00A65125" w:rsidRDefault="007F4167" w:rsidP="00A65125">
      <w:pPr>
        <w:pStyle w:val="Heading1"/>
        <w:rPr>
          <w:rFonts w:cs="Times New Roman"/>
          <w:b/>
          <w:i/>
          <w:sz w:val="20"/>
          <w:szCs w:val="20"/>
        </w:rPr>
      </w:pPr>
      <w:r w:rsidRPr="00A65125">
        <w:rPr>
          <w:rFonts w:cs="Times New Roman"/>
          <w:i/>
          <w:sz w:val="20"/>
          <w:szCs w:val="20"/>
        </w:rPr>
        <w:t>ABSTRACT</w:t>
      </w:r>
    </w:p>
    <w:p w14:paraId="4DEEE642" w14:textId="77777777" w:rsidR="007F4167" w:rsidRPr="00A65125" w:rsidRDefault="007F4167" w:rsidP="00A65125">
      <w:pPr>
        <w:rPr>
          <w:sz w:val="20"/>
          <w:szCs w:val="20"/>
          <w:lang w:val="en-MY" w:eastAsia="en-US"/>
        </w:rPr>
      </w:pPr>
    </w:p>
    <w:p w14:paraId="039666E4" w14:textId="5A160319" w:rsidR="00774386" w:rsidRPr="00A65125" w:rsidRDefault="00E40392" w:rsidP="00A65125">
      <w:pPr>
        <w:jc w:val="both"/>
        <w:rPr>
          <w:i/>
          <w:iCs/>
          <w:sz w:val="20"/>
          <w:szCs w:val="20"/>
          <w:lang w:val="en-MY" w:eastAsia="en-US"/>
        </w:rPr>
      </w:pPr>
      <w:r w:rsidRPr="00A65125">
        <w:rPr>
          <w:i/>
          <w:iCs/>
          <w:sz w:val="20"/>
          <w:szCs w:val="20"/>
          <w:lang w:val="en-MY" w:eastAsia="en-US"/>
        </w:rPr>
        <w:t>The Internet revolution has transformed payment systems globally, accelerating the adoption of electronic payments and advancing the agenda of a cashless society. In Malaysia, this shift has gained momentum in both public and private sectors, with Bank Negara Malaysia reporting over RM551 billion in electronic payment transactions in 2024. However, persistent challenges in interorganisational collaboration workflows</w:t>
      </w:r>
      <w:r w:rsidR="00495028" w:rsidRPr="00A65125">
        <w:rPr>
          <w:i/>
          <w:iCs/>
          <w:sz w:val="20"/>
          <w:szCs w:val="20"/>
          <w:lang w:val="en-MY" w:eastAsia="en-US"/>
        </w:rPr>
        <w:t xml:space="preserve"> </w:t>
      </w:r>
      <w:r w:rsidRPr="00A65125">
        <w:rPr>
          <w:i/>
          <w:iCs/>
          <w:sz w:val="20"/>
          <w:szCs w:val="20"/>
          <w:lang w:val="en-MY" w:eastAsia="en-US"/>
        </w:rPr>
        <w:t xml:space="preserve">among government agencies in Malaysia, acquiring banks, and accounting </w:t>
      </w:r>
      <w:proofErr w:type="spellStart"/>
      <w:r w:rsidR="00495028" w:rsidRPr="00A65125">
        <w:rPr>
          <w:i/>
          <w:iCs/>
          <w:sz w:val="20"/>
          <w:szCs w:val="20"/>
          <w:lang w:val="en-MY" w:eastAsia="en-US"/>
        </w:rPr>
        <w:t>offic’s</w:t>
      </w:r>
      <w:proofErr w:type="spellEnd"/>
      <w:r w:rsidR="00495028" w:rsidRPr="00A65125">
        <w:rPr>
          <w:i/>
          <w:iCs/>
          <w:sz w:val="20"/>
          <w:szCs w:val="20"/>
          <w:lang w:val="en-MY" w:eastAsia="en-US"/>
        </w:rPr>
        <w:t xml:space="preserve"> </w:t>
      </w:r>
      <w:r w:rsidRPr="00A65125">
        <w:rPr>
          <w:i/>
          <w:iCs/>
          <w:sz w:val="20"/>
          <w:szCs w:val="20"/>
          <w:lang w:val="en-MY" w:eastAsia="en-US"/>
        </w:rPr>
        <w:t>continue to hinder post-collection efficiency. The Auditor General’s 2022 report highlighted over RM6 billion in delayed fund transfers, leading to late revenue recognition and operational inefficiency. Employing a qualitative case study approach, this study explores the challenges of interorganisational collaboration workflows within the Transport License Department’s electronic payment process. Four major themes emerged: non-integrated operations, operational inefficiencies, service level discrepancies, and communication barriers. Four human-centred themes</w:t>
      </w:r>
      <w:r w:rsidR="00495028" w:rsidRPr="00A65125">
        <w:rPr>
          <w:i/>
          <w:iCs/>
          <w:sz w:val="20"/>
          <w:szCs w:val="20"/>
          <w:lang w:val="en-MY" w:eastAsia="en-US"/>
        </w:rPr>
        <w:t xml:space="preserve"> such as </w:t>
      </w:r>
      <w:r w:rsidRPr="00A65125">
        <w:rPr>
          <w:i/>
          <w:iCs/>
          <w:sz w:val="20"/>
          <w:szCs w:val="20"/>
          <w:lang w:val="en-MY" w:eastAsia="en-US"/>
        </w:rPr>
        <w:t>brain drain, individual effort, personal traits, and the need for appreciation</w:t>
      </w:r>
      <w:r w:rsidR="00495028" w:rsidRPr="00A65125">
        <w:rPr>
          <w:i/>
          <w:iCs/>
          <w:sz w:val="20"/>
          <w:szCs w:val="20"/>
          <w:lang w:val="en-MY" w:eastAsia="en-US"/>
        </w:rPr>
        <w:t xml:space="preserve"> </w:t>
      </w:r>
      <w:r w:rsidRPr="00A65125">
        <w:rPr>
          <w:i/>
          <w:iCs/>
          <w:sz w:val="20"/>
          <w:szCs w:val="20"/>
          <w:lang w:val="en-MY" w:eastAsia="en-US"/>
        </w:rPr>
        <w:t xml:space="preserve">revealed the socio-organisational dimensions influencing workflow performance. The study contributes to the body of knowledge by extending the interorganisational collaboration framework with a fifth dimension: human attributes. Practically, it advocates for integrated digital systems, </w:t>
      </w:r>
      <w:r w:rsidR="00DC3F6D" w:rsidRPr="00A65125">
        <w:rPr>
          <w:i/>
          <w:iCs/>
          <w:sz w:val="20"/>
          <w:szCs w:val="20"/>
          <w:lang w:val="en-MY" w:eastAsia="en-US"/>
        </w:rPr>
        <w:t>service level agreement</w:t>
      </w:r>
      <w:r w:rsidRPr="00A65125">
        <w:rPr>
          <w:i/>
          <w:iCs/>
          <w:sz w:val="20"/>
          <w:szCs w:val="20"/>
          <w:lang w:val="en-MY" w:eastAsia="en-US"/>
        </w:rPr>
        <w:t xml:space="preserve"> enforcement mechanisms, and institutional recognition strategies. At the same time, the findings are based on a single case and offer a valuable reference for the broader public sector agencies. Future research should explore the suitability of technology, particularly blockchain technology, artificial intelligence, cloud computing and big data, in strengthening interorganisational workflows. Overall, this study offers a holistic view of structural and human </w:t>
      </w:r>
      <w:r w:rsidR="008752C6" w:rsidRPr="00A65125">
        <w:rPr>
          <w:i/>
          <w:iCs/>
          <w:sz w:val="20"/>
          <w:szCs w:val="20"/>
          <w:lang w:val="en-MY" w:eastAsia="en-US"/>
        </w:rPr>
        <w:t>attributes</w:t>
      </w:r>
      <w:r w:rsidRPr="00A65125">
        <w:rPr>
          <w:i/>
          <w:iCs/>
          <w:sz w:val="20"/>
          <w:szCs w:val="20"/>
          <w:lang w:val="en-MY" w:eastAsia="en-US"/>
        </w:rPr>
        <w:t xml:space="preserve"> essential for optimising public sector e-payment systems.</w:t>
      </w:r>
    </w:p>
    <w:p w14:paraId="673C8A7B" w14:textId="77777777" w:rsidR="00E40392" w:rsidRPr="00A65125" w:rsidRDefault="00E40392" w:rsidP="00A65125">
      <w:pPr>
        <w:rPr>
          <w:i/>
          <w:iCs/>
          <w:sz w:val="20"/>
          <w:szCs w:val="20"/>
          <w:lang w:val="en-MY" w:eastAsia="en-US"/>
        </w:rPr>
      </w:pPr>
    </w:p>
    <w:p w14:paraId="4518D0B1" w14:textId="77777777" w:rsidR="006914EF" w:rsidRDefault="006C6997" w:rsidP="006914EF">
      <w:pPr>
        <w:jc w:val="both"/>
        <w:rPr>
          <w:i/>
          <w:iCs/>
          <w:sz w:val="20"/>
          <w:szCs w:val="20"/>
        </w:rPr>
      </w:pPr>
      <w:r w:rsidRPr="00A65125">
        <w:rPr>
          <w:i/>
          <w:iCs/>
          <w:sz w:val="20"/>
          <w:szCs w:val="20"/>
        </w:rPr>
        <w:t xml:space="preserve">Keywords: </w:t>
      </w:r>
      <w:r w:rsidR="0006497C">
        <w:rPr>
          <w:i/>
          <w:iCs/>
          <w:sz w:val="20"/>
          <w:szCs w:val="20"/>
        </w:rPr>
        <w:t>E</w:t>
      </w:r>
      <w:r w:rsidR="00372C67" w:rsidRPr="00A65125">
        <w:rPr>
          <w:i/>
          <w:iCs/>
          <w:sz w:val="20"/>
          <w:szCs w:val="20"/>
        </w:rPr>
        <w:t xml:space="preserve">lectronic </w:t>
      </w:r>
      <w:r w:rsidRPr="00A65125">
        <w:rPr>
          <w:i/>
          <w:iCs/>
          <w:sz w:val="20"/>
          <w:szCs w:val="20"/>
        </w:rPr>
        <w:t>payment</w:t>
      </w:r>
      <w:r w:rsidR="0006497C">
        <w:rPr>
          <w:i/>
          <w:iCs/>
          <w:sz w:val="20"/>
          <w:szCs w:val="20"/>
        </w:rPr>
        <w:t>;</w:t>
      </w:r>
      <w:r w:rsidRPr="00A65125">
        <w:rPr>
          <w:i/>
          <w:iCs/>
          <w:sz w:val="20"/>
          <w:szCs w:val="20"/>
        </w:rPr>
        <w:t xml:space="preserve"> </w:t>
      </w:r>
      <w:r w:rsidR="00A07097" w:rsidRPr="00A65125">
        <w:rPr>
          <w:i/>
          <w:iCs/>
          <w:sz w:val="20"/>
          <w:szCs w:val="20"/>
        </w:rPr>
        <w:t>i</w:t>
      </w:r>
      <w:r w:rsidRPr="00A65125">
        <w:rPr>
          <w:i/>
          <w:iCs/>
          <w:sz w:val="20"/>
          <w:szCs w:val="20"/>
        </w:rPr>
        <w:t xml:space="preserve">nterorganisational </w:t>
      </w:r>
      <w:r w:rsidR="00A07097" w:rsidRPr="00A65125">
        <w:rPr>
          <w:i/>
          <w:iCs/>
          <w:sz w:val="20"/>
          <w:szCs w:val="20"/>
        </w:rPr>
        <w:t>c</w:t>
      </w:r>
      <w:r w:rsidRPr="00A65125">
        <w:rPr>
          <w:i/>
          <w:iCs/>
          <w:sz w:val="20"/>
          <w:szCs w:val="20"/>
        </w:rPr>
        <w:t xml:space="preserve">ollaboration </w:t>
      </w:r>
      <w:r w:rsidR="00A07097" w:rsidRPr="00A65125">
        <w:rPr>
          <w:i/>
          <w:iCs/>
          <w:sz w:val="20"/>
          <w:szCs w:val="20"/>
        </w:rPr>
        <w:t>w</w:t>
      </w:r>
      <w:r w:rsidRPr="00A65125">
        <w:rPr>
          <w:i/>
          <w:iCs/>
          <w:sz w:val="20"/>
          <w:szCs w:val="20"/>
        </w:rPr>
        <w:t>orkflow</w:t>
      </w:r>
      <w:r w:rsidR="0006497C">
        <w:rPr>
          <w:i/>
          <w:iCs/>
          <w:sz w:val="20"/>
          <w:szCs w:val="20"/>
        </w:rPr>
        <w:t>;</w:t>
      </w:r>
      <w:r w:rsidRPr="00A65125">
        <w:rPr>
          <w:i/>
          <w:iCs/>
          <w:sz w:val="20"/>
          <w:szCs w:val="20"/>
        </w:rPr>
        <w:t xml:space="preserve"> </w:t>
      </w:r>
      <w:r w:rsidR="00A07097" w:rsidRPr="00A65125">
        <w:rPr>
          <w:i/>
          <w:iCs/>
          <w:sz w:val="20"/>
          <w:szCs w:val="20"/>
        </w:rPr>
        <w:t>Malaysian public sector</w:t>
      </w:r>
      <w:r w:rsidR="0006497C">
        <w:rPr>
          <w:i/>
          <w:iCs/>
          <w:sz w:val="20"/>
          <w:szCs w:val="20"/>
        </w:rPr>
        <w:t>;</w:t>
      </w:r>
      <w:r w:rsidR="00A07097" w:rsidRPr="00A65125">
        <w:rPr>
          <w:i/>
          <w:iCs/>
          <w:sz w:val="20"/>
          <w:szCs w:val="20"/>
        </w:rPr>
        <w:t xml:space="preserve"> </w:t>
      </w:r>
      <w:r w:rsidR="00693314" w:rsidRPr="00A65125">
        <w:rPr>
          <w:i/>
          <w:iCs/>
          <w:sz w:val="20"/>
          <w:szCs w:val="20"/>
        </w:rPr>
        <w:t xml:space="preserve">qualitative </w:t>
      </w:r>
      <w:r w:rsidR="00A07097" w:rsidRPr="00A65125">
        <w:rPr>
          <w:i/>
          <w:iCs/>
          <w:sz w:val="20"/>
          <w:szCs w:val="20"/>
        </w:rPr>
        <w:t>case study</w:t>
      </w:r>
    </w:p>
    <w:p w14:paraId="14AB0FBC" w14:textId="77777777" w:rsidR="006914EF" w:rsidRDefault="006914EF" w:rsidP="006914EF">
      <w:pPr>
        <w:jc w:val="both"/>
        <w:rPr>
          <w:sz w:val="20"/>
          <w:szCs w:val="20"/>
        </w:rPr>
      </w:pPr>
      <w:bookmarkStart w:id="0" w:name="_GoBack"/>
      <w:bookmarkEnd w:id="0"/>
    </w:p>
    <w:p w14:paraId="1A7D3F77" w14:textId="640AFD7A" w:rsidR="000E5448" w:rsidRPr="006914EF" w:rsidRDefault="007C3A8B" w:rsidP="006914EF">
      <w:pPr>
        <w:jc w:val="center"/>
        <w:rPr>
          <w:i/>
          <w:iCs/>
          <w:sz w:val="20"/>
          <w:szCs w:val="20"/>
        </w:rPr>
      </w:pPr>
      <w:r w:rsidRPr="00A65125">
        <w:rPr>
          <w:sz w:val="20"/>
          <w:szCs w:val="20"/>
        </w:rPr>
        <w:t>INTRODUCTION</w:t>
      </w:r>
    </w:p>
    <w:p w14:paraId="3D75E22D" w14:textId="77777777" w:rsidR="000357AC" w:rsidRPr="00A65125" w:rsidRDefault="000357AC" w:rsidP="00A65125">
      <w:pPr>
        <w:pStyle w:val="BodyText1"/>
        <w:rPr>
          <w:rFonts w:cs="Times New Roman"/>
          <w:sz w:val="20"/>
          <w:szCs w:val="20"/>
        </w:rPr>
      </w:pPr>
    </w:p>
    <w:p w14:paraId="47EA14AA" w14:textId="54F7C4A2" w:rsidR="00E40392" w:rsidRPr="00A65125" w:rsidRDefault="00E40392" w:rsidP="00A65125">
      <w:pPr>
        <w:pStyle w:val="BodyText1"/>
        <w:ind w:firstLine="0"/>
        <w:rPr>
          <w:rFonts w:cs="Times New Roman"/>
          <w:sz w:val="20"/>
          <w:szCs w:val="20"/>
        </w:rPr>
      </w:pPr>
      <w:r w:rsidRPr="00A65125">
        <w:rPr>
          <w:rFonts w:cs="Times New Roman"/>
          <w:sz w:val="20"/>
          <w:szCs w:val="20"/>
        </w:rPr>
        <w:t xml:space="preserve">Payment systems are a medium of interaction that facilitate the exchange process between customer-to-business, business-to-business, government-to-business, and government-to-government transactions </w:t>
      </w:r>
      <w:r w:rsidRPr="00A65125">
        <w:rPr>
          <w:rFonts w:cs="Times New Roman"/>
          <w:sz w:val="20"/>
          <w:szCs w:val="20"/>
        </w:rPr>
        <w:fldChar w:fldCharType="begin" w:fldLock="1"/>
      </w:r>
      <w:r w:rsidRPr="00A65125">
        <w:rPr>
          <w:rFonts w:cs="Times New Roman"/>
          <w:sz w:val="20"/>
          <w:szCs w:val="20"/>
        </w:rPr>
        <w:instrText>ADDIN CSL_CITATION {"citationItems":[{"id":"ITEM-1","itemData":{"DOI":"10.35631/IJLGC.831007","ISSN":"0128-1763","abstract":"With the recent emergence of globalisation, many people including Malaysians are widely using the online platform to conduct online transactions known as e-commerce. E-commerce did not require the sale and purchase transaction to be done face-to-face, in fact, by having an Internet connection, the contractual parties are then able to transact. The increase in the online sale and purchase transactions are in line with the increase in the numbers of internet users day-by-day. The objective of this research is to refine further and discuss the concept of e-commerce from the perspective of online contract and online sale and purchase transaction. This research is done using a qualitative measure through literature review and descriptive method whereby the highlights of previous studies involving e-commerce and e-contract are thoroughly discussed. The research outcome portrays a vast evolution of e-commerce from when it was first introduced causing e-contract to be widely used. Thus, it can be said that a contract made online or e-contract is valid under the law of Malaysia so long as it doesn’t contravene with the existing laws.","author":[{"dropping-particle":"","family":"Md Rashid","given":"Nurul Izzati","non-dropping-particle":"","parse-names":false,"suffix":""},{"dropping-particle":"","family":"Abdul Razak","given":"Farihana","non-dropping-particle":"","parse-names":false,"suffix":""}],"container-title":"International Journal of Law, Government and Communication","id":"ITEM-1","issue":"31","issued":{"date-parts":[["2023","3","7"]]},"page":"89-96","title":"E-COMMERCE: CONTRACT AND TRANSACTION","type":"article-journal","volume":"8"},"uris":["http://www.mendeley.com/documents/?uuid=009de620-d143-47c6-84b4-2929fe2dd906"]}],"mendeley":{"formattedCitation":"(Md Rashid &amp; Abdul Razak 2023)","plainTextFormattedCitation":"(Md Rashid &amp; Abdul Razak 2023)","previouslyFormattedCitation":"(Md Rashid &amp; Abdul Razak 2023)"},"properties":{"noteIndex":0},"schema":"https://github.com/citation-style-language/schema/raw/master/csl-citation.json"}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(Md Rashid &amp; Abdul Razak 2023)</w:t>
      </w:r>
      <w:r w:rsidRPr="00A65125">
        <w:rPr>
          <w:rFonts w:cs="Times New Roman"/>
          <w:sz w:val="20"/>
          <w:szCs w:val="20"/>
        </w:rPr>
        <w:fldChar w:fldCharType="end"/>
      </w:r>
      <w:r w:rsidRPr="00A65125">
        <w:rPr>
          <w:rFonts w:cs="Times New Roman"/>
          <w:sz w:val="20"/>
          <w:szCs w:val="20"/>
        </w:rPr>
        <w:t xml:space="preserve">. Since ancient periods, the payment system has evolved from bartering to minted coins, then to paper money and plastic money, and today, the trend is dominated by digital currency </w:t>
      </w:r>
      <w:r w:rsidRPr="00A65125">
        <w:rPr>
          <w:rFonts w:cs="Times New Roman"/>
          <w:sz w:val="20"/>
          <w:szCs w:val="20"/>
        </w:rPr>
        <w:fldChar w:fldCharType="begin" w:fldLock="1"/>
      </w:r>
      <w:r w:rsidRPr="00A65125">
        <w:rPr>
          <w:rFonts w:cs="Times New Roman"/>
          <w:sz w:val="20"/>
          <w:szCs w:val="20"/>
        </w:rPr>
        <w:instrText>ADDIN CSL_CITATION {"citationItems":[{"id":"ITEM-1","itemData":{"DOI":"10.5267/j.ac.2020.11.010","ISSN":"23697407","abstract":"This study focuses on the relationship between economic growth and electronic payment systems based on a sample of countries from across the globe. The study is relevant considering the importance of payment systems in financial transactions and also because, being an evolving area, it is not much studied in literature. The study initially refers to the concept, types and other features of electronic payment systems and later on analyses the macroeconomic data from countries across the globe. No concrete evidence is found supporting or rejecting the relationship between electronic payment systems and economic growth which can be inferred as country specific issue.","author":[{"dropping-particle":"","family":"Aldaas","given":"Abdullah","non-dropping-particle":"","parse-names":false,"suffix":""}],"container-title":"Accounting","id":"ITEM-1","issue":"2","issued":{"date-parts":[["2021"]]},"page":"409-414","title":"A study on electronic payments and economic growth: Global evidences","type":"article-journal","volume":"7"},"uris":["http://www.mendeley.com/documents/?uuid=1db06a55-8127-47c3-b1cf-980a2edfa76e"]}],"mendeley":{"formattedCitation":"(Aldaas 2021)","plainTextFormattedCitation":"(Aldaas 2021)","previouslyFormattedCitation":"(Aldaas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(Aldaas 2021)</w:t>
      </w:r>
      <w:r w:rsidRPr="00A65125">
        <w:rPr>
          <w:rFonts w:cs="Times New Roman"/>
          <w:sz w:val="20"/>
          <w:szCs w:val="20"/>
        </w:rPr>
        <w:fldChar w:fldCharType="end"/>
      </w:r>
      <w:r w:rsidRPr="00A65125">
        <w:rPr>
          <w:rFonts w:cs="Times New Roman"/>
          <w:sz w:val="20"/>
          <w:szCs w:val="20"/>
        </w:rPr>
        <w:t xml:space="preserve">. The emergence of new technologies such as big data, artificial intelligence, machine learning, cloud computing, and blockchain technology has expedited the digital transformation in payment systems. For instance, big data is used for fraud detection, artificial intelligence and machine learning power chatbots for customer service, cloud computing enables mobile payments, and blockchain technology secures cryptocurrency transactions </w:t>
      </w:r>
      <w:r w:rsidRPr="00A65125">
        <w:rPr>
          <w:rFonts w:cs="Times New Roman"/>
          <w:sz w:val="20"/>
          <w:szCs w:val="20"/>
        </w:rPr>
        <w:fldChar w:fldCharType="begin" w:fldLock="1"/>
      </w:r>
      <w:r w:rsidRPr="00A65125">
        <w:rPr>
          <w:rFonts w:cs="Times New Roman"/>
          <w:sz w:val="20"/>
          <w:szCs w:val="20"/>
        </w:rPr>
        <w:instrText>ADDIN CSL_CITATION {"citationItems":[{"id":"ITEM-1","itemData":{"abstract":"In the next 10 years, seven key technologies will drive business model reinventions while shaping the competitive landscape of the financial industry.","author":[{"dropping-particle":"","family":"Fong","given":"Dick","non-dropping-particle":"","parse-names":false,"suffix":""},{"dropping-particle":"","family":"Han","given":"Feng","non-dropping-particle":"","parse-names":false,"suffix":""},{"dropping-particle":"","family":"Liu","given":"Louis","non-dropping-particle":"","parse-names":false,"suffix":""},{"dropping-particle":"","family":"Qu","given":"John","non-dropping-particle":"","parse-names":false,"suffix":""},{"dropping-particle":"","family":"Shek","given":"Arthur","non-dropping-particle":"","parse-names":false,"suffix":""}],"container-title":"McKinsey analysis November","id":"ITEM-1","issued":{"date-parts":[["2021","11"]]},"note":"McKinsey &amp;amp; Company","page":"1-13","publisher":"McKinsey &amp; Company","title":"Seven technologies shaping the future of fintech","type":"article"},"uris":["http://www.mendeley.com/documents/?uuid=976b86ed-1494-4f68-a44d-24f00fb1b80d"]}],"mendeley":{"formattedCitation":"(Fong et al. 2021)","plainTextFormattedCitation":"(Fong et al. 2021)","previouslyFormattedCitation":"(Fong et al.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(Fong et al. 2021)</w:t>
      </w:r>
      <w:r w:rsidRPr="00A65125">
        <w:rPr>
          <w:rFonts w:cs="Times New Roman"/>
          <w:sz w:val="20"/>
          <w:szCs w:val="20"/>
        </w:rPr>
        <w:fldChar w:fldCharType="end"/>
      </w:r>
      <w:r w:rsidRPr="00A65125">
        <w:rPr>
          <w:rFonts w:cs="Times New Roman"/>
          <w:sz w:val="20"/>
          <w:szCs w:val="20"/>
        </w:rPr>
        <w:t xml:space="preserve">. In Malaysia, the government actively promotes and advances a cashless society. According to a report by The </w:t>
      </w:r>
      <w:r w:rsidRPr="00A65125">
        <w:rPr>
          <w:rFonts w:cs="Times New Roman"/>
          <w:sz w:val="20"/>
          <w:szCs w:val="20"/>
        </w:rPr>
        <w:fldChar w:fldCharType="begin" w:fldLock="1"/>
      </w:r>
      <w:r w:rsidRPr="00A65125">
        <w:rPr>
          <w:rFonts w:cs="Times New Roman"/>
          <w:sz w:val="20"/>
          <w:szCs w:val="20"/>
        </w:rPr>
        <w:instrText>ADDIN CSL_CITATION {"citationItems":[{"id":"ITEM-1","itemData":{"URL":"https://www.thestar.com.my/news/nation/2023/07/05/cash-is-no-longer-king-for-payments-in-malaysia","author":[{"dropping-particle":"","family":"The Star","given":"","non-dropping-particle":"","parse-names":false,"suffix":""}],"container-title":"The Star","id":"ITEM-1","issued":{"date-parts":[["2023","7","5"]]},"title":"Cash is no longer king for payments in Malaysia","type":"webpage"},"uris":["http://www.mendeley.com/documents/?uuid=42a7d2a4-f899-4f5b-a239-76cce6413faa"]}],"mendeley":{"formattedCitation":"(The Star 2023)","manualFormatting":"The Star (2023)","plainTextFormattedCitation":"(The Star 2023)","previouslyFormattedCitation":"(The Star 2023)"},"properties":{"noteIndex":0},"schema":"https://github.com/citation-style-language/schema/raw/master/csl-citation.json"}</w:instrText>
      </w:r>
      <w:r w:rsidRPr="00A65125">
        <w:rPr>
          <w:rFonts w:cs="Times New Roman"/>
          <w:sz w:val="20"/>
          <w:szCs w:val="20"/>
        </w:rPr>
        <w:fldChar w:fldCharType="separate"/>
      </w:r>
      <w:r w:rsidRPr="00A65125">
        <w:rPr>
          <w:rFonts w:cs="Times New Roman"/>
          <w:i/>
          <w:iCs/>
          <w:noProof/>
          <w:sz w:val="20"/>
          <w:szCs w:val="20"/>
        </w:rPr>
        <w:t>The Star</w:t>
      </w:r>
      <w:r w:rsidRPr="00A65125">
        <w:rPr>
          <w:rFonts w:cs="Times New Roman"/>
          <w:noProof/>
          <w:sz w:val="20"/>
          <w:szCs w:val="20"/>
        </w:rPr>
        <w:t xml:space="preserve"> (2023)</w:t>
      </w:r>
      <w:r w:rsidRPr="00A65125">
        <w:rPr>
          <w:rFonts w:cs="Times New Roman"/>
          <w:sz w:val="20"/>
          <w:szCs w:val="20"/>
        </w:rPr>
        <w:fldChar w:fldCharType="end"/>
      </w:r>
      <w:r w:rsidRPr="00A65125">
        <w:rPr>
          <w:rFonts w:cs="Times New Roman"/>
          <w:sz w:val="20"/>
          <w:szCs w:val="20"/>
        </w:rPr>
        <w:t>, Malaysia is projected to achieve this transformation by 2030.</w:t>
      </w:r>
    </w:p>
    <w:p w14:paraId="19B20ACB" w14:textId="77777777" w:rsidR="004F5106" w:rsidRPr="00A65125" w:rsidRDefault="004F5106" w:rsidP="00A65125">
      <w:pPr>
        <w:pStyle w:val="BodyText1"/>
        <w:ind w:firstLine="0"/>
        <w:rPr>
          <w:rFonts w:cs="Times New Roman"/>
          <w:sz w:val="20"/>
          <w:szCs w:val="20"/>
        </w:rPr>
      </w:pPr>
    </w:p>
    <w:p w14:paraId="118819B7" w14:textId="5941CC89" w:rsidR="00F8143F" w:rsidRPr="0006497C" w:rsidRDefault="00447CCB" w:rsidP="00A65125">
      <w:pPr>
        <w:pStyle w:val="NoSpacing"/>
        <w:jc w:val="center"/>
        <w:rPr>
          <w:sz w:val="16"/>
          <w:szCs w:val="16"/>
        </w:rPr>
      </w:pPr>
      <w:bookmarkStart w:id="1" w:name="_Ref183439124"/>
      <w:bookmarkStart w:id="2" w:name="_Ref179490531"/>
      <w:bookmarkStart w:id="3" w:name="_Toc181264057"/>
      <w:r w:rsidRPr="0006497C">
        <w:rPr>
          <w:sz w:val="16"/>
          <w:szCs w:val="16"/>
        </w:rPr>
        <w:t>T</w:t>
      </w:r>
      <w:r w:rsidR="00DA7637" w:rsidRPr="0006497C">
        <w:rPr>
          <w:sz w:val="16"/>
          <w:szCs w:val="16"/>
        </w:rPr>
        <w:t>ABLE</w:t>
      </w:r>
      <w:r w:rsidRPr="0006497C">
        <w:rPr>
          <w:sz w:val="16"/>
          <w:szCs w:val="16"/>
        </w:rPr>
        <w:t xml:space="preserve"> </w:t>
      </w:r>
      <w:r w:rsidR="00B853A7" w:rsidRPr="0006497C">
        <w:rPr>
          <w:sz w:val="16"/>
          <w:szCs w:val="16"/>
        </w:rPr>
        <w:fldChar w:fldCharType="begin"/>
      </w:r>
      <w:r w:rsidR="00B853A7" w:rsidRPr="0006497C">
        <w:rPr>
          <w:sz w:val="16"/>
          <w:szCs w:val="16"/>
        </w:rPr>
        <w:instrText xml:space="preserve"> SEQ Table \* ARABIC </w:instrText>
      </w:r>
      <w:r w:rsidR="00B853A7" w:rsidRPr="0006497C">
        <w:rPr>
          <w:sz w:val="16"/>
          <w:szCs w:val="16"/>
        </w:rPr>
        <w:fldChar w:fldCharType="separate"/>
      </w:r>
      <w:r w:rsidR="003B740A" w:rsidRPr="0006497C">
        <w:rPr>
          <w:noProof/>
          <w:sz w:val="16"/>
          <w:szCs w:val="16"/>
        </w:rPr>
        <w:t>1</w:t>
      </w:r>
      <w:r w:rsidR="00B853A7" w:rsidRPr="0006497C">
        <w:rPr>
          <w:noProof/>
          <w:sz w:val="16"/>
          <w:szCs w:val="16"/>
        </w:rPr>
        <w:fldChar w:fldCharType="end"/>
      </w:r>
      <w:bookmarkEnd w:id="1"/>
      <w:r w:rsidR="005117BA" w:rsidRPr="0006497C">
        <w:rPr>
          <w:sz w:val="16"/>
          <w:szCs w:val="16"/>
        </w:rPr>
        <w:t xml:space="preserve">. </w:t>
      </w:r>
      <w:r w:rsidR="008C1007" w:rsidRPr="0006497C">
        <w:rPr>
          <w:sz w:val="16"/>
          <w:szCs w:val="16"/>
        </w:rPr>
        <w:t>Payment instrument statistic</w:t>
      </w:r>
      <w:bookmarkEnd w:id="2"/>
      <w:bookmarkEnd w:id="3"/>
      <w:r w:rsidR="00C04A78" w:rsidRPr="0006497C">
        <w:rPr>
          <w:sz w:val="16"/>
          <w:szCs w:val="16"/>
        </w:rPr>
        <w:t xml:space="preserve"> from Bank Negara in 2024</w:t>
      </w:r>
    </w:p>
    <w:tbl>
      <w:tblPr>
        <w:tblW w:w="7890" w:type="dxa"/>
        <w:tblInd w:w="567" w:type="dxa"/>
        <w:tblLook w:val="04A0" w:firstRow="1" w:lastRow="0" w:firstColumn="1" w:lastColumn="0" w:noHBand="0" w:noVBand="1"/>
      </w:tblPr>
      <w:tblGrid>
        <w:gridCol w:w="969"/>
        <w:gridCol w:w="739"/>
        <w:gridCol w:w="1095"/>
        <w:gridCol w:w="566"/>
        <w:gridCol w:w="990"/>
        <w:gridCol w:w="711"/>
        <w:gridCol w:w="1026"/>
        <w:gridCol w:w="711"/>
        <w:gridCol w:w="1083"/>
      </w:tblGrid>
      <w:tr w:rsidR="00324868" w:rsidRPr="0006497C" w14:paraId="544B4324" w14:textId="77777777" w:rsidTr="00781C80">
        <w:trPr>
          <w:trHeight w:val="232"/>
        </w:trPr>
        <w:tc>
          <w:tcPr>
            <w:tcW w:w="969" w:type="dxa"/>
            <w:vMerge w:val="restart"/>
            <w:tcBorders>
              <w:top w:val="single" w:sz="4" w:space="0" w:color="auto"/>
              <w:left w:val="nil"/>
              <w:bottom w:val="single" w:sz="4" w:space="0" w:color="000000"/>
              <w:right w:val="nil"/>
            </w:tcBorders>
            <w:shd w:val="clear" w:color="000000" w:fill="auto"/>
            <w:hideMark/>
          </w:tcPr>
          <w:p w14:paraId="045F905D" w14:textId="77777777" w:rsidR="00324868" w:rsidRPr="0006497C" w:rsidRDefault="00324868" w:rsidP="00A65125">
            <w:pPr>
              <w:jc w:val="center"/>
              <w:rPr>
                <w:color w:val="000000"/>
                <w:sz w:val="16"/>
                <w:szCs w:val="16"/>
              </w:rPr>
            </w:pPr>
            <w:r w:rsidRPr="0006497C">
              <w:rPr>
                <w:color w:val="000000"/>
                <w:sz w:val="16"/>
                <w:szCs w:val="16"/>
              </w:rPr>
              <w:t>Year</w:t>
            </w:r>
          </w:p>
        </w:tc>
        <w:tc>
          <w:tcPr>
            <w:tcW w:w="6921" w:type="dxa"/>
            <w:gridSpan w:val="8"/>
            <w:tcBorders>
              <w:top w:val="single" w:sz="4" w:space="0" w:color="auto"/>
              <w:left w:val="nil"/>
              <w:bottom w:val="single" w:sz="4" w:space="0" w:color="auto"/>
              <w:right w:val="nil"/>
            </w:tcBorders>
            <w:shd w:val="clear" w:color="000000" w:fill="auto"/>
            <w:vAlign w:val="center"/>
            <w:hideMark/>
          </w:tcPr>
          <w:p w14:paraId="6131F32F" w14:textId="77777777" w:rsidR="00324868" w:rsidRPr="0006497C" w:rsidRDefault="00324868" w:rsidP="00A65125">
            <w:pPr>
              <w:jc w:val="center"/>
              <w:rPr>
                <w:i/>
                <w:iCs/>
                <w:color w:val="000000"/>
                <w:sz w:val="16"/>
                <w:szCs w:val="16"/>
              </w:rPr>
            </w:pPr>
            <w:r w:rsidRPr="0006497C">
              <w:rPr>
                <w:i/>
                <w:iCs/>
                <w:color w:val="000000"/>
                <w:sz w:val="16"/>
                <w:szCs w:val="16"/>
              </w:rPr>
              <w:t>transaction in million</w:t>
            </w:r>
          </w:p>
        </w:tc>
      </w:tr>
      <w:tr w:rsidR="00324868" w:rsidRPr="0006497C" w14:paraId="4E8B21FA" w14:textId="77777777" w:rsidTr="00781C80">
        <w:trPr>
          <w:trHeight w:val="222"/>
        </w:trPr>
        <w:tc>
          <w:tcPr>
            <w:tcW w:w="969" w:type="dxa"/>
            <w:vMerge/>
            <w:tcBorders>
              <w:top w:val="single" w:sz="4" w:space="0" w:color="auto"/>
              <w:left w:val="nil"/>
              <w:bottom w:val="single" w:sz="4" w:space="0" w:color="000000"/>
              <w:right w:val="nil"/>
            </w:tcBorders>
            <w:vAlign w:val="center"/>
            <w:hideMark/>
          </w:tcPr>
          <w:p w14:paraId="665B9996" w14:textId="77777777" w:rsidR="00324868" w:rsidRPr="0006497C" w:rsidRDefault="00324868" w:rsidP="00A65125">
            <w:pPr>
              <w:rPr>
                <w:color w:val="000000"/>
                <w:sz w:val="16"/>
                <w:szCs w:val="16"/>
              </w:rPr>
            </w:pPr>
          </w:p>
        </w:tc>
        <w:tc>
          <w:tcPr>
            <w:tcW w:w="1834" w:type="dxa"/>
            <w:gridSpan w:val="2"/>
            <w:tcBorders>
              <w:top w:val="single" w:sz="4" w:space="0" w:color="auto"/>
              <w:left w:val="nil"/>
              <w:bottom w:val="nil"/>
              <w:right w:val="nil"/>
            </w:tcBorders>
            <w:shd w:val="clear" w:color="000000" w:fill="auto"/>
            <w:hideMark/>
          </w:tcPr>
          <w:p w14:paraId="632003B4" w14:textId="77777777" w:rsidR="00324868" w:rsidRPr="0006497C" w:rsidRDefault="00324868" w:rsidP="00A65125">
            <w:pPr>
              <w:jc w:val="right"/>
              <w:rPr>
                <w:color w:val="000000"/>
                <w:sz w:val="16"/>
                <w:szCs w:val="16"/>
              </w:rPr>
            </w:pPr>
            <w:r w:rsidRPr="0006497C">
              <w:rPr>
                <w:color w:val="000000"/>
                <w:sz w:val="16"/>
                <w:szCs w:val="16"/>
              </w:rPr>
              <w:t xml:space="preserve">Credit Card  </w:t>
            </w:r>
          </w:p>
        </w:tc>
        <w:tc>
          <w:tcPr>
            <w:tcW w:w="1556" w:type="dxa"/>
            <w:gridSpan w:val="2"/>
            <w:tcBorders>
              <w:top w:val="single" w:sz="4" w:space="0" w:color="auto"/>
              <w:left w:val="nil"/>
              <w:bottom w:val="nil"/>
              <w:right w:val="nil"/>
            </w:tcBorders>
            <w:shd w:val="clear" w:color="000000" w:fill="auto"/>
            <w:hideMark/>
          </w:tcPr>
          <w:p w14:paraId="5E3B0607" w14:textId="77777777" w:rsidR="00324868" w:rsidRPr="0006497C" w:rsidRDefault="00324868" w:rsidP="00A65125">
            <w:pPr>
              <w:jc w:val="right"/>
              <w:rPr>
                <w:color w:val="000000"/>
                <w:sz w:val="16"/>
                <w:szCs w:val="16"/>
              </w:rPr>
            </w:pPr>
            <w:r w:rsidRPr="0006497C">
              <w:rPr>
                <w:color w:val="000000"/>
                <w:sz w:val="16"/>
                <w:szCs w:val="16"/>
              </w:rPr>
              <w:t xml:space="preserve">Charge Card  </w:t>
            </w:r>
          </w:p>
        </w:tc>
        <w:tc>
          <w:tcPr>
            <w:tcW w:w="1737" w:type="dxa"/>
            <w:gridSpan w:val="2"/>
            <w:tcBorders>
              <w:top w:val="single" w:sz="4" w:space="0" w:color="auto"/>
              <w:left w:val="nil"/>
              <w:bottom w:val="nil"/>
              <w:right w:val="nil"/>
            </w:tcBorders>
            <w:shd w:val="clear" w:color="000000" w:fill="auto"/>
            <w:hideMark/>
          </w:tcPr>
          <w:p w14:paraId="19631B21" w14:textId="77777777" w:rsidR="00324868" w:rsidRPr="0006497C" w:rsidRDefault="00324868" w:rsidP="00A65125">
            <w:pPr>
              <w:jc w:val="right"/>
              <w:rPr>
                <w:color w:val="000000"/>
                <w:sz w:val="16"/>
                <w:szCs w:val="16"/>
              </w:rPr>
            </w:pPr>
            <w:r w:rsidRPr="0006497C">
              <w:rPr>
                <w:color w:val="000000"/>
                <w:sz w:val="16"/>
                <w:szCs w:val="16"/>
              </w:rPr>
              <w:t xml:space="preserve">Debit Card  </w:t>
            </w:r>
          </w:p>
        </w:tc>
        <w:tc>
          <w:tcPr>
            <w:tcW w:w="1794" w:type="dxa"/>
            <w:gridSpan w:val="2"/>
            <w:tcBorders>
              <w:top w:val="single" w:sz="4" w:space="0" w:color="auto"/>
              <w:left w:val="nil"/>
              <w:bottom w:val="nil"/>
              <w:right w:val="nil"/>
            </w:tcBorders>
            <w:shd w:val="clear" w:color="000000" w:fill="auto"/>
            <w:hideMark/>
          </w:tcPr>
          <w:p w14:paraId="0A1479A3" w14:textId="77777777" w:rsidR="00324868" w:rsidRPr="0006497C" w:rsidRDefault="00324868" w:rsidP="00A65125">
            <w:pPr>
              <w:jc w:val="right"/>
              <w:rPr>
                <w:color w:val="000000"/>
                <w:sz w:val="16"/>
                <w:szCs w:val="16"/>
              </w:rPr>
            </w:pPr>
            <w:r w:rsidRPr="0006497C">
              <w:rPr>
                <w:color w:val="000000"/>
                <w:sz w:val="16"/>
                <w:szCs w:val="16"/>
              </w:rPr>
              <w:t xml:space="preserve">E-Money  </w:t>
            </w:r>
          </w:p>
        </w:tc>
      </w:tr>
      <w:tr w:rsidR="00A51E62" w:rsidRPr="0006497C" w14:paraId="21B5B0BE" w14:textId="77777777" w:rsidTr="00781C80">
        <w:trPr>
          <w:trHeight w:val="69"/>
        </w:trPr>
        <w:tc>
          <w:tcPr>
            <w:tcW w:w="969" w:type="dxa"/>
            <w:vMerge/>
            <w:tcBorders>
              <w:top w:val="single" w:sz="4" w:space="0" w:color="auto"/>
              <w:left w:val="nil"/>
              <w:bottom w:val="single" w:sz="4" w:space="0" w:color="000000"/>
              <w:right w:val="nil"/>
            </w:tcBorders>
            <w:vAlign w:val="center"/>
            <w:hideMark/>
          </w:tcPr>
          <w:p w14:paraId="4AA363C3" w14:textId="77777777" w:rsidR="00324868" w:rsidRPr="0006497C" w:rsidRDefault="00324868" w:rsidP="00A65125">
            <w:pPr>
              <w:rPr>
                <w:color w:val="000000"/>
                <w:sz w:val="16"/>
                <w:szCs w:val="16"/>
              </w:rPr>
            </w:pPr>
          </w:p>
        </w:tc>
        <w:tc>
          <w:tcPr>
            <w:tcW w:w="739" w:type="dxa"/>
            <w:tcBorders>
              <w:top w:val="nil"/>
              <w:left w:val="nil"/>
              <w:bottom w:val="single" w:sz="4" w:space="0" w:color="auto"/>
              <w:right w:val="nil"/>
            </w:tcBorders>
            <w:shd w:val="clear" w:color="000000" w:fill="auto"/>
            <w:hideMark/>
          </w:tcPr>
          <w:p w14:paraId="793717E9" w14:textId="77777777" w:rsidR="00324868" w:rsidRPr="0006497C" w:rsidRDefault="00324868" w:rsidP="00A65125">
            <w:pPr>
              <w:jc w:val="right"/>
              <w:rPr>
                <w:color w:val="000000"/>
                <w:sz w:val="16"/>
                <w:szCs w:val="16"/>
              </w:rPr>
            </w:pPr>
            <w:r w:rsidRPr="0006497C">
              <w:rPr>
                <w:color w:val="000000"/>
                <w:sz w:val="16"/>
                <w:szCs w:val="16"/>
              </w:rPr>
              <w:t>Vol.</w:t>
            </w:r>
          </w:p>
        </w:tc>
        <w:tc>
          <w:tcPr>
            <w:tcW w:w="1095" w:type="dxa"/>
            <w:tcBorders>
              <w:top w:val="nil"/>
              <w:left w:val="nil"/>
              <w:bottom w:val="single" w:sz="4" w:space="0" w:color="auto"/>
              <w:right w:val="nil"/>
            </w:tcBorders>
            <w:shd w:val="clear" w:color="000000" w:fill="auto"/>
            <w:hideMark/>
          </w:tcPr>
          <w:p w14:paraId="519D514F" w14:textId="77777777" w:rsidR="00324868" w:rsidRPr="0006497C" w:rsidRDefault="00324868" w:rsidP="00A65125">
            <w:pPr>
              <w:jc w:val="right"/>
              <w:rPr>
                <w:color w:val="000000"/>
                <w:sz w:val="16"/>
                <w:szCs w:val="16"/>
              </w:rPr>
            </w:pPr>
            <w:r w:rsidRPr="0006497C">
              <w:rPr>
                <w:color w:val="000000"/>
                <w:sz w:val="16"/>
                <w:szCs w:val="16"/>
              </w:rPr>
              <w:t xml:space="preserve">RM </w:t>
            </w:r>
          </w:p>
        </w:tc>
        <w:tc>
          <w:tcPr>
            <w:tcW w:w="566" w:type="dxa"/>
            <w:tcBorders>
              <w:top w:val="nil"/>
              <w:left w:val="nil"/>
              <w:bottom w:val="single" w:sz="4" w:space="0" w:color="auto"/>
              <w:right w:val="nil"/>
            </w:tcBorders>
            <w:shd w:val="clear" w:color="000000" w:fill="auto"/>
            <w:hideMark/>
          </w:tcPr>
          <w:p w14:paraId="1B4533B8" w14:textId="77777777" w:rsidR="00324868" w:rsidRPr="0006497C" w:rsidRDefault="00324868" w:rsidP="00A65125">
            <w:pPr>
              <w:jc w:val="right"/>
              <w:rPr>
                <w:color w:val="000000"/>
                <w:sz w:val="16"/>
                <w:szCs w:val="16"/>
              </w:rPr>
            </w:pPr>
            <w:r w:rsidRPr="0006497C">
              <w:rPr>
                <w:color w:val="000000"/>
                <w:sz w:val="16"/>
                <w:szCs w:val="16"/>
              </w:rPr>
              <w:t>Vol.</w:t>
            </w:r>
          </w:p>
        </w:tc>
        <w:tc>
          <w:tcPr>
            <w:tcW w:w="990" w:type="dxa"/>
            <w:tcBorders>
              <w:top w:val="nil"/>
              <w:left w:val="nil"/>
              <w:bottom w:val="single" w:sz="4" w:space="0" w:color="auto"/>
              <w:right w:val="nil"/>
            </w:tcBorders>
            <w:shd w:val="clear" w:color="000000" w:fill="auto"/>
            <w:hideMark/>
          </w:tcPr>
          <w:p w14:paraId="48DDE286" w14:textId="77777777" w:rsidR="00324868" w:rsidRPr="0006497C" w:rsidRDefault="00324868" w:rsidP="00A65125">
            <w:pPr>
              <w:jc w:val="right"/>
              <w:rPr>
                <w:color w:val="000000"/>
                <w:sz w:val="16"/>
                <w:szCs w:val="16"/>
              </w:rPr>
            </w:pPr>
            <w:r w:rsidRPr="0006497C">
              <w:rPr>
                <w:color w:val="000000"/>
                <w:sz w:val="16"/>
                <w:szCs w:val="16"/>
              </w:rPr>
              <w:t xml:space="preserve"> RM </w:t>
            </w:r>
          </w:p>
        </w:tc>
        <w:tc>
          <w:tcPr>
            <w:tcW w:w="711" w:type="dxa"/>
            <w:tcBorders>
              <w:top w:val="nil"/>
              <w:left w:val="nil"/>
              <w:bottom w:val="single" w:sz="4" w:space="0" w:color="auto"/>
              <w:right w:val="nil"/>
            </w:tcBorders>
            <w:shd w:val="clear" w:color="000000" w:fill="auto"/>
            <w:hideMark/>
          </w:tcPr>
          <w:p w14:paraId="03480FDE" w14:textId="77777777" w:rsidR="00324868" w:rsidRPr="0006497C" w:rsidRDefault="00324868" w:rsidP="00A65125">
            <w:pPr>
              <w:jc w:val="right"/>
              <w:rPr>
                <w:color w:val="000000"/>
                <w:sz w:val="16"/>
                <w:szCs w:val="16"/>
              </w:rPr>
            </w:pPr>
            <w:r w:rsidRPr="0006497C">
              <w:rPr>
                <w:color w:val="000000"/>
                <w:sz w:val="16"/>
                <w:szCs w:val="16"/>
              </w:rPr>
              <w:t>Vol.</w:t>
            </w:r>
          </w:p>
        </w:tc>
        <w:tc>
          <w:tcPr>
            <w:tcW w:w="1026" w:type="dxa"/>
            <w:tcBorders>
              <w:top w:val="nil"/>
              <w:left w:val="nil"/>
              <w:bottom w:val="single" w:sz="4" w:space="0" w:color="auto"/>
              <w:right w:val="nil"/>
            </w:tcBorders>
            <w:shd w:val="clear" w:color="000000" w:fill="auto"/>
            <w:hideMark/>
          </w:tcPr>
          <w:p w14:paraId="7E955B50" w14:textId="77777777" w:rsidR="00324868" w:rsidRPr="0006497C" w:rsidRDefault="00324868" w:rsidP="00A65125">
            <w:pPr>
              <w:jc w:val="right"/>
              <w:rPr>
                <w:color w:val="000000"/>
                <w:sz w:val="16"/>
                <w:szCs w:val="16"/>
              </w:rPr>
            </w:pPr>
            <w:r w:rsidRPr="0006497C">
              <w:rPr>
                <w:color w:val="000000"/>
                <w:sz w:val="16"/>
                <w:szCs w:val="16"/>
              </w:rPr>
              <w:t xml:space="preserve"> RM </w:t>
            </w:r>
          </w:p>
        </w:tc>
        <w:tc>
          <w:tcPr>
            <w:tcW w:w="711" w:type="dxa"/>
            <w:tcBorders>
              <w:top w:val="nil"/>
              <w:left w:val="nil"/>
              <w:bottom w:val="single" w:sz="4" w:space="0" w:color="auto"/>
              <w:right w:val="nil"/>
            </w:tcBorders>
            <w:shd w:val="clear" w:color="000000" w:fill="auto"/>
            <w:hideMark/>
          </w:tcPr>
          <w:p w14:paraId="42DCF796" w14:textId="77777777" w:rsidR="00324868" w:rsidRPr="0006497C" w:rsidRDefault="00324868" w:rsidP="00A65125">
            <w:pPr>
              <w:jc w:val="right"/>
              <w:rPr>
                <w:color w:val="000000"/>
                <w:sz w:val="16"/>
                <w:szCs w:val="16"/>
              </w:rPr>
            </w:pPr>
            <w:r w:rsidRPr="0006497C">
              <w:rPr>
                <w:color w:val="000000"/>
                <w:sz w:val="16"/>
                <w:szCs w:val="16"/>
              </w:rPr>
              <w:t>Vol.</w:t>
            </w:r>
          </w:p>
        </w:tc>
        <w:tc>
          <w:tcPr>
            <w:tcW w:w="1083" w:type="dxa"/>
            <w:tcBorders>
              <w:top w:val="nil"/>
              <w:left w:val="nil"/>
              <w:bottom w:val="single" w:sz="4" w:space="0" w:color="auto"/>
              <w:right w:val="nil"/>
            </w:tcBorders>
            <w:shd w:val="clear" w:color="000000" w:fill="auto"/>
            <w:hideMark/>
          </w:tcPr>
          <w:p w14:paraId="32131913" w14:textId="77777777" w:rsidR="00324868" w:rsidRPr="0006497C" w:rsidRDefault="00324868" w:rsidP="00A65125">
            <w:pPr>
              <w:jc w:val="right"/>
              <w:rPr>
                <w:color w:val="000000"/>
                <w:sz w:val="16"/>
                <w:szCs w:val="16"/>
              </w:rPr>
            </w:pPr>
            <w:r w:rsidRPr="0006497C">
              <w:rPr>
                <w:color w:val="000000"/>
                <w:sz w:val="16"/>
                <w:szCs w:val="16"/>
              </w:rPr>
              <w:t xml:space="preserve"> RM </w:t>
            </w:r>
          </w:p>
        </w:tc>
      </w:tr>
      <w:tr w:rsidR="00A51E62" w:rsidRPr="0006497C" w14:paraId="6148A808" w14:textId="77777777" w:rsidTr="00781C80">
        <w:trPr>
          <w:trHeight w:val="113"/>
        </w:trPr>
        <w:tc>
          <w:tcPr>
            <w:tcW w:w="969" w:type="dxa"/>
            <w:tcBorders>
              <w:top w:val="nil"/>
              <w:left w:val="nil"/>
              <w:bottom w:val="nil"/>
              <w:right w:val="nil"/>
            </w:tcBorders>
            <w:shd w:val="clear" w:color="000000" w:fill="auto"/>
            <w:hideMark/>
          </w:tcPr>
          <w:p w14:paraId="524A1D66" w14:textId="77777777" w:rsidR="00324868" w:rsidRPr="0006497C" w:rsidRDefault="00324868" w:rsidP="00A65125">
            <w:pPr>
              <w:jc w:val="center"/>
              <w:rPr>
                <w:color w:val="000000"/>
                <w:sz w:val="16"/>
                <w:szCs w:val="16"/>
              </w:rPr>
            </w:pPr>
            <w:r w:rsidRPr="0006497C">
              <w:rPr>
                <w:color w:val="000000"/>
                <w:sz w:val="16"/>
                <w:szCs w:val="16"/>
              </w:rPr>
              <w:t>2020</w:t>
            </w:r>
          </w:p>
        </w:tc>
        <w:tc>
          <w:tcPr>
            <w:tcW w:w="739" w:type="dxa"/>
            <w:tcBorders>
              <w:top w:val="nil"/>
              <w:left w:val="nil"/>
              <w:bottom w:val="nil"/>
              <w:right w:val="nil"/>
            </w:tcBorders>
            <w:shd w:val="clear" w:color="000000" w:fill="auto"/>
            <w:hideMark/>
          </w:tcPr>
          <w:p w14:paraId="0056AAA0" w14:textId="77777777" w:rsidR="00324868" w:rsidRPr="0006497C" w:rsidRDefault="00324868" w:rsidP="00A65125">
            <w:pPr>
              <w:jc w:val="right"/>
              <w:rPr>
                <w:color w:val="000000"/>
                <w:sz w:val="16"/>
                <w:szCs w:val="16"/>
              </w:rPr>
            </w:pPr>
            <w:r w:rsidRPr="0006497C">
              <w:rPr>
                <w:color w:val="000000"/>
                <w:sz w:val="16"/>
                <w:szCs w:val="16"/>
              </w:rPr>
              <w:t>489.3</w:t>
            </w:r>
          </w:p>
        </w:tc>
        <w:tc>
          <w:tcPr>
            <w:tcW w:w="1095" w:type="dxa"/>
            <w:tcBorders>
              <w:top w:val="nil"/>
              <w:left w:val="nil"/>
              <w:bottom w:val="nil"/>
              <w:right w:val="nil"/>
            </w:tcBorders>
            <w:shd w:val="clear" w:color="000000" w:fill="auto"/>
            <w:hideMark/>
          </w:tcPr>
          <w:p w14:paraId="17DC6411" w14:textId="77777777" w:rsidR="00324868" w:rsidRPr="0006497C" w:rsidRDefault="00324868" w:rsidP="00A65125">
            <w:pPr>
              <w:jc w:val="right"/>
              <w:rPr>
                <w:color w:val="000000"/>
                <w:sz w:val="16"/>
                <w:szCs w:val="16"/>
              </w:rPr>
            </w:pPr>
            <w:r w:rsidRPr="0006497C">
              <w:rPr>
                <w:color w:val="000000"/>
                <w:sz w:val="16"/>
                <w:szCs w:val="16"/>
              </w:rPr>
              <w:t xml:space="preserve">126,995.40 </w:t>
            </w:r>
          </w:p>
        </w:tc>
        <w:tc>
          <w:tcPr>
            <w:tcW w:w="566" w:type="dxa"/>
            <w:tcBorders>
              <w:top w:val="nil"/>
              <w:left w:val="nil"/>
              <w:bottom w:val="nil"/>
              <w:right w:val="nil"/>
            </w:tcBorders>
            <w:shd w:val="clear" w:color="000000" w:fill="auto"/>
            <w:hideMark/>
          </w:tcPr>
          <w:p w14:paraId="7CF78C88" w14:textId="77777777" w:rsidR="00324868" w:rsidRPr="0006497C" w:rsidRDefault="00324868" w:rsidP="00A65125">
            <w:pPr>
              <w:jc w:val="right"/>
              <w:rPr>
                <w:color w:val="000000"/>
                <w:sz w:val="16"/>
                <w:szCs w:val="16"/>
              </w:rPr>
            </w:pPr>
            <w:r w:rsidRPr="0006497C">
              <w:rPr>
                <w:color w:val="000000"/>
                <w:sz w:val="16"/>
                <w:szCs w:val="16"/>
              </w:rPr>
              <w:t>3.3</w:t>
            </w:r>
          </w:p>
        </w:tc>
        <w:tc>
          <w:tcPr>
            <w:tcW w:w="990" w:type="dxa"/>
            <w:tcBorders>
              <w:top w:val="nil"/>
              <w:left w:val="nil"/>
              <w:bottom w:val="nil"/>
              <w:right w:val="nil"/>
            </w:tcBorders>
            <w:shd w:val="clear" w:color="000000" w:fill="auto"/>
            <w:hideMark/>
          </w:tcPr>
          <w:p w14:paraId="3FD739FE" w14:textId="77777777" w:rsidR="00324868" w:rsidRPr="0006497C" w:rsidRDefault="00324868" w:rsidP="00A65125">
            <w:pPr>
              <w:jc w:val="right"/>
              <w:rPr>
                <w:color w:val="000000"/>
                <w:sz w:val="16"/>
                <w:szCs w:val="16"/>
              </w:rPr>
            </w:pPr>
            <w:r w:rsidRPr="0006497C">
              <w:rPr>
                <w:color w:val="000000"/>
                <w:sz w:val="16"/>
                <w:szCs w:val="16"/>
              </w:rPr>
              <w:t xml:space="preserve">10,252.60 </w:t>
            </w:r>
          </w:p>
        </w:tc>
        <w:tc>
          <w:tcPr>
            <w:tcW w:w="711" w:type="dxa"/>
            <w:tcBorders>
              <w:top w:val="nil"/>
              <w:left w:val="nil"/>
              <w:bottom w:val="nil"/>
              <w:right w:val="nil"/>
            </w:tcBorders>
            <w:shd w:val="clear" w:color="000000" w:fill="auto"/>
            <w:hideMark/>
          </w:tcPr>
          <w:p w14:paraId="3ED8A99A" w14:textId="77777777" w:rsidR="00324868" w:rsidRPr="0006497C" w:rsidRDefault="00324868" w:rsidP="00A65125">
            <w:pPr>
              <w:jc w:val="right"/>
              <w:rPr>
                <w:color w:val="000000"/>
                <w:sz w:val="16"/>
                <w:szCs w:val="16"/>
              </w:rPr>
            </w:pPr>
            <w:r w:rsidRPr="0006497C">
              <w:rPr>
                <w:color w:val="000000"/>
                <w:sz w:val="16"/>
                <w:szCs w:val="16"/>
              </w:rPr>
              <w:t>497.9</w:t>
            </w:r>
          </w:p>
        </w:tc>
        <w:tc>
          <w:tcPr>
            <w:tcW w:w="1026" w:type="dxa"/>
            <w:tcBorders>
              <w:top w:val="nil"/>
              <w:left w:val="nil"/>
              <w:bottom w:val="nil"/>
              <w:right w:val="nil"/>
            </w:tcBorders>
            <w:shd w:val="clear" w:color="000000" w:fill="auto"/>
            <w:hideMark/>
          </w:tcPr>
          <w:p w14:paraId="18EF5B1B" w14:textId="77777777" w:rsidR="00324868" w:rsidRPr="0006497C" w:rsidRDefault="00324868" w:rsidP="00A65125">
            <w:pPr>
              <w:jc w:val="right"/>
              <w:rPr>
                <w:color w:val="000000"/>
                <w:sz w:val="16"/>
                <w:szCs w:val="16"/>
              </w:rPr>
            </w:pPr>
            <w:r w:rsidRPr="0006497C">
              <w:rPr>
                <w:color w:val="000000"/>
                <w:sz w:val="16"/>
                <w:szCs w:val="16"/>
              </w:rPr>
              <w:t xml:space="preserve">  59,502.30 </w:t>
            </w:r>
          </w:p>
        </w:tc>
        <w:tc>
          <w:tcPr>
            <w:tcW w:w="711" w:type="dxa"/>
            <w:tcBorders>
              <w:top w:val="nil"/>
              <w:left w:val="nil"/>
              <w:bottom w:val="nil"/>
              <w:right w:val="nil"/>
            </w:tcBorders>
            <w:shd w:val="clear" w:color="000000" w:fill="auto"/>
            <w:hideMark/>
          </w:tcPr>
          <w:p w14:paraId="3186CC56" w14:textId="77777777" w:rsidR="00324868" w:rsidRPr="0006497C" w:rsidRDefault="00324868" w:rsidP="00A65125">
            <w:pPr>
              <w:jc w:val="right"/>
              <w:rPr>
                <w:color w:val="000000"/>
                <w:sz w:val="16"/>
                <w:szCs w:val="16"/>
              </w:rPr>
            </w:pPr>
            <w:r w:rsidRPr="0006497C">
              <w:rPr>
                <w:color w:val="000000"/>
                <w:sz w:val="16"/>
                <w:szCs w:val="16"/>
              </w:rPr>
              <w:t>1827.7</w:t>
            </w:r>
          </w:p>
        </w:tc>
        <w:tc>
          <w:tcPr>
            <w:tcW w:w="1083" w:type="dxa"/>
            <w:tcBorders>
              <w:top w:val="nil"/>
              <w:left w:val="nil"/>
              <w:bottom w:val="nil"/>
              <w:right w:val="nil"/>
            </w:tcBorders>
            <w:shd w:val="clear" w:color="000000" w:fill="auto"/>
            <w:hideMark/>
          </w:tcPr>
          <w:p w14:paraId="1B59DB8E" w14:textId="77777777" w:rsidR="00324868" w:rsidRPr="0006497C" w:rsidRDefault="00324868" w:rsidP="00A65125">
            <w:pPr>
              <w:jc w:val="right"/>
              <w:rPr>
                <w:color w:val="000000"/>
                <w:sz w:val="16"/>
                <w:szCs w:val="16"/>
              </w:rPr>
            </w:pPr>
            <w:r w:rsidRPr="0006497C">
              <w:rPr>
                <w:color w:val="000000"/>
                <w:sz w:val="16"/>
                <w:szCs w:val="16"/>
              </w:rPr>
              <w:t xml:space="preserve">27,695.30 </w:t>
            </w:r>
          </w:p>
        </w:tc>
      </w:tr>
      <w:tr w:rsidR="00A51E62" w:rsidRPr="0006497C" w14:paraId="482C2DDB" w14:textId="77777777" w:rsidTr="00781C80">
        <w:trPr>
          <w:trHeight w:val="183"/>
        </w:trPr>
        <w:tc>
          <w:tcPr>
            <w:tcW w:w="969" w:type="dxa"/>
            <w:tcBorders>
              <w:top w:val="nil"/>
              <w:left w:val="nil"/>
              <w:bottom w:val="nil"/>
              <w:right w:val="nil"/>
            </w:tcBorders>
            <w:shd w:val="clear" w:color="000000" w:fill="auto"/>
            <w:hideMark/>
          </w:tcPr>
          <w:p w14:paraId="3B6325C1" w14:textId="77777777" w:rsidR="00324868" w:rsidRPr="0006497C" w:rsidRDefault="00324868" w:rsidP="00A65125">
            <w:pPr>
              <w:jc w:val="center"/>
              <w:rPr>
                <w:color w:val="000000"/>
                <w:sz w:val="16"/>
                <w:szCs w:val="16"/>
              </w:rPr>
            </w:pPr>
            <w:r w:rsidRPr="0006497C">
              <w:rPr>
                <w:color w:val="000000"/>
                <w:sz w:val="16"/>
                <w:szCs w:val="16"/>
              </w:rPr>
              <w:t>2021</w:t>
            </w:r>
          </w:p>
        </w:tc>
        <w:tc>
          <w:tcPr>
            <w:tcW w:w="739" w:type="dxa"/>
            <w:tcBorders>
              <w:top w:val="nil"/>
              <w:left w:val="nil"/>
              <w:bottom w:val="nil"/>
              <w:right w:val="nil"/>
            </w:tcBorders>
            <w:shd w:val="clear" w:color="000000" w:fill="auto"/>
            <w:hideMark/>
          </w:tcPr>
          <w:p w14:paraId="65AC37B3" w14:textId="77777777" w:rsidR="00324868" w:rsidRPr="0006497C" w:rsidRDefault="00324868" w:rsidP="00A65125">
            <w:pPr>
              <w:jc w:val="right"/>
              <w:rPr>
                <w:color w:val="000000"/>
                <w:sz w:val="16"/>
                <w:szCs w:val="16"/>
              </w:rPr>
            </w:pPr>
            <w:r w:rsidRPr="0006497C">
              <w:rPr>
                <w:color w:val="000000"/>
                <w:sz w:val="16"/>
                <w:szCs w:val="16"/>
              </w:rPr>
              <w:t>556.0</w:t>
            </w:r>
          </w:p>
        </w:tc>
        <w:tc>
          <w:tcPr>
            <w:tcW w:w="1095" w:type="dxa"/>
            <w:tcBorders>
              <w:top w:val="nil"/>
              <w:left w:val="nil"/>
              <w:bottom w:val="nil"/>
              <w:right w:val="nil"/>
            </w:tcBorders>
            <w:shd w:val="clear" w:color="000000" w:fill="auto"/>
            <w:hideMark/>
          </w:tcPr>
          <w:p w14:paraId="1AE1BF06" w14:textId="77777777" w:rsidR="00324868" w:rsidRPr="0006497C" w:rsidRDefault="00324868" w:rsidP="00A65125">
            <w:pPr>
              <w:jc w:val="right"/>
              <w:rPr>
                <w:color w:val="000000"/>
                <w:sz w:val="16"/>
                <w:szCs w:val="16"/>
              </w:rPr>
            </w:pPr>
            <w:r w:rsidRPr="0006497C">
              <w:rPr>
                <w:color w:val="000000"/>
                <w:sz w:val="16"/>
                <w:szCs w:val="16"/>
              </w:rPr>
              <w:t xml:space="preserve">  38,179.60 </w:t>
            </w:r>
          </w:p>
        </w:tc>
        <w:tc>
          <w:tcPr>
            <w:tcW w:w="566" w:type="dxa"/>
            <w:tcBorders>
              <w:top w:val="nil"/>
              <w:left w:val="nil"/>
              <w:bottom w:val="nil"/>
              <w:right w:val="nil"/>
            </w:tcBorders>
            <w:shd w:val="clear" w:color="000000" w:fill="auto"/>
            <w:hideMark/>
          </w:tcPr>
          <w:p w14:paraId="6169F95B" w14:textId="77777777" w:rsidR="00324868" w:rsidRPr="0006497C" w:rsidRDefault="00324868" w:rsidP="00A65125">
            <w:pPr>
              <w:jc w:val="right"/>
              <w:rPr>
                <w:color w:val="000000"/>
                <w:sz w:val="16"/>
                <w:szCs w:val="16"/>
              </w:rPr>
            </w:pPr>
            <w:r w:rsidRPr="0006497C">
              <w:rPr>
                <w:color w:val="000000"/>
                <w:sz w:val="16"/>
                <w:szCs w:val="16"/>
              </w:rPr>
              <w:t>3.4</w:t>
            </w:r>
          </w:p>
        </w:tc>
        <w:tc>
          <w:tcPr>
            <w:tcW w:w="990" w:type="dxa"/>
            <w:tcBorders>
              <w:top w:val="nil"/>
              <w:left w:val="nil"/>
              <w:bottom w:val="nil"/>
              <w:right w:val="nil"/>
            </w:tcBorders>
            <w:shd w:val="clear" w:color="000000" w:fill="auto"/>
            <w:hideMark/>
          </w:tcPr>
          <w:p w14:paraId="39901065" w14:textId="77777777" w:rsidR="00324868" w:rsidRPr="0006497C" w:rsidRDefault="00324868" w:rsidP="00A65125">
            <w:pPr>
              <w:jc w:val="right"/>
              <w:rPr>
                <w:color w:val="000000"/>
                <w:sz w:val="16"/>
                <w:szCs w:val="16"/>
              </w:rPr>
            </w:pPr>
            <w:r w:rsidRPr="0006497C">
              <w:rPr>
                <w:color w:val="000000"/>
                <w:sz w:val="16"/>
                <w:szCs w:val="16"/>
              </w:rPr>
              <w:t xml:space="preserve">10,934.90 </w:t>
            </w:r>
          </w:p>
        </w:tc>
        <w:tc>
          <w:tcPr>
            <w:tcW w:w="711" w:type="dxa"/>
            <w:tcBorders>
              <w:top w:val="nil"/>
              <w:left w:val="nil"/>
              <w:bottom w:val="nil"/>
              <w:right w:val="nil"/>
            </w:tcBorders>
            <w:shd w:val="clear" w:color="000000" w:fill="auto"/>
            <w:hideMark/>
          </w:tcPr>
          <w:p w14:paraId="66D1C197" w14:textId="77777777" w:rsidR="00324868" w:rsidRPr="0006497C" w:rsidRDefault="00324868" w:rsidP="00A65125">
            <w:pPr>
              <w:jc w:val="right"/>
              <w:rPr>
                <w:color w:val="000000"/>
                <w:sz w:val="16"/>
                <w:szCs w:val="16"/>
              </w:rPr>
            </w:pPr>
            <w:r w:rsidRPr="0006497C">
              <w:rPr>
                <w:color w:val="000000"/>
                <w:sz w:val="16"/>
                <w:szCs w:val="16"/>
              </w:rPr>
              <w:t>736.8</w:t>
            </w:r>
          </w:p>
        </w:tc>
        <w:tc>
          <w:tcPr>
            <w:tcW w:w="1026" w:type="dxa"/>
            <w:tcBorders>
              <w:top w:val="nil"/>
              <w:left w:val="nil"/>
              <w:bottom w:val="nil"/>
              <w:right w:val="nil"/>
            </w:tcBorders>
            <w:shd w:val="clear" w:color="000000" w:fill="auto"/>
            <w:hideMark/>
          </w:tcPr>
          <w:p w14:paraId="17FCA1F6" w14:textId="77777777" w:rsidR="00324868" w:rsidRPr="0006497C" w:rsidRDefault="00324868" w:rsidP="00A65125">
            <w:pPr>
              <w:jc w:val="right"/>
              <w:rPr>
                <w:color w:val="000000"/>
                <w:sz w:val="16"/>
                <w:szCs w:val="16"/>
              </w:rPr>
            </w:pPr>
            <w:r w:rsidRPr="0006497C">
              <w:rPr>
                <w:color w:val="000000"/>
                <w:sz w:val="16"/>
                <w:szCs w:val="16"/>
              </w:rPr>
              <w:t xml:space="preserve">  78,212.00 </w:t>
            </w:r>
          </w:p>
        </w:tc>
        <w:tc>
          <w:tcPr>
            <w:tcW w:w="711" w:type="dxa"/>
            <w:tcBorders>
              <w:top w:val="nil"/>
              <w:left w:val="nil"/>
              <w:bottom w:val="nil"/>
              <w:right w:val="nil"/>
            </w:tcBorders>
            <w:shd w:val="clear" w:color="000000" w:fill="auto"/>
            <w:hideMark/>
          </w:tcPr>
          <w:p w14:paraId="51DE279E" w14:textId="77777777" w:rsidR="00324868" w:rsidRPr="0006497C" w:rsidRDefault="00324868" w:rsidP="00A65125">
            <w:pPr>
              <w:jc w:val="right"/>
              <w:rPr>
                <w:color w:val="000000"/>
                <w:sz w:val="16"/>
                <w:szCs w:val="16"/>
              </w:rPr>
            </w:pPr>
            <w:r w:rsidRPr="0006497C">
              <w:rPr>
                <w:color w:val="000000"/>
                <w:sz w:val="16"/>
                <w:szCs w:val="16"/>
              </w:rPr>
              <w:t>2108.0</w:t>
            </w:r>
          </w:p>
        </w:tc>
        <w:tc>
          <w:tcPr>
            <w:tcW w:w="1083" w:type="dxa"/>
            <w:tcBorders>
              <w:top w:val="nil"/>
              <w:left w:val="nil"/>
              <w:bottom w:val="nil"/>
              <w:right w:val="nil"/>
            </w:tcBorders>
            <w:shd w:val="clear" w:color="000000" w:fill="auto"/>
            <w:hideMark/>
          </w:tcPr>
          <w:p w14:paraId="52A2BCA7" w14:textId="77777777" w:rsidR="00324868" w:rsidRPr="0006497C" w:rsidRDefault="00324868" w:rsidP="00A65125">
            <w:pPr>
              <w:jc w:val="right"/>
              <w:rPr>
                <w:color w:val="000000"/>
                <w:sz w:val="16"/>
                <w:szCs w:val="16"/>
              </w:rPr>
            </w:pPr>
            <w:r w:rsidRPr="0006497C">
              <w:rPr>
                <w:color w:val="000000"/>
                <w:sz w:val="16"/>
                <w:szCs w:val="16"/>
              </w:rPr>
              <w:t xml:space="preserve">49,800.20 </w:t>
            </w:r>
          </w:p>
        </w:tc>
      </w:tr>
      <w:tr w:rsidR="00A51E62" w:rsidRPr="0006497C" w14:paraId="735FEE5C" w14:textId="77777777" w:rsidTr="00781C80">
        <w:trPr>
          <w:trHeight w:val="115"/>
        </w:trPr>
        <w:tc>
          <w:tcPr>
            <w:tcW w:w="969" w:type="dxa"/>
            <w:tcBorders>
              <w:top w:val="nil"/>
              <w:left w:val="nil"/>
              <w:bottom w:val="nil"/>
              <w:right w:val="nil"/>
            </w:tcBorders>
            <w:shd w:val="clear" w:color="000000" w:fill="auto"/>
            <w:hideMark/>
          </w:tcPr>
          <w:p w14:paraId="61E80692" w14:textId="77777777" w:rsidR="00324868" w:rsidRPr="0006497C" w:rsidRDefault="00324868" w:rsidP="00A65125">
            <w:pPr>
              <w:jc w:val="center"/>
              <w:rPr>
                <w:color w:val="000000"/>
                <w:sz w:val="16"/>
                <w:szCs w:val="16"/>
              </w:rPr>
            </w:pPr>
            <w:r w:rsidRPr="0006497C">
              <w:rPr>
                <w:color w:val="000000"/>
                <w:sz w:val="16"/>
                <w:szCs w:val="16"/>
              </w:rPr>
              <w:t>2022</w:t>
            </w:r>
          </w:p>
        </w:tc>
        <w:tc>
          <w:tcPr>
            <w:tcW w:w="739" w:type="dxa"/>
            <w:tcBorders>
              <w:top w:val="nil"/>
              <w:left w:val="nil"/>
              <w:bottom w:val="nil"/>
              <w:right w:val="nil"/>
            </w:tcBorders>
            <w:shd w:val="clear" w:color="000000" w:fill="auto"/>
            <w:hideMark/>
          </w:tcPr>
          <w:p w14:paraId="1D50EAFB" w14:textId="77777777" w:rsidR="00324868" w:rsidRPr="0006497C" w:rsidRDefault="00324868" w:rsidP="00A65125">
            <w:pPr>
              <w:jc w:val="right"/>
              <w:rPr>
                <w:color w:val="000000"/>
                <w:sz w:val="16"/>
                <w:szCs w:val="16"/>
              </w:rPr>
            </w:pPr>
            <w:r w:rsidRPr="0006497C">
              <w:rPr>
                <w:color w:val="000000"/>
                <w:sz w:val="16"/>
                <w:szCs w:val="16"/>
              </w:rPr>
              <w:t>715.4</w:t>
            </w:r>
          </w:p>
        </w:tc>
        <w:tc>
          <w:tcPr>
            <w:tcW w:w="1095" w:type="dxa"/>
            <w:tcBorders>
              <w:top w:val="nil"/>
              <w:left w:val="nil"/>
              <w:bottom w:val="nil"/>
              <w:right w:val="nil"/>
            </w:tcBorders>
            <w:shd w:val="clear" w:color="000000" w:fill="auto"/>
            <w:hideMark/>
          </w:tcPr>
          <w:p w14:paraId="44534DCA" w14:textId="77777777" w:rsidR="00324868" w:rsidRPr="0006497C" w:rsidRDefault="00324868" w:rsidP="00A65125">
            <w:pPr>
              <w:jc w:val="right"/>
              <w:rPr>
                <w:color w:val="000000"/>
                <w:sz w:val="16"/>
                <w:szCs w:val="16"/>
              </w:rPr>
            </w:pPr>
            <w:r w:rsidRPr="0006497C">
              <w:rPr>
                <w:color w:val="000000"/>
                <w:sz w:val="16"/>
                <w:szCs w:val="16"/>
              </w:rPr>
              <w:t xml:space="preserve">  77,637.90 </w:t>
            </w:r>
          </w:p>
        </w:tc>
        <w:tc>
          <w:tcPr>
            <w:tcW w:w="566" w:type="dxa"/>
            <w:tcBorders>
              <w:top w:val="nil"/>
              <w:left w:val="nil"/>
              <w:bottom w:val="nil"/>
              <w:right w:val="nil"/>
            </w:tcBorders>
            <w:shd w:val="clear" w:color="000000" w:fill="auto"/>
            <w:hideMark/>
          </w:tcPr>
          <w:p w14:paraId="4ADC1779" w14:textId="77777777" w:rsidR="00324868" w:rsidRPr="0006497C" w:rsidRDefault="00324868" w:rsidP="00A65125">
            <w:pPr>
              <w:jc w:val="right"/>
              <w:rPr>
                <w:color w:val="000000"/>
                <w:sz w:val="16"/>
                <w:szCs w:val="16"/>
              </w:rPr>
            </w:pPr>
            <w:r w:rsidRPr="0006497C">
              <w:rPr>
                <w:color w:val="000000"/>
                <w:sz w:val="16"/>
                <w:szCs w:val="16"/>
              </w:rPr>
              <w:t>5.4</w:t>
            </w:r>
          </w:p>
        </w:tc>
        <w:tc>
          <w:tcPr>
            <w:tcW w:w="990" w:type="dxa"/>
            <w:tcBorders>
              <w:top w:val="nil"/>
              <w:left w:val="nil"/>
              <w:bottom w:val="nil"/>
              <w:right w:val="nil"/>
            </w:tcBorders>
            <w:shd w:val="clear" w:color="000000" w:fill="auto"/>
            <w:hideMark/>
          </w:tcPr>
          <w:p w14:paraId="787D55AB" w14:textId="77777777" w:rsidR="00324868" w:rsidRPr="0006497C" w:rsidRDefault="00324868" w:rsidP="00A65125">
            <w:pPr>
              <w:jc w:val="right"/>
              <w:rPr>
                <w:color w:val="000000"/>
                <w:sz w:val="16"/>
                <w:szCs w:val="16"/>
              </w:rPr>
            </w:pPr>
            <w:r w:rsidRPr="0006497C">
              <w:rPr>
                <w:color w:val="000000"/>
                <w:sz w:val="16"/>
                <w:szCs w:val="16"/>
              </w:rPr>
              <w:t xml:space="preserve">14,025.40 </w:t>
            </w:r>
          </w:p>
        </w:tc>
        <w:tc>
          <w:tcPr>
            <w:tcW w:w="711" w:type="dxa"/>
            <w:tcBorders>
              <w:top w:val="nil"/>
              <w:left w:val="nil"/>
              <w:bottom w:val="nil"/>
              <w:right w:val="nil"/>
            </w:tcBorders>
            <w:shd w:val="clear" w:color="000000" w:fill="auto"/>
            <w:hideMark/>
          </w:tcPr>
          <w:p w14:paraId="7B4C83B8" w14:textId="77777777" w:rsidR="00324868" w:rsidRPr="0006497C" w:rsidRDefault="00324868" w:rsidP="00A65125">
            <w:pPr>
              <w:jc w:val="right"/>
              <w:rPr>
                <w:color w:val="000000"/>
                <w:sz w:val="16"/>
                <w:szCs w:val="16"/>
              </w:rPr>
            </w:pPr>
            <w:r w:rsidRPr="0006497C">
              <w:rPr>
                <w:color w:val="000000"/>
                <w:sz w:val="16"/>
                <w:szCs w:val="16"/>
              </w:rPr>
              <w:t>1200.4</w:t>
            </w:r>
          </w:p>
        </w:tc>
        <w:tc>
          <w:tcPr>
            <w:tcW w:w="1026" w:type="dxa"/>
            <w:tcBorders>
              <w:top w:val="nil"/>
              <w:left w:val="nil"/>
              <w:bottom w:val="nil"/>
              <w:right w:val="nil"/>
            </w:tcBorders>
            <w:shd w:val="clear" w:color="000000" w:fill="auto"/>
            <w:hideMark/>
          </w:tcPr>
          <w:p w14:paraId="41661AC3" w14:textId="77777777" w:rsidR="00324868" w:rsidRPr="0006497C" w:rsidRDefault="00324868" w:rsidP="00A65125">
            <w:pPr>
              <w:jc w:val="right"/>
              <w:rPr>
                <w:color w:val="000000"/>
                <w:sz w:val="16"/>
                <w:szCs w:val="16"/>
              </w:rPr>
            </w:pPr>
            <w:r w:rsidRPr="0006497C">
              <w:rPr>
                <w:color w:val="000000"/>
                <w:sz w:val="16"/>
                <w:szCs w:val="16"/>
              </w:rPr>
              <w:t xml:space="preserve">118,820.20 </w:t>
            </w:r>
          </w:p>
        </w:tc>
        <w:tc>
          <w:tcPr>
            <w:tcW w:w="711" w:type="dxa"/>
            <w:tcBorders>
              <w:top w:val="nil"/>
              <w:left w:val="nil"/>
              <w:bottom w:val="nil"/>
              <w:right w:val="nil"/>
            </w:tcBorders>
            <w:shd w:val="clear" w:color="000000" w:fill="auto"/>
            <w:hideMark/>
          </w:tcPr>
          <w:p w14:paraId="051D7A7E" w14:textId="77777777" w:rsidR="00324868" w:rsidRPr="0006497C" w:rsidRDefault="00324868" w:rsidP="00A65125">
            <w:pPr>
              <w:jc w:val="right"/>
              <w:rPr>
                <w:color w:val="000000"/>
                <w:sz w:val="16"/>
                <w:szCs w:val="16"/>
              </w:rPr>
            </w:pPr>
            <w:r w:rsidRPr="0006497C">
              <w:rPr>
                <w:color w:val="000000"/>
                <w:sz w:val="16"/>
                <w:szCs w:val="16"/>
              </w:rPr>
              <w:t>3186.7</w:t>
            </w:r>
          </w:p>
        </w:tc>
        <w:tc>
          <w:tcPr>
            <w:tcW w:w="1083" w:type="dxa"/>
            <w:tcBorders>
              <w:top w:val="nil"/>
              <w:left w:val="nil"/>
              <w:bottom w:val="nil"/>
              <w:right w:val="nil"/>
            </w:tcBorders>
            <w:shd w:val="clear" w:color="000000" w:fill="auto"/>
            <w:hideMark/>
          </w:tcPr>
          <w:p w14:paraId="56F0EA78" w14:textId="77777777" w:rsidR="00324868" w:rsidRPr="0006497C" w:rsidRDefault="00324868" w:rsidP="00A65125">
            <w:pPr>
              <w:jc w:val="right"/>
              <w:rPr>
                <w:color w:val="000000"/>
                <w:sz w:val="16"/>
                <w:szCs w:val="16"/>
              </w:rPr>
            </w:pPr>
            <w:r w:rsidRPr="0006497C">
              <w:rPr>
                <w:color w:val="000000"/>
                <w:sz w:val="16"/>
                <w:szCs w:val="16"/>
              </w:rPr>
              <w:t xml:space="preserve">71,183.20 </w:t>
            </w:r>
          </w:p>
        </w:tc>
      </w:tr>
      <w:tr w:rsidR="00A51E62" w:rsidRPr="0006497C" w14:paraId="46B9683E" w14:textId="77777777" w:rsidTr="00781C80">
        <w:trPr>
          <w:trHeight w:val="203"/>
        </w:trPr>
        <w:tc>
          <w:tcPr>
            <w:tcW w:w="969" w:type="dxa"/>
            <w:tcBorders>
              <w:top w:val="nil"/>
              <w:left w:val="nil"/>
              <w:bottom w:val="nil"/>
              <w:right w:val="nil"/>
            </w:tcBorders>
            <w:shd w:val="clear" w:color="000000" w:fill="auto"/>
            <w:hideMark/>
          </w:tcPr>
          <w:p w14:paraId="4248276C" w14:textId="77777777" w:rsidR="00324868" w:rsidRPr="0006497C" w:rsidRDefault="00324868" w:rsidP="00A65125">
            <w:pPr>
              <w:jc w:val="center"/>
              <w:rPr>
                <w:color w:val="000000"/>
                <w:sz w:val="16"/>
                <w:szCs w:val="16"/>
              </w:rPr>
            </w:pPr>
            <w:r w:rsidRPr="0006497C">
              <w:rPr>
                <w:color w:val="000000"/>
                <w:sz w:val="16"/>
                <w:szCs w:val="16"/>
              </w:rPr>
              <w:t>2023</w:t>
            </w:r>
          </w:p>
        </w:tc>
        <w:tc>
          <w:tcPr>
            <w:tcW w:w="739" w:type="dxa"/>
            <w:tcBorders>
              <w:top w:val="nil"/>
              <w:left w:val="nil"/>
              <w:bottom w:val="nil"/>
              <w:right w:val="nil"/>
            </w:tcBorders>
            <w:shd w:val="clear" w:color="000000" w:fill="auto"/>
            <w:hideMark/>
          </w:tcPr>
          <w:p w14:paraId="651D3891" w14:textId="77777777" w:rsidR="00324868" w:rsidRPr="0006497C" w:rsidRDefault="00324868" w:rsidP="00A65125">
            <w:pPr>
              <w:jc w:val="right"/>
              <w:rPr>
                <w:color w:val="000000"/>
                <w:sz w:val="16"/>
                <w:szCs w:val="16"/>
              </w:rPr>
            </w:pPr>
            <w:r w:rsidRPr="0006497C">
              <w:rPr>
                <w:color w:val="000000"/>
                <w:sz w:val="16"/>
                <w:szCs w:val="16"/>
              </w:rPr>
              <w:t>825.2</w:t>
            </w:r>
          </w:p>
        </w:tc>
        <w:tc>
          <w:tcPr>
            <w:tcW w:w="1095" w:type="dxa"/>
            <w:tcBorders>
              <w:top w:val="nil"/>
              <w:left w:val="nil"/>
              <w:bottom w:val="nil"/>
              <w:right w:val="nil"/>
            </w:tcBorders>
            <w:shd w:val="clear" w:color="000000" w:fill="auto"/>
            <w:hideMark/>
          </w:tcPr>
          <w:p w14:paraId="2D1006D1" w14:textId="77777777" w:rsidR="00324868" w:rsidRPr="0006497C" w:rsidRDefault="00324868" w:rsidP="00A65125">
            <w:pPr>
              <w:jc w:val="right"/>
              <w:rPr>
                <w:color w:val="000000"/>
                <w:sz w:val="16"/>
                <w:szCs w:val="16"/>
              </w:rPr>
            </w:pPr>
            <w:r w:rsidRPr="0006497C">
              <w:rPr>
                <w:color w:val="000000"/>
                <w:sz w:val="16"/>
                <w:szCs w:val="16"/>
              </w:rPr>
              <w:t xml:space="preserve">199,889.00 </w:t>
            </w:r>
          </w:p>
        </w:tc>
        <w:tc>
          <w:tcPr>
            <w:tcW w:w="566" w:type="dxa"/>
            <w:tcBorders>
              <w:top w:val="nil"/>
              <w:left w:val="nil"/>
              <w:bottom w:val="nil"/>
              <w:right w:val="nil"/>
            </w:tcBorders>
            <w:shd w:val="clear" w:color="000000" w:fill="auto"/>
            <w:hideMark/>
          </w:tcPr>
          <w:p w14:paraId="5AE2483B" w14:textId="77777777" w:rsidR="00324868" w:rsidRPr="0006497C" w:rsidRDefault="00324868" w:rsidP="00A65125">
            <w:pPr>
              <w:jc w:val="right"/>
              <w:rPr>
                <w:color w:val="000000"/>
                <w:sz w:val="16"/>
                <w:szCs w:val="16"/>
              </w:rPr>
            </w:pPr>
            <w:r w:rsidRPr="0006497C">
              <w:rPr>
                <w:color w:val="000000"/>
                <w:sz w:val="16"/>
                <w:szCs w:val="16"/>
              </w:rPr>
              <w:t>6.0</w:t>
            </w:r>
          </w:p>
        </w:tc>
        <w:tc>
          <w:tcPr>
            <w:tcW w:w="990" w:type="dxa"/>
            <w:tcBorders>
              <w:top w:val="nil"/>
              <w:left w:val="nil"/>
              <w:bottom w:val="nil"/>
              <w:right w:val="nil"/>
            </w:tcBorders>
            <w:shd w:val="clear" w:color="000000" w:fill="auto"/>
            <w:hideMark/>
          </w:tcPr>
          <w:p w14:paraId="35F9E423" w14:textId="77777777" w:rsidR="00324868" w:rsidRPr="0006497C" w:rsidRDefault="00324868" w:rsidP="00A65125">
            <w:pPr>
              <w:jc w:val="right"/>
              <w:rPr>
                <w:color w:val="000000"/>
                <w:sz w:val="16"/>
                <w:szCs w:val="16"/>
              </w:rPr>
            </w:pPr>
            <w:r w:rsidRPr="0006497C">
              <w:rPr>
                <w:color w:val="000000"/>
                <w:sz w:val="16"/>
                <w:szCs w:val="16"/>
              </w:rPr>
              <w:t xml:space="preserve">15,966.40 </w:t>
            </w:r>
          </w:p>
        </w:tc>
        <w:tc>
          <w:tcPr>
            <w:tcW w:w="711" w:type="dxa"/>
            <w:tcBorders>
              <w:top w:val="nil"/>
              <w:left w:val="nil"/>
              <w:bottom w:val="nil"/>
              <w:right w:val="nil"/>
            </w:tcBorders>
            <w:shd w:val="clear" w:color="000000" w:fill="auto"/>
            <w:hideMark/>
          </w:tcPr>
          <w:p w14:paraId="4EB1F159" w14:textId="77777777" w:rsidR="00324868" w:rsidRPr="0006497C" w:rsidRDefault="00324868" w:rsidP="00A65125">
            <w:pPr>
              <w:jc w:val="right"/>
              <w:rPr>
                <w:color w:val="000000"/>
                <w:sz w:val="16"/>
                <w:szCs w:val="16"/>
              </w:rPr>
            </w:pPr>
            <w:r w:rsidRPr="0006497C">
              <w:rPr>
                <w:color w:val="000000"/>
                <w:sz w:val="16"/>
                <w:szCs w:val="16"/>
              </w:rPr>
              <w:t>1598.5</w:t>
            </w:r>
          </w:p>
        </w:tc>
        <w:tc>
          <w:tcPr>
            <w:tcW w:w="1026" w:type="dxa"/>
            <w:tcBorders>
              <w:top w:val="nil"/>
              <w:left w:val="nil"/>
              <w:bottom w:val="nil"/>
              <w:right w:val="nil"/>
            </w:tcBorders>
            <w:shd w:val="clear" w:color="000000" w:fill="auto"/>
            <w:hideMark/>
          </w:tcPr>
          <w:p w14:paraId="1B84CCFC" w14:textId="77777777" w:rsidR="00324868" w:rsidRPr="0006497C" w:rsidRDefault="00324868" w:rsidP="00A65125">
            <w:pPr>
              <w:jc w:val="right"/>
              <w:rPr>
                <w:color w:val="000000"/>
                <w:sz w:val="16"/>
                <w:szCs w:val="16"/>
              </w:rPr>
            </w:pPr>
            <w:r w:rsidRPr="0006497C">
              <w:rPr>
                <w:color w:val="000000"/>
                <w:sz w:val="16"/>
                <w:szCs w:val="16"/>
              </w:rPr>
              <w:t xml:space="preserve">138,178.90 </w:t>
            </w:r>
          </w:p>
        </w:tc>
        <w:tc>
          <w:tcPr>
            <w:tcW w:w="711" w:type="dxa"/>
            <w:tcBorders>
              <w:top w:val="nil"/>
              <w:left w:val="nil"/>
              <w:bottom w:val="nil"/>
              <w:right w:val="nil"/>
            </w:tcBorders>
            <w:shd w:val="clear" w:color="000000" w:fill="auto"/>
            <w:hideMark/>
          </w:tcPr>
          <w:p w14:paraId="50B8975E" w14:textId="77777777" w:rsidR="00324868" w:rsidRPr="0006497C" w:rsidRDefault="00324868" w:rsidP="00A65125">
            <w:pPr>
              <w:jc w:val="right"/>
              <w:rPr>
                <w:color w:val="000000"/>
                <w:sz w:val="16"/>
                <w:szCs w:val="16"/>
              </w:rPr>
            </w:pPr>
            <w:r w:rsidRPr="0006497C">
              <w:rPr>
                <w:color w:val="000000"/>
                <w:sz w:val="16"/>
                <w:szCs w:val="16"/>
              </w:rPr>
              <w:t>4023.3</w:t>
            </w:r>
          </w:p>
        </w:tc>
        <w:tc>
          <w:tcPr>
            <w:tcW w:w="1083" w:type="dxa"/>
            <w:tcBorders>
              <w:top w:val="nil"/>
              <w:left w:val="nil"/>
              <w:bottom w:val="nil"/>
              <w:right w:val="nil"/>
            </w:tcBorders>
            <w:shd w:val="clear" w:color="000000" w:fill="auto"/>
            <w:hideMark/>
          </w:tcPr>
          <w:p w14:paraId="5493D75A" w14:textId="77777777" w:rsidR="00324868" w:rsidRPr="0006497C" w:rsidRDefault="00324868" w:rsidP="00A65125">
            <w:pPr>
              <w:jc w:val="right"/>
              <w:rPr>
                <w:color w:val="000000"/>
                <w:sz w:val="16"/>
                <w:szCs w:val="16"/>
              </w:rPr>
            </w:pPr>
            <w:r w:rsidRPr="0006497C">
              <w:rPr>
                <w:color w:val="000000"/>
                <w:sz w:val="16"/>
                <w:szCs w:val="16"/>
              </w:rPr>
              <w:t xml:space="preserve">106,658.10 </w:t>
            </w:r>
          </w:p>
        </w:tc>
      </w:tr>
      <w:tr w:rsidR="00A51E62" w:rsidRPr="0006497C" w14:paraId="09570D2D" w14:textId="77777777" w:rsidTr="00781C80">
        <w:trPr>
          <w:trHeight w:val="135"/>
        </w:trPr>
        <w:tc>
          <w:tcPr>
            <w:tcW w:w="969" w:type="dxa"/>
            <w:tcBorders>
              <w:top w:val="nil"/>
              <w:left w:val="nil"/>
              <w:bottom w:val="single" w:sz="4" w:space="0" w:color="auto"/>
              <w:right w:val="nil"/>
            </w:tcBorders>
            <w:shd w:val="clear" w:color="000000" w:fill="auto"/>
            <w:hideMark/>
          </w:tcPr>
          <w:p w14:paraId="51E0F67A" w14:textId="77777777" w:rsidR="00324868" w:rsidRPr="0006497C" w:rsidRDefault="00324868" w:rsidP="00A65125">
            <w:pPr>
              <w:jc w:val="center"/>
              <w:rPr>
                <w:color w:val="000000"/>
                <w:sz w:val="16"/>
                <w:szCs w:val="16"/>
              </w:rPr>
            </w:pPr>
            <w:r w:rsidRPr="0006497C">
              <w:rPr>
                <w:color w:val="000000"/>
                <w:sz w:val="16"/>
                <w:szCs w:val="16"/>
              </w:rPr>
              <w:t>2024</w:t>
            </w:r>
          </w:p>
        </w:tc>
        <w:tc>
          <w:tcPr>
            <w:tcW w:w="739" w:type="dxa"/>
            <w:tcBorders>
              <w:top w:val="nil"/>
              <w:left w:val="nil"/>
              <w:bottom w:val="single" w:sz="4" w:space="0" w:color="auto"/>
              <w:right w:val="nil"/>
            </w:tcBorders>
            <w:shd w:val="clear" w:color="000000" w:fill="auto"/>
            <w:hideMark/>
          </w:tcPr>
          <w:p w14:paraId="3E5C8C00" w14:textId="77777777" w:rsidR="00324868" w:rsidRPr="0006497C" w:rsidRDefault="00324868" w:rsidP="00A65125">
            <w:pPr>
              <w:jc w:val="right"/>
              <w:rPr>
                <w:color w:val="000000"/>
                <w:sz w:val="16"/>
                <w:szCs w:val="16"/>
              </w:rPr>
            </w:pPr>
            <w:r w:rsidRPr="0006497C">
              <w:rPr>
                <w:color w:val="000000"/>
                <w:sz w:val="16"/>
                <w:szCs w:val="16"/>
              </w:rPr>
              <w:t>928.1</w:t>
            </w:r>
          </w:p>
        </w:tc>
        <w:tc>
          <w:tcPr>
            <w:tcW w:w="1095" w:type="dxa"/>
            <w:tcBorders>
              <w:top w:val="nil"/>
              <w:left w:val="nil"/>
              <w:bottom w:val="single" w:sz="4" w:space="0" w:color="auto"/>
              <w:right w:val="nil"/>
            </w:tcBorders>
            <w:shd w:val="clear" w:color="000000" w:fill="auto"/>
            <w:hideMark/>
          </w:tcPr>
          <w:p w14:paraId="7F73A221" w14:textId="77777777" w:rsidR="00324868" w:rsidRPr="0006497C" w:rsidRDefault="00324868" w:rsidP="00A65125">
            <w:pPr>
              <w:jc w:val="right"/>
              <w:rPr>
                <w:color w:val="000000"/>
                <w:sz w:val="16"/>
                <w:szCs w:val="16"/>
              </w:rPr>
            </w:pPr>
            <w:r w:rsidRPr="0006497C">
              <w:rPr>
                <w:color w:val="000000"/>
                <w:sz w:val="16"/>
                <w:szCs w:val="16"/>
              </w:rPr>
              <w:t>216,239.40</w:t>
            </w:r>
          </w:p>
        </w:tc>
        <w:tc>
          <w:tcPr>
            <w:tcW w:w="566" w:type="dxa"/>
            <w:tcBorders>
              <w:top w:val="nil"/>
              <w:left w:val="nil"/>
              <w:bottom w:val="single" w:sz="4" w:space="0" w:color="auto"/>
              <w:right w:val="nil"/>
            </w:tcBorders>
            <w:shd w:val="clear" w:color="000000" w:fill="auto"/>
            <w:hideMark/>
          </w:tcPr>
          <w:p w14:paraId="121FCCCB" w14:textId="77777777" w:rsidR="00324868" w:rsidRPr="0006497C" w:rsidRDefault="00324868" w:rsidP="00A65125">
            <w:pPr>
              <w:jc w:val="right"/>
              <w:rPr>
                <w:color w:val="000000"/>
                <w:sz w:val="16"/>
                <w:szCs w:val="16"/>
              </w:rPr>
            </w:pPr>
            <w:r w:rsidRPr="0006497C">
              <w:rPr>
                <w:color w:val="000000"/>
                <w:sz w:val="16"/>
                <w:szCs w:val="16"/>
              </w:rPr>
              <w:t>7.2</w:t>
            </w:r>
          </w:p>
        </w:tc>
        <w:tc>
          <w:tcPr>
            <w:tcW w:w="990" w:type="dxa"/>
            <w:tcBorders>
              <w:top w:val="nil"/>
              <w:left w:val="nil"/>
              <w:bottom w:val="single" w:sz="4" w:space="0" w:color="auto"/>
              <w:right w:val="nil"/>
            </w:tcBorders>
            <w:shd w:val="clear" w:color="000000" w:fill="auto"/>
            <w:hideMark/>
          </w:tcPr>
          <w:p w14:paraId="69004483" w14:textId="77777777" w:rsidR="00324868" w:rsidRPr="0006497C" w:rsidRDefault="00324868" w:rsidP="00A65125">
            <w:pPr>
              <w:jc w:val="right"/>
              <w:rPr>
                <w:color w:val="000000"/>
                <w:sz w:val="16"/>
                <w:szCs w:val="16"/>
              </w:rPr>
            </w:pPr>
            <w:r w:rsidRPr="0006497C">
              <w:rPr>
                <w:color w:val="000000"/>
                <w:sz w:val="16"/>
                <w:szCs w:val="16"/>
              </w:rPr>
              <w:t>16,487.79</w:t>
            </w:r>
          </w:p>
        </w:tc>
        <w:tc>
          <w:tcPr>
            <w:tcW w:w="711" w:type="dxa"/>
            <w:tcBorders>
              <w:top w:val="nil"/>
              <w:left w:val="nil"/>
              <w:bottom w:val="single" w:sz="4" w:space="0" w:color="auto"/>
              <w:right w:val="nil"/>
            </w:tcBorders>
            <w:shd w:val="clear" w:color="000000" w:fill="auto"/>
            <w:hideMark/>
          </w:tcPr>
          <w:p w14:paraId="4A513B58" w14:textId="77777777" w:rsidR="00324868" w:rsidRPr="0006497C" w:rsidRDefault="00324868" w:rsidP="00A65125">
            <w:pPr>
              <w:jc w:val="right"/>
              <w:rPr>
                <w:color w:val="000000"/>
                <w:sz w:val="16"/>
                <w:szCs w:val="16"/>
              </w:rPr>
            </w:pPr>
            <w:r w:rsidRPr="0006497C">
              <w:rPr>
                <w:color w:val="000000"/>
                <w:sz w:val="16"/>
                <w:szCs w:val="16"/>
              </w:rPr>
              <w:t>1989.3</w:t>
            </w:r>
          </w:p>
        </w:tc>
        <w:tc>
          <w:tcPr>
            <w:tcW w:w="1026" w:type="dxa"/>
            <w:tcBorders>
              <w:top w:val="nil"/>
              <w:left w:val="nil"/>
              <w:bottom w:val="single" w:sz="4" w:space="0" w:color="auto"/>
              <w:right w:val="nil"/>
            </w:tcBorders>
            <w:shd w:val="clear" w:color="000000" w:fill="auto"/>
            <w:hideMark/>
          </w:tcPr>
          <w:p w14:paraId="295E6C12" w14:textId="77777777" w:rsidR="00324868" w:rsidRPr="0006497C" w:rsidRDefault="00324868" w:rsidP="00A65125">
            <w:pPr>
              <w:jc w:val="right"/>
              <w:rPr>
                <w:color w:val="000000"/>
                <w:sz w:val="16"/>
                <w:szCs w:val="16"/>
              </w:rPr>
            </w:pPr>
            <w:r w:rsidRPr="0006497C">
              <w:rPr>
                <w:color w:val="000000"/>
                <w:sz w:val="16"/>
                <w:szCs w:val="16"/>
              </w:rPr>
              <w:t>155,224.18</w:t>
            </w:r>
          </w:p>
        </w:tc>
        <w:tc>
          <w:tcPr>
            <w:tcW w:w="711" w:type="dxa"/>
            <w:tcBorders>
              <w:top w:val="nil"/>
              <w:left w:val="nil"/>
              <w:bottom w:val="single" w:sz="4" w:space="0" w:color="auto"/>
              <w:right w:val="nil"/>
            </w:tcBorders>
            <w:shd w:val="clear" w:color="000000" w:fill="auto"/>
            <w:hideMark/>
          </w:tcPr>
          <w:p w14:paraId="2664C4DC" w14:textId="77777777" w:rsidR="00324868" w:rsidRPr="0006497C" w:rsidRDefault="00324868" w:rsidP="00A65125">
            <w:pPr>
              <w:jc w:val="right"/>
              <w:rPr>
                <w:color w:val="000000"/>
                <w:sz w:val="16"/>
                <w:szCs w:val="16"/>
              </w:rPr>
            </w:pPr>
            <w:r w:rsidRPr="0006497C">
              <w:rPr>
                <w:color w:val="000000"/>
                <w:sz w:val="16"/>
                <w:szCs w:val="16"/>
              </w:rPr>
              <w:t>5024.4</w:t>
            </w:r>
          </w:p>
        </w:tc>
        <w:tc>
          <w:tcPr>
            <w:tcW w:w="1083" w:type="dxa"/>
            <w:tcBorders>
              <w:top w:val="nil"/>
              <w:left w:val="nil"/>
              <w:bottom w:val="single" w:sz="4" w:space="0" w:color="auto"/>
              <w:right w:val="nil"/>
            </w:tcBorders>
            <w:shd w:val="clear" w:color="000000" w:fill="auto"/>
            <w:hideMark/>
          </w:tcPr>
          <w:p w14:paraId="02E0E8FE" w14:textId="77777777" w:rsidR="00324868" w:rsidRPr="0006497C" w:rsidRDefault="00324868" w:rsidP="00A65125">
            <w:pPr>
              <w:jc w:val="right"/>
              <w:rPr>
                <w:color w:val="000000"/>
                <w:sz w:val="16"/>
                <w:szCs w:val="16"/>
              </w:rPr>
            </w:pPr>
            <w:r w:rsidRPr="0006497C">
              <w:rPr>
                <w:color w:val="000000"/>
                <w:sz w:val="16"/>
                <w:szCs w:val="16"/>
              </w:rPr>
              <w:t>164,085.53</w:t>
            </w:r>
          </w:p>
        </w:tc>
      </w:tr>
    </w:tbl>
    <w:p w14:paraId="4FB3F2C3" w14:textId="681D3213" w:rsidR="00F8143F" w:rsidRPr="0006497C" w:rsidRDefault="00A51E62" w:rsidP="00A65125">
      <w:pPr>
        <w:pStyle w:val="TextBody"/>
        <w:spacing w:line="240" w:lineRule="auto"/>
        <w:ind w:firstLine="567"/>
        <w:rPr>
          <w:rFonts w:cs="Times New Roman"/>
          <w:i/>
          <w:iCs/>
          <w:sz w:val="16"/>
          <w:szCs w:val="16"/>
        </w:rPr>
      </w:pPr>
      <w:r w:rsidRPr="0006497C">
        <w:rPr>
          <w:rFonts w:cs="Times New Roman"/>
          <w:i/>
          <w:iCs/>
          <w:sz w:val="16"/>
          <w:szCs w:val="16"/>
        </w:rPr>
        <w:t xml:space="preserve">*Source: </w:t>
      </w:r>
      <w:r w:rsidRPr="0006497C">
        <w:rPr>
          <w:rFonts w:cs="Times New Roman"/>
          <w:i/>
          <w:iCs/>
          <w:sz w:val="16"/>
          <w:szCs w:val="16"/>
        </w:rPr>
        <w:fldChar w:fldCharType="begin" w:fldLock="1"/>
      </w:r>
      <w:r w:rsidR="004F5106" w:rsidRPr="0006497C">
        <w:rPr>
          <w:rFonts w:cs="Times New Roman"/>
          <w:i/>
          <w:iCs/>
          <w:sz w:val="16"/>
          <w:szCs w:val="16"/>
        </w:rPr>
        <w:instrText>ADDIN CSL_CITATION {"citationItems":[{"id":"ITEM-1","itemData":{"author":[{"dropping-particle":"","family":"Central Bank of Malaysia","given":"","non-dropping-particle":"","parse-names":false,"suffix":""}],"id":"ITEM-1","issued":{"date-parts":[["2024"]]},"title":"BNM Payment Statistic (T2 Report)","type":"report"},"uris":["http://www.mendeley.com/documents/?uuid=394c820b-ef6a-40e0-90a4-bc25631f43c3"]}],"mendeley":{"formattedCitation":"(Central Bank of Malaysia 2024)","manualFormatting":"Central Bank of Malaysia (2024)","plainTextFormattedCitation":"(Central Bank of Malaysia 2024)","previouslyFormattedCitation":"(Central Bank of Malaysia 2024)"},"properties":{"noteIndex":0},"schema":"https://github.com/citation-style-language/schema/raw/master/csl-citation.json"}</w:instrText>
      </w:r>
      <w:r w:rsidRPr="0006497C">
        <w:rPr>
          <w:rFonts w:cs="Times New Roman"/>
          <w:i/>
          <w:iCs/>
          <w:sz w:val="16"/>
          <w:szCs w:val="16"/>
        </w:rPr>
        <w:fldChar w:fldCharType="separate"/>
      </w:r>
      <w:r w:rsidRPr="0006497C">
        <w:rPr>
          <w:rFonts w:cs="Times New Roman"/>
          <w:iCs/>
          <w:noProof/>
          <w:sz w:val="16"/>
          <w:szCs w:val="16"/>
        </w:rPr>
        <w:t>Central Bank of Malaysia (2024)</w:t>
      </w:r>
      <w:r w:rsidRPr="0006497C">
        <w:rPr>
          <w:rFonts w:cs="Times New Roman"/>
          <w:i/>
          <w:iCs/>
          <w:sz w:val="16"/>
          <w:szCs w:val="16"/>
        </w:rPr>
        <w:fldChar w:fldCharType="end"/>
      </w:r>
    </w:p>
    <w:p w14:paraId="2926DBF6" w14:textId="77777777" w:rsidR="00A51E62" w:rsidRPr="00A65125" w:rsidRDefault="00A51E62" w:rsidP="00A65125">
      <w:pPr>
        <w:pStyle w:val="TextBody"/>
        <w:spacing w:line="240" w:lineRule="auto"/>
        <w:ind w:firstLine="0"/>
        <w:rPr>
          <w:rFonts w:cs="Times New Roman"/>
          <w:sz w:val="20"/>
          <w:szCs w:val="20"/>
        </w:rPr>
      </w:pPr>
    </w:p>
    <w:p w14:paraId="19F29CAC" w14:textId="77777777" w:rsidR="003B740A" w:rsidRPr="00A65125" w:rsidRDefault="00E40392" w:rsidP="00A65125">
      <w:pPr>
        <w:pStyle w:val="BodyText1"/>
        <w:rPr>
          <w:rFonts w:cs="Times New Roman"/>
          <w:sz w:val="20"/>
          <w:szCs w:val="20"/>
        </w:rPr>
      </w:pPr>
      <w:r w:rsidRPr="00A65125">
        <w:rPr>
          <w:rFonts w:cs="Times New Roman"/>
          <w:sz w:val="20"/>
          <w:szCs w:val="20"/>
        </w:rPr>
        <w:t xml:space="preserve">To facilitate this transformation, the Malaysian government has strategically developed policies such as the National 4IR Policy and the Malaysian Digital Economy Blueprint to establish and enable a cashless ecosystem through digital empowerment </w:t>
      </w:r>
      <w:r w:rsidRPr="00A65125">
        <w:rPr>
          <w:rFonts w:cs="Times New Roman"/>
          <w:sz w:val="20"/>
          <w:szCs w:val="20"/>
        </w:rPr>
        <w:fldChar w:fldCharType="begin" w:fldLock="1"/>
      </w:r>
      <w:r w:rsidRPr="00A65125">
        <w:rPr>
          <w:rFonts w:cs="Times New Roman"/>
          <w:sz w:val="20"/>
          <w:szCs w:val="20"/>
        </w:rPr>
        <w:instrText>ADDIN CSL_CITATION {"citationItems":[{"id":"ITEM-1","itemData":{"ISBN":"9788578110796","ISSN":"1098-6596","PMID":"25246403","abstract":"In 2020 alone, growth within the digital economy has understandably accelerated as the COVID-19 pandemic gave birth to new digital businesses, forced traditional brick-and-mortar enterprises to pivot online, and saw millions of Malaysians go virtual for their eCommerce, entertainment, and even education needs. Delivery of quality education now is dependent on a student's home broadband connectivity, or access to laptops or computers. To ensure that no Malaysian is left behind to catch the wave of digitalisation, the time has come for us to lay the foundations for the country’s transformation towards an advanced digital economy. This foundation means building the infrastructure, facilitating innovation and creating an ecosystem for all of us to contribute to bring forth higher standards of living, the fruits of which will be enjoyed by all Malaysians. MyDIGITAL outlines the plans to accelerate Malaysia's progress as a technologically-advanced economy, through the Malaysia Digital Economy Blueprint. This will chart the path to strategically position ourselves as a competitive force in this new era. MyDIGITAL is a critical enabler in realising our Twelfth Malaysia Plan, 2021-2025 (RMKe-12), as we work towards Wawasan Kemakmuran Bersama 2030. In facing this digital economy transformation, it is imperative for us to work together and take the necessary steps to adapt and collaborate for the next normal. The journey is not going to be easy but under unprecedented circumstances, we need to be brave enough to make this quantum leap forward to elevate the quality of life for all Malaysians.","author":[{"dropping-particle":"","family":"Economic Planning Unit","given":"","non-dropping-particle":"","parse-names":false,"suffix":""}],"container-title":"Economic Planning Unit, Prime Minister's Department","id":"ITEM-1","issued":{"date-parts":[["2021"]]},"number-of-pages":"104","title":"Malaysia Digital Economy Blueprint","type":"report"},"uris":["http://www.mendeley.com/documents/?uuid=5180a9f0-1046-4d18-82f4-9b88683c272e"]}],"mendeley":{"formattedCitation":"(Economic Planning Unit 2021)","plainTextFormattedCitation":"(Economic Planning Unit 2021)","previouslyFormattedCitation":"(Economic Planning Unit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(Economic Planning Unit 2021)</w:t>
      </w:r>
      <w:r w:rsidRPr="00A65125">
        <w:rPr>
          <w:rFonts w:cs="Times New Roman"/>
          <w:sz w:val="20"/>
          <w:szCs w:val="20"/>
        </w:rPr>
        <w:fldChar w:fldCharType="end"/>
      </w:r>
      <w:r w:rsidRPr="00A65125">
        <w:rPr>
          <w:rFonts w:cs="Times New Roman"/>
          <w:sz w:val="20"/>
          <w:szCs w:val="20"/>
        </w:rPr>
        <w:t xml:space="preserve">. These initiatives, coordinated by government clusters under the Digital Economy Council and the country’s 4IR framework, are leading in driving digitalisation </w:t>
      </w:r>
      <w:r w:rsidRPr="00A65125">
        <w:rPr>
          <w:rFonts w:cs="Times New Roman"/>
          <w:sz w:val="20"/>
          <w:szCs w:val="20"/>
        </w:rPr>
        <w:lastRenderedPageBreak/>
        <w:t xml:space="preserve">within the public sector </w:t>
      </w:r>
      <w:r w:rsidRPr="00A65125">
        <w:rPr>
          <w:rFonts w:cs="Times New Roman"/>
          <w:sz w:val="20"/>
          <w:szCs w:val="20"/>
        </w:rPr>
        <w:fldChar w:fldCharType="begin" w:fldLock="1"/>
      </w:r>
      <w:r w:rsidRPr="00A65125">
        <w:rPr>
          <w:rFonts w:cs="Times New Roman"/>
          <w:sz w:val="20"/>
          <w:szCs w:val="20"/>
        </w:rPr>
        <w:instrText>ADDIN CSL_CITATION {"citationItems":[{"id":"ITEM-1","itemData":{"URL":"https://www.businesstoday.com.my/2021/07/04/national-4ir-policy-quick-facts/","accessed":{"date-parts":[["2024","10","10"]]},"author":[{"dropping-particle":"","family":"Business Today","given":"","non-dropping-particle":"","parse-names":false,"suffix":""}],"container-title":"Business Today","id":"ITEM-1","issued":{"date-parts":[["2021"]]},"title":"National 4IR Policy: Quick Facts","type":"webpage"},"uris":["http://www.mendeley.com/documents/?uuid=4b38b8f5-d3f5-411d-ace3-c7afc77cc359"]}],"mendeley":{"formattedCitation":"(Business Today 2021)","plainTextFormattedCitation":"(Business Today 2021)","previouslyFormattedCitation":"(Business Today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(Business Today 2021)</w:t>
      </w:r>
      <w:r w:rsidRPr="00A65125">
        <w:rPr>
          <w:rFonts w:cs="Times New Roman"/>
          <w:sz w:val="20"/>
          <w:szCs w:val="20"/>
        </w:rPr>
        <w:fldChar w:fldCharType="end"/>
      </w:r>
      <w:r w:rsidRPr="00A65125">
        <w:rPr>
          <w:rFonts w:cs="Times New Roman"/>
          <w:sz w:val="20"/>
          <w:szCs w:val="20"/>
        </w:rPr>
        <w:t xml:space="preserve">. In 2024, Bank Negara Malaysia reported that e-payment transactions had surpassed RM551 billion (see </w:t>
      </w:r>
      <w:r w:rsidRPr="00A65125">
        <w:rPr>
          <w:rFonts w:cs="Times New Roman"/>
          <w:sz w:val="20"/>
          <w:szCs w:val="20"/>
        </w:rPr>
        <w:fldChar w:fldCharType="begin"/>
      </w:r>
      <w:r w:rsidRPr="00A65125">
        <w:rPr>
          <w:rFonts w:cs="Times New Roman"/>
          <w:sz w:val="20"/>
          <w:szCs w:val="20"/>
        </w:rPr>
        <w:instrText xml:space="preserve"> REF _Ref183439124 \h  \* MERGEFORMAT </w:instrText>
      </w:r>
      <w:r w:rsidRPr="00A65125">
        <w:rPr>
          <w:rFonts w:cs="Times New Roman"/>
          <w:sz w:val="20"/>
          <w:szCs w:val="20"/>
        </w:rPr>
      </w:r>
      <w:r w:rsidRPr="00A65125">
        <w:rPr>
          <w:rFonts w:cs="Times New Roman"/>
          <w:sz w:val="20"/>
          <w:szCs w:val="20"/>
        </w:rPr>
        <w:fldChar w:fldCharType="separate"/>
      </w:r>
      <w:r w:rsidR="003B740A" w:rsidRPr="00A65125">
        <w:rPr>
          <w:rFonts w:cs="Times New Roman"/>
          <w:sz w:val="20"/>
          <w:szCs w:val="20"/>
        </w:rPr>
        <w:t xml:space="preserve">TABLE </w:t>
      </w:r>
      <w:r w:rsidR="003B740A" w:rsidRPr="00A65125">
        <w:rPr>
          <w:rFonts w:cs="Times New Roman"/>
          <w:noProof/>
          <w:sz w:val="20"/>
          <w:szCs w:val="20"/>
        </w:rPr>
        <w:t>1</w:t>
      </w:r>
      <w:r w:rsidRPr="00A65125">
        <w:rPr>
          <w:rFonts w:cs="Times New Roman"/>
          <w:sz w:val="20"/>
          <w:szCs w:val="20"/>
        </w:rPr>
        <w:fldChar w:fldCharType="end"/>
      </w:r>
      <w:r w:rsidRPr="00A65125">
        <w:rPr>
          <w:rFonts w:cs="Times New Roman"/>
          <w:sz w:val="20"/>
          <w:szCs w:val="20"/>
        </w:rPr>
        <w:t xml:space="preserve">). This trend reflects the increasing adoption and widespread acceptance of e-payment channels among Malaysian citizens. This trend is also evident within the Federal Government of Malaysia (FGOM). </w:t>
      </w:r>
      <w:r w:rsidRPr="00A65125">
        <w:rPr>
          <w:rFonts w:cs="Times New Roman"/>
          <w:sz w:val="20"/>
          <w:szCs w:val="20"/>
        </w:rPr>
        <w:fldChar w:fldCharType="begin"/>
      </w:r>
      <w:r w:rsidRPr="00A65125">
        <w:rPr>
          <w:rFonts w:cs="Times New Roman"/>
          <w:sz w:val="20"/>
          <w:szCs w:val="20"/>
        </w:rPr>
        <w:instrText xml:space="preserve"> REF _Ref181732066 \h  \* MERGEFORMAT </w:instrText>
      </w:r>
      <w:r w:rsidRPr="00A65125">
        <w:rPr>
          <w:rFonts w:cs="Times New Roman"/>
          <w:sz w:val="20"/>
          <w:szCs w:val="20"/>
        </w:rPr>
      </w:r>
      <w:r w:rsidRPr="00A65125">
        <w:rPr>
          <w:rFonts w:cs="Times New Roman"/>
          <w:sz w:val="20"/>
          <w:szCs w:val="20"/>
        </w:rPr>
        <w:fldChar w:fldCharType="separate"/>
      </w:r>
    </w:p>
    <w:p w14:paraId="2FD2EAFF" w14:textId="12B27309" w:rsidR="00E40392" w:rsidRPr="00A65125" w:rsidRDefault="003B740A" w:rsidP="00A65125">
      <w:pPr>
        <w:pStyle w:val="BodyText1"/>
        <w:rPr>
          <w:rFonts w:cs="Times New Roman"/>
          <w:sz w:val="20"/>
          <w:szCs w:val="20"/>
        </w:rPr>
      </w:pPr>
      <w:r w:rsidRPr="00A65125">
        <w:rPr>
          <w:rFonts w:cs="Times New Roman"/>
          <w:sz w:val="20"/>
          <w:szCs w:val="20"/>
        </w:rPr>
        <w:t xml:space="preserve">FIGURE </w:t>
      </w:r>
      <w:r w:rsidRPr="00A65125">
        <w:rPr>
          <w:rFonts w:cs="Times New Roman"/>
          <w:noProof/>
          <w:sz w:val="20"/>
          <w:szCs w:val="20"/>
        </w:rPr>
        <w:t>1</w:t>
      </w:r>
      <w:r w:rsidR="00E40392" w:rsidRPr="00A65125">
        <w:rPr>
          <w:rFonts w:cs="Times New Roman"/>
          <w:sz w:val="20"/>
          <w:szCs w:val="20"/>
        </w:rPr>
        <w:fldChar w:fldCharType="end"/>
      </w:r>
      <w:r w:rsidR="00E40392" w:rsidRPr="00A65125">
        <w:rPr>
          <w:rFonts w:cs="Times New Roman"/>
          <w:sz w:val="20"/>
          <w:szCs w:val="20"/>
        </w:rPr>
        <w:t xml:space="preserve"> presents revenue collection via e-payment from 2021 to 2023, as the Accountant General's Department of Malaysia (AGD) reported.  In 2021, the FGOM achieved an impressive RM76.83 billion in collections through e-payment platforms. Although collections declined slightly to RM66.45 billion in 2022, they remained stable in 2023 at RM66.60 billion, demonstrating the resilience and growing trend of e-payment collections within the Malaysian public sector.</w:t>
      </w:r>
    </w:p>
    <w:p w14:paraId="56B301FC" w14:textId="789D114F" w:rsidR="008F328F" w:rsidRPr="00A65125" w:rsidRDefault="0088472F" w:rsidP="00A65125">
      <w:pPr>
        <w:pStyle w:val="BodyText1"/>
        <w:rPr>
          <w:rFonts w:cs="Times New Roman"/>
          <w:sz w:val="20"/>
          <w:szCs w:val="20"/>
        </w:rPr>
      </w:pPr>
      <w:r w:rsidRPr="00A65125">
        <w:rPr>
          <w:rFonts w:cs="Times New Roman"/>
          <w:noProof/>
          <w:sz w:val="20"/>
          <w:szCs w:val="20"/>
        </w:rPr>
        <mc:AlternateContent>
          <mc:Choice Requires="wps">
            <w:drawing>
              <wp:anchor distT="0" distB="0" distL="114300" distR="114300" simplePos="0" relativeHeight="251652095" behindDoc="0" locked="0" layoutInCell="1" allowOverlap="1" wp14:anchorId="3CADEF39" wp14:editId="035DC570">
                <wp:simplePos x="0" y="0"/>
                <wp:positionH relativeFrom="column">
                  <wp:posOffset>18107</wp:posOffset>
                </wp:positionH>
                <wp:positionV relativeFrom="paragraph">
                  <wp:posOffset>116217</wp:posOffset>
                </wp:positionV>
                <wp:extent cx="5712114" cy="2761307"/>
                <wp:effectExtent l="0" t="0" r="22225" b="20320"/>
                <wp:wrapNone/>
                <wp:docPr id="486472539" name="Rectangle 13"/>
                <wp:cNvGraphicFramePr/>
                <a:graphic xmlns:a="http://schemas.openxmlformats.org/drawingml/2006/main">
                  <a:graphicData uri="http://schemas.microsoft.com/office/word/2010/wordprocessingShape">
                    <wps:wsp>
                      <wps:cNvSpPr/>
                      <wps:spPr>
                        <a:xfrm>
                          <a:off x="0" y="0"/>
                          <a:ext cx="5712114" cy="2761307"/>
                        </a:xfrm>
                        <a:prstGeom prst="rect">
                          <a:avLst/>
                        </a:prstGeom>
                        <a:solidFill>
                          <a:schemeClr val="lt1">
                            <a:alpha val="0"/>
                          </a:schemeClr>
                        </a:solidFill>
                        <a:ln w="6350">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0EB86CA" id="Rectangle 13" o:spid="_x0000_s1026" style="position:absolute;margin-left:1.45pt;margin-top:9.15pt;width:449.75pt;height:217.4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" fillcolor="white [3201]" strokecolor="#bfbfbf [2412]" strokeweight=".5pt">
                <v:fill opacity="0"/>
              </v:rect>
            </w:pict>
          </mc:Fallback>
        </mc:AlternateContent>
      </w:r>
    </w:p>
    <w:p w14:paraId="1BD9E608" w14:textId="665FB38B" w:rsidR="007F19D4" w:rsidRPr="00A65125" w:rsidRDefault="00013EF3" w:rsidP="00A65125">
      <w:pPr>
        <w:pStyle w:val="TextBody"/>
        <w:spacing w:line="240" w:lineRule="auto"/>
        <w:ind w:firstLine="0"/>
        <w:jc w:val="center"/>
        <w:rPr>
          <w:rFonts w:cs="Times New Roman"/>
          <w:sz w:val="20"/>
          <w:szCs w:val="20"/>
        </w:rPr>
      </w:pPr>
      <w:r w:rsidRPr="00A65125">
        <w:rPr>
          <w:rFonts w:cs="Times New Roman"/>
          <w:noProof/>
          <w:sz w:val="20"/>
          <w:szCs w:val="20"/>
        </w:rPr>
        <w:drawing>
          <wp:inline distT="0" distB="0" distL="0" distR="0" wp14:anchorId="1738D5F3" wp14:editId="02204731">
            <wp:extent cx="3390314" cy="2577530"/>
            <wp:effectExtent l="0" t="0" r="635" b="0"/>
            <wp:docPr id="1409561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61024" name=""/>
                    <pic:cNvPicPr/>
                  </pic:nvPicPr>
                  <pic:blipFill>
                    <a:blip r:embed="rId9"/>
                    <a:stretch>
                      <a:fillRect/>
                    </a:stretch>
                  </pic:blipFill>
                  <pic:spPr>
                    <a:xfrm>
                      <a:off x="0" y="0"/>
                      <a:ext cx="3398223" cy="2583543"/>
                    </a:xfrm>
                    <a:prstGeom prst="rect">
                      <a:avLst/>
                    </a:prstGeom>
                  </pic:spPr>
                </pic:pic>
              </a:graphicData>
            </a:graphic>
          </wp:inline>
        </w:drawing>
      </w:r>
    </w:p>
    <w:p w14:paraId="73115C86" w14:textId="77777777" w:rsidR="0088472F" w:rsidRPr="00A65125" w:rsidRDefault="0088472F" w:rsidP="00A65125">
      <w:pPr>
        <w:pStyle w:val="NoSpacing"/>
        <w:jc w:val="center"/>
        <w:rPr>
          <w:sz w:val="20"/>
          <w:szCs w:val="20"/>
        </w:rPr>
      </w:pPr>
      <w:bookmarkStart w:id="4" w:name="_Ref181732066"/>
      <w:bookmarkStart w:id="5" w:name="_Toc175570386"/>
      <w:bookmarkStart w:id="6" w:name="_Toc181714900"/>
    </w:p>
    <w:p w14:paraId="305DBF48" w14:textId="4DA99F2B" w:rsidR="004F5106" w:rsidRPr="0006497C" w:rsidRDefault="004F5106" w:rsidP="00A65125">
      <w:pPr>
        <w:pStyle w:val="NoSpacing"/>
        <w:jc w:val="center"/>
        <w:rPr>
          <w:sz w:val="16"/>
          <w:szCs w:val="20"/>
        </w:rPr>
      </w:pPr>
      <w:r w:rsidRPr="0006497C">
        <w:rPr>
          <w:sz w:val="16"/>
          <w:szCs w:val="20"/>
        </w:rPr>
        <w:t xml:space="preserve">FIGURE </w:t>
      </w:r>
      <w:r w:rsidRPr="0006497C">
        <w:rPr>
          <w:sz w:val="16"/>
          <w:szCs w:val="20"/>
        </w:rPr>
        <w:fldChar w:fldCharType="begin"/>
      </w:r>
      <w:r w:rsidRPr="0006497C">
        <w:rPr>
          <w:sz w:val="16"/>
          <w:szCs w:val="20"/>
        </w:rPr>
        <w:instrText xml:space="preserve"> SEQ Figure \* ARABIC </w:instrText>
      </w:r>
      <w:r w:rsidRPr="0006497C">
        <w:rPr>
          <w:sz w:val="16"/>
          <w:szCs w:val="20"/>
        </w:rPr>
        <w:fldChar w:fldCharType="separate"/>
      </w:r>
      <w:r w:rsidR="003B740A" w:rsidRPr="0006497C">
        <w:rPr>
          <w:noProof/>
          <w:sz w:val="16"/>
          <w:szCs w:val="20"/>
        </w:rPr>
        <w:t>1</w:t>
      </w:r>
      <w:r w:rsidRPr="0006497C">
        <w:rPr>
          <w:noProof/>
          <w:sz w:val="16"/>
          <w:szCs w:val="20"/>
        </w:rPr>
        <w:fldChar w:fldCharType="end"/>
      </w:r>
      <w:bookmarkEnd w:id="4"/>
      <w:r w:rsidRPr="0006497C">
        <w:rPr>
          <w:sz w:val="16"/>
          <w:szCs w:val="20"/>
        </w:rPr>
        <w:t>. E-payment collection in the F</w:t>
      </w:r>
      <w:r w:rsidR="008602B7" w:rsidRPr="0006497C">
        <w:rPr>
          <w:sz w:val="16"/>
          <w:szCs w:val="20"/>
        </w:rPr>
        <w:t>ederal Government of Malaysia</w:t>
      </w:r>
      <w:r w:rsidRPr="0006497C">
        <w:rPr>
          <w:sz w:val="16"/>
          <w:szCs w:val="20"/>
        </w:rPr>
        <w:t xml:space="preserve"> from year 2021 – 2023</w:t>
      </w:r>
      <w:bookmarkEnd w:id="5"/>
      <w:bookmarkEnd w:id="6"/>
      <w:r w:rsidRPr="0006497C">
        <w:rPr>
          <w:sz w:val="16"/>
          <w:szCs w:val="20"/>
        </w:rPr>
        <w:t xml:space="preserve"> </w:t>
      </w:r>
    </w:p>
    <w:p w14:paraId="68B63009" w14:textId="77777777" w:rsidR="004F5106" w:rsidRPr="00A65125" w:rsidRDefault="004F5106" w:rsidP="00A65125">
      <w:pPr>
        <w:pStyle w:val="BodyText1"/>
        <w:rPr>
          <w:rFonts w:cs="Times New Roman"/>
          <w:sz w:val="20"/>
          <w:szCs w:val="20"/>
        </w:rPr>
      </w:pPr>
    </w:p>
    <w:p w14:paraId="6F577ED0" w14:textId="5A0E2278" w:rsidR="00AC0C92" w:rsidRPr="00A65125" w:rsidRDefault="00AC0C92" w:rsidP="00A65125">
      <w:pPr>
        <w:pStyle w:val="BodyText1"/>
        <w:rPr>
          <w:rFonts w:cs="Times New Roman"/>
          <w:sz w:val="20"/>
          <w:szCs w:val="20"/>
        </w:rPr>
      </w:pPr>
      <w:r w:rsidRPr="00A65125">
        <w:rPr>
          <w:rFonts w:cs="Times New Roman"/>
          <w:sz w:val="20"/>
          <w:szCs w:val="20"/>
        </w:rPr>
        <w:t xml:space="preserve">Nevertheless, despite the benefits of e-payment systems, significant challenges persist within the interorganisational collaboration (IOC) workflows at post-collection stages. The interaction between multiple entities, including acquiring banks and accounting offices, introduces operational complexities, often hindering the seamless execution of transactions and overall workflow </w:t>
      </w:r>
      <w:r w:rsidRPr="00A65125">
        <w:rPr>
          <w:rFonts w:cs="Times New Roman"/>
          <w:sz w:val="20"/>
          <w:szCs w:val="20"/>
        </w:rPr>
        <w:fldChar w:fldCharType="begin" w:fldLock="1"/>
      </w:r>
      <w:r w:rsidRPr="00A65125">
        <w:rPr>
          <w:rFonts w:cs="Times New Roman"/>
          <w:sz w:val="20"/>
          <w:szCs w:val="20"/>
        </w:rPr>
        <w:instrText>ADDIN CSL_CITATION {"citationItems":[{"id":"ITEM-1","itemData":{"DOI":"10.1108/INMR-05-2020-0060","ISSN":"25158961","abstract":"Purpose: The study aim is to evaluate the contribution of Blockchain technology (Cryptobanking) using expected operating model (EOM) to address the pain points in reconciliation at middle and back-office operational levels in assessing the significance of this technology on return on investment. Design/methodology/approach: A structured questionnaire was designed to collect primary data using a stratified sampling method from 120 respondents working in leading Investment banks operating in the geographical locality of urban Bangalore. Demographic variables, accounting variables, data reporting variables, approach variables, variables of EOM were considered to validate the hypothesis with the help of statistical tools, namely ANOVA, and Multiple Stepwise Regression Analysis. Findings: The results obtained confirm that there is significant difference in reconciliation with implementation of an innovative business process. Financial analysis is the highest predictor of ROI when integrated with technology as the adapted Blockchain innovation in reconciliation is the most influencing factor in enhancing, improving ROI playing a pivotal role in the Investment banks. Originality/value: Blockchain technology (Cryptobanking) facilitates in transforming the reconciliation process of these banks with improved operational efficiency. Blockchain and settlement platforms offer inter-organization solutions facilitating in the reconciliation of various transactions in real-time through a trust-based network in the form of digital settlements with better consortiums.","author":[{"dropping-particle":"","family":"Vedapradha","given":"R.","non-dropping-particle":"","parse-names":false,"suffix":""},{"dropping-particle":"","family":"Ravi","given":"Hariharan","non-dropping-particle":"","parse-names":false,"suffix":""}],"container-title":"Innovation and Management Review","id":"ITEM-1","issue":"1","issued":{"date-parts":[["2023"]]},"page":"17-27","publisher-place":"India","title":"Blockchain: an EOM approach to reconciliation in banking","type":"article-journal","volume":"20"},"uris":["http://www.mendeley.com/documents/?uuid=c0f57f7a-8065-4b31-ac55-ad661baec26f"]}],"mendeley":{"formattedCitation":"(Vedapradha &amp; Ravi 2023)","plainTextFormattedCitation":"(Vedapradha &amp; Ravi 2023)","previouslyFormattedCitation":"(Vedapradha &amp; Ravi 2023)"},"properties":{"noteIndex":0},"schema":"https://github.com/citation-style-language/schema/raw/master/csl-citation.json"}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(Vedapradha &amp; Ravi 2023)</w:t>
      </w:r>
      <w:r w:rsidRPr="00A65125">
        <w:rPr>
          <w:rFonts w:cs="Times New Roman"/>
          <w:sz w:val="20"/>
          <w:szCs w:val="20"/>
        </w:rPr>
        <w:fldChar w:fldCharType="end"/>
      </w:r>
      <w:r w:rsidRPr="00A65125">
        <w:rPr>
          <w:rFonts w:cs="Times New Roman"/>
          <w:sz w:val="20"/>
          <w:szCs w:val="20"/>
        </w:rPr>
        <w:t xml:space="preserve">. Fragmented operating systems pose considerable obstacles to the </w:t>
      </w:r>
      <w:r w:rsidR="00470DA6" w:rsidRPr="00A65125">
        <w:rPr>
          <w:rFonts w:cs="Times New Roman"/>
          <w:sz w:val="20"/>
          <w:szCs w:val="20"/>
        </w:rPr>
        <w:t>IOC workflows</w:t>
      </w:r>
      <w:r w:rsidRPr="00A65125">
        <w:rPr>
          <w:rFonts w:cs="Times New Roman"/>
          <w:sz w:val="20"/>
          <w:szCs w:val="20"/>
        </w:rPr>
        <w:t xml:space="preserve"> </w:t>
      </w:r>
      <w:r w:rsidRPr="00A65125">
        <w:rPr>
          <w:rFonts w:cs="Times New Roman"/>
          <w:sz w:val="20"/>
          <w:szCs w:val="20"/>
        </w:rPr>
        <w:fldChar w:fldCharType="begin" w:fldLock="1"/>
      </w:r>
      <w:r w:rsidRPr="00A65125">
        <w:rPr>
          <w:rFonts w:cs="Times New Roman"/>
          <w:sz w:val="20"/>
          <w:szCs w:val="20"/>
        </w:rPr>
        <w:instrText>ADDIN CSL_CITATION {"citationItems":[{"id":"ITEM-1","itemData":{"DOI":"10.1002/jcaf.22415","ISSN":"10970053","abstract":"Blockchain technology possesses a vast potential to transform traditional business models. Savvy business executives are already exploring how blockchain might impact their industries and their competitive positions within those industries. Yet, there are significant barriers and risks associated with blockchain technology. In this article, we highlight some of the major obstacles and risks associated with this transformative technology. The topics discussed here are neither definitive nor comprehensive; however, they provide accounting and finance professionals with a timely introduction to the barriers and perils related to blockchain technology. Although blockchain adoption is inevitable for business enterprises, careful consideration of the risks and challenges before, during, and after blockchain implementation will help ensure long-term success.","author":[{"dropping-particle":"","family":"Prewett","given":"Kyleen W.","non-dropping-particle":"","parse-names":false,"suffix":""},{"dropping-particle":"","family":"Prescott","given":"Gregory L.","non-dropping-particle":"","parse-names":false,"suffix":""},{"dropping-particle":"","family":"Phillips","given":"Kirk","non-dropping-particle":"","parse-names":false,"suffix":""}],"container-title":"Journal of Corporate Accounting and Finance","id":"ITEM-1","issue":"2","issued":{"date-parts":[["2020"]]},"page":"21-28","title":"Blockchain adoption is inevitable—Barriers and risks remain","type":"article-journal","volume":"31"},"uris":["http://www.mendeley.com/documents/?uuid=c11a9fd2-4193-4fb9-8964-02b2e6ae4e9b"]}],"mendeley":{"formattedCitation":"(Prewett et al. 2020)","plainTextFormattedCitation":"(Prewett et al. 2020)","previouslyFormattedCitation":"(Prewett et al. 2020)"},"properties":{"noteIndex":0},"schema":"https://github.com/citation-style-language/schema/raw/master/csl-citation.json"}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(Prewett et al. 2020)</w:t>
      </w:r>
      <w:r w:rsidRPr="00A65125">
        <w:rPr>
          <w:rFonts w:cs="Times New Roman"/>
          <w:sz w:val="20"/>
          <w:szCs w:val="20"/>
        </w:rPr>
        <w:fldChar w:fldCharType="end"/>
      </w:r>
      <w:r w:rsidRPr="00A65125">
        <w:rPr>
          <w:rFonts w:cs="Times New Roman"/>
          <w:sz w:val="20"/>
          <w:szCs w:val="20"/>
        </w:rPr>
        <w:t xml:space="preserve">. The lack of process integration among multiple parties impedes operational efficiency and affects value creation to the organisation </w:t>
      </w:r>
      <w:r w:rsidRPr="00A65125">
        <w:rPr>
          <w:rFonts w:cs="Times New Roman"/>
          <w:sz w:val="20"/>
          <w:szCs w:val="20"/>
        </w:rPr>
        <w:fldChar w:fldCharType="begin" w:fldLock="1"/>
      </w:r>
      <w:r w:rsidRPr="00A65125">
        <w:rPr>
          <w:rFonts w:cs="Times New Roman"/>
          <w:sz w:val="20"/>
          <w:szCs w:val="20"/>
        </w:rPr>
        <w:instrText>ADDIN CSL_CITATION {"citationItems":[{"id":"ITEM-1","itemData":{"DOI":"10.1016/j.econlet.2024.111603","ISSN":"01651765","abstract":"This study investigates the impact of blockchain technology adoption on corporate investment efficiency. Utilizing a difference-in-differences methodology on an international sample of Forbes Global 2000 companies between 2012 and 2021, we find that firms implementing blockchain exhibit significantly higher investment efficiency post-adoption compared to non-adopters. This effect is more pronounced among ex ante informationally opaque firms. Our results suggest that blockchain adoption reduces overinvesting activities by restricting avenues for managerial discretion through enhanced transparency. Our findings contribute to the growing literature on blockchain's real economic impacts and inform blockchain adoption decisions by demonstrating investment efficiency benefits.","author":[{"dropping-particle":"","family":"Harakeh","given":"Mostafa","non-dropping-particle":"","parse-names":false,"suffix":""},{"dropping-particle":"El","family":"Diri","given":"Malek","non-dropping-particle":"","parse-names":false,"suffix":""},{"dropping-particle":"","family":"Lambrinoudakis","given":"Costas","non-dropping-particle":"","parse-names":false,"suffix":""},{"dropping-particle":"","family":"Tsileponis","given":"Nikolaos","non-dropping-particle":"","parse-names":false,"suffix":""}],"container-title":"Economics Letters","id":"ITEM-1","issue":"November 2023","issued":{"date-parts":[["2024"]]},"page":"0-3","publisher":"Elsevier B.V.","title":"The impact of blockchain adoption on corporate investment efficiency","type":"article-journal","volume":"236"},"uris":["http://www.mendeley.com/documents/?uuid=b63d3533-2fec-45d2-b45d-adde7c7044fd"]}],"mendeley":{"formattedCitation":"(Harakeh et al. 2024)","plainTextFormattedCitation":"(Harakeh et al. 2024)","previouslyFormattedCitation":"(Harakeh et al. 2024)"},"properties":{"noteIndex":0},"schema":"https://github.com/citation-style-language/schema/raw/master/csl-citation.json"}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(Harakeh et al. 2024)</w:t>
      </w:r>
      <w:r w:rsidRPr="00A65125">
        <w:rPr>
          <w:rFonts w:cs="Times New Roman"/>
          <w:sz w:val="20"/>
          <w:szCs w:val="20"/>
        </w:rPr>
        <w:fldChar w:fldCharType="end"/>
      </w:r>
      <w:r w:rsidRPr="00A65125">
        <w:rPr>
          <w:rFonts w:cs="Times New Roman"/>
          <w:sz w:val="20"/>
          <w:szCs w:val="20"/>
        </w:rPr>
        <w:t xml:space="preserve">. In their study, </w:t>
      </w:r>
      <w:r w:rsidRPr="00A65125">
        <w:rPr>
          <w:rFonts w:cs="Times New Roman"/>
          <w:sz w:val="20"/>
          <w:szCs w:val="20"/>
        </w:rPr>
        <w:fldChar w:fldCharType="begin" w:fldLock="1"/>
      </w:r>
      <w:r w:rsidRPr="00A65125">
        <w:rPr>
          <w:rFonts w:cs="Times New Roman"/>
          <w:sz w:val="20"/>
          <w:szCs w:val="20"/>
        </w:rPr>
        <w:instrText>ADDIN CSL_CITATION {"citationItems":[{"id":"ITEM-1","itemData":{"DOI":"10.1108/CI-08-2021-0153","ISBN":"0820210153","ISSN":"14770857","abstract":"Purpose: Blockchain as a disruptive technology has revolutionized many industries, such as finance, logistics and manufacturing sectors. This paper aims to explore Blockchain applications in construction to effectively manage project workflows and uplift construction efficiency. Design/methodology/approach: Semi-structured in-depth interviews were conducted with various stakeholders from a public infrastructure project to analyze Blockchain applications in the construction industry. Eleven key construction workflows are selected to identify and discover the necessity and significance of Blockchain applications in the construction industry. They are related to construction program, daily operations and payment. Based on workflow analysis, several issues are discussed to design a development roadmap of Blockchain in the construction industry. Findings: The findings show Blockchain can improve construction efficiency, reduce paper-based manual operation and address the fragmentation and communication issue. However, the development of Blockchain in the construction industry is still impeded by some challenges. Traditional work modes might be existing even though Blockchain-enabled systems are introduced, which may increase the workload of construction practitioners. Thus, a feasible and practical development roadmap is proposed to instruct implementation of Blockchain in construction. Originality/value: This research systematically analyzes the development of Blockchain in the construction industry from several existing workflows, based on a real-life case study. Several considerations are given to provide referential value for applying Blockchain in the construction industry, including opportunities and challenges, cost–benefit analysis, obstacles and possible solutions, as well as development strategies with a prototype system.","author":[{"dropping-particle":"","family":"Kang","given":"Kai","non-dropping-particle":"","parse-names":false,"suffix":""},{"dropping-particle":"","family":"Liu","given":"Xinlai","non-dropping-particle":"","parse-names":false,"suffix":""},{"dropping-particle":"","family":"Jiang","given":"Yishuo","non-dropping-particle":"","parse-names":false,"suffix":""},{"dropping-particle":"","family":"Lee","given":"Ken Kam Hang","non-dropping-particle":"","parse-names":false,"suffix":""},{"dropping-particle":"","family":"Wan","given":"Sean Ka Wai","non-dropping-particle":"","parse-names":false,"suffix":""},{"dropping-particle":"","family":"Huang","given":"George Q.","non-dropping-particle":"","parse-names":false,"suffix":""},{"dropping-particle":"","family":"Zhong","given":"Ray Y.","non-dropping-particle":"","parse-names":false,"suffix":""}],"container-title":"Construction Innovation","id":"ITEM-1","issue":"2","issued":{"date-parts":[["2022"]]},"page":"443-466","publisher-place":"China","title":"Blockchain opportunities for construction industry in Hong Kong: a case study of RISC and site diary","type":"article-journal","volume":"23"},"uris":["http://www.mendeley.com/documents/?uuid=db153423-7b16-4cb6-ab5a-bff08a8fe7b8"]}],"mendeley":{"formattedCitation":"(Kang et al. 2022)","manualFormatting":"Kang et al. (2022)","plainTextFormattedCitation":"(Kang et al. 2022)","previouslyFormattedCitation":"(Kang et al. 2022)"},"properties":{"noteIndex":0},"schema":"https://github.com/citation-style-language/schema/raw/master/csl-citation.json"}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Kang et al. (2022)</w:t>
      </w:r>
      <w:r w:rsidRPr="00A65125">
        <w:rPr>
          <w:rFonts w:cs="Times New Roman"/>
          <w:sz w:val="20"/>
          <w:szCs w:val="20"/>
        </w:rPr>
        <w:fldChar w:fldCharType="end"/>
      </w:r>
      <w:r w:rsidRPr="00A65125">
        <w:rPr>
          <w:rFonts w:cs="Times New Roman"/>
          <w:sz w:val="20"/>
          <w:szCs w:val="20"/>
        </w:rPr>
        <w:t xml:space="preserve"> argue that fragmented operation systems necessitate manual tasks for the reconciliation process, resulting in time-consuming and less productive workflows in the IOC. Hence, these challenges lead to delays and inefficiencies, as real-time access to information from counterparties is obstructed.</w:t>
      </w:r>
    </w:p>
    <w:p w14:paraId="38291F57" w14:textId="4CF14AC4" w:rsidR="00AC0C92" w:rsidRPr="00A65125" w:rsidRDefault="00AC0C92" w:rsidP="00A65125">
      <w:pPr>
        <w:pStyle w:val="BodyText1"/>
        <w:rPr>
          <w:rFonts w:cs="Times New Roman"/>
          <w:sz w:val="20"/>
          <w:szCs w:val="20"/>
        </w:rPr>
      </w:pPr>
      <w:r w:rsidRPr="00A65125">
        <w:rPr>
          <w:rFonts w:cs="Times New Roman"/>
          <w:sz w:val="20"/>
          <w:szCs w:val="20"/>
        </w:rPr>
        <w:t xml:space="preserve">In general, the e-payment process (see FIGURE 2) at the FGOM begins when individuals or businesses transact via e-payment channels, such as debit and credit cards, mobile banking, and internet banking. Upon completion, the acquiring bank manages the settlement process, facilitating the transfer of collected funds from the payer to the appropriate government agency. Based on the operational guidelines in the </w:t>
      </w:r>
      <w:r w:rsidRPr="00A65125">
        <w:rPr>
          <w:rFonts w:cs="Times New Roman"/>
          <w:i/>
          <w:iCs/>
          <w:sz w:val="20"/>
          <w:szCs w:val="20"/>
        </w:rPr>
        <w:fldChar w:fldCharType="begin" w:fldLock="1"/>
      </w:r>
      <w:r w:rsidR="001F54BC" w:rsidRPr="00A65125">
        <w:rPr>
          <w:rFonts w:cs="Times New Roman"/>
          <w:i/>
          <w:iCs/>
          <w:sz w:val="20"/>
          <w:szCs w:val="20"/>
        </w:rPr>
        <w:instrText>ADDIN CSL_CITATION {"citationItems":[{"id":"ITEM-1","itemData":{"author":[{"dropping-particle":"","family":"Surat Pekeliling Akauntan Negara Malaysia Bilangan 3 Tahun 2019","given":"","non-dropping-particle":"","parse-names":false,"suffix":""}],"id":"ITEM-1","issued":{"date-parts":[["0"]]},"publisher-place":"Malaysia","title":"Surat Pekeliling Akauntan Negara Malaysia (SPANM) Bil. 3 Tahun 2019 - Tatacara Pengurusan Terimaan","type":"article-journal"},"uris":["http://www.mendeley.com/documents/?uuid=e85434b4-069a-47d9-b1f0-a04be03c2829"]}],"mendeley":{"formattedCitation":"(Surat Pekeliling Akauntan Negara Malaysia Bilangan 3 Tahun 2019 n.d.)","manualFormatting":"Surat Pekeliling Akauntan Negara Malaysia Bilangan 3 Tahun 2019","plainTextFormattedCitation":"(Surat Pekeliling Akauntan Negara Malaysia Bilangan 3 Tahun 2019 n.d.)","previouslyFormattedCitation":"(Surat Pekeliling Akauntan Negara Malaysia Bilangan 3 Tahun 2019 2019)"},"properties":{"noteIndex":0},"schema":"https://github.com/citation-style-language/schema/raw/master/csl-citation.json"}</w:instrText>
      </w:r>
      <w:r w:rsidRPr="00A65125">
        <w:rPr>
          <w:rFonts w:cs="Times New Roman"/>
          <w:i/>
          <w:iCs/>
          <w:sz w:val="20"/>
          <w:szCs w:val="20"/>
        </w:rPr>
        <w:fldChar w:fldCharType="separate"/>
      </w:r>
      <w:r w:rsidRPr="00A65125">
        <w:rPr>
          <w:rFonts w:cs="Times New Roman"/>
          <w:i/>
          <w:iCs/>
          <w:noProof/>
          <w:sz w:val="20"/>
          <w:szCs w:val="20"/>
        </w:rPr>
        <w:t>Surat Pekeliling Akauntan Negara Malaysia Bilangan 3 Tahun 2019</w:t>
      </w:r>
      <w:r w:rsidRPr="00A65125">
        <w:rPr>
          <w:rFonts w:cs="Times New Roman"/>
          <w:i/>
          <w:iCs/>
          <w:sz w:val="20"/>
          <w:szCs w:val="20"/>
        </w:rPr>
        <w:fldChar w:fldCharType="end"/>
      </w:r>
      <w:r w:rsidRPr="00A65125">
        <w:rPr>
          <w:rFonts w:cs="Times New Roman"/>
          <w:sz w:val="20"/>
          <w:szCs w:val="20"/>
        </w:rPr>
        <w:t xml:space="preserve">, the acquiring bank must transfer the collected funds to the small treasury receipt account and the main revenue account within one working day. Despite the structured and systematic operational instructions, the operational challenges continue to affect the </w:t>
      </w:r>
      <w:r w:rsidR="00470DA6" w:rsidRPr="00A65125">
        <w:rPr>
          <w:rFonts w:cs="Times New Roman"/>
          <w:sz w:val="20"/>
          <w:szCs w:val="20"/>
        </w:rPr>
        <w:t>IOC workflows</w:t>
      </w:r>
      <w:r w:rsidRPr="00A65125">
        <w:rPr>
          <w:rFonts w:cs="Times New Roman"/>
          <w:sz w:val="20"/>
          <w:szCs w:val="20"/>
        </w:rPr>
        <w:t xml:space="preserve"> in the e-payment process at the FGOM agency.</w:t>
      </w:r>
    </w:p>
    <w:p w14:paraId="094E2ED9" w14:textId="77777777" w:rsidR="00AC0C92" w:rsidRPr="00A65125" w:rsidRDefault="00AC0C92" w:rsidP="00A65125">
      <w:pPr>
        <w:pStyle w:val="BodyText1"/>
        <w:rPr>
          <w:rFonts w:cs="Times New Roman"/>
          <w:sz w:val="20"/>
          <w:szCs w:val="20"/>
        </w:rPr>
      </w:pPr>
    </w:p>
    <w:p w14:paraId="01CB6B6B" w14:textId="0B089635" w:rsidR="0011157D" w:rsidRPr="00A65125" w:rsidRDefault="0011157D" w:rsidP="00A65125">
      <w:pPr>
        <w:pStyle w:val="BodyText1"/>
        <w:ind w:firstLine="0"/>
        <w:rPr>
          <w:rFonts w:cs="Times New Roman"/>
          <w:sz w:val="20"/>
          <w:szCs w:val="20"/>
        </w:rPr>
      </w:pPr>
      <w:r w:rsidRPr="00A65125">
        <w:rPr>
          <w:rFonts w:cs="Times New Roman"/>
          <w:noProof/>
          <w:sz w:val="20"/>
          <w:szCs w:val="20"/>
        </w:rPr>
        <w:lastRenderedPageBreak/>
        <w:drawing>
          <wp:inline distT="0" distB="0" distL="0" distR="0" wp14:anchorId="63771444" wp14:editId="4B68521E">
            <wp:extent cx="5731510" cy="2751566"/>
            <wp:effectExtent l="0" t="0" r="2540" b="0"/>
            <wp:docPr id="204256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69695" name=""/>
                    <pic:cNvPicPr/>
                  </pic:nvPicPr>
                  <pic:blipFill>
                    <a:blip r:embed="rId10"/>
                    <a:stretch>
                      <a:fillRect/>
                    </a:stretch>
                  </pic:blipFill>
                  <pic:spPr>
                    <a:xfrm>
                      <a:off x="0" y="0"/>
                      <a:ext cx="5731510" cy="2751566"/>
                    </a:xfrm>
                    <a:prstGeom prst="rect">
                      <a:avLst/>
                    </a:prstGeom>
                  </pic:spPr>
                </pic:pic>
              </a:graphicData>
            </a:graphic>
          </wp:inline>
        </w:drawing>
      </w:r>
    </w:p>
    <w:p w14:paraId="78E28C0C" w14:textId="53663A0F" w:rsidR="004F5106" w:rsidRPr="002D5565" w:rsidRDefault="004F5106" w:rsidP="00A65125">
      <w:pPr>
        <w:pStyle w:val="BodyText1"/>
        <w:ind w:firstLine="0"/>
        <w:jc w:val="center"/>
        <w:rPr>
          <w:rFonts w:cs="Times New Roman"/>
          <w:sz w:val="16"/>
          <w:szCs w:val="20"/>
        </w:rPr>
      </w:pPr>
      <w:r w:rsidRPr="002D5565">
        <w:rPr>
          <w:rFonts w:cs="Times New Roman"/>
          <w:sz w:val="16"/>
          <w:szCs w:val="20"/>
        </w:rPr>
        <w:t>FIGURE 2. E-payment process flow at the Federal Government of Malaysia</w:t>
      </w:r>
    </w:p>
    <w:p w14:paraId="232002E8" w14:textId="3D0B7357" w:rsidR="0011157D" w:rsidRPr="002D5565" w:rsidRDefault="0011157D" w:rsidP="00A65125">
      <w:pPr>
        <w:pStyle w:val="BodyText1"/>
        <w:rPr>
          <w:rFonts w:cs="Times New Roman"/>
          <w:sz w:val="16"/>
          <w:szCs w:val="20"/>
        </w:rPr>
      </w:pPr>
    </w:p>
    <w:p w14:paraId="19334AF1" w14:textId="695BA073" w:rsidR="00AC0C92" w:rsidRPr="00A65125" w:rsidRDefault="00AC0C92" w:rsidP="00A65125">
      <w:pPr>
        <w:pStyle w:val="BodyText1"/>
        <w:rPr>
          <w:rFonts w:cs="Times New Roman"/>
          <w:sz w:val="20"/>
          <w:szCs w:val="20"/>
        </w:rPr>
      </w:pPr>
      <w:r w:rsidRPr="00A65125">
        <w:rPr>
          <w:rFonts w:cs="Times New Roman"/>
          <w:sz w:val="20"/>
          <w:szCs w:val="20"/>
        </w:rPr>
        <w:t xml:space="preserve">Several reports have documented significant findings within the e-payment collection at the FGOM agency. In 2022, the Auditor General of Malaysia reported the discrepancy in the service provisions of acquiring banks and collection agents </w:t>
      </w:r>
      <w:r w:rsidRPr="00A65125">
        <w:rPr>
          <w:rFonts w:cs="Times New Roman"/>
          <w:sz w:val="20"/>
          <w:szCs w:val="20"/>
        </w:rPr>
        <w:fldChar w:fldCharType="begin" w:fldLock="1"/>
      </w:r>
      <w:r w:rsidRPr="00A65125">
        <w:rPr>
          <w:rFonts w:cs="Times New Roman"/>
          <w:sz w:val="20"/>
          <w:szCs w:val="20"/>
        </w:rPr>
        <w:instrText>ADDIN CSL_CITATION {"citationItems":[{"id":"ITEM-1","itemData":{"author":[{"dropping-particle":"","family":"Jabatan Audit Negara Malaysia","given":"","non-dropping-particle":"","parse-names":false,"suffix":""}],"container-title":"Percetakan Nasional Malaysia Berhad","id":"ITEM-1","issued":{"date-parts":[["2022"]]},"number-of-pages":"502","title":"Laporan Ketua Audit Negara 2021 Siri 1 - Aktiviti Kementerian/Jabatan Kerajaan Persekutuan Dan Badan-Badan Berkanun Persekutuan","type":"report"},"uris":["http://www.mendeley.com/documents/?uuid=1e080331-8cf1-4419-a398-3f0e9263973e"]}],"mendeley":{"formattedCitation":"(Jabatan Audit Negara Malaysia 2022)","plainTextFormattedCitation":"(Jabatan Audit Negara Malaysia 2022)","previouslyFormattedCitation":"(Jabatan Audit Negara Malaysia 2022)"},"properties":{"noteIndex":0},"schema":"https://github.com/citation-style-language/schema/raw/master/csl-citation.json"}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(Jabatan Audit Negara Malaysia 2022)</w:t>
      </w:r>
      <w:r w:rsidRPr="00A65125">
        <w:rPr>
          <w:rFonts w:cs="Times New Roman"/>
          <w:sz w:val="20"/>
          <w:szCs w:val="20"/>
        </w:rPr>
        <w:fldChar w:fldCharType="end"/>
      </w:r>
      <w:r w:rsidRPr="00A65125">
        <w:rPr>
          <w:rFonts w:cs="Times New Roman"/>
          <w:sz w:val="20"/>
          <w:szCs w:val="20"/>
        </w:rPr>
        <w:t>. The report disclosed the failure of the collection agent and the acquiring bank to remit collected money on time. The Transport License Department (TLD), one of the FGOM agencies, has been highlighted in the report. TABLE 2 depicts the findings on the late remittance of revenue for TLD from 2021 to 2022. The amount shows RM38.9 million in late fund remittance, which incurred RM1.56 million penalty charges to the collection agent and acquiring bank.</w:t>
      </w:r>
    </w:p>
    <w:p w14:paraId="2B829365" w14:textId="77777777" w:rsidR="00CD6A6C" w:rsidRPr="00A65125" w:rsidRDefault="00CD6A6C" w:rsidP="00A65125">
      <w:pPr>
        <w:pStyle w:val="BodyText1"/>
        <w:ind w:firstLine="0"/>
        <w:rPr>
          <w:rFonts w:cs="Times New Roman"/>
          <w:sz w:val="20"/>
          <w:szCs w:val="20"/>
        </w:rPr>
      </w:pPr>
    </w:p>
    <w:p w14:paraId="3F36A00E" w14:textId="22F15CE0" w:rsidR="00B61957" w:rsidRPr="002D5565" w:rsidRDefault="00B61957" w:rsidP="00A65125">
      <w:pPr>
        <w:pStyle w:val="NoSpacing"/>
        <w:jc w:val="center"/>
        <w:rPr>
          <w:sz w:val="16"/>
          <w:szCs w:val="20"/>
        </w:rPr>
      </w:pPr>
      <w:bookmarkStart w:id="7" w:name="_Ref181740386"/>
      <w:bookmarkStart w:id="8" w:name="_Toc181714878"/>
      <w:r w:rsidRPr="002D5565">
        <w:rPr>
          <w:sz w:val="16"/>
          <w:szCs w:val="20"/>
        </w:rPr>
        <w:t>T</w:t>
      </w:r>
      <w:r w:rsidR="002E269A" w:rsidRPr="002D5565">
        <w:rPr>
          <w:sz w:val="16"/>
          <w:szCs w:val="20"/>
        </w:rPr>
        <w:t>ABLE</w:t>
      </w:r>
      <w:r w:rsidRPr="002D5565">
        <w:rPr>
          <w:sz w:val="16"/>
          <w:szCs w:val="20"/>
        </w:rPr>
        <w:t xml:space="preserve"> </w:t>
      </w:r>
      <w:r w:rsidR="00B853A7" w:rsidRPr="002D5565">
        <w:rPr>
          <w:sz w:val="16"/>
          <w:szCs w:val="20"/>
        </w:rPr>
        <w:fldChar w:fldCharType="begin"/>
      </w:r>
      <w:r w:rsidR="00B853A7" w:rsidRPr="002D5565">
        <w:rPr>
          <w:sz w:val="16"/>
          <w:szCs w:val="20"/>
        </w:rPr>
        <w:instrText xml:space="preserve"> SEQ Table \* ARABIC </w:instrText>
      </w:r>
      <w:r w:rsidR="00B853A7" w:rsidRPr="002D5565">
        <w:rPr>
          <w:sz w:val="16"/>
          <w:szCs w:val="20"/>
        </w:rPr>
        <w:fldChar w:fldCharType="separate"/>
      </w:r>
      <w:r w:rsidR="003B740A" w:rsidRPr="002D5565">
        <w:rPr>
          <w:noProof/>
          <w:sz w:val="16"/>
          <w:szCs w:val="20"/>
        </w:rPr>
        <w:t>2</w:t>
      </w:r>
      <w:r w:rsidR="00B853A7" w:rsidRPr="002D5565">
        <w:rPr>
          <w:noProof/>
          <w:sz w:val="16"/>
          <w:szCs w:val="20"/>
        </w:rPr>
        <w:fldChar w:fldCharType="end"/>
      </w:r>
      <w:bookmarkEnd w:id="7"/>
      <w:r w:rsidR="004F5106" w:rsidRPr="002D5565">
        <w:rPr>
          <w:sz w:val="16"/>
          <w:szCs w:val="20"/>
        </w:rPr>
        <w:t xml:space="preserve">. </w:t>
      </w:r>
      <w:r w:rsidR="008602B7" w:rsidRPr="002D5565">
        <w:rPr>
          <w:sz w:val="16"/>
          <w:szCs w:val="20"/>
        </w:rPr>
        <w:t>Late</w:t>
      </w:r>
      <w:r w:rsidRPr="002D5565">
        <w:rPr>
          <w:sz w:val="16"/>
          <w:szCs w:val="20"/>
        </w:rPr>
        <w:t xml:space="preserve"> </w:t>
      </w:r>
      <w:r w:rsidR="008602B7" w:rsidRPr="002D5565">
        <w:rPr>
          <w:sz w:val="16"/>
          <w:szCs w:val="20"/>
        </w:rPr>
        <w:t>r</w:t>
      </w:r>
      <w:r w:rsidRPr="002D5565">
        <w:rPr>
          <w:sz w:val="16"/>
          <w:szCs w:val="20"/>
        </w:rPr>
        <w:t>evenue remittance</w:t>
      </w:r>
      <w:bookmarkEnd w:id="8"/>
      <w:r w:rsidR="002E269A" w:rsidRPr="002D5565">
        <w:rPr>
          <w:sz w:val="16"/>
          <w:szCs w:val="20"/>
        </w:rPr>
        <w:t xml:space="preserve"> for </w:t>
      </w:r>
      <w:r w:rsidR="008602B7" w:rsidRPr="002D5565">
        <w:rPr>
          <w:sz w:val="16"/>
          <w:szCs w:val="20"/>
        </w:rPr>
        <w:t>the Transport License Department</w:t>
      </w:r>
    </w:p>
    <w:tbl>
      <w:tblPr>
        <w:tblStyle w:val="TableGrid"/>
        <w:tblW w:w="73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2268"/>
        <w:gridCol w:w="1701"/>
        <w:gridCol w:w="2410"/>
      </w:tblGrid>
      <w:tr w:rsidR="0011157D" w:rsidRPr="002D5565" w14:paraId="3CFCEFF0" w14:textId="77777777" w:rsidTr="004F5106">
        <w:trPr>
          <w:tblHeader/>
        </w:trPr>
        <w:tc>
          <w:tcPr>
            <w:tcW w:w="992" w:type="dxa"/>
            <w:tcBorders>
              <w:top w:val="single" w:sz="4" w:space="0" w:color="auto"/>
              <w:bottom w:val="single" w:sz="4" w:space="0" w:color="auto"/>
            </w:tcBorders>
            <w:shd w:val="clear" w:color="auto" w:fill="auto"/>
          </w:tcPr>
          <w:p w14:paraId="57E1BF86"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Year</w:t>
            </w:r>
          </w:p>
        </w:tc>
        <w:tc>
          <w:tcPr>
            <w:tcW w:w="2268" w:type="dxa"/>
            <w:tcBorders>
              <w:top w:val="single" w:sz="4" w:space="0" w:color="auto"/>
              <w:bottom w:val="single" w:sz="4" w:space="0" w:color="auto"/>
            </w:tcBorders>
            <w:shd w:val="clear" w:color="auto" w:fill="auto"/>
          </w:tcPr>
          <w:p w14:paraId="0A7D6AEC"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Amount (RM) in million</w:t>
            </w:r>
          </w:p>
        </w:tc>
        <w:tc>
          <w:tcPr>
            <w:tcW w:w="1701" w:type="dxa"/>
            <w:tcBorders>
              <w:top w:val="single" w:sz="4" w:space="0" w:color="auto"/>
              <w:bottom w:val="single" w:sz="4" w:space="0" w:color="auto"/>
            </w:tcBorders>
            <w:shd w:val="clear" w:color="auto" w:fill="auto"/>
          </w:tcPr>
          <w:p w14:paraId="087BA127"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Delay in days</w:t>
            </w:r>
          </w:p>
        </w:tc>
        <w:tc>
          <w:tcPr>
            <w:tcW w:w="2410" w:type="dxa"/>
            <w:tcBorders>
              <w:top w:val="single" w:sz="4" w:space="0" w:color="auto"/>
              <w:bottom w:val="single" w:sz="4" w:space="0" w:color="auto"/>
            </w:tcBorders>
            <w:shd w:val="clear" w:color="auto" w:fill="auto"/>
          </w:tcPr>
          <w:p w14:paraId="09E1F83D"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Penalty (RM) in million</w:t>
            </w:r>
          </w:p>
        </w:tc>
      </w:tr>
      <w:tr w:rsidR="0011157D" w:rsidRPr="002D5565" w14:paraId="78E48E88" w14:textId="77777777" w:rsidTr="004F5106">
        <w:trPr>
          <w:trHeight w:val="133"/>
        </w:trPr>
        <w:tc>
          <w:tcPr>
            <w:tcW w:w="992" w:type="dxa"/>
            <w:tcBorders>
              <w:top w:val="single" w:sz="4" w:space="0" w:color="auto"/>
            </w:tcBorders>
            <w:shd w:val="clear" w:color="auto" w:fill="auto"/>
            <w:vAlign w:val="center"/>
          </w:tcPr>
          <w:p w14:paraId="4E8D915E"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2021</w:t>
            </w:r>
          </w:p>
        </w:tc>
        <w:tc>
          <w:tcPr>
            <w:tcW w:w="2268" w:type="dxa"/>
            <w:tcBorders>
              <w:top w:val="single" w:sz="4" w:space="0" w:color="auto"/>
            </w:tcBorders>
            <w:shd w:val="clear" w:color="auto" w:fill="auto"/>
            <w:vAlign w:val="center"/>
          </w:tcPr>
          <w:p w14:paraId="280EB26B"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10.52</w:t>
            </w:r>
          </w:p>
        </w:tc>
        <w:tc>
          <w:tcPr>
            <w:tcW w:w="1701" w:type="dxa"/>
            <w:tcBorders>
              <w:top w:val="single" w:sz="4" w:space="0" w:color="auto"/>
            </w:tcBorders>
            <w:shd w:val="clear" w:color="auto" w:fill="auto"/>
            <w:vAlign w:val="center"/>
          </w:tcPr>
          <w:p w14:paraId="56DF8298"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01 to 08</w:t>
            </w:r>
          </w:p>
        </w:tc>
        <w:tc>
          <w:tcPr>
            <w:tcW w:w="2410" w:type="dxa"/>
            <w:tcBorders>
              <w:top w:val="single" w:sz="4" w:space="0" w:color="auto"/>
            </w:tcBorders>
            <w:shd w:val="clear" w:color="auto" w:fill="auto"/>
            <w:vAlign w:val="center"/>
          </w:tcPr>
          <w:p w14:paraId="57A1E53F"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0.42</w:t>
            </w:r>
          </w:p>
        </w:tc>
      </w:tr>
      <w:tr w:rsidR="0011157D" w:rsidRPr="002D5565" w14:paraId="54017750" w14:textId="77777777" w:rsidTr="004F5106">
        <w:trPr>
          <w:trHeight w:val="217"/>
        </w:trPr>
        <w:tc>
          <w:tcPr>
            <w:tcW w:w="992" w:type="dxa"/>
            <w:tcBorders>
              <w:bottom w:val="single" w:sz="4" w:space="0" w:color="auto"/>
            </w:tcBorders>
            <w:shd w:val="clear" w:color="auto" w:fill="auto"/>
            <w:vAlign w:val="center"/>
          </w:tcPr>
          <w:p w14:paraId="733CDFC7"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2022</w:t>
            </w:r>
          </w:p>
        </w:tc>
        <w:tc>
          <w:tcPr>
            <w:tcW w:w="2268" w:type="dxa"/>
            <w:tcBorders>
              <w:bottom w:val="single" w:sz="4" w:space="0" w:color="auto"/>
            </w:tcBorders>
            <w:shd w:val="clear" w:color="auto" w:fill="auto"/>
            <w:vAlign w:val="center"/>
          </w:tcPr>
          <w:p w14:paraId="0161D68C"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28.42</w:t>
            </w:r>
          </w:p>
        </w:tc>
        <w:tc>
          <w:tcPr>
            <w:tcW w:w="1701" w:type="dxa"/>
            <w:tcBorders>
              <w:bottom w:val="single" w:sz="4" w:space="0" w:color="auto"/>
            </w:tcBorders>
            <w:shd w:val="clear" w:color="auto" w:fill="auto"/>
            <w:vAlign w:val="center"/>
          </w:tcPr>
          <w:p w14:paraId="21707913"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06 to 12</w:t>
            </w:r>
          </w:p>
        </w:tc>
        <w:tc>
          <w:tcPr>
            <w:tcW w:w="2410" w:type="dxa"/>
            <w:tcBorders>
              <w:bottom w:val="single" w:sz="4" w:space="0" w:color="auto"/>
            </w:tcBorders>
            <w:shd w:val="clear" w:color="auto" w:fill="auto"/>
            <w:vAlign w:val="center"/>
          </w:tcPr>
          <w:p w14:paraId="72E19AED"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1.14</w:t>
            </w:r>
          </w:p>
        </w:tc>
      </w:tr>
      <w:tr w:rsidR="0011157D" w:rsidRPr="002D5565" w14:paraId="0645B074" w14:textId="77777777" w:rsidTr="004F5106">
        <w:trPr>
          <w:trHeight w:val="192"/>
        </w:trPr>
        <w:tc>
          <w:tcPr>
            <w:tcW w:w="992" w:type="dxa"/>
            <w:tcBorders>
              <w:top w:val="single" w:sz="4" w:space="0" w:color="auto"/>
              <w:bottom w:val="single" w:sz="4" w:space="0" w:color="auto"/>
            </w:tcBorders>
            <w:shd w:val="clear" w:color="auto" w:fill="auto"/>
            <w:vAlign w:val="center"/>
          </w:tcPr>
          <w:p w14:paraId="574B0803"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Total</w:t>
            </w:r>
          </w:p>
        </w:tc>
        <w:tc>
          <w:tcPr>
            <w:tcW w:w="2268" w:type="dxa"/>
            <w:tcBorders>
              <w:top w:val="single" w:sz="4" w:space="0" w:color="auto"/>
              <w:bottom w:val="single" w:sz="4" w:space="0" w:color="auto"/>
            </w:tcBorders>
            <w:shd w:val="clear" w:color="auto" w:fill="auto"/>
            <w:vAlign w:val="center"/>
          </w:tcPr>
          <w:p w14:paraId="747F2DA8"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38.94</w:t>
            </w:r>
          </w:p>
        </w:tc>
        <w:tc>
          <w:tcPr>
            <w:tcW w:w="1701" w:type="dxa"/>
            <w:tcBorders>
              <w:top w:val="single" w:sz="4" w:space="0" w:color="auto"/>
              <w:bottom w:val="single" w:sz="4" w:space="0" w:color="auto"/>
            </w:tcBorders>
            <w:shd w:val="clear" w:color="auto" w:fill="auto"/>
            <w:vAlign w:val="center"/>
          </w:tcPr>
          <w:p w14:paraId="4E078CAD"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p>
        </w:tc>
        <w:tc>
          <w:tcPr>
            <w:tcW w:w="2410" w:type="dxa"/>
            <w:tcBorders>
              <w:top w:val="single" w:sz="4" w:space="0" w:color="auto"/>
              <w:bottom w:val="single" w:sz="4" w:space="0" w:color="auto"/>
            </w:tcBorders>
            <w:shd w:val="clear" w:color="auto" w:fill="auto"/>
            <w:vAlign w:val="center"/>
          </w:tcPr>
          <w:p w14:paraId="12ACB26D" w14:textId="77777777" w:rsidR="0011157D" w:rsidRPr="002D5565" w:rsidRDefault="0011157D" w:rsidP="00A65125">
            <w:pPr>
              <w:pStyle w:val="TextBody"/>
              <w:spacing w:line="240" w:lineRule="auto"/>
              <w:ind w:firstLine="0"/>
              <w:jc w:val="center"/>
              <w:rPr>
                <w:rFonts w:ascii="Times New Roman" w:hAnsi="Times New Roman" w:cs="Times New Roman"/>
                <w:sz w:val="16"/>
                <w:szCs w:val="20"/>
              </w:rPr>
            </w:pPr>
            <w:r w:rsidRPr="002D5565">
              <w:rPr>
                <w:rFonts w:ascii="Times New Roman" w:hAnsi="Times New Roman" w:cs="Times New Roman"/>
                <w:sz w:val="16"/>
                <w:szCs w:val="20"/>
              </w:rPr>
              <w:t>1.56</w:t>
            </w:r>
          </w:p>
        </w:tc>
      </w:tr>
    </w:tbl>
    <w:p w14:paraId="2DB92EBA" w14:textId="2D1B1229" w:rsidR="004F5106" w:rsidRPr="002D5565" w:rsidRDefault="004F5106" w:rsidP="00A65125">
      <w:pPr>
        <w:pStyle w:val="TextBody"/>
        <w:spacing w:line="240" w:lineRule="auto"/>
        <w:rPr>
          <w:rFonts w:cs="Times New Roman"/>
          <w:i/>
          <w:iCs/>
          <w:sz w:val="16"/>
          <w:szCs w:val="20"/>
        </w:rPr>
      </w:pPr>
      <w:r w:rsidRPr="002D5565">
        <w:rPr>
          <w:rFonts w:cs="Times New Roman"/>
          <w:i/>
          <w:iCs/>
          <w:sz w:val="16"/>
          <w:szCs w:val="20"/>
        </w:rPr>
        <w:t xml:space="preserve">*Source: </w:t>
      </w:r>
      <w:r w:rsidRPr="002D5565">
        <w:rPr>
          <w:rFonts w:cs="Times New Roman"/>
          <w:i/>
          <w:iCs/>
          <w:sz w:val="16"/>
          <w:szCs w:val="20"/>
        </w:rPr>
        <w:fldChar w:fldCharType="begin" w:fldLock="1"/>
      </w:r>
      <w:r w:rsidR="00E13558" w:rsidRPr="002D5565">
        <w:rPr>
          <w:rFonts w:cs="Times New Roman"/>
          <w:i/>
          <w:iCs/>
          <w:sz w:val="16"/>
          <w:szCs w:val="20"/>
        </w:rPr>
        <w:instrText>ADDIN CSL_CITATION {"citationItems":[{"id":"ITEM-1","itemData":{"author":[{"dropping-particle":"","family":"Jabatan Audit Negara Malaysia","given":"","non-dropping-particle":"","parse-names":false,"suffix":""}],"container-title":"Percetakan Nasional Malaysia Berhad","id":"ITEM-1","issued":{"date-parts":[["2022"]]},"number-of-pages":"502","title":"Laporan Ketua Audit Negara 2021 Siri 1 - Aktiviti Kementerian/Jabatan Kerajaan Persekutuan Dan Badan-Badan Berkanun Persekutuan","type":"report"},"uris":["http://www.mendeley.com/documents/?uuid=1e080331-8cf1-4419-a398-3f0e9263973e"]}],"mendeley":{"formattedCitation":"(Jabatan Audit Negara Malaysia 2022)","manualFormatting":"Jabatan Audit Negara Malaysia (2022)","plainTextFormattedCitation":"(Jabatan Audit Negara Malaysia 2022)","previouslyFormattedCitation":"(Jabatan Audit Negara Malaysia 2022)"},"properties":{"noteIndex":0},"schema":"https://github.com/citation-style-language/schema/raw/master/csl-citation.json"}</w:instrText>
      </w:r>
      <w:r w:rsidRPr="002D5565">
        <w:rPr>
          <w:rFonts w:cs="Times New Roman"/>
          <w:i/>
          <w:iCs/>
          <w:sz w:val="16"/>
          <w:szCs w:val="20"/>
        </w:rPr>
        <w:fldChar w:fldCharType="separate"/>
      </w:r>
      <w:r w:rsidRPr="002D5565">
        <w:rPr>
          <w:rFonts w:cs="Times New Roman"/>
          <w:iCs/>
          <w:noProof/>
          <w:sz w:val="16"/>
          <w:szCs w:val="20"/>
        </w:rPr>
        <w:t>Jabatan Audit Negara Malaysia (2022)</w:t>
      </w:r>
      <w:r w:rsidRPr="002D5565">
        <w:rPr>
          <w:rFonts w:cs="Times New Roman"/>
          <w:i/>
          <w:iCs/>
          <w:sz w:val="16"/>
          <w:szCs w:val="20"/>
        </w:rPr>
        <w:fldChar w:fldCharType="end"/>
      </w:r>
    </w:p>
    <w:p w14:paraId="6F2BBE75" w14:textId="77777777" w:rsidR="001867BB" w:rsidRPr="00A65125" w:rsidRDefault="001867BB" w:rsidP="00A65125">
      <w:pPr>
        <w:pStyle w:val="BodyText1"/>
        <w:ind w:firstLine="709"/>
        <w:rPr>
          <w:rFonts w:cs="Times New Roman"/>
          <w:sz w:val="20"/>
          <w:szCs w:val="20"/>
        </w:rPr>
      </w:pPr>
    </w:p>
    <w:p w14:paraId="13777A1E" w14:textId="72CF78FA" w:rsidR="00AC0C92" w:rsidRPr="00A65125" w:rsidRDefault="00EC2565" w:rsidP="00A65125">
      <w:pPr>
        <w:pStyle w:val="BodyText1"/>
        <w:rPr>
          <w:rFonts w:cs="Times New Roman"/>
          <w:sz w:val="20"/>
          <w:szCs w:val="20"/>
        </w:rPr>
      </w:pPr>
      <w:r w:rsidRPr="00A65125">
        <w:rPr>
          <w:rFonts w:cs="Times New Roman"/>
          <w:sz w:val="20"/>
          <w:szCs w:val="20"/>
        </w:rPr>
        <w:t xml:space="preserve">Previous studies have highlighted significant challenges within </w:t>
      </w:r>
      <w:r w:rsidR="00470DA6" w:rsidRPr="00A65125">
        <w:rPr>
          <w:rFonts w:cs="Times New Roman"/>
          <w:sz w:val="20"/>
          <w:szCs w:val="20"/>
        </w:rPr>
        <w:t>IOC workflows</w:t>
      </w:r>
      <w:r w:rsidRPr="00A65125">
        <w:rPr>
          <w:rFonts w:cs="Times New Roman"/>
          <w:sz w:val="20"/>
          <w:szCs w:val="20"/>
        </w:rPr>
        <w:t xml:space="preserve"> across various domains, including supply chain management, banking, and trade financing. Initially, the literature mainly focused on the relational dimensions of IOC, emphasising formal contracts, strategic alignment, and network governance </w:t>
      </w:r>
      <w:r w:rsidRPr="00A65125">
        <w:rPr>
          <w:rFonts w:cs="Times New Roman"/>
          <w:sz w:val="20"/>
          <w:szCs w:val="20"/>
        </w:rPr>
        <w:fldChar w:fldCharType="begin" w:fldLock="1"/>
      </w:r>
      <w:r w:rsidRPr="00A65125">
        <w:rPr>
          <w:rFonts w:cs="Times New Roman"/>
          <w:sz w:val="20"/>
          <w:szCs w:val="20"/>
        </w:rPr>
        <w:instrText>ADDIN CSL_CITATION {"citationItems":[{"id":"ITEM-1","itemData":{"DOI":"10.1016/S0361-3682(02)00056-9","ISSN":"03613682","author":[{"dropping-particle":"","family":"Dekker","given":"Henri C","non-dropping-particle":"","parse-names":false,"suffix":""}],"container-title":"Accounting, Organizations and Society","id":"ITEM-1","issue":"1","issued":{"date-parts":[["2004","1"]]},"page":"27-49","title":"Control of inter-organizational relationships: evidence on appropriation concerns and coordination requirements","type":"article-journal","volume":"29"},"uris":["http://www.mendeley.com/documents/?uuid=0530e0b8-2543-4bf8-89f8-ad13dc6bc3a8"]},{"id":"ITEM-2","itemData":{"DOI":"10.2307/258836","ISSN":"03637425","author":[{"dropping-particle":"","family":"Ring","given":"Peter Smith","non-dropping-particle":"","parse-names":false,"suffix":""},{"dropping-particle":"","family":"Ven","given":"Andrew H.","non-dropping-particle":"van de","parse-names":false,"suffix":""}],"container-title":"The Academy of Management Review","id":"ITEM-2","issue":"1","issued":{"date-parts":[["1994","1"]]},"page":"90","title":"Developmental Processes of Cooperative Interorganizational Relationships","type":"article-journal","volume":"19"},"uris":["http://www.mendeley.com/documents/?uuid=aa3c6d6c-ae81-4d5b-a76b-3afe2ba26624"]}],"mendeley":{"formattedCitation":"(Dekker 2004; Ring &amp; van de Ven 1994)","plainTextFormattedCitation":"(Dekker 2004; Ring &amp; van de Ven 1994)","previouslyFormattedCitation":"(Dekker 2004; Ring &amp; van de Ven 1994)"},"properties":{"noteIndex":0},"schema":"https://github.com/citation-style-language/schema/raw/master/csl-citation.json"}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(Dekker 2004; Ring &amp; van de Ven 1994)</w:t>
      </w:r>
      <w:r w:rsidRPr="00A65125">
        <w:rPr>
          <w:rFonts w:cs="Times New Roman"/>
          <w:sz w:val="20"/>
          <w:szCs w:val="20"/>
        </w:rPr>
        <w:fldChar w:fldCharType="end"/>
      </w:r>
      <w:r w:rsidRPr="00A65125">
        <w:rPr>
          <w:rFonts w:cs="Times New Roman"/>
          <w:sz w:val="20"/>
          <w:szCs w:val="20"/>
        </w:rPr>
        <w:t xml:space="preserve">. Furthermore, these dimensions are often treated as static constructs, rather than being examined as dynamic, situationally contingent mechanisms </w:t>
      </w:r>
      <w:r w:rsidRPr="00A65125">
        <w:rPr>
          <w:rFonts w:cs="Times New Roman"/>
          <w:sz w:val="20"/>
          <w:szCs w:val="20"/>
        </w:rPr>
        <w:fldChar w:fldCharType="begin" w:fldLock="1"/>
      </w:r>
      <w:r w:rsidRPr="00A65125">
        <w:rPr>
          <w:rFonts w:cs="Times New Roman"/>
          <w:sz w:val="20"/>
          <w:szCs w:val="20"/>
        </w:rPr>
        <w:instrText>ADDIN CSL_CITATION {"citationItems":[{"id":"ITEM-1","itemData":{"DOI":"10.5465/19416520.2012.691646","ISSN":"1941-6520","author":[{"dropping-particle":"","family":"Gulati","given":"Ranjay","non-dropping-particle":"","parse-names":false,"suffix":""},{"dropping-particle":"","family":"Wohlgezogen","given":"Franz","non-dropping-particle":"","parse-names":false,"suffix":""},{"dropping-particle":"","family":"Zhelyazkov","given":"Pavel","non-dropping-particle":"","parse-names":false,"suffix":""}],"container-title":"Academy of Management Annals","id":"ITEM-1","issue":"1","issued":{"date-parts":[["2012","6"]]},"page":"531-583","title":"The Two Facets of Collaboration: Cooperation and Coordination in Strategic Alliances","type":"article-journal","volume":"6"},"uris":["http://www.mendeley.com/documents/?uuid=66b44922-078e-4143-8cd3-ecaddf732810"]},{"id":"ITEM-2","itemData":{"DOI":"10.2307/259291","ISSN":"03637425","author":[{"dropping-particle":"","family":"Das","given":"T. K.","non-dropping-particle":"","parse-names":false,"suffix":""},{"dropping-particle":"","family":"Teng","given":"Bing-Sheng","non-dropping-particle":"","parse-names":false,"suffix":""}],"container-title":"The Academy of Management Review","id":"ITEM-2","issue":"3","issued":{"date-parts":[["1998","7"]]},"page":"491","title":"Between Trust and Control: Developing Confidence in Partner Cooperation in Alliances","type":"article-journal","volume":"23"},"uris":["http://www.mendeley.com/documents/?uuid=9bb2af8a-f696-421d-8e2b-b9e92ecc63d2"]}],"mendeley":{"formattedCitation":"(Das &amp; Teng 1998; Gulati et al. 2012)","plainTextFormattedCitation":"(Das &amp; Teng 1998; Gulati et al. 2012)","previouslyFormattedCitation":"(Das &amp; Teng 1998; Gulati et al. 2012)"},"properties":{"noteIndex":0},"schema":"https://github.com/citation-style-language/schema/raw/master/csl-citation.json"}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(Das &amp; Teng 1998; Gulati et al. 2012)</w:t>
      </w:r>
      <w:r w:rsidRPr="00A65125">
        <w:rPr>
          <w:rFonts w:cs="Times New Roman"/>
          <w:sz w:val="20"/>
          <w:szCs w:val="20"/>
        </w:rPr>
        <w:fldChar w:fldCharType="end"/>
      </w:r>
      <w:r w:rsidRPr="00A65125">
        <w:rPr>
          <w:rFonts w:cs="Times New Roman"/>
          <w:sz w:val="20"/>
          <w:szCs w:val="20"/>
        </w:rPr>
        <w:t xml:space="preserve">. In their study, </w:t>
      </w:r>
      <w:r w:rsidRPr="00A65125">
        <w:rPr>
          <w:rFonts w:cs="Times New Roman"/>
          <w:sz w:val="20"/>
          <w:szCs w:val="20"/>
        </w:rPr>
        <w:fldChar w:fldCharType="begin" w:fldLock="1"/>
      </w:r>
      <w:r w:rsidRPr="00A65125">
        <w:rPr>
          <w:rFonts w:cs="Times New Roman"/>
          <w:sz w:val="20"/>
          <w:szCs w:val="20"/>
        </w:rPr>
        <w:instrText>ADDIN CSL_CITATION {"citationItems":[{"id":"ITEM-1","itemData":{"DOI":"10.2308/HORIZONS-19-147","ISSN":"1558-7975","abstract":"Blockchain technology is increasingly emerging as an important organizational phenomenon, especially for collaboration across firm boundaries. Over the past three decades, accounting scholars have shown significant interest in management accounting and control mechanisms that are used by actors to sustain inter-organizational relationships. We outline fundamental technical features and limitations of permissioned blockchain technology and analytically propose blockchain as an empirical concept with implications for management accounting practices that underpin inter-organizational collaboration, trust, control, and information exchange. Particular focus of the analysis is on the interplay between the technical capabilities of blockchain technology and inter-organizational management control procedures. Based on this analysis, we develop a series of propositions that theorize how these procedures affect the way in which blockchain is enacted in IORs, and how they are affected by blockchain in turn. The paper concludes with a research agenda for accounting scholars and offers directions for further research.","author":[{"dropping-particle":"","family":"Kostić","given":"Nikola","non-dropping-particle":"","parse-names":false,"suffix":""},{"dropping-particle":"","family":"Sedej","given":"Tomaz","non-dropping-particle":"","parse-names":false,"suffix":""}],"container-title":"Accounting Horizons","id":"ITEM-1","issue":"2","issued":{"date-parts":[["2022","6","1"]]},"page":"123-141","title":"Blockchain Technology, Inter-Organizational Relationships, and Management Accounting: A Synthesis and a Research Agenda","type":"article-journal","volume":"36"},"uris":["http://www.mendeley.com/documents/?uuid=6f39ff4b-9161-4c9b-9e25-8f0f8cbabd96"]}],"mendeley":{"formattedCitation":"(Kostić &amp; Sedej 2022)","manualFormatting":"Kostić and Sedej (2022)","plainTextFormattedCitation":"(Kostić &amp; Sedej 2022)","previouslyFormattedCitation":"(Kostić &amp; Sedej 2022)"},"properties":{"noteIndex":0},"schema":"https://github.com/citation-style-language/schema/raw/master/csl-citation.json"}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Kostić and Sedej (2022)</w:t>
      </w:r>
      <w:r w:rsidRPr="00A65125">
        <w:rPr>
          <w:rFonts w:cs="Times New Roman"/>
          <w:sz w:val="20"/>
          <w:szCs w:val="20"/>
        </w:rPr>
        <w:fldChar w:fldCharType="end"/>
      </w:r>
      <w:r w:rsidRPr="00A65125">
        <w:rPr>
          <w:rFonts w:cs="Times New Roman"/>
          <w:sz w:val="20"/>
          <w:szCs w:val="20"/>
        </w:rPr>
        <w:t xml:space="preserve"> extend the interorganisational theoretical lens in the core dimensions of collaboration, trust, control, and information exchange in the potential of blockchain technology integration. For example, trust is frequently positioned as a precondition for collaboration, with insufficient attention to its development as an outcome of the performance of </w:t>
      </w:r>
      <w:r w:rsidR="00470DA6" w:rsidRPr="00A65125">
        <w:rPr>
          <w:rFonts w:cs="Times New Roman"/>
          <w:sz w:val="20"/>
          <w:szCs w:val="20"/>
        </w:rPr>
        <w:t>IOC workflows</w:t>
      </w:r>
      <w:r w:rsidRPr="00A65125">
        <w:rPr>
          <w:rFonts w:cs="Times New Roman"/>
          <w:sz w:val="20"/>
          <w:szCs w:val="20"/>
        </w:rPr>
        <w:t xml:space="preserve"> </w:t>
      </w:r>
      <w:r w:rsidRPr="00A65125">
        <w:rPr>
          <w:rFonts w:cs="Times New Roman"/>
          <w:sz w:val="20"/>
          <w:szCs w:val="20"/>
        </w:rPr>
        <w:fldChar w:fldCharType="begin" w:fldLock="1"/>
      </w:r>
      <w:r w:rsidRPr="00A65125">
        <w:rPr>
          <w:rFonts w:cs="Times New Roman"/>
          <w:sz w:val="20"/>
          <w:szCs w:val="20"/>
        </w:rPr>
        <w:instrText>ADDIN CSL_CITATION {"citationItems":[{"id":"ITEM-1","itemData":{"DOI":"https://doi.org/10.17605/OSF.IO/SN9TF","abstract":"Effective rebate management is crucial for organizations to optimize their supply chain operations; improve financial performance; and strengthen supplier relationships. This article presents a comprehensive framework for rebate management; covering the entire lifecycle from negotiating agreements to monitoring supplier performance. Key aspects include accurate data capture and validation; efficient rebate accrual and calculation; streamlined claim processing and approval; timely rebate settlement and payment; and continuous supplier performance optimization. The article emphasizes the importance of cross-functional collaboration; robust data management practices; and strategic use of technology solutions. Organizations that proactively address the challenges and opportunities associated with rebate management can achieve sustainable growth; maintain a competitive edge; and foster long-term; mutually beneficial supplier relationships in an increasingly complex business landscape","author":[{"dropping-particle":"","family":"Shivaraj","given":"Gayathri","non-dropping-particle":"","parse-names":false,"suffix":""}],"container-title":"International Journal of Advanced Research in Engineering and Technology","id":"ITEM-1","issue":"3","issued":{"date-parts":[["2024"]]},"page":"110-118","title":"OPTIMIZING REBATE MANAGEMENT IN SUPPLY CHAIN OPERATIONS","type":"article-journal","volume":"15"},"uris":["http://www.mendeley.com/documents/?uuid=18bf65e5-0289-42d8-8923-5def8e3a97ee"]}],"mendeley":{"formattedCitation":"(Shivaraj 2024)","plainTextFormattedCitation":"(Shivaraj 2024)","previouslyFormattedCitation":"(Shivaraj 2024)"},"properties":{"noteIndex":0},"schema":"https://github.com/citation-style-language/schema/raw/master/csl-citation.json"}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(Shivaraj 2024)</w:t>
      </w:r>
      <w:r w:rsidRPr="00A65125">
        <w:rPr>
          <w:rFonts w:cs="Times New Roman"/>
          <w:sz w:val="20"/>
          <w:szCs w:val="20"/>
        </w:rPr>
        <w:fldChar w:fldCharType="end"/>
      </w:r>
      <w:r w:rsidRPr="00A65125">
        <w:rPr>
          <w:rFonts w:cs="Times New Roman"/>
          <w:sz w:val="20"/>
          <w:szCs w:val="20"/>
        </w:rPr>
        <w:t xml:space="preserve">. Control mechanisms, particularly in </w:t>
      </w:r>
      <w:r w:rsidR="00DC3F6D" w:rsidRPr="00A65125">
        <w:rPr>
          <w:rFonts w:cs="Times New Roman"/>
          <w:sz w:val="20"/>
          <w:szCs w:val="20"/>
        </w:rPr>
        <w:t>service level agreement</w:t>
      </w:r>
      <w:r w:rsidRPr="00A65125">
        <w:rPr>
          <w:rFonts w:cs="Times New Roman"/>
          <w:sz w:val="20"/>
          <w:szCs w:val="20"/>
        </w:rPr>
        <w:t>s (</w:t>
      </w:r>
      <w:r w:rsidR="008752C6" w:rsidRPr="00A65125">
        <w:rPr>
          <w:rFonts w:cs="Times New Roman"/>
          <w:sz w:val="20"/>
          <w:szCs w:val="20"/>
        </w:rPr>
        <w:t>SLA</w:t>
      </w:r>
      <w:r w:rsidRPr="00A65125">
        <w:rPr>
          <w:rFonts w:cs="Times New Roman"/>
          <w:sz w:val="20"/>
          <w:szCs w:val="20"/>
        </w:rPr>
        <w:t xml:space="preserve">), are typically assumed to be effective by their mere existence, with little scrutiny of their actual enforceability or contextual responsiveness </w:t>
      </w:r>
      <w:r w:rsidRPr="00A65125">
        <w:rPr>
          <w:rFonts w:cs="Times New Roman"/>
          <w:sz w:val="20"/>
          <w:szCs w:val="20"/>
        </w:rPr>
        <w:fldChar w:fldCharType="begin" w:fldLock="1"/>
      </w:r>
      <w:r w:rsidRPr="00A65125">
        <w:rPr>
          <w:rFonts w:cs="Times New Roman"/>
          <w:sz w:val="20"/>
          <w:szCs w:val="20"/>
        </w:rPr>
        <w:instrText>ADDIN CSL_CITATION {"citationItems":[{"id":"ITEM-1","itemData":{"DOI":"10.1109/TPSISA52974.2021.00015","ISBN":"9781665416238","abstract":"A Service Level Agreement (SLA) is a special kind of legal contract that binds a vendor to its customers where the vendor commits to provide certain services in exchange for certain payment from the customers. On the other hand, a Smart Contract is a contract that is a computer program that also binds multiple parties into given agreements but is a set of a precise rules and is self-enforceable and self-executable. Since almost all legal contracts are ambiguous by nature and are complex to read and understand, we perform a novel study on how we can replace the traditional vague legal contract with the smart contact and the effect of the ambiguity on the smart contract by performing a thorough analysis on SLAs by measuring their ambiguities in various aspects. We take several samples of real SLAs from six different popular broadband vendors. We use four random SLAs to train the machine learning model to classify and then detect ambiguous words in two unseen SLAs which were the SLAs of Ziply Fiber and Century Link. As different people form different interpretations while reading the ambiguous legal contracts, we generate various human interpretations from the machine detected ambiguous words and convert all those generated interpretations into Smart Contracts to perform testing in Ethereum-based Blockchain to identify the most ambiguous as well as accurate interpretation of the SLA. From our analysis and observation, we were able to find out the most ambiguous interpretation of SLAs and we concluded that the SLA of Ziply Fiber was more ambiguous in general compared to the SLA of Century Link. Moreover, our proposed approach to detect ambiguous terms and to translate an ambiguous legal contract to a smart legal contract using a formal language to measure the degree of ambiguity can be extrapolated and replicated to legal contracts from other types of industries as well.","author":[{"dropping-particle":"","family":"Upadhyay","given":"Kritagya","non-dropping-particle":"","parse-names":false,"suffix":""},{"dropping-particle":"","family":"Dantu","given":"Ram","non-dropping-particle":"","parse-names":false,"suffix":""},{"dropping-particle":"","family":"He","given":"Yanyan","non-dropping-particle":"","parse-names":false,"suffix":""},{"dropping-particle":"","family":"Badruddoja","given":"Syed","non-dropping-particle":"","parse-names":false,"suffix":""},{"dropping-particle":"","family":"Salau","given":"Abiola","non-dropping-particle":"","parse-names":false,"suffix":""}],"container-title":"Proceedings - 2021 3rd IEEE International Conference on Trust, Privacy and Security in Intelligent Systems and Applications, TPS-ISA 2021","id":"ITEM-1","issued":{"date-parts":[["2021"]]},"page":"129-136","publisher":"IEEE","title":"Can't Understand SLAs? Use the Smart Contract","type":"article-journal"},"uris":["http://www.mendeley.com/documents/?uuid=9d5d5d0e-1898-4c02-a557-b5ae0a5525ee"]},{"id":"ITEM-2","itemData":{"DOI":"10.31436/id.v31i2.1922","ISSN":"0128-4878","abstract":"Abstract: Using smart contracts as a new technology for online contracting has become the best option today when working in non-trustworthy environments to execute automated irreversible agreements. However, such contracts have issues relating to the language used for expressing the obligations of the involved parties. Additionally, smart contracts have no legal recognition of blockchain as a means of record-keeping for smart contract transactions. Parties engaged in smart contracts face difficulties in terms of incompatibilities with current legal frameworks. The objective of this article is to evaluate the legality of smart contract language and the validity of blockchain as an electronic medium from the perspectives of current laws. This article adopts a qualitative doctrinal legal research approach. The findings indicate that there is a need to enact laws that recognise the language used for smart contracts and the transactions recorded on the blockchain.","author":[{"dropping-particle":"","family":"Atiyah","given":"Ghassan Adhab","non-dropping-particle":"","parse-names":false,"suffix":""},{"dropping-particle":"","family":"Abdul Manap","given":"Nazura","non-dropping-particle":"","parse-names":false,"suffix":""},{"dropping-particle":"","family":"Abd Aziz","given":"Saidatul Nadia","non-dropping-particle":"","parse-names":false,"suffix":""}],"container-title":"Intellectual Discourse","id":"ITEM-2","issue":"2","issued":{"date-parts":[["2023"]]},"page":"421-444","title":"Legitimacy of Smart Contracts Written in Encrypted Code on Blockchain Technology Under Current Contract Law: A Comparative Study","type":"article-journal","volume":"31"},"uris":["http://www.mendeley.com/documents/?uuid=e3834a33-dcb9-4a35-a2a4-6a4487fe8945"]}],"mendeley":{"formattedCitation":"(Atiyah et al. 2023; K. Upadhyay et al. 2021)","manualFormatting":"(Atiyah et al. 2023; Upadhyay et al. 2021)","plainTextFormattedCitation":"(Atiyah et al. 2023; K. Upadhyay et al. 2021)","previouslyFormattedCitation":"(Atiyah et al. 2023; K. Upadhyay et al.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(Atiyah et al. 2023; Upadhyay et al. 2021)</w:t>
      </w:r>
      <w:r w:rsidRPr="00A65125">
        <w:rPr>
          <w:rFonts w:cs="Times New Roman"/>
          <w:sz w:val="20"/>
          <w:szCs w:val="20"/>
        </w:rPr>
        <w:fldChar w:fldCharType="end"/>
      </w:r>
      <w:r w:rsidRPr="00A65125">
        <w:rPr>
          <w:rFonts w:cs="Times New Roman"/>
          <w:sz w:val="20"/>
          <w:szCs w:val="20"/>
        </w:rPr>
        <w:t xml:space="preserve">. Similarly, information exchange is often narrowly framed in terms of system integration </w:t>
      </w:r>
      <w:r w:rsidRPr="00A65125">
        <w:rPr>
          <w:rFonts w:cs="Times New Roman"/>
          <w:sz w:val="20"/>
          <w:szCs w:val="20"/>
        </w:rPr>
        <w:fldChar w:fldCharType="begin" w:fldLock="1"/>
      </w:r>
      <w:r w:rsidRPr="00A65125">
        <w:rPr>
          <w:rFonts w:cs="Times New Roman"/>
          <w:sz w:val="20"/>
          <w:szCs w:val="20"/>
        </w:rPr>
        <w:instrText>ADDIN CSL_CITATION {"citationItems":[{"id":"ITEM-1","itemData":{"DOI":"10.1016/j.mar.2012.03.001","ISSN":"10445005","author":[{"dropping-particle":"","family":"Caglio","given":"Ariela","non-dropping-particle":"","parse-names":false,"suffix":""},{"dropping-particle":"","family":"Ditillo","given":"Angelo","non-dropping-particle":"","parse-names":false,"suffix":""}],"container-title":"Management Accounting Research","id":"ITEM-1","issue":"2","issued":{"date-parts":[["2012","6"]]},"page":"61-78","title":"Opening the black box of management accounting information exchanges in buyer–supplier relationships","type":"article-journal","volume":"23"},"uris":["http://www.mendeley.com/documents/?uuid=61648990-d853-4e6d-a2e6-babeec78f093"]}],"mendeley":{"formattedCitation":"(Caglio &amp; Ditillo 2012)","plainTextFormattedCitation":"(Caglio &amp; Ditillo 2012)","previouslyFormattedCitation":"(Caglio &amp; Ditillo 2012)"},"properties":{"noteIndex":0},"schema":"https://github.com/citation-style-language/schema/raw/master/csl-citation.json"}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(Caglio &amp; Ditillo 2012)</w:t>
      </w:r>
      <w:r w:rsidRPr="00A65125">
        <w:rPr>
          <w:rFonts w:cs="Times New Roman"/>
          <w:sz w:val="20"/>
          <w:szCs w:val="20"/>
        </w:rPr>
        <w:fldChar w:fldCharType="end"/>
      </w:r>
      <w:r w:rsidRPr="00A65125">
        <w:rPr>
          <w:rFonts w:cs="Times New Roman"/>
          <w:sz w:val="20"/>
          <w:szCs w:val="20"/>
        </w:rPr>
        <w:t xml:space="preserve">, but less attention is given to the impact of decentralised communication protocols, which lead to tension on organisational relationships </w:t>
      </w:r>
      <w:r w:rsidRPr="00A65125">
        <w:rPr>
          <w:rFonts w:cs="Times New Roman"/>
          <w:sz w:val="20"/>
          <w:szCs w:val="20"/>
        </w:rPr>
        <w:fldChar w:fldCharType="begin" w:fldLock="1"/>
      </w:r>
      <w:r w:rsidRPr="00A65125">
        <w:rPr>
          <w:rFonts w:cs="Times New Roman"/>
          <w:sz w:val="20"/>
          <w:szCs w:val="20"/>
        </w:rPr>
        <w:instrText>ADDIN CSL_CITATION {"citationItems":[{"id":"ITEM-1","itemData":{"DOI":"10.1111/auar.12280","ISSN":"1035-6908","abstract":"This paper aims to propound a thorough and circumspect analysis of the implications of blockchain technology in the accounting profession and its broader industry. The analysis begins with a summary of early developments by first movers and how they are harnessing blockchain technology to improve business practices. Concomitantly, the paper will go on to discuss how this technology will streamline accounting processes, specifically as the technology approaches critical mass. Finally, a discussion of its long‐term implications will follow through a more philosophical and conceptual dialogue. Throughout the paper, criticisms will be raised to address concerns regarding blockchain's widespread use.","author":[{"dropping-particle":"","family":"Karajovic","given":"Maria","non-dropping-particle":"","parse-names":false,"suffix":""},{"dropping-particle":"","family":"Kim","given":"Henry M.","non-dropping-particle":"","parse-names":false,"suffix":""},{"dropping-particle":"","family":"Laskowski","given":"Marek","non-dropping-particle":"","parse-names":false,"suffix":""}],"container-title":"Australian Accounting Review","id":"ITEM-1","issue":"2","issued":{"date-parts":[["2019","6","15"]]},"page":"319-330","title":"Thinking Outside the Block: Projected Phases of Blockchain Integration in the Accounting Industry","type":"article-journal","volume":"29"},"uris":["http://www.mendeley.com/documents/?uuid=e7008c98-b9b3-4148-96b1-48d7ef801462"]},{"id":"ITEM-2","itemData":{"DOI":"10.1108/AAAJ-10-2020-4994","ISSN":"09513574","abstract":"Purpose: This paper aims to design, build and evaluate a blockchain platform in the accounting domain, taking an ecosystem perspective. To achieve this aim, the research provides evidence for developing a decentralised architecture rooted on blockchain technology, designing a proof of concept and modelling an accounting blockchain-based system. Design/methodology/approach: Moving from the analysis of previous literature and leveraging on the design science approach, this paper provides a framework grounded on the main pillars of blockchain and accounting functions, identifying technical and non-technical issues that must be addressed embrace blockchain technology's full potential. Findings: We propose and discuss a conceptual framework for a blockchain-based accounting context, moving from the identification of a typical accounting scenario. The framework is organised around three scalable levels: the first level is a technological infrastructure based on a distributed database with peer-to-peer storage; second, in the intermediate level, increasing control levels are assured through permissions and validation and third, in the higher level, the system provides the integration of business and security applications. The deployment of this system relies on a private network of nodes that validates transactions. Practical implications: The proposed conceptual framework about blockchain development in accounting allows closing the knowledge gap between blockchain developers and accounting experts by suggesting technological and strategic issues for practitioners. Originality/value: We provide practical guidelines to design and adopt blockchain in the accounting domain.","author":[{"dropping-particle":"","family":"Centobelli","given":"Piera","non-dropping-particle":"","parse-names":false,"suffix":""},{"dropping-particle":"","family":"Cerchione","given":"Roberto","non-dropping-particle":"","parse-names":false,"suffix":""},{"dropping-particle":"","family":"Vecchio","given":"Pasquale","non-dropping-particle":"Del","parse-names":false,"suffix":""},{"dropping-particle":"","family":"Oropallo","given":"Eugenio","non-dropping-particle":"","parse-names":false,"suffix":""},{"dropping-particle":"","family":"Secundo","given":"Giustina","non-dropping-particle":"","parse-names":false,"suffix":""}],"container-title":"Accounting, Auditing and Accountability Journal","id":"ITEM-2","issue":"7","issued":{"date-parts":[["2022"]]},"page":"1566-1597","publisher-place":"Italy","title":"Blockchain technology design in accounting: Game changer to tackle fraud or technological fairy tale?","type":"article-journal","volume":"35"},"uris":["http://www.mendeley.com/documents/?uuid=4abd4a1a-795b-4fae-a994-ce2c77c363c1"]}],"mendeley":{"formattedCitation":"(Centobelli et al. 2022; Karajovic et al. 2019)","plainTextFormattedCitation":"(Centobelli et al. 2022; Karajovic et al. 2019)","previouslyFormattedCitation":"(Centobelli et al. 2022; Karajovic et al. 2019)"},"properties":{"noteIndex":0},"schema":"https://github.com/citation-style-language/schema/raw/master/csl-citation.json"}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(Centobelli et al. 2022; Karajovic et al. 2019)</w:t>
      </w:r>
      <w:r w:rsidRPr="00A65125">
        <w:rPr>
          <w:rFonts w:cs="Times New Roman"/>
          <w:sz w:val="20"/>
          <w:szCs w:val="20"/>
        </w:rPr>
        <w:fldChar w:fldCharType="end"/>
      </w:r>
      <w:r w:rsidRPr="00A65125">
        <w:rPr>
          <w:rFonts w:cs="Times New Roman"/>
          <w:sz w:val="20"/>
          <w:szCs w:val="20"/>
        </w:rPr>
        <w:t>.</w:t>
      </w:r>
    </w:p>
    <w:p w14:paraId="4779E995" w14:textId="2EE13D53" w:rsidR="008602B7" w:rsidRPr="00A65125" w:rsidRDefault="00EC2565" w:rsidP="00A65125">
      <w:pPr>
        <w:pStyle w:val="BodyText1"/>
        <w:rPr>
          <w:rFonts w:cs="Times New Roman"/>
          <w:sz w:val="20"/>
          <w:szCs w:val="20"/>
        </w:rPr>
      </w:pPr>
      <w:r w:rsidRPr="00A65125">
        <w:rPr>
          <w:rFonts w:cs="Times New Roman"/>
          <w:sz w:val="20"/>
          <w:szCs w:val="20"/>
        </w:rPr>
        <w:t>However, this theoretical framing overlooks the complexity of a high-volume, highly regulated domain such as the e-payment process at a public sector agency. As a result, a notable gap persists in exploring how these interorganisational collaboration dimensions interact with the operational realities of the digitally mediated public sector e-payment environment. Therefore, this study explores how the dimensions of interorganisational collaboration</w:t>
      </w:r>
      <w:r w:rsidR="00495028" w:rsidRPr="00A65125">
        <w:rPr>
          <w:rFonts w:cs="Times New Roman"/>
          <w:sz w:val="20"/>
          <w:szCs w:val="20"/>
        </w:rPr>
        <w:t xml:space="preserve"> such </w:t>
      </w:r>
      <w:r w:rsidR="001F54BC" w:rsidRPr="00A65125">
        <w:rPr>
          <w:rFonts w:cs="Times New Roman"/>
          <w:sz w:val="20"/>
          <w:szCs w:val="20"/>
        </w:rPr>
        <w:t>as collaboration</w:t>
      </w:r>
      <w:r w:rsidRPr="00A65125">
        <w:rPr>
          <w:rFonts w:cs="Times New Roman"/>
          <w:sz w:val="20"/>
          <w:szCs w:val="20"/>
        </w:rPr>
        <w:t>, trust, control, and information exchange</w:t>
      </w:r>
      <w:r w:rsidR="009B63D6" w:rsidRPr="00A65125">
        <w:rPr>
          <w:rFonts w:cs="Times New Roman"/>
          <w:sz w:val="20"/>
          <w:szCs w:val="20"/>
        </w:rPr>
        <w:t xml:space="preserve"> that </w:t>
      </w:r>
      <w:r w:rsidRPr="00A65125">
        <w:rPr>
          <w:rFonts w:cs="Times New Roman"/>
          <w:sz w:val="20"/>
          <w:szCs w:val="20"/>
        </w:rPr>
        <w:t xml:space="preserve">manifest the challenges of </w:t>
      </w:r>
      <w:r w:rsidR="00470DA6" w:rsidRPr="00A65125">
        <w:rPr>
          <w:rFonts w:cs="Times New Roman"/>
          <w:sz w:val="20"/>
          <w:szCs w:val="20"/>
        </w:rPr>
        <w:t>IOC workflows</w:t>
      </w:r>
      <w:r w:rsidRPr="00A65125">
        <w:rPr>
          <w:rFonts w:cs="Times New Roman"/>
          <w:sz w:val="20"/>
          <w:szCs w:val="20"/>
        </w:rPr>
        <w:t xml:space="preserve"> within the e-payment process at the public sector agency. </w:t>
      </w:r>
      <w:r w:rsidR="008752C6" w:rsidRPr="00A65125">
        <w:rPr>
          <w:rFonts w:cs="Times New Roman"/>
          <w:sz w:val="20"/>
          <w:szCs w:val="20"/>
        </w:rPr>
        <w:t>It also seeks to develop an empirically grounded and process-sensitive extension of the interorganisational collaboration framework that reflects the unique operational dynamics of the public sector context.</w:t>
      </w:r>
      <w:r w:rsidRPr="00A65125">
        <w:rPr>
          <w:rFonts w:cs="Times New Roman"/>
          <w:sz w:val="20"/>
          <w:szCs w:val="20"/>
        </w:rPr>
        <w:t xml:space="preserve"> </w:t>
      </w:r>
      <w:r w:rsidRPr="00A65125">
        <w:rPr>
          <w:rFonts w:cs="Times New Roman"/>
          <w:color w:val="EE0000"/>
          <w:sz w:val="20"/>
          <w:szCs w:val="20"/>
        </w:rPr>
        <w:t xml:space="preserve">The significance of this study lies in its contribution to the theoretical extension of </w:t>
      </w:r>
      <w:r w:rsidR="008752C6" w:rsidRPr="00A65125">
        <w:rPr>
          <w:rFonts w:cs="Times New Roman"/>
          <w:color w:val="EE0000"/>
          <w:sz w:val="20"/>
          <w:szCs w:val="20"/>
        </w:rPr>
        <w:t>interorganisational collaboration</w:t>
      </w:r>
      <w:r w:rsidRPr="00A65125">
        <w:rPr>
          <w:rFonts w:cs="Times New Roman"/>
          <w:color w:val="EE0000"/>
          <w:sz w:val="20"/>
          <w:szCs w:val="20"/>
        </w:rPr>
        <w:t xml:space="preserve">, while also providing a foundational basis for public sector agencies to explore the suitability of technology integration in addressing </w:t>
      </w:r>
      <w:r w:rsidR="00470DA6" w:rsidRPr="00A65125">
        <w:rPr>
          <w:rFonts w:cs="Times New Roman"/>
          <w:color w:val="EE0000"/>
          <w:sz w:val="20"/>
          <w:szCs w:val="20"/>
        </w:rPr>
        <w:t>IOC workflows</w:t>
      </w:r>
      <w:r w:rsidRPr="00A65125">
        <w:rPr>
          <w:rFonts w:cs="Times New Roman"/>
          <w:color w:val="EE0000"/>
          <w:sz w:val="20"/>
          <w:szCs w:val="20"/>
        </w:rPr>
        <w:t xml:space="preserve"> challenges and improving inter-entity coordination in the e-payment process</w:t>
      </w:r>
      <w:r w:rsidRPr="00A65125">
        <w:rPr>
          <w:rFonts w:cs="Times New Roman"/>
          <w:sz w:val="20"/>
          <w:szCs w:val="20"/>
        </w:rPr>
        <w:t>.</w:t>
      </w:r>
    </w:p>
    <w:p w14:paraId="6AEEB038" w14:textId="77777777" w:rsidR="00EC2565" w:rsidRPr="00A65125" w:rsidRDefault="00EC2565" w:rsidP="00A65125">
      <w:pPr>
        <w:pStyle w:val="BodyText1"/>
        <w:rPr>
          <w:rFonts w:cs="Times New Roman"/>
          <w:sz w:val="20"/>
          <w:szCs w:val="20"/>
        </w:rPr>
      </w:pPr>
    </w:p>
    <w:p w14:paraId="28CE49F6" w14:textId="77777777" w:rsidR="008602B7" w:rsidRPr="00A65125" w:rsidRDefault="008602B7" w:rsidP="00A65125">
      <w:pPr>
        <w:pStyle w:val="BodyText1"/>
        <w:rPr>
          <w:rFonts w:cs="Times New Roman"/>
          <w:sz w:val="20"/>
          <w:szCs w:val="20"/>
        </w:rPr>
      </w:pPr>
    </w:p>
    <w:p w14:paraId="3313DD1E" w14:textId="0CF83817" w:rsidR="005117BA" w:rsidRPr="00A65125" w:rsidRDefault="006A5346" w:rsidP="00A65125">
      <w:pPr>
        <w:pStyle w:val="Heading1"/>
        <w:rPr>
          <w:rFonts w:cs="Times New Roman"/>
          <w:sz w:val="20"/>
          <w:szCs w:val="20"/>
        </w:rPr>
      </w:pPr>
      <w:r w:rsidRPr="00A65125">
        <w:rPr>
          <w:rFonts w:cs="Times New Roman"/>
          <w:sz w:val="20"/>
          <w:szCs w:val="20"/>
        </w:rPr>
        <w:t>LITERATURE REVIEW</w:t>
      </w:r>
    </w:p>
    <w:p w14:paraId="6F0A4C12" w14:textId="77777777" w:rsidR="00DA3A07" w:rsidRPr="00A65125" w:rsidRDefault="00DA3A07" w:rsidP="00A65125">
      <w:pPr>
        <w:rPr>
          <w:sz w:val="20"/>
          <w:szCs w:val="20"/>
          <w:lang w:val="en-MY" w:eastAsia="en-US"/>
        </w:rPr>
      </w:pPr>
    </w:p>
    <w:p w14:paraId="5EDB2F0F" w14:textId="7822069D" w:rsidR="00DA3A07" w:rsidRPr="00A65125" w:rsidRDefault="00DA3A07" w:rsidP="00A65125">
      <w:pPr>
        <w:pStyle w:val="BodyText1"/>
        <w:ind w:firstLine="0"/>
        <w:rPr>
          <w:rFonts w:eastAsia="Times New Roman" w:cs="Times New Roman"/>
          <w:bCs w:val="0"/>
          <w:kern w:val="0"/>
          <w:sz w:val="20"/>
          <w:szCs w:val="20"/>
        </w:rPr>
      </w:pPr>
      <w:r w:rsidRPr="00A65125">
        <w:rPr>
          <w:rFonts w:eastAsia="Times New Roman" w:cs="Times New Roman"/>
          <w:bCs w:val="0"/>
          <w:kern w:val="0"/>
          <w:sz w:val="20"/>
          <w:szCs w:val="20"/>
        </w:rPr>
        <w:t xml:space="preserve">Public service delivery is complex and interdependent, necessitating robust coordination across organisations. Traditional governance, centred on market or hierarchical mechanisms, cannot capture dynamic interorganisational collaboration such as strategic alliances and partnerships </w:t>
      </w:r>
      <w:r w:rsidRPr="00A65125">
        <w:rPr>
          <w:rFonts w:cs="Times New Roman"/>
          <w:sz w:val="20"/>
          <w:szCs w:val="20"/>
        </w:rPr>
        <w:fldChar w:fldCharType="begin" w:fldLock="1"/>
      </w:r>
      <w:r w:rsidRPr="00A65125">
        <w:rPr>
          <w:rFonts w:cs="Times New Roman"/>
          <w:sz w:val="20"/>
          <w:szCs w:val="20"/>
        </w:rPr>
        <w:instrText>ADDIN CSL_CITATION {"citationItems":[{"id":"ITEM-1","itemData":{"DOI":"10.1108/jeas-10-2021-0200","ISSN":"2054-6238","abstract":"Purpose The novel blockchain technology can be leveraged, owing to the growth in computing power and its widespread applications. This study aims to understand the challenges of adopting blockchain technology in the financial sector, organise them into a model and classify them for systematic address. Design/methodology/approach Interpretive Structural Modeling (ISM) has been carried out along with MICMAC (Matrice d’impacts croisés multiplication appliquée á un classment) analysis to hierarchically structure blockchain adoption problems and categorise the challenges into four classes-autonomous, dependent, linkage and independent for better addressing. The study also uses content analysis using NVivo software. Findings The digraph depicts the hierarchical challenge model. Vulnerability to financial crimes and glitches, privacy issues and geopolitical tensions due to cross-border transactions are the dependent variables. Complex architecture to comprehend, code and fix, the need for new financial intermediaries, complexity in auditing and the lack of unified governance and coordination among institutions and regulators are the independent variables. The digraph, which is also justified by the qualitative content analysis, is beneficial for stakeholders to systematically address the interdependent challenges associated with blockchain implementations in finance to foster its favourable adoption. Practical implications The challenges in the adoption of blockchain should be resolved to allow the implementation of this technology in various finance domains. This study enables organisations to carry out resource planning and systematically address these challenges to leverage the advantages of blockchain. Social implications The results of the present study can help in promoting the proliferation of blockchain for faster, cost-effective, transparent and secure financial transactions and foster innovative and new business models for economic growth. Originality/value The development of technology has brought about significant changes in the financial sector. Blockchain is a technological advancement that aims to bring security and transparency to transactions. There has been no research leveraging ISM-MICMAC to hierarchically organise and classify the blockchain challenges in the financial sector, a critical one. The research also uses content analysis which is seldom found along with ISM-MICMAC.","author":[{"dropping-particle":"","family":"Banerjee","given":"Supratika Samir","non-dropping-particle":"","parse-names":false,"suffix":""},{"dropping-particle":"","family":"Chandani","given":"Arti","non-dropping-particle":"","parse-names":false,"suffix":""}],"container-title":"Journal of Economic and Administrative Sciences","id":"ITEM-1","issued":{"date-parts":[["2022"]]},"title":"Challenges of blockchain application in the financial sector: a qualitative study","type":"article-journal"},"uris":["http://www.mendeley.com/documents/?uuid=55695ff0-72a9-466d-93d3-f0849a5dd9d0"]},{"id":"ITEM-2","itemData":{"DOI":"10.3390/admsci14020025","ISSN":"2076-3387","abstract":"Although inter-organisational collaborative structures play a vital role in determining the level of collaboration among organisations, the identification of required organisational structural types and their features to facilitate fruitful collaboration is not satisfactorily discussed in existing studies. In addition, the connection between inter-organisational structural types and features, and their influence on collaboration, is not well understood. This systematised literature review study explores the available inter-organisational collaborative structural types, features, and their suitability to facilitate collaboration among organisations. Our findings underscore the importance of adopting a hybrid form of hierarchy and network arrangements to facilitate effective collaboration among organisations. Furthermore, this study developed a framework that presents how collaboration depends on inter-organisational structures and their features in facilitating vertical and horizontal integration. This framework can be used to identify the inter-organisational collaboration structures that are required to move towards a desired inter-organisational collaboration level.","author":[{"dropping-particle":"","family":"Ganeshu","given":"Pavithra","non-dropping-particle":"","parse-names":false,"suffix":""},{"dropping-particle":"","family":"Fernando","given":"Terrence","non-dropping-particle":"","parse-names":false,"suffix":""},{"dropping-particle":"","family":"Therrien","given":"Marie-Chiristine","non-dropping-particle":"","parse-names":false,"suffix":""},{"dropping-particle":"","family":"Keraminiyage","given":"Kaushal","non-dropping-particle":"","parse-names":false,"suffix":""}],"container-title":"Administrative Sciences","id":"ITEM-2","issue":"2","issued":{"date-parts":[["2024","1","29"]]},"page":"25","title":"Inter-Organisational Collaboration Structures and Features to Facilitate Stakeholder Collaboration","type":"article-journal","volume":"14"},"uris":["http://www.mendeley.com/documents/?uuid=3fec7992-84d3-4be7-9dd1-32f3bb9c912c"]}],"mendeley":{"formattedCitation":"(Banerjee &amp; Chandani 2022; Ganeshu et al. 2024)","plainTextFormattedCitation":"(Banerjee &amp; Chandani 2022; Ganeshu et al. 2024)","previouslyFormattedCitation":"(Banerjee &amp; Chandani 2022; Ganeshu et al. 2024)"},"properties":{"noteIndex":0},"schema":"https://github.com/citation-style-language/schema/raw/master/csl-citation.json"}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(Banerjee &amp; Chandani 2022; Ganeshu et al. 2024)</w:t>
      </w:r>
      <w:r w:rsidRPr="00A65125">
        <w:rPr>
          <w:rFonts w:cs="Times New Roman"/>
          <w:sz w:val="20"/>
          <w:szCs w:val="20"/>
        </w:rPr>
        <w:fldChar w:fldCharType="end"/>
      </w:r>
      <w:r w:rsidRPr="00A65125">
        <w:rPr>
          <w:rFonts w:eastAsia="Times New Roman" w:cs="Times New Roman"/>
          <w:bCs w:val="0"/>
          <w:kern w:val="0"/>
          <w:sz w:val="20"/>
          <w:szCs w:val="20"/>
        </w:rPr>
        <w:t xml:space="preserve">. This collaboration, understood as interorganisational collaboration, reflects structured efforts to coordinate operational processes across organisational boundaries. </w:t>
      </w:r>
      <w:r w:rsidRPr="00A65125">
        <w:rPr>
          <w:rFonts w:eastAsia="Times New Roman" w:cs="Times New Roman"/>
          <w:bCs w:val="0"/>
          <w:color w:val="EE0000"/>
          <w:kern w:val="0"/>
          <w:sz w:val="20"/>
          <w:szCs w:val="20"/>
        </w:rPr>
        <w:t xml:space="preserve">In their study,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{"citationItems":[{"id":"ITEM-1","itemData":{"DOI":"10.2308/HORIZONS-19-147","ISSN":"1558-7975","abstract":"Blockchain technology is increasingly emerging as an important organizational phenomenon, especially for collaboration across firm boundaries. Over the past three decades, accounting scholars have shown significant interest in management accounting and control mechanisms that are used by actors to sustain inter-organizational relationships. We outline fundamental technical features and limitations of permissioned blockchain technology and analytically propose blockchain as an empirical concept with implications for management accounting practices that underpin inter-organizational collaboration, trust, control, and information exchange. Particular focus of the analysis is on the interplay between the technical capabilities of blockchain technology and inter-organizational management control procedures. Based on this analysis, we develop a series of propositions that theorize how these procedures affect the way in which blockchain is enacted in IORs, and how they are affected by blockchain in turn. The paper concludes with a research agenda for accounting scholars and offers directions for further research.","author":[{"dropping-particle":"","family":"Kostić","given":"Nikola","non-dropping-particle":"","parse-names":false,"suffix":""},{"dropping-particle":"","family":"Sedej","given":"Tomaz","non-dropping-particle":"","parse-names":false,"suffix":""}],"container-title":"Accounting Horizons","id":"ITEM-1","issue":"2","issued":{"date-parts":[["2022","6","1"]]},"page":"123-141","title":"Blockchain Technology, Inter-Organizational Relationships, and Management Accounting: A Synthesis and a Research Agenda","type":"article-journal","volume":"36"},"uris":["http://www.mendeley.com/documents/?uuid=6f39ff4b-9161-4c9b-9e25-8f0f8cbabd96"]}],"mendeley":{"formattedCitation":"(Kostić &amp; Sedej 2022)","manualFormatting":"Kostić and Sedej (2022)","plainTextFormattedCitation":"(Kostić &amp; Sedej 2022)","previouslyFormattedCitation":"(Kostić &amp; Sedej 2022)"},"properties":{"noteIndex":0},"schema":"https://github.com/citation-style-language/schema/raw/master/csl-citation.json"}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Kostić and Sedej (2022)</w:t>
      </w:r>
      <w:r w:rsidRPr="00A65125">
        <w:rPr>
          <w:rFonts w:cs="Times New Roman"/>
          <w:color w:val="EE0000"/>
          <w:sz w:val="20"/>
          <w:szCs w:val="20"/>
        </w:rPr>
        <w:fldChar w:fldCharType="end"/>
      </w:r>
      <w:r w:rsidRPr="00A65125">
        <w:rPr>
          <w:rFonts w:cs="Times New Roman"/>
          <w:color w:val="EE0000"/>
          <w:sz w:val="20"/>
          <w:szCs w:val="20"/>
        </w:rPr>
        <w:t xml:space="preserve"> </w:t>
      </w:r>
      <w:r w:rsidRPr="00A65125">
        <w:rPr>
          <w:rFonts w:eastAsia="Times New Roman" w:cs="Times New Roman"/>
          <w:bCs w:val="0"/>
          <w:color w:val="EE0000"/>
          <w:kern w:val="0"/>
          <w:sz w:val="20"/>
          <w:szCs w:val="20"/>
        </w:rPr>
        <w:t xml:space="preserve">provide a comprehensive framework for understanding interorganisational collaboration through four dimensions: collaboration, trust, control, and information exchange. FIGURE 3 shows a framework offers critical insights into exploring the challenges of </w:t>
      </w:r>
      <w:r w:rsidR="00470DA6" w:rsidRPr="00A65125">
        <w:rPr>
          <w:rFonts w:eastAsia="Times New Roman" w:cs="Times New Roman"/>
          <w:bCs w:val="0"/>
          <w:color w:val="EE0000"/>
          <w:kern w:val="0"/>
          <w:sz w:val="20"/>
          <w:szCs w:val="20"/>
        </w:rPr>
        <w:t>IOC workflows</w:t>
      </w:r>
      <w:r w:rsidRPr="00A65125">
        <w:rPr>
          <w:rFonts w:eastAsia="Times New Roman" w:cs="Times New Roman"/>
          <w:bCs w:val="0"/>
          <w:color w:val="EE0000"/>
          <w:kern w:val="0"/>
          <w:sz w:val="20"/>
          <w:szCs w:val="20"/>
        </w:rPr>
        <w:t xml:space="preserve"> in the e-payment process at a public sector agency in Malaysia</w:t>
      </w:r>
      <w:r w:rsidRPr="00A65125">
        <w:rPr>
          <w:rFonts w:eastAsia="Times New Roman" w:cs="Times New Roman"/>
          <w:bCs w:val="0"/>
          <w:kern w:val="0"/>
          <w:sz w:val="20"/>
          <w:szCs w:val="20"/>
        </w:rPr>
        <w:t>.</w:t>
      </w:r>
    </w:p>
    <w:p w14:paraId="291A5A82" w14:textId="1BD05DBB" w:rsidR="00FC1CCB" w:rsidRPr="00A65125" w:rsidRDefault="0037491A" w:rsidP="00A65125">
      <w:pPr>
        <w:pStyle w:val="BodyText1"/>
        <w:ind w:firstLine="0"/>
        <w:rPr>
          <w:rFonts w:cs="Times New Roman"/>
          <w:sz w:val="20"/>
          <w:szCs w:val="20"/>
        </w:rPr>
      </w:pPr>
      <w:r w:rsidRPr="00A65125">
        <w:rPr>
          <w:rFonts w:cs="Times New Roman"/>
          <w:noProof/>
          <w:sz w:val="20"/>
          <w:szCs w:val="20"/>
        </w:rPr>
        <mc:AlternateContent>
          <mc:Choice Requires="wps">
            <w:drawing>
              <wp:anchor distT="0" distB="0" distL="114300" distR="114300" simplePos="0" relativeHeight="251653120" behindDoc="0" locked="0" layoutInCell="1" allowOverlap="1" wp14:anchorId="7BC195F8" wp14:editId="36DF8C12">
                <wp:simplePos x="0" y="0"/>
                <wp:positionH relativeFrom="column">
                  <wp:posOffset>14018</wp:posOffset>
                </wp:positionH>
                <wp:positionV relativeFrom="paragraph">
                  <wp:posOffset>94615</wp:posOffset>
                </wp:positionV>
                <wp:extent cx="5689600" cy="1097280"/>
                <wp:effectExtent l="0" t="0" r="25400" b="26670"/>
                <wp:wrapNone/>
                <wp:docPr id="55637079" name="Rectangle 1"/>
                <wp:cNvGraphicFramePr/>
                <a:graphic xmlns:a="http://schemas.openxmlformats.org/drawingml/2006/main">
                  <a:graphicData uri="http://schemas.microsoft.com/office/word/2010/wordprocessingShape">
                    <wps:wsp>
                      <wps:cNvSpPr/>
                      <wps:spPr>
                        <a:xfrm>
                          <a:off x="0" y="0"/>
                          <a:ext cx="5689600" cy="1097280"/>
                        </a:xfrm>
                        <a:prstGeom prst="rect">
                          <a:avLst/>
                        </a:prstGeom>
                        <a:ln w="9525">
                          <a:solidFill>
                            <a:schemeClr val="bg2">
                              <a:lumMod val="9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197D4C3" id="Rectangle 1" o:spid="_x0000_s1026" style="position:absolute;margin-left:1.1pt;margin-top:7.45pt;width:448pt;height:8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" fillcolor="white [3201]" strokecolor="#d0d0d0 [2894]"/>
            </w:pict>
          </mc:Fallback>
        </mc:AlternateContent>
      </w:r>
      <w:r w:rsidRPr="00A65125">
        <w:rPr>
          <w:rFonts w:cs="Times New Roman"/>
          <w:noProof/>
          <w:sz w:val="20"/>
          <w:szCs w:val="20"/>
        </w:rPr>
        <mc:AlternateContent>
          <mc:Choice Requires="wps">
            <w:drawing>
              <wp:anchor distT="0" distB="0" distL="114300" distR="114300" simplePos="0" relativeHeight="251663360" behindDoc="0" locked="0" layoutInCell="1" allowOverlap="1" wp14:anchorId="7B349EDF" wp14:editId="49C1A35D">
                <wp:simplePos x="0" y="0"/>
                <wp:positionH relativeFrom="column">
                  <wp:posOffset>1357391</wp:posOffset>
                </wp:positionH>
                <wp:positionV relativeFrom="paragraph">
                  <wp:posOffset>158310</wp:posOffset>
                </wp:positionV>
                <wp:extent cx="2925956" cy="302386"/>
                <wp:effectExtent l="0" t="0" r="27305" b="21590"/>
                <wp:wrapNone/>
                <wp:docPr id="573222203" name="Rectangle: Rounded Corners 2"/>
                <wp:cNvGraphicFramePr/>
                <a:graphic xmlns:a="http://schemas.openxmlformats.org/drawingml/2006/main">
                  <a:graphicData uri="http://schemas.microsoft.com/office/word/2010/wordprocessingShape">
                    <wps:wsp>
                      <wps:cNvSpPr/>
                      <wps:spPr>
                        <a:xfrm>
                          <a:off x="0" y="0"/>
                          <a:ext cx="2925956" cy="302386"/>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68AA8C53" w14:textId="405BEB6D" w:rsidR="0081360F" w:rsidRPr="00CB584B" w:rsidRDefault="0081360F" w:rsidP="00CB584B">
                            <w:pPr>
                              <w:jc w:val="center"/>
                              <w:rPr>
                                <w:sz w:val="18"/>
                                <w:szCs w:val="18"/>
                              </w:rPr>
                            </w:pPr>
                            <w:r w:rsidRPr="009802B8">
                              <w:rPr>
                                <w:sz w:val="16"/>
                                <w:szCs w:val="18"/>
                              </w:rPr>
                              <w:t>Interorganisational</w:t>
                            </w:r>
                            <w:r>
                              <w:rPr>
                                <w:sz w:val="18"/>
                                <w:szCs w:val="18"/>
                              </w:rPr>
                              <w:t xml:space="preserve"> collaboration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349EDF" id="Rectangle: Rounded Corners 2" o:spid="_x0000_s1026" style="position:absolute;left:0;text-align:left;margin-left:106.9pt;margin-top:12.45pt;width:230.4pt;height:23.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" fillcolor="#a02b93 [3208]" strokecolor="white [3201]" strokeweight="1.5pt">
                <v:stroke joinstyle="miter"/>
                <v:textbox>
                  <w:txbxContent>
                    <w:p w14:paraId="68AA8C53" w14:textId="405BEB6D" w:rsidR="0081360F" w:rsidRPr="00CB584B" w:rsidRDefault="0081360F" w:rsidP="00CB584B">
                      <w:pPr>
                        <w:jc w:val="center"/>
                        <w:rPr>
                          <w:sz w:val="18"/>
                          <w:szCs w:val="18"/>
                        </w:rPr>
                      </w:pPr>
                      <w:r w:rsidRPr="009802B8">
                        <w:rPr>
                          <w:sz w:val="16"/>
                          <w:szCs w:val="18"/>
                        </w:rPr>
                        <w:t>Interorganisational</w:t>
                      </w:r>
                      <w:r>
                        <w:rPr>
                          <w:sz w:val="18"/>
                          <w:szCs w:val="18"/>
                        </w:rPr>
                        <w:t xml:space="preserve"> collaboration framework</w:t>
                      </w:r>
                    </w:p>
                  </w:txbxContent>
                </v:textbox>
              </v:roundrect>
            </w:pict>
          </mc:Fallback>
        </mc:AlternateContent>
      </w:r>
    </w:p>
    <w:p w14:paraId="1D36A669" w14:textId="12AE9D40" w:rsidR="00FC1CCB" w:rsidRPr="00A65125" w:rsidRDefault="00FC1CCB" w:rsidP="00A65125">
      <w:pPr>
        <w:pStyle w:val="BodyText1"/>
        <w:ind w:firstLine="0"/>
        <w:rPr>
          <w:rFonts w:cs="Times New Roman"/>
          <w:sz w:val="20"/>
          <w:szCs w:val="20"/>
        </w:rPr>
      </w:pPr>
    </w:p>
    <w:p w14:paraId="50214628" w14:textId="36BBCBB6" w:rsidR="00FC1CCB" w:rsidRPr="00A65125" w:rsidRDefault="0037491A" w:rsidP="00A65125">
      <w:pPr>
        <w:pStyle w:val="BodyText1"/>
        <w:ind w:firstLine="0"/>
        <w:rPr>
          <w:rFonts w:cs="Times New Roman"/>
          <w:sz w:val="20"/>
          <w:szCs w:val="20"/>
        </w:rPr>
      </w:pPr>
      <w:r w:rsidRPr="00A65125">
        <w:rPr>
          <w:rFonts w:cs="Times New Roman"/>
          <w:noProof/>
          <w:sz w:val="20"/>
          <w:szCs w:val="20"/>
        </w:rPr>
        <mc:AlternateContent>
          <mc:Choice Requires="wps">
            <w:drawing>
              <wp:anchor distT="0" distB="0" distL="114300" distR="114300" simplePos="0" relativeHeight="251669504" behindDoc="0" locked="0" layoutInCell="1" allowOverlap="1" wp14:anchorId="5EBBE8BB" wp14:editId="42B4EED3">
                <wp:simplePos x="0" y="0"/>
                <wp:positionH relativeFrom="column">
                  <wp:posOffset>2813050</wp:posOffset>
                </wp:positionH>
                <wp:positionV relativeFrom="paragraph">
                  <wp:posOffset>81866</wp:posOffset>
                </wp:positionV>
                <wp:extent cx="0" cy="196850"/>
                <wp:effectExtent l="0" t="0" r="38100" b="31750"/>
                <wp:wrapNone/>
                <wp:docPr id="1649673629" name="Straight Connector 5"/>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68C348F"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1.5pt,6.45pt" to="22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" strokecolor="#156082 [3204]" strokeweight=".5pt">
                <v:stroke joinstyle="miter"/>
              </v:line>
            </w:pict>
          </mc:Fallback>
        </mc:AlternateContent>
      </w:r>
    </w:p>
    <w:p w14:paraId="727834AE" w14:textId="0DB0B473" w:rsidR="00FC1CCB" w:rsidRPr="00A65125" w:rsidRDefault="0037491A" w:rsidP="00A65125">
      <w:pPr>
        <w:pStyle w:val="BodyText1"/>
        <w:ind w:firstLine="0"/>
        <w:rPr>
          <w:rFonts w:cs="Times New Roman"/>
          <w:sz w:val="20"/>
          <w:szCs w:val="20"/>
        </w:rPr>
      </w:pPr>
      <w:r w:rsidRPr="00A65125">
        <w:rPr>
          <w:rFonts w:cs="Times New Roman"/>
          <w:noProof/>
          <w:sz w:val="20"/>
          <w:szCs w:val="20"/>
        </w:rPr>
        <mc:AlternateContent>
          <mc:Choice Requires="wps">
            <w:drawing>
              <wp:anchor distT="0" distB="0" distL="114300" distR="114300" simplePos="0" relativeHeight="251671552" behindDoc="0" locked="0" layoutInCell="1" allowOverlap="1" wp14:anchorId="5EE5D76E" wp14:editId="17CA9874">
                <wp:simplePos x="0" y="0"/>
                <wp:positionH relativeFrom="column">
                  <wp:posOffset>812165</wp:posOffset>
                </wp:positionH>
                <wp:positionV relativeFrom="paragraph">
                  <wp:posOffset>81280</wp:posOffset>
                </wp:positionV>
                <wp:extent cx="0" cy="196850"/>
                <wp:effectExtent l="0" t="0" r="38100" b="31750"/>
                <wp:wrapNone/>
                <wp:docPr id="648366528" name="Straight Connector 5"/>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2F2B923"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3.95pt,6.4pt" to="63.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" strokecolor="#156082 [3204]" strokeweight=".5pt">
                <v:stroke joinstyle="miter"/>
              </v:line>
            </w:pict>
          </mc:Fallback>
        </mc:AlternateContent>
      </w:r>
      <w:r w:rsidRPr="00A65125">
        <w:rPr>
          <w:rFonts w:cs="Times New Roman"/>
          <w:noProof/>
          <w:sz w:val="20"/>
          <w:szCs w:val="20"/>
        </w:rPr>
        <mc:AlternateContent>
          <mc:Choice Requires="wps">
            <w:drawing>
              <wp:anchor distT="0" distB="0" distL="114300" distR="114300" simplePos="0" relativeHeight="251673600" behindDoc="0" locked="0" layoutInCell="1" allowOverlap="1" wp14:anchorId="0D3C2D37" wp14:editId="7F7DCA66">
                <wp:simplePos x="0" y="0"/>
                <wp:positionH relativeFrom="column">
                  <wp:posOffset>2130425</wp:posOffset>
                </wp:positionH>
                <wp:positionV relativeFrom="paragraph">
                  <wp:posOffset>97790</wp:posOffset>
                </wp:positionV>
                <wp:extent cx="0" cy="196850"/>
                <wp:effectExtent l="0" t="0" r="38100" b="31750"/>
                <wp:wrapNone/>
                <wp:docPr id="112971638" name="Straight Connector 5"/>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C9AE474" id="Straight Connector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7.75pt,7.7pt" to="167.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" strokecolor="#156082 [3204]" strokeweight=".5pt">
                <v:stroke joinstyle="miter"/>
              </v:line>
            </w:pict>
          </mc:Fallback>
        </mc:AlternateContent>
      </w:r>
      <w:r w:rsidRPr="00A65125">
        <w:rPr>
          <w:rFonts w:cs="Times New Roman"/>
          <w:noProof/>
          <w:sz w:val="20"/>
          <w:szCs w:val="20"/>
        </w:rPr>
        <mc:AlternateContent>
          <mc:Choice Requires="wps">
            <w:drawing>
              <wp:anchor distT="0" distB="0" distL="114300" distR="114300" simplePos="0" relativeHeight="251675648" behindDoc="0" locked="0" layoutInCell="1" allowOverlap="1" wp14:anchorId="0762E28C" wp14:editId="3D0EE541">
                <wp:simplePos x="0" y="0"/>
                <wp:positionH relativeFrom="column">
                  <wp:posOffset>4877435</wp:posOffset>
                </wp:positionH>
                <wp:positionV relativeFrom="paragraph">
                  <wp:posOffset>91440</wp:posOffset>
                </wp:positionV>
                <wp:extent cx="0" cy="196850"/>
                <wp:effectExtent l="0" t="0" r="38100" b="31750"/>
                <wp:wrapNone/>
                <wp:docPr id="1892338681" name="Straight Connector 5"/>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5FA7860" id="Straight Connector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84.05pt,7.2pt" to="384.0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" strokecolor="#156082 [3204]" strokeweight=".5pt">
                <v:stroke joinstyle="miter"/>
              </v:line>
            </w:pict>
          </mc:Fallback>
        </mc:AlternateContent>
      </w:r>
      <w:r w:rsidRPr="00A65125">
        <w:rPr>
          <w:rFonts w:cs="Times New Roman"/>
          <w:noProof/>
          <w:sz w:val="20"/>
          <w:szCs w:val="20"/>
        </w:rPr>
        <mc:AlternateContent>
          <mc:Choice Requires="wps">
            <w:drawing>
              <wp:anchor distT="0" distB="0" distL="114300" distR="114300" simplePos="0" relativeHeight="251677696" behindDoc="0" locked="0" layoutInCell="1" allowOverlap="1" wp14:anchorId="6BAB8395" wp14:editId="48EE9D23">
                <wp:simplePos x="0" y="0"/>
                <wp:positionH relativeFrom="column">
                  <wp:posOffset>3540125</wp:posOffset>
                </wp:positionH>
                <wp:positionV relativeFrom="paragraph">
                  <wp:posOffset>97106</wp:posOffset>
                </wp:positionV>
                <wp:extent cx="0" cy="196850"/>
                <wp:effectExtent l="0" t="0" r="38100" b="31750"/>
                <wp:wrapNone/>
                <wp:docPr id="851724862" name="Straight Connector 5"/>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41381F5" id="Straight Connector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8.75pt,7.65pt" to="278.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" strokecolor="#156082 [3204]" strokeweight=".5pt">
                <v:stroke joinstyle="miter"/>
              </v:line>
            </w:pict>
          </mc:Fallback>
        </mc:AlternateContent>
      </w:r>
      <w:r w:rsidRPr="00A65125">
        <w:rPr>
          <w:rFonts w:cs="Times New Roman"/>
          <w:noProof/>
          <w:sz w:val="20"/>
          <w:szCs w:val="20"/>
        </w:rPr>
        <mc:AlternateContent>
          <mc:Choice Requires="wps">
            <w:drawing>
              <wp:anchor distT="0" distB="0" distL="114300" distR="114300" simplePos="0" relativeHeight="251668480" behindDoc="0" locked="0" layoutInCell="1" allowOverlap="1" wp14:anchorId="65C3E1EB" wp14:editId="2004BE49">
                <wp:simplePos x="0" y="0"/>
                <wp:positionH relativeFrom="column">
                  <wp:posOffset>808355</wp:posOffset>
                </wp:positionH>
                <wp:positionV relativeFrom="paragraph">
                  <wp:posOffset>95201</wp:posOffset>
                </wp:positionV>
                <wp:extent cx="4065270" cy="0"/>
                <wp:effectExtent l="0" t="0" r="0" b="0"/>
                <wp:wrapNone/>
                <wp:docPr id="1636242290" name="Straight Connector 4"/>
                <wp:cNvGraphicFramePr/>
                <a:graphic xmlns:a="http://schemas.openxmlformats.org/drawingml/2006/main">
                  <a:graphicData uri="http://schemas.microsoft.com/office/word/2010/wordprocessingShape">
                    <wps:wsp>
                      <wps:cNvCnPr/>
                      <wps:spPr>
                        <a:xfrm>
                          <a:off x="0" y="0"/>
                          <a:ext cx="4065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9133179" id="Straight Connector 4"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65pt,7.5pt" to="38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" strokecolor="#156082 [3204]" strokeweight=".5pt">
                <v:stroke joinstyle="miter"/>
              </v:line>
            </w:pict>
          </mc:Fallback>
        </mc:AlternateContent>
      </w:r>
    </w:p>
    <w:p w14:paraId="2E80FF4B" w14:textId="47A11A88" w:rsidR="00FC1CCB" w:rsidRPr="00A65125" w:rsidRDefault="0037491A" w:rsidP="00A65125">
      <w:pPr>
        <w:pStyle w:val="BodyText1"/>
        <w:ind w:firstLine="0"/>
        <w:rPr>
          <w:rFonts w:cs="Times New Roman"/>
          <w:sz w:val="20"/>
          <w:szCs w:val="20"/>
        </w:rPr>
      </w:pPr>
      <w:r w:rsidRPr="00A65125">
        <w:rPr>
          <w:rFonts w:cs="Times New Roman"/>
          <w:noProof/>
          <w:sz w:val="20"/>
          <w:szCs w:val="20"/>
        </w:rPr>
        <mc:AlternateContent>
          <mc:Choice Requires="wps">
            <w:drawing>
              <wp:anchor distT="0" distB="0" distL="114300" distR="114300" simplePos="0" relativeHeight="251667456" behindDoc="0" locked="0" layoutInCell="1" allowOverlap="1" wp14:anchorId="0C5B0129" wp14:editId="794CC0F5">
                <wp:simplePos x="0" y="0"/>
                <wp:positionH relativeFrom="column">
                  <wp:posOffset>4255135</wp:posOffset>
                </wp:positionH>
                <wp:positionV relativeFrom="paragraph">
                  <wp:posOffset>106680</wp:posOffset>
                </wp:positionV>
                <wp:extent cx="1251585" cy="301625"/>
                <wp:effectExtent l="0" t="0" r="5715" b="3175"/>
                <wp:wrapNone/>
                <wp:docPr id="1183878433" name="Rectangle: Rounded Corners 2"/>
                <wp:cNvGraphicFramePr/>
                <a:graphic xmlns:a="http://schemas.openxmlformats.org/drawingml/2006/main">
                  <a:graphicData uri="http://schemas.microsoft.com/office/word/2010/wordprocessingShape">
                    <wps:wsp>
                      <wps:cNvSpPr/>
                      <wps:spPr>
                        <a:xfrm>
                          <a:off x="0" y="0"/>
                          <a:ext cx="1251585" cy="301625"/>
                        </a:xfrm>
                        <a:prstGeom prst="roundRect">
                          <a:avLst/>
                        </a:prstGeom>
                        <a:solidFill>
                          <a:schemeClr val="accent5">
                            <a:lumMod val="60000"/>
                            <a:lumOff val="40000"/>
                          </a:schemeClr>
                        </a:solidFill>
                        <a:ln w="9525">
                          <a:noFill/>
                        </a:ln>
                      </wps:spPr>
                      <wps:style>
                        <a:lnRef idx="3">
                          <a:schemeClr val="lt1"/>
                        </a:lnRef>
                        <a:fillRef idx="1">
                          <a:schemeClr val="accent5"/>
                        </a:fillRef>
                        <a:effectRef idx="1">
                          <a:schemeClr val="accent5"/>
                        </a:effectRef>
                        <a:fontRef idx="minor">
                          <a:schemeClr val="lt1"/>
                        </a:fontRef>
                      </wps:style>
                      <wps:txbx>
                        <w:txbxContent>
                          <w:p w14:paraId="59B22BC2" w14:textId="77D7EA22" w:rsidR="0081360F" w:rsidRPr="00CB584B" w:rsidRDefault="0081360F" w:rsidP="00CB584B">
                            <w:pPr>
                              <w:jc w:val="center"/>
                              <w:rPr>
                                <w:sz w:val="18"/>
                                <w:szCs w:val="18"/>
                              </w:rPr>
                            </w:pPr>
                            <w:r w:rsidRPr="009802B8">
                              <w:rPr>
                                <w:sz w:val="16"/>
                                <w:szCs w:val="18"/>
                              </w:rPr>
                              <w:t>Information</w:t>
                            </w:r>
                            <w:r w:rsidRPr="00CB584B">
                              <w:rPr>
                                <w:sz w:val="18"/>
                                <w:szCs w:val="18"/>
                              </w:rPr>
                              <w:t xml:space="preserve">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5B0129" id="_x0000_s1027" style="position:absolute;left:0;text-align:left;margin-left:335.05pt;margin-top:8.4pt;width:98.55pt;height:23.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" fillcolor="#d86dcb [1944]" stroked="f">
                <v:stroke joinstyle="miter"/>
                <v:textbox>
                  <w:txbxContent>
                    <w:p w14:paraId="59B22BC2" w14:textId="77D7EA22" w:rsidR="0081360F" w:rsidRPr="00CB584B" w:rsidRDefault="0081360F" w:rsidP="00CB584B">
                      <w:pPr>
                        <w:jc w:val="center"/>
                        <w:rPr>
                          <w:sz w:val="18"/>
                          <w:szCs w:val="18"/>
                        </w:rPr>
                      </w:pPr>
                      <w:r w:rsidRPr="009802B8">
                        <w:rPr>
                          <w:sz w:val="16"/>
                          <w:szCs w:val="18"/>
                        </w:rPr>
                        <w:t>Information</w:t>
                      </w:r>
                      <w:r w:rsidRPr="00CB584B">
                        <w:rPr>
                          <w:sz w:val="18"/>
                          <w:szCs w:val="18"/>
                        </w:rPr>
                        <w:t xml:space="preserve"> exchange</w:t>
                      </w:r>
                    </w:p>
                  </w:txbxContent>
                </v:textbox>
              </v:roundrect>
            </w:pict>
          </mc:Fallback>
        </mc:AlternateContent>
      </w:r>
      <w:r w:rsidRPr="00A65125">
        <w:rPr>
          <w:rFonts w:cs="Times New Roman"/>
          <w:noProof/>
          <w:sz w:val="20"/>
          <w:szCs w:val="20"/>
        </w:rPr>
        <mc:AlternateContent>
          <mc:Choice Requires="wps">
            <w:drawing>
              <wp:anchor distT="0" distB="0" distL="114300" distR="114300" simplePos="0" relativeHeight="251666432" behindDoc="0" locked="0" layoutInCell="1" allowOverlap="1" wp14:anchorId="24E6FA01" wp14:editId="0A083E5A">
                <wp:simplePos x="0" y="0"/>
                <wp:positionH relativeFrom="column">
                  <wp:posOffset>2954020</wp:posOffset>
                </wp:positionH>
                <wp:positionV relativeFrom="paragraph">
                  <wp:posOffset>106680</wp:posOffset>
                </wp:positionV>
                <wp:extent cx="1180465" cy="301625"/>
                <wp:effectExtent l="0" t="0" r="635" b="3175"/>
                <wp:wrapNone/>
                <wp:docPr id="1171063038" name="Rectangle: Rounded Corners 2"/>
                <wp:cNvGraphicFramePr/>
                <a:graphic xmlns:a="http://schemas.openxmlformats.org/drawingml/2006/main">
                  <a:graphicData uri="http://schemas.microsoft.com/office/word/2010/wordprocessingShape">
                    <wps:wsp>
                      <wps:cNvSpPr/>
                      <wps:spPr>
                        <a:xfrm>
                          <a:off x="0" y="0"/>
                          <a:ext cx="1180465" cy="301625"/>
                        </a:xfrm>
                        <a:prstGeom prst="roundRect">
                          <a:avLst/>
                        </a:prstGeom>
                        <a:solidFill>
                          <a:schemeClr val="accent5">
                            <a:lumMod val="60000"/>
                            <a:lumOff val="40000"/>
                          </a:schemeClr>
                        </a:solidFill>
                        <a:ln w="9525">
                          <a:noFill/>
                        </a:ln>
                      </wps:spPr>
                      <wps:style>
                        <a:lnRef idx="3">
                          <a:schemeClr val="lt1"/>
                        </a:lnRef>
                        <a:fillRef idx="1">
                          <a:schemeClr val="accent5"/>
                        </a:fillRef>
                        <a:effectRef idx="1">
                          <a:schemeClr val="accent5"/>
                        </a:effectRef>
                        <a:fontRef idx="minor">
                          <a:schemeClr val="lt1"/>
                        </a:fontRef>
                      </wps:style>
                      <wps:txbx>
                        <w:txbxContent>
                          <w:p w14:paraId="64D5A0D3" w14:textId="13905D81" w:rsidR="0081360F" w:rsidRPr="009802B8" w:rsidRDefault="0081360F" w:rsidP="00CB584B">
                            <w:pPr>
                              <w:jc w:val="center"/>
                              <w:rPr>
                                <w:sz w:val="16"/>
                                <w:szCs w:val="18"/>
                              </w:rPr>
                            </w:pPr>
                            <w:r w:rsidRPr="009802B8">
                              <w:rPr>
                                <w:sz w:val="16"/>
                                <w:szCs w:val="18"/>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E6FA01" id="_x0000_s1028" style="position:absolute;left:0;text-align:left;margin-left:232.6pt;margin-top:8.4pt;width:92.95pt;height:23.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" fillcolor="#d86dcb [1944]" stroked="f">
                <v:stroke joinstyle="miter"/>
                <v:textbox>
                  <w:txbxContent>
                    <w:p w14:paraId="64D5A0D3" w14:textId="13905D81" w:rsidR="0081360F" w:rsidRPr="009802B8" w:rsidRDefault="0081360F" w:rsidP="00CB584B">
                      <w:pPr>
                        <w:jc w:val="center"/>
                        <w:rPr>
                          <w:sz w:val="16"/>
                          <w:szCs w:val="18"/>
                        </w:rPr>
                      </w:pPr>
                      <w:r w:rsidRPr="009802B8">
                        <w:rPr>
                          <w:sz w:val="16"/>
                          <w:szCs w:val="18"/>
                        </w:rPr>
                        <w:t>Control</w:t>
                      </w:r>
                    </w:p>
                  </w:txbxContent>
                </v:textbox>
              </v:roundrect>
            </w:pict>
          </mc:Fallback>
        </mc:AlternateContent>
      </w:r>
      <w:r w:rsidRPr="00A65125">
        <w:rPr>
          <w:rFonts w:cs="Times New Roman"/>
          <w:noProof/>
          <w:sz w:val="20"/>
          <w:szCs w:val="20"/>
        </w:rPr>
        <mc:AlternateContent>
          <mc:Choice Requires="wps">
            <w:drawing>
              <wp:anchor distT="0" distB="0" distL="114300" distR="114300" simplePos="0" relativeHeight="251665408" behindDoc="0" locked="0" layoutInCell="1" allowOverlap="1" wp14:anchorId="5BFE9836" wp14:editId="79108697">
                <wp:simplePos x="0" y="0"/>
                <wp:positionH relativeFrom="column">
                  <wp:posOffset>1532890</wp:posOffset>
                </wp:positionH>
                <wp:positionV relativeFrom="paragraph">
                  <wp:posOffset>106680</wp:posOffset>
                </wp:positionV>
                <wp:extent cx="1180465" cy="301625"/>
                <wp:effectExtent l="0" t="0" r="635" b="3175"/>
                <wp:wrapNone/>
                <wp:docPr id="24484160" name="Rectangle: Rounded Corners 2"/>
                <wp:cNvGraphicFramePr/>
                <a:graphic xmlns:a="http://schemas.openxmlformats.org/drawingml/2006/main">
                  <a:graphicData uri="http://schemas.microsoft.com/office/word/2010/wordprocessingShape">
                    <wps:wsp>
                      <wps:cNvSpPr/>
                      <wps:spPr>
                        <a:xfrm>
                          <a:off x="0" y="0"/>
                          <a:ext cx="1180465" cy="301625"/>
                        </a:xfrm>
                        <a:prstGeom prst="roundRect">
                          <a:avLst/>
                        </a:prstGeom>
                        <a:solidFill>
                          <a:schemeClr val="accent5">
                            <a:lumMod val="60000"/>
                            <a:lumOff val="40000"/>
                          </a:schemeClr>
                        </a:solidFill>
                        <a:ln w="9525">
                          <a:noFill/>
                        </a:ln>
                      </wps:spPr>
                      <wps:style>
                        <a:lnRef idx="3">
                          <a:schemeClr val="lt1"/>
                        </a:lnRef>
                        <a:fillRef idx="1">
                          <a:schemeClr val="accent5"/>
                        </a:fillRef>
                        <a:effectRef idx="1">
                          <a:schemeClr val="accent5"/>
                        </a:effectRef>
                        <a:fontRef idx="minor">
                          <a:schemeClr val="lt1"/>
                        </a:fontRef>
                      </wps:style>
                      <wps:txbx>
                        <w:txbxContent>
                          <w:p w14:paraId="4E1ED482" w14:textId="7ACBB853" w:rsidR="0081360F" w:rsidRPr="009802B8" w:rsidRDefault="0081360F" w:rsidP="00CB584B">
                            <w:pPr>
                              <w:jc w:val="center"/>
                              <w:rPr>
                                <w:sz w:val="16"/>
                                <w:szCs w:val="18"/>
                              </w:rPr>
                            </w:pPr>
                            <w:r w:rsidRPr="009802B8">
                              <w:rPr>
                                <w:sz w:val="16"/>
                                <w:szCs w:val="18"/>
                              </w:rPr>
                              <w:t>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FE9836" id="_x0000_s1029" style="position:absolute;left:0;text-align:left;margin-left:120.7pt;margin-top:8.4pt;width:92.95pt;height:23.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" fillcolor="#d86dcb [1944]" stroked="f">
                <v:stroke joinstyle="miter"/>
                <v:textbox>
                  <w:txbxContent>
                    <w:p w14:paraId="4E1ED482" w14:textId="7ACBB853" w:rsidR="0081360F" w:rsidRPr="009802B8" w:rsidRDefault="0081360F" w:rsidP="00CB584B">
                      <w:pPr>
                        <w:jc w:val="center"/>
                        <w:rPr>
                          <w:sz w:val="16"/>
                          <w:szCs w:val="18"/>
                        </w:rPr>
                      </w:pPr>
                      <w:r w:rsidRPr="009802B8">
                        <w:rPr>
                          <w:sz w:val="16"/>
                          <w:szCs w:val="18"/>
                        </w:rPr>
                        <w:t>Trust</w:t>
                      </w:r>
                    </w:p>
                  </w:txbxContent>
                </v:textbox>
              </v:roundrect>
            </w:pict>
          </mc:Fallback>
        </mc:AlternateContent>
      </w:r>
      <w:r w:rsidRPr="00A65125">
        <w:rPr>
          <w:rFonts w:cs="Times New Roman"/>
          <w:noProof/>
          <w:sz w:val="20"/>
          <w:szCs w:val="20"/>
        </w:rPr>
        <mc:AlternateContent>
          <mc:Choice Requires="wps">
            <w:drawing>
              <wp:anchor distT="0" distB="0" distL="114300" distR="114300" simplePos="0" relativeHeight="251664384" behindDoc="0" locked="0" layoutInCell="1" allowOverlap="1" wp14:anchorId="0138670E" wp14:editId="7B51E8CD">
                <wp:simplePos x="0" y="0"/>
                <wp:positionH relativeFrom="column">
                  <wp:posOffset>245745</wp:posOffset>
                </wp:positionH>
                <wp:positionV relativeFrom="paragraph">
                  <wp:posOffset>107266</wp:posOffset>
                </wp:positionV>
                <wp:extent cx="1180465" cy="301625"/>
                <wp:effectExtent l="0" t="0" r="635" b="3175"/>
                <wp:wrapNone/>
                <wp:docPr id="1239567903" name="Rectangle: Rounded Corners 2"/>
                <wp:cNvGraphicFramePr/>
                <a:graphic xmlns:a="http://schemas.openxmlformats.org/drawingml/2006/main">
                  <a:graphicData uri="http://schemas.microsoft.com/office/word/2010/wordprocessingShape">
                    <wps:wsp>
                      <wps:cNvSpPr/>
                      <wps:spPr>
                        <a:xfrm>
                          <a:off x="0" y="0"/>
                          <a:ext cx="1180465" cy="301625"/>
                        </a:xfrm>
                        <a:prstGeom prst="roundRect">
                          <a:avLst/>
                        </a:prstGeom>
                        <a:solidFill>
                          <a:schemeClr val="accent5">
                            <a:lumMod val="60000"/>
                            <a:lumOff val="40000"/>
                          </a:schemeClr>
                        </a:solidFill>
                        <a:ln w="9525">
                          <a:noFill/>
                        </a:ln>
                      </wps:spPr>
                      <wps:style>
                        <a:lnRef idx="3">
                          <a:schemeClr val="lt1"/>
                        </a:lnRef>
                        <a:fillRef idx="1">
                          <a:schemeClr val="accent5"/>
                        </a:fillRef>
                        <a:effectRef idx="1">
                          <a:schemeClr val="accent5"/>
                        </a:effectRef>
                        <a:fontRef idx="minor">
                          <a:schemeClr val="lt1"/>
                        </a:fontRef>
                      </wps:style>
                      <wps:txbx>
                        <w:txbxContent>
                          <w:p w14:paraId="18E84DF4" w14:textId="2E243041" w:rsidR="0081360F" w:rsidRPr="009802B8" w:rsidRDefault="0081360F" w:rsidP="00CB584B">
                            <w:pPr>
                              <w:jc w:val="center"/>
                              <w:rPr>
                                <w:sz w:val="16"/>
                                <w:szCs w:val="18"/>
                              </w:rPr>
                            </w:pPr>
                            <w:r w:rsidRPr="009802B8">
                              <w:rPr>
                                <w:sz w:val="16"/>
                                <w:szCs w:val="18"/>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38670E" id="_x0000_s1030" style="position:absolute;left:0;text-align:left;margin-left:19.35pt;margin-top:8.45pt;width:92.95pt;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" fillcolor="#d86dcb [1944]" stroked="f">
                <v:stroke joinstyle="miter"/>
                <v:textbox>
                  <w:txbxContent>
                    <w:p w14:paraId="18E84DF4" w14:textId="2E243041" w:rsidR="0081360F" w:rsidRPr="009802B8" w:rsidRDefault="0081360F" w:rsidP="00CB584B">
                      <w:pPr>
                        <w:jc w:val="center"/>
                        <w:rPr>
                          <w:sz w:val="16"/>
                          <w:szCs w:val="18"/>
                        </w:rPr>
                      </w:pPr>
                      <w:r w:rsidRPr="009802B8">
                        <w:rPr>
                          <w:sz w:val="16"/>
                          <w:szCs w:val="18"/>
                        </w:rPr>
                        <w:t>Collaboration</w:t>
                      </w:r>
                    </w:p>
                  </w:txbxContent>
                </v:textbox>
              </v:roundrect>
            </w:pict>
          </mc:Fallback>
        </mc:AlternateContent>
      </w:r>
    </w:p>
    <w:p w14:paraId="03D7716C" w14:textId="6BA8E654" w:rsidR="00FC1CCB" w:rsidRPr="00A65125" w:rsidRDefault="00FC1CCB" w:rsidP="00A65125">
      <w:pPr>
        <w:pStyle w:val="BodyText1"/>
        <w:ind w:firstLine="0"/>
        <w:rPr>
          <w:rFonts w:cs="Times New Roman"/>
          <w:sz w:val="20"/>
          <w:szCs w:val="20"/>
        </w:rPr>
      </w:pPr>
    </w:p>
    <w:p w14:paraId="1FEC491C" w14:textId="712D3251" w:rsidR="00FC1CCB" w:rsidRPr="00A65125" w:rsidRDefault="00FC1CCB" w:rsidP="00A65125">
      <w:pPr>
        <w:pStyle w:val="BodyText1"/>
        <w:ind w:firstLine="0"/>
        <w:rPr>
          <w:rFonts w:cs="Times New Roman"/>
          <w:sz w:val="20"/>
          <w:szCs w:val="20"/>
        </w:rPr>
      </w:pPr>
    </w:p>
    <w:p w14:paraId="7F2A4417" w14:textId="76CFCE78" w:rsidR="00CB584B" w:rsidRPr="00A65125" w:rsidRDefault="00CB584B" w:rsidP="00A65125">
      <w:pPr>
        <w:pStyle w:val="BodyText1"/>
        <w:ind w:firstLine="0"/>
        <w:jc w:val="center"/>
        <w:rPr>
          <w:rFonts w:cs="Times New Roman"/>
          <w:color w:val="EE0000"/>
          <w:sz w:val="20"/>
          <w:szCs w:val="20"/>
        </w:rPr>
      </w:pPr>
      <w:r w:rsidRPr="00A65125">
        <w:rPr>
          <w:rFonts w:cs="Times New Roman"/>
          <w:color w:val="EE0000"/>
          <w:sz w:val="20"/>
          <w:szCs w:val="20"/>
        </w:rPr>
        <w:t>FIGURE 3. Interorganisational</w:t>
      </w:r>
      <w:r w:rsidR="0037491A" w:rsidRPr="00A65125">
        <w:rPr>
          <w:rFonts w:cs="Times New Roman"/>
          <w:color w:val="EE0000"/>
          <w:sz w:val="20"/>
          <w:szCs w:val="20"/>
        </w:rPr>
        <w:t xml:space="preserve"> collaboration</w:t>
      </w:r>
      <w:r w:rsidRPr="00A65125">
        <w:rPr>
          <w:rFonts w:cs="Times New Roman"/>
          <w:color w:val="EE0000"/>
          <w:sz w:val="20"/>
          <w:szCs w:val="20"/>
        </w:rPr>
        <w:t xml:space="preserve"> </w:t>
      </w:r>
      <w:r w:rsidR="0037491A" w:rsidRPr="00A65125">
        <w:rPr>
          <w:rFonts w:cs="Times New Roman"/>
          <w:color w:val="EE0000"/>
          <w:sz w:val="20"/>
          <w:szCs w:val="20"/>
        </w:rPr>
        <w:t>f</w:t>
      </w:r>
      <w:r w:rsidRPr="00A65125">
        <w:rPr>
          <w:rFonts w:cs="Times New Roman"/>
          <w:color w:val="EE0000"/>
          <w:sz w:val="20"/>
          <w:szCs w:val="20"/>
        </w:rPr>
        <w:t xml:space="preserve">ramework adopted from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{"citationItems":[{"id":"ITEM-1","itemData":{"DOI":"10.2308/HORIZONS-19-147","ISSN":"1558-7975","abstract":"Blockchain technology is increasingly emerging as an important organizational phenomenon, especially for collaboration across firm boundaries. Over the past three decades, accounting scholars have shown significant interest in management accounting and control mechanisms that are used by actors to sustain inter-organizational relationships. We outline fundamental technical features and limitations of permissioned blockchain technology and analytically propose blockchain as an empirical concept with implications for management accounting practices that underpin inter-organizational collaboration, trust, control, and information exchange. Particular focus of the analysis is on the interplay between the technical capabilities of blockchain technology and inter-organizational management control procedures. Based on this analysis, we develop a series of propositions that theorize how these procedures affect the way in which blockchain is enacted in IORs, and how they are affected by blockchain in turn. The paper concludes with a research agenda for accounting scholars and offers directions for further research.","author":[{"dropping-particle":"","family":"Kostić","given":"Nikola","non-dropping-particle":"","parse-names":false,"suffix":""},{"dropping-particle":"","family":"Sedej","given":"Tomaz","non-dropping-particle":"","parse-names":false,"suffix":""}],"container-title":"Accounting Horizons","id":"ITEM-1","issue":"2","issued":{"date-parts":[["2022","6","1"]]},"page":"123-141","title":"Blockchain Technology, Inter-Organizational Relationships, and Management Accounting: A Synthesis and a Research Agenda","type":"article-journal","volume":"36"},"uris":["http://www.mendeley.com/documents/?uuid=6f39ff4b-9161-4c9b-9e25-8f0f8cbabd96"]}],"mendeley":{"formattedCitation":"(Kostić &amp; Sedej 2022)","manualFormatting":"Kostić and Sedej (2022)","plainTextFormattedCitation":"(Kostić &amp; Sedej 2022)","previouslyFormattedCitation":"(Kostić &amp; Sedej 2022)"},"properties":{"noteIndex":0},"schema":"https://github.com/citation-style-language/schema/raw/master/csl-citation.json"}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Kostić and Sedej (2022)</w:t>
      </w:r>
      <w:r w:rsidRPr="00A65125">
        <w:rPr>
          <w:rFonts w:cs="Times New Roman"/>
          <w:color w:val="EE0000"/>
          <w:sz w:val="20"/>
          <w:szCs w:val="20"/>
        </w:rPr>
        <w:fldChar w:fldCharType="end"/>
      </w:r>
    </w:p>
    <w:p w14:paraId="3A9AFBC5" w14:textId="77777777" w:rsidR="007738CC" w:rsidRPr="00A65125" w:rsidRDefault="007738CC" w:rsidP="00A65125">
      <w:pPr>
        <w:pStyle w:val="BodyText1"/>
        <w:ind w:firstLine="0"/>
        <w:jc w:val="center"/>
        <w:rPr>
          <w:rFonts w:cs="Times New Roman"/>
          <w:color w:val="EE0000"/>
          <w:sz w:val="20"/>
          <w:szCs w:val="20"/>
        </w:rPr>
      </w:pPr>
    </w:p>
    <w:p w14:paraId="42F80068" w14:textId="45400E25" w:rsidR="00857782" w:rsidRPr="005764C7" w:rsidRDefault="005764C7" w:rsidP="005764C7">
      <w:pPr>
        <w:pStyle w:val="Heading2"/>
      </w:pPr>
      <w:r w:rsidRPr="005764C7">
        <w:t>Collaboration</w:t>
      </w:r>
    </w:p>
    <w:p w14:paraId="59BDE60F" w14:textId="77777777" w:rsidR="008602B7" w:rsidRPr="00A65125" w:rsidRDefault="008602B7" w:rsidP="00A65125">
      <w:pPr>
        <w:rPr>
          <w:color w:val="EE0000"/>
          <w:sz w:val="20"/>
          <w:szCs w:val="20"/>
          <w:lang w:val="en-MY" w:eastAsia="en-US"/>
        </w:rPr>
      </w:pPr>
    </w:p>
    <w:p w14:paraId="7FB1FCB0" w14:textId="4FC028F0" w:rsidR="00DA3A07" w:rsidRPr="00A65125" w:rsidRDefault="00DA3A07" w:rsidP="00A65125">
      <w:pPr>
        <w:pStyle w:val="BodyText1"/>
        <w:ind w:firstLine="0"/>
        <w:rPr>
          <w:rFonts w:cs="Times New Roman"/>
          <w:color w:val="EE0000"/>
          <w:sz w:val="20"/>
          <w:szCs w:val="20"/>
        </w:rPr>
      </w:pPr>
      <w:r w:rsidRPr="00A65125">
        <w:rPr>
          <w:rFonts w:cs="Times New Roman"/>
          <w:color w:val="EE0000"/>
          <w:sz w:val="20"/>
          <w:szCs w:val="20"/>
        </w:rPr>
        <w:t xml:space="preserve">Collaboration is the deliberate alignment of activities, resources, and goals between autonomous organisations to achieve shared outcomes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{"citationItems":[{"id":"ITEM-1","itemData":{"DOI":"10.1007/s10961-023-10031-z","ISSN":"15737047","abstract":"In this study, we explore the impact of business process digitalization on technology transfer intensity through the mediating mechanism of inter-organizational collaboration. Using data collected from 211 firms in Vietnam, we find that: (1) digitalization positively influences inter-organizational collaboration, (2) inter-organization collaboration positively affects technology transfer intensity, (3) the effect of inter-organizational collaboration on technology transfer intensity is amplified when technology commercialization potential is high, and (4) the effect of digitalization on technology transfer intensity is mediated by inter-organizational collaboration. These findings suggest that technology commercialization potential is a critical moderating factor that needs to be considered in the context of technology transfer, and its interaction with inter-organizational collaboration should be carefully managed to maximize the benefits of technology transfer. The study provides practical implications for technology firms seeking to enhance their technology transfer outcomes.","author":[{"dropping-particle":"","family":"Adomako","given":"Samuel","non-dropping-particle":"","parse-names":false,"suffix":""},{"dropping-particle":"","family":"Nguyen","given":"Nguyen Phong","non-dropping-particle":"","parse-names":false,"suffix":""}],"container-title":"Journal of Technology Transfer","id":"ITEM-1","issue":"4","issued":{"date-parts":[["2023"]]},"page":"1176-1202","publisher":"Springer US","title":"Digitalization, inter-organizational collaboration, and technology transfer","type":"article-journal","volume":"49"},"uris":["http://www.mendeley.com/documents/?uuid=c4a59bcc-8fe8-42ca-9d57-f38106fb7b49"]}],"mendeley":{"formattedCitation":"(Adomako &amp; Nguyen 2023)","plainTextFormattedCitation":"(Adomako &amp; Nguyen 2023)","previouslyFormattedCitation":"(Adomako &amp; Nguyen 2023)"},"properties":{"noteIndex":0},"schema":"https://github.com/citation-style-language/schema/raw/master/csl-citation.json"}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(Adomako &amp; Nguyen 2023)</w:t>
      </w:r>
      <w:r w:rsidRPr="00A65125">
        <w:rPr>
          <w:rFonts w:cs="Times New Roman"/>
          <w:color w:val="EE0000"/>
          <w:sz w:val="20"/>
          <w:szCs w:val="20"/>
        </w:rPr>
        <w:fldChar w:fldCharType="end"/>
      </w:r>
      <w:r w:rsidRPr="00A65125">
        <w:rPr>
          <w:rFonts w:cs="Times New Roman"/>
          <w:color w:val="EE0000"/>
          <w:sz w:val="20"/>
          <w:szCs w:val="20"/>
        </w:rPr>
        <w:t xml:space="preserve">. The application is beyond transactional cooperation, including joint problem-solving and synchronised interdependence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{"citationItems":[{"id":"ITEM-1","itemData":{"DOI":"10.3390/su152316223","ISSN":"2071-1050","abstract":"The objective of this paper is to assess the potential roles of blockchain technology in enhancing quality, safety, and sustainability throughout the production and distribution of food and beverage products. To achieve this, a multiple case study approach has been selected as the primary research methodology. This article underscores the transformative impact of blockchain implementation on inter-organizational transactions, reducing uncertainty among supply chain participants and fostering more equitable interdependence among partners in the value chain. These developments have the potential to bolster quality, safety, and sustainability within the food and beverage industry. The article also explores strategies for enhancing blockchain’s influence on interfirm governance structures within the food and beverage sector. It delves into the possibilities of broadening participation by increasing the number and variety of participants in blockchain networks. It investigates how the synergy between blockchain technology and other emerging technologies can further optimize their impact on reducing interfirm governance structures. Also addressed in the paper is the potential for blockchain-based solutions to enhance distributive fairness within the food and beverage industry, offering marginalized groups, such as small-holder farmers, greater opportunities for integration into the global economy. Special emphasis is placed on blockchain’s capacity to enhance interfirm governance in this industry by reducing uncertainty among supply chain participants and creating more symmetrical dependencies among them. The article also posits that by fostering entrepreneurial prospects for marginalized communities and promoting distributive fairness, blockchain technology can contribute to socially responsible actions. Overall, this study extends theories and concepts from information and communications technologies’ (ICTs) effects on agency, boundaries, and uncertainty in the context of organizational and inter-organizational dynamics.","author":[{"dropping-particle":"","family":"Kshetri","given":"Nir","non-dropping-particle":"","parse-names":false,"suffix":""}],"container-title":"Sustainability","id":"ITEM-1","issue":"23","issued":{"date-parts":[["2023","11","23"]]},"note":"Cited by: 6; All Open Access, Gold Open Access","page":"16223","publisher":"Multidisciplinary Digital Publishing Institute (MDPI)","publisher-place":"United States","title":"Blockchain’s Role in Enhancing Quality and Safety and Promoting Sustainability in the Food and Beverage Industry","type":"article-journal","volume":"15"},"uris":["http://www.mendeley.com/documents/?uuid=a512ea56-8cf1-4b76-9879-3d795cc73f81"]}],"mendeley":{"formattedCitation":"(Kshetri 2023)","plainTextFormattedCitation":"(Kshetri 2023)","previouslyFormattedCitation":"(Kshetri 2023)"},"properties":{"noteIndex":0},"schema":"https://github.com/citation-style-language/schema/raw/master/csl-citation.json"}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(Kshetri 2023)</w:t>
      </w:r>
      <w:r w:rsidRPr="00A65125">
        <w:rPr>
          <w:rFonts w:cs="Times New Roman"/>
          <w:color w:val="EE0000"/>
          <w:sz w:val="20"/>
          <w:szCs w:val="20"/>
        </w:rPr>
        <w:fldChar w:fldCharType="end"/>
      </w:r>
      <w:r w:rsidRPr="00A65125">
        <w:rPr>
          <w:rFonts w:cs="Times New Roman"/>
          <w:color w:val="EE0000"/>
          <w:sz w:val="20"/>
          <w:szCs w:val="20"/>
        </w:rPr>
        <w:t xml:space="preserve">. In the public sector context, collaboration often spans ministries, agencies, and private entities (Gaur 2020), yet its implementation is hindered by fragmented systems that obstruct </w:t>
      </w:r>
      <w:r w:rsidR="00470DA6" w:rsidRPr="00A65125">
        <w:rPr>
          <w:rFonts w:cs="Times New Roman"/>
          <w:color w:val="EE0000"/>
          <w:sz w:val="20"/>
          <w:szCs w:val="20"/>
        </w:rPr>
        <w:t>IOC workflows</w:t>
      </w:r>
      <w:r w:rsidRPr="00A65125">
        <w:rPr>
          <w:rFonts w:cs="Times New Roman"/>
          <w:color w:val="EE0000"/>
          <w:sz w:val="20"/>
          <w:szCs w:val="20"/>
        </w:rPr>
        <w:t xml:space="preserve">' coordination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{"citationItems":[{"id":"ITEM-1","itemData":{"DOI":"10.3390/ijerph19148831","ISSN":"1660-4601","abstract":"The current models used for paying for health and social care are considered a major barrier to integrated care. Despite the implementation of integrated payment schemes proving difficult, such initiatives are still widely pursued. In the Netherlands, this development has led to a payment architecture combining traditional and integrated payment models. To gain insight into the justification for and future viability of integrated payment, this paper’s purpose is to explain the current duality by identifying discourses on integrated payment models, determining which discourses predominate, and how they have changed over time and differ among key stakeholders in healthcare. The discourse analysis revealed four discourses, each with its own underlying assumptions and values regarding integrated payment. First, the Quality-of-Care discourse sees integrated payment as instrumental in improving care. Second, the Affordability discourse emphasizes how integrated payment can contribute to the financial sustainability of the healthcare system. Third, the Bureaucratization discourse highlights the administrative burden associated with integrated payment models. Fourth, the Strategic discourse stresses micropolitical and professional issues that come into play when implementing such models. The future viability of integrated payment depends on how issues reflected in the Bureaucratization and Strategic discourses are addressed without losing sight of quality-of-care and affordability, two aspects attracting significant public interest in The Netherlands.","author":[{"dropping-particle":"","family":"Reindersma","given":"Thomas","non-dropping-particle":"","parse-names":false,"suffix":""},{"dropping-particle":"","family":"Fabbricotti","given":"Isabelle","non-dropping-particle":"","parse-names":false,"suffix":""},{"dropping-particle":"","family":"Ahaus","given":"Kees","non-dropping-particle":"","parse-names":false,"suffix":""},{"dropping-particle":"","family":"Sülz","given":"Sandra","non-dropping-particle":"","parse-names":false,"suffix":""}],"container-title":"International Journal of Environmental Research and Public Health","id":"ITEM-1","issue":"14","issued":{"date-parts":[["2022","7","20"]]},"note":"The reference Reindersma et al. (2022) discusses how fragmentation in payment systems complicates the payment settlement process in healthcare. It highlights that the coexistence of traditional payment models, such as fee-for-service, alongside integrated payment schemes creates a duality that leads to increased bureaucracy and confusion among stakeholders. The paper identifies that while integrated payment aims to improve care quality and financial sustainability, it also introduces new forms of fragmentation, necessitating a careful balance between integration and traditional models. This complexity arises from the administrative burdens and strategic challenges that stakeholders face, ultimately impacting the efficiency of the payment settlement process.","page":"8831","title":"Integrated Payment, Fragmented Realities? A Discourse Analysis of Integrated Payment in the Netherlands","type":"article-journal","volume":"19"},"uris":["http://www.mendeley.com/documents/?uuid=f69bfbdf-eb39-4c75-922d-bf3829c31239"]}],"mendeley":{"formattedCitation":"(Reindersma et al. 2022)","plainTextFormattedCitation":"(Reindersma et al. 2022)","previouslyFormattedCitation":"(Reindersma et al. 2022)"},"properties":{"noteIndex":0},"schema":"https://github.com/citation-style-language/schema/raw/master/csl-citation.json"}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(Reindersma et al. 2022)</w:t>
      </w:r>
      <w:r w:rsidRPr="00A65125">
        <w:rPr>
          <w:rFonts w:cs="Times New Roman"/>
          <w:color w:val="EE0000"/>
          <w:sz w:val="20"/>
          <w:szCs w:val="20"/>
        </w:rPr>
        <w:fldChar w:fldCharType="end"/>
      </w:r>
      <w:r w:rsidRPr="00A65125">
        <w:rPr>
          <w:rFonts w:cs="Times New Roman"/>
          <w:color w:val="EE0000"/>
          <w:sz w:val="20"/>
          <w:szCs w:val="20"/>
        </w:rPr>
        <w:t xml:space="preserve">. Furthermore,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{"citationItems":[{"id":"ITEM-1","itemData":{"DOI":"10.1002/jcaf.22415","ISSN":"10970053","abstract":"Blockchain technology possesses a vast potential to transform traditional business models. Savvy business executives are already exploring how blockchain might impact their industries and their competitive positions within those industries. Yet, there are significant barriers and risks associated with blockchain technology. In this article, we highlight some of the major obstacles and risks associated with this transformative technology. The topics discussed here are neither definitive nor comprehensive; however, they provide accounting and finance professionals with a timely introduction to the barriers and perils related to blockchain technology. Although blockchain adoption is inevitable for business enterprises, careful consideration of the risks and challenges before, during, and after blockchain implementation will help ensure long-term success.","author":[{"dropping-particle":"","family":"Prewett","given":"Kyleen W.","non-dropping-particle":"","parse-names":false,"suffix":""},{"dropping-particle":"","family":"Prescott","given":"Gregory L.","non-dropping-particle":"","parse-names":false,"suffix":""},{"dropping-particle":"","family":"Phillips","given":"Kirk","non-dropping-particle":"","parse-names":false,"suffix":""}],"container-title":"Journal of Corporate Accounting and Finance","id":"ITEM-1","issue":"2","issued":{"date-parts":[["2020"]]},"page":"21-28","title":"Blockchain adoption is inevitable—Barriers and risks remain","type":"article-journal","volume":"31"},"uris":["http://www.mendeley.com/documents/?uuid=c11a9fd2-4193-4fb9-8964-02b2e6ae4e9b"]},{"id":"ITEM-2","itemData":{"DOI":"10.1007/s40812-023-00296-8","ISBN":"0123456789","ISSN":"19724977","abstract":"The business potential of blockchain technology in global value chains (GVCs) includes the creation of permanent records of information, to facilitate specifications regulation, to mitigate risk using smart contracts and through full, transparent transaction traceability at reduced costs. Blockchain as a general-purpose technology (GPT) thus has the potential to increase the effectiveness and efficiency of value creation for firm specific advantages owned and/or controlled by multinational enterprises (MNE), yet adoption of blockchain is uneven. This study adopts a micro-foundational lens to explain the non-adoption of blockchain technology in multinational enterprises’ (MNE) global value chains (GVC), emphasizing the influence of the technology, organization and environment (TOE) influences on the technology acceptance (TAM) for blockchain, due to the impact on managers’ perception of blockchain's usefulness and ease of use. The empirical results are based on a multiple-case study research design, that collected interview data from supply chain managers in small, medium, and large-sized manufacturing MNEs that participate in global value chains that differ in their governance patterns. The results identified fifteen different drivers of the non-adoption of blockchain technology across the technological, organizational and external environments of the MNE. The results of the study allow a parsimonious model of blockchain technology non-adoption that is aligned with the digital technology adoption literature using a TOE–TAM approach.","author":[{"dropping-particle":"","family":"Hubenova","given":"Tsvetelina","non-dropping-particle":"","parse-names":false,"suffix":""},{"dropping-particle":"","family":"Lindeque","given":"Johan P.","non-dropping-particle":"","parse-names":false,"suffix":""},{"dropping-particle":"","family":"Peter","given":"Marc K.","non-dropping-particle":"","parse-names":false,"suffix":""}],"container-title":"Journal of Industrial and Business Economics","id":"ITEM-2","issue":"2","issued":{"date-parts":[["2024"]]},"number-of-pages":"397-429","publisher":"Springer International Publishing","title":"Explaining the non-adoption of blockchain technology in global value chains: a micro-foundational perspective","type":"book","volume":"51"},"uris":["http://www.mendeley.com/documents/?uuid=8fe2a2dc-e6d1-4be2-af1d-ea1377cdcb6d"]}],"mendeley":{"formattedCitation":"(Hubenova et al. 2024; Prewett et al. 2020)","manualFormatting":"Hubenova et al. (2024) and Prewett et al. (2020)","plainTextFormattedCitation":"(Hubenova et al. 2024; Prewett et al. 2020)","previouslyFormattedCitation":"(Hubenova et al. 2024; Prewett et al. 2020)"},"properties":{"noteIndex":0},"schema":"https://github.com/citation-style-language/schema/raw/master/csl-citation.json"}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Hubenova et al. (2024) and Prewett et al. (2020)</w:t>
      </w:r>
      <w:r w:rsidRPr="00A65125">
        <w:rPr>
          <w:rFonts w:cs="Times New Roman"/>
          <w:color w:val="EE0000"/>
          <w:sz w:val="20"/>
          <w:szCs w:val="20"/>
        </w:rPr>
        <w:fldChar w:fldCharType="end"/>
      </w:r>
      <w:r w:rsidRPr="00A65125">
        <w:rPr>
          <w:rFonts w:cs="Times New Roman"/>
          <w:color w:val="EE0000"/>
          <w:sz w:val="20"/>
          <w:szCs w:val="20"/>
        </w:rPr>
        <w:t xml:space="preserve"> argue that siloed operations result in operational duplication, communication failures, and inefficiencies.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{"citationItems":[{"id":"ITEM-1","itemData":{"DOI":"10.1061/jladah.ladr-859","ISBN":"0000000159","ISSN":"1943-4162","abstract":"Payment issues can have a significant impact on construction projects if they are not properly addressed. Proactive preventive measures may help mitigate payment problems and ensure the prompt settlement of interim payment claims. Pursuant to that, a theoretical model called the proactive preventive late payment and underpayment solution (PPPS) model is proposed for the problem of the settlement of payments in the Malaysian construction industry. It comprises three main components for resolving payment problems, namely, the major factors in payment problems, the root causes, and proactive solutions for the settlement of interim payment. Data for the components of the model were gathered through a questionnaire survey and interviews. The PPPS Model, which is based theoretically on the rational choice (RC) model, was validated through an online survey by a group of experts who strongly concurred on its practicality. A qualitative analysis was conducted to derive the main components of this research model, namely, to provide quality staff, develop trust between parties, use appropriate contracts, enhance financial management, benchmark from the outside, and improve payment procedures. It is thus anticipated that this model will assist players in the Malaysian construction industry to have a better understanding of the risks arising from delayed interim payments at an early stage.","author":[{"dropping-particle":"","family":"Judi","given":"Siti Suhana","non-dropping-particle":"","parse-names":false,"suffix":""},{"dropping-particle":"","family":"Mustaffa","given":"Nur Emma","non-dropping-particle":"","parse-names":false,"suffix":""}],"container-title":"Journal of Legal Affairs and Dispute Resolution in Engineering and Construction","id":"ITEM-1","issue":"2","issued":{"date-parts":[["2023"]]},"page":"1-12","title":"Development of a Proactive Preventive Late Payment and Underpayment Solution Model for the Construction Industry","type":"article-journal","volume":"15"},"uris":["http://www.mendeley.com/documents/?uuid=4f88b795-4d73-42a0-8b54-3efa32c52716"]}],"mendeley":{"formattedCitation":"(Judi &amp; Mustaffa 2023)","manualFormatting":"Judi and Mustaffa (2023)","plainTextFormattedCitation":"(Judi &amp; Mustaffa 2023)","previouslyFormattedCitation":"(Judi &amp; Mustaffa 2023)"},"properties":{"noteIndex":0},"schema":"https://github.com/citation-style-language/schema/raw/master/csl-citation.json"}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Judi and Mustaffa (2023)</w:t>
      </w:r>
      <w:r w:rsidRPr="00A65125">
        <w:rPr>
          <w:rFonts w:cs="Times New Roman"/>
          <w:color w:val="EE0000"/>
          <w:sz w:val="20"/>
          <w:szCs w:val="20"/>
        </w:rPr>
        <w:fldChar w:fldCharType="end"/>
      </w:r>
      <w:r w:rsidRPr="00A65125">
        <w:rPr>
          <w:rFonts w:cs="Times New Roman"/>
          <w:color w:val="EE0000"/>
          <w:sz w:val="20"/>
          <w:szCs w:val="20"/>
        </w:rPr>
        <w:t xml:space="preserve"> mention that limited access to inter-entity data disrupts the </w:t>
      </w:r>
      <w:r w:rsidR="00470DA6" w:rsidRPr="00A65125">
        <w:rPr>
          <w:rFonts w:cs="Times New Roman"/>
          <w:color w:val="EE0000"/>
          <w:sz w:val="20"/>
          <w:szCs w:val="20"/>
        </w:rPr>
        <w:t>IOC workflows</w:t>
      </w:r>
      <w:r w:rsidRPr="00A65125">
        <w:rPr>
          <w:rFonts w:cs="Times New Roman"/>
          <w:color w:val="EE0000"/>
          <w:sz w:val="20"/>
          <w:szCs w:val="20"/>
        </w:rPr>
        <w:t xml:space="preserve"> process. In the same vein,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{"citationItems":[{"id":"ITEM-1","itemData":{"DOI":"10.1108/CI-08-2021-0153","ISBN":"0820210153","ISSN":"14770857","abstract":"Purpose: Blockchain as a disruptive technology has revolutionized many industries, such as finance, logistics and manufacturing sectors. This paper aims to explore Blockchain applications in construction to effectively manage project workflows and uplift construction efficiency. Design/methodology/approach: Semi-structured in-depth interviews were conducted with various stakeholders from a public infrastructure project to analyze Blockchain applications in the construction industry. Eleven key construction workflows are selected to identify and discover the necessity and significance of Blockchain applications in the construction industry. They are related to construction program, daily operations and payment. Based on workflow analysis, several issues are discussed to design a development roadmap of Blockchain in the construction industry. Findings: The findings show Blockchain can improve construction efficiency, reduce paper-based manual operation and address the fragmentation and communication issue. However, the development of Blockchain in the construction industry is still impeded by some challenges. Traditional work modes might be existing even though Blockchain-enabled systems are introduced, which may increase the workload of construction practitioners. Thus, a feasible and practical development roadmap is proposed to instruct implementation of Blockchain in construction. Originality/value: This research systematically analyzes the development of Blockchain in the construction industry from several existing workflows, based on a real-life case study. Several considerations are given to provide referential value for applying Blockchain in the construction industry, including opportunities and challenges, cost–benefit analysis, obstacles and possible solutions, as well as development strategies with a prototype system.","author":[{"dropping-particle":"","family":"Kang","given":"Kai","non-dropping-particle":"","parse-names":false,"suffix":""},{"dropping-particle":"","family":"Liu","given":"Xinlai","non-dropping-particle":"","parse-names":false,"suffix":""},{"dropping-particle":"","family":"Jiang","given":"Yishuo","non-dropping-particle":"","parse-names":false,"suffix":""},{"dropping-particle":"","family":"Lee","given":"Ken Kam Hang","non-dropping-particle":"","parse-names":false,"suffix":""},{"dropping-particle":"","family":"Wan","given":"Sean Ka Wai","non-dropping-particle":"","parse-names":false,"suffix":""},{"dropping-particle":"","family":"Huang","given":"George Q.","non-dropping-particle":"","parse-names":false,"suffix":""},{"dropping-particle":"","family":"Zhong","given":"Ray Y.","non-dropping-particle":"","parse-names":false,"suffix":""}],"container-title":"Construction Innovation","id":"ITEM-1","issue":"2","issued":{"date-parts":[["2022"]]},"page":"443-466","publisher-place":"China","title":"Blockchain opportunities for construction industry in Hong Kong: a case study of RISC and site diary","type":"article-journal","volume":"23"},"uris":["http://www.mendeley.com/documents/?uuid=db153423-7b16-4cb6-ab5a-bff08a8fe7b8"]}],"mendeley":{"formattedCitation":"(Kang et al. 2022)","manualFormatting":"Kang et al. (2022)","plainTextFormattedCitation":"(Kang et al. 2022)","previouslyFormattedCitation":"(Kang et al. 2022)"},"properties":{"noteIndex":0},"schema":"https://github.com/citation-style-language/schema/raw/master/csl-citation.json"}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Kang et al. (2022)</w:t>
      </w:r>
      <w:r w:rsidRPr="00A65125">
        <w:rPr>
          <w:rFonts w:cs="Times New Roman"/>
          <w:color w:val="EE0000"/>
          <w:sz w:val="20"/>
          <w:szCs w:val="20"/>
        </w:rPr>
        <w:fldChar w:fldCharType="end"/>
      </w:r>
      <w:r w:rsidRPr="00A65125">
        <w:rPr>
          <w:rFonts w:cs="Times New Roman"/>
          <w:color w:val="EE0000"/>
          <w:sz w:val="20"/>
          <w:szCs w:val="20"/>
        </w:rPr>
        <w:t xml:space="preserve"> illustrate the administrative burden of non-integrated systems, including repeated data entry and manual reconciliation in the construction industry in Hong Kong.</w:t>
      </w:r>
    </w:p>
    <w:p w14:paraId="63EC8A5F" w14:textId="49EB9BBE" w:rsidR="00DA3A07" w:rsidRPr="00A65125" w:rsidRDefault="00DA3A07" w:rsidP="00A65125">
      <w:pPr>
        <w:pStyle w:val="BodyText1"/>
        <w:rPr>
          <w:rFonts w:cs="Times New Roman"/>
          <w:color w:val="EE0000"/>
          <w:sz w:val="20"/>
          <w:szCs w:val="20"/>
        </w:rPr>
      </w:pPr>
      <w:r w:rsidRPr="00A65125">
        <w:rPr>
          <w:rFonts w:cs="Times New Roman"/>
          <w:color w:val="EE0000"/>
          <w:sz w:val="20"/>
          <w:szCs w:val="20"/>
        </w:rPr>
        <w:t xml:space="preserve">Nevertheless, empirical studies on collaboration within </w:t>
      </w:r>
      <w:r w:rsidR="00470DA6" w:rsidRPr="00A65125">
        <w:rPr>
          <w:rFonts w:cs="Times New Roman"/>
          <w:color w:val="EE0000"/>
          <w:sz w:val="20"/>
          <w:szCs w:val="20"/>
        </w:rPr>
        <w:t>IOC workflows</w:t>
      </w:r>
      <w:r w:rsidRPr="00A65125">
        <w:rPr>
          <w:rFonts w:cs="Times New Roman"/>
          <w:color w:val="EE0000"/>
          <w:sz w:val="20"/>
          <w:szCs w:val="20"/>
        </w:rPr>
        <w:t xml:space="preserve"> have predominantly focused on commercial and industrial contexts, with limited application in the public sector domain. In public sector e-payment operations, collaboration among government agencies, acquiring banks, and accounting offices is not optional but essential. However, siloed operations and non-integrated platforms often render collaboration inefficient. This study addresses the gap by re-examining the collaboration dimension of </w:t>
      </w:r>
      <w:r w:rsidR="00470DA6" w:rsidRPr="00A65125">
        <w:rPr>
          <w:rFonts w:cs="Times New Roman"/>
          <w:color w:val="EE0000"/>
          <w:sz w:val="20"/>
          <w:szCs w:val="20"/>
        </w:rPr>
        <w:t>IOC workflows</w:t>
      </w:r>
      <w:r w:rsidRPr="00A65125">
        <w:rPr>
          <w:rFonts w:cs="Times New Roman"/>
          <w:color w:val="EE0000"/>
          <w:sz w:val="20"/>
          <w:szCs w:val="20"/>
        </w:rPr>
        <w:t xml:space="preserve"> as a workflow-level phenomenon shaped by daily operational realities in the e-payment process.</w:t>
      </w:r>
    </w:p>
    <w:p w14:paraId="5F1F39F0" w14:textId="77777777" w:rsidR="00DF30C8" w:rsidRPr="00A65125" w:rsidRDefault="00DF30C8" w:rsidP="00A65125">
      <w:pPr>
        <w:pStyle w:val="BodyText1"/>
        <w:ind w:firstLine="0"/>
        <w:rPr>
          <w:rFonts w:cs="Times New Roman"/>
          <w:color w:val="EE0000"/>
          <w:sz w:val="20"/>
          <w:szCs w:val="20"/>
        </w:rPr>
      </w:pPr>
    </w:p>
    <w:p w14:paraId="503B3FF5" w14:textId="05C83152" w:rsidR="00857782" w:rsidRPr="005764C7" w:rsidRDefault="00956CD1" w:rsidP="005764C7">
      <w:pPr>
        <w:pStyle w:val="Heading2"/>
      </w:pPr>
      <w:r w:rsidRPr="005764C7">
        <w:t>TRUST</w:t>
      </w:r>
    </w:p>
    <w:p w14:paraId="158D1235" w14:textId="77777777" w:rsidR="008602B7" w:rsidRPr="00A65125" w:rsidRDefault="008602B7" w:rsidP="00A65125">
      <w:pPr>
        <w:rPr>
          <w:color w:val="EE0000"/>
          <w:sz w:val="20"/>
          <w:szCs w:val="20"/>
          <w:lang w:val="en-MY" w:eastAsia="en-US"/>
        </w:rPr>
      </w:pPr>
    </w:p>
    <w:p w14:paraId="3280D2A6" w14:textId="2C84B67B" w:rsidR="007F0737" w:rsidRPr="00A65125" w:rsidRDefault="007F0737" w:rsidP="00A65125">
      <w:pPr>
        <w:pStyle w:val="BodyText1"/>
        <w:ind w:firstLine="0"/>
        <w:rPr>
          <w:rFonts w:cs="Times New Roman"/>
          <w:color w:val="EE0000"/>
          <w:sz w:val="20"/>
          <w:szCs w:val="20"/>
        </w:rPr>
      </w:pPr>
      <w:r w:rsidRPr="00A65125">
        <w:rPr>
          <w:rFonts w:cs="Times New Roman"/>
          <w:color w:val="EE0000"/>
          <w:sz w:val="20"/>
          <w:szCs w:val="20"/>
        </w:rPr>
        <w:t xml:space="preserve">Trust underpins effective interorganisational collaboration, defined as the willingness to rely on others' uncertain circumstances, based on perceived fairness, consistency, and mutual benefit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{"citationItems":[{"id":"ITEM-1","itemData":{"DOI":"10.1016/j.techfore.2021.120641","ISSN":"00401625","abstract":"Blockchain technology has been advocated as a possible solution to enduring trust issues among trading partners in trade finance. We conducted in-depth interviews with industry experts to examine how blockchain technology influences the trust relationships among trading partners. Our results show that the technology enhances trust relationships by (1) improving the security of transactions and data exchanges, (2) facilitating the expression of benevolence, (3) enhancing the efficiency and the quality of communication, and (4) increasing the predictability of trading partners. The paper concludes with implications for both research and practice.","author":[{"dropping-particle":"","family":"Kowalski","given":"Michał","non-dropping-particle":"","parse-names":false,"suffix":""},{"dropping-particle":"","family":"Lee","given":"Zach W.Y.","non-dropping-particle":"","parse-names":false,"suffix":""},{"dropping-particle":"","family":"Chan","given":"Tommy K.H.","non-dropping-particle":"","parse-names":false,"suffix":""}],"container-title":"Technological Forecasting and Social Change","id":"ITEM-1","issued":{"date-parts":[["2021"]]},"page":"120641","title":"Blockchain technology and trust relationships in trade finance","type":"article-journal","volume":"166"},"uris":["http://www.mendeley.com/documents/?uuid=26c6ee96-3a4e-4b0b-b07f-47fa6f0796c4"]}],"mendeley":{"formattedCitation":"(Kowalski et al. 2021)","plainTextFormattedCitation":"(Kowalski et al. 2021)","previouslyFormattedCitation":"(Kowalski et al. 2021)"},"properties":{"noteIndex":0},"schema":"https://github.com/citation-style-language/schema/raw/master/csl-citation.json"}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(Kowalski et al. 2021)</w:t>
      </w:r>
      <w:r w:rsidRPr="00A65125">
        <w:rPr>
          <w:rFonts w:cs="Times New Roman"/>
          <w:color w:val="EE0000"/>
          <w:sz w:val="20"/>
          <w:szCs w:val="20"/>
        </w:rPr>
        <w:fldChar w:fldCharType="end"/>
      </w:r>
      <w:r w:rsidRPr="00A65125">
        <w:rPr>
          <w:rFonts w:cs="Times New Roman"/>
          <w:color w:val="EE0000"/>
          <w:sz w:val="20"/>
          <w:szCs w:val="20"/>
        </w:rPr>
        <w:t xml:space="preserve">. Trust reduces the need for excessive oversight and toughens enhances coordination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{"citationItems":[{"id":"ITEM-1","itemData":{"DOI":"https://doi.org/10.17605/OSF.IO/SN9TF","abstract":"Effective rebate management is crucial for organizations to optimize their supply chain operations; improve financial performance; and strengthen supplier relationships. This article presents a comprehensive framework for rebate management; covering the entire lifecycle from negotiating agreements to monitoring supplier performance. Key aspects include accurate data capture and validation; efficient rebate accrual and calculation; streamlined claim processing and approval; timely rebate settlement and payment; and continuous supplier performance optimization. The article emphasizes the importance of cross-functional collaboration; robust data management practices; and strategic use of technology solutions. Organizations that proactively address the challenges and opportunities associated with rebate management can achieve sustainable growth; maintain a competitive edge; and foster long-term; mutually beneficial supplier relationships in an increasingly complex business landscape","author":[{"dropping-particle":"","family":"Shivaraj","given":"Gayathri","non-dropping-particle":"","parse-names":false,"suffix":""}],"container-title":"International Journal of Advanced Research in Engineering and Technology","id":"ITEM-1","issue":"3","issued":{"date-parts":[["2024"]]},"page":"110-118","title":"OPTIMIZING REBATE MANAGEMENT IN SUPPLY CHAIN OPERATIONS","type":"article-journal","volume":"15"},"uris":["http://www.mendeley.com/documents/?uuid=18bf65e5-0289-42d8-8923-5def8e3a97ee"]}],"mendeley":{"formattedCitation":"(Shivaraj 2024)","plainTextFormattedCitation":"(Shivaraj 2024)","previouslyFormattedCitation":"(Shivaraj 2024)"},"properties":{"noteIndex":0},"schema":"https://github.com/citation-style-language/schema/raw/master/csl-citation.json"}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(Shivaraj 2024)</w:t>
      </w:r>
      <w:r w:rsidRPr="00A65125">
        <w:rPr>
          <w:rFonts w:cs="Times New Roman"/>
          <w:color w:val="EE0000"/>
          <w:sz w:val="20"/>
          <w:szCs w:val="20"/>
        </w:rPr>
        <w:fldChar w:fldCharType="end"/>
      </w:r>
      <w:r w:rsidRPr="00A65125">
        <w:rPr>
          <w:rFonts w:cs="Times New Roman"/>
          <w:color w:val="EE0000"/>
          <w:sz w:val="20"/>
          <w:szCs w:val="20"/>
        </w:rPr>
        <w:t xml:space="preserve">. It is vital when interdependent tasks and information asymmetry prevail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{"citationItems":[{"id":"ITEM-1","itemData":{"DOI":"10.3390/fi12080128","ISSN":"1999-5903","abstract":"This qualitative multiple case study explores the influence of blockchain technology on the chief financial officer (CFO) of an industrial company. Due to the advancing digitalization of business sectors and increasing competitive pressures, industrial companies are forced to promote their own digital transformation to sustain on the market. Here, the literature regards the CFO as a key corporate function to induce digitization initiatives within organizations. The blockchain technology, due to its features of transparency, immutability and cryptography combined with its ability to coordinate data flows of e.g., the Internet of Things (IoT) or Artificial Intelligence (AI), constitutes a suitable instrument for the CFO to meet the requirements of Industry 4.0. This paper provides a contribution to address existing research gaps regarding the application side of blockchain technology. Thus, the objective of this work is to provide corporate financial functions, such as the CFO of an industrial company, with an understanding of the extent to which blockchain technology can be used for the role-specific responsibilities. Therefore, the underlying qualitative study explores the influence of blockchain technology on the CFO-function of an industrial company. Thus, intending to address a research gap on the application side, it asks (1) What is the impact of blockchain technology on the financial as well strategic role of the CFO? (2) What is the impact of blockchain technology in convergence with the Machine Economy on the key performance indicators (KPIs) of the CFO? (3) What is the impact of blockchain-enabled integrated business ecosystems on the role of the CFO? Based on a review of literature, semi-structured expert interviews were conducted with 23 participants. Analysis of the responses demonstrated a considerable impact of blockchain technology on the CFO-function. The results indicate improvements of business processes in regard to efficiency and automation, a relocation of the CFO’s strategic role, improvements of CFO-relevant KPIs through integrating machines into payment networks as well as the emergence of integrated business ecosystems facilitating new forms of inter-organizational collaboration. Necessary prerequisites for adoption include digital competences of the CFO, appropriate organizational structures, digital currencies and identities on the blockchain, a change of the competitive mindset as well as standardized platforms with a neutral…","author":[{"dropping-particle":"","family":"Sandner","given":"Philipp","non-dropping-particle":"","parse-names":false,"suffix":""},{"dropping-particle":"","family":"Lange","given":"Anna","non-dropping-particle":"","parse-names":false,"suffix":""},{"dropping-particle":"","family":"Schulden","given":"Philipp","non-dropping-particle":"","parse-names":false,"suffix":""}],"container-title":"Future Internet","id":"ITEM-1","issue":"8","issued":{"date-parts":[["2020","7","30"]]},"note":"Cited by: 29; All Open Access, Gold Open Access","page":"128","publisher":"MDPI AG","title":"The Role of the CFO of an Industrial Company: An Analysis of the Impact of Blockchain Technology","type":"article-journal","volume":"12"},"uris":["http://www.mendeley.com/documents/?uuid=c39aa48d-b075-483c-8015-25afeb5e42d6"]}],"mendeley":{"formattedCitation":"(Sandner et al. 2020)","plainTextFormattedCitation":"(Sandner et al. 2020)","previouslyFormattedCitation":"(Sandner et al. 2020)"},"properties":{"noteIndex":0},"schema":"https://github.com/citation-style-language/schema/raw/master/csl-citation.json"}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(Sandner et al. 2020)</w:t>
      </w:r>
      <w:r w:rsidRPr="00A65125">
        <w:rPr>
          <w:rFonts w:cs="Times New Roman"/>
          <w:color w:val="EE0000"/>
          <w:sz w:val="20"/>
          <w:szCs w:val="20"/>
        </w:rPr>
        <w:fldChar w:fldCharType="end"/>
      </w:r>
      <w:r w:rsidRPr="00A65125">
        <w:rPr>
          <w:rFonts w:cs="Times New Roman"/>
          <w:color w:val="EE0000"/>
          <w:sz w:val="20"/>
          <w:szCs w:val="20"/>
        </w:rPr>
        <w:t xml:space="preserve">. However, Trust may be compromised due to fragmented operation systems in interorganisational collaboration that require additional tasks such as tick monitoring and reconciliation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{"citationItems":[{"id":"ITEM-1","itemData":{"DOI":"10.1108/INMR-05-2020-0060","ISSN":"25158961","abstract":"Purpose: The study aim is to evaluate the contribution of Blockchain technology (Cryptobanking) using expected operating model (EOM) to address the pain points in reconciliation at middle and back-office operational levels in assessing the significance of this technology on return on investment. Design/methodology/approach: A structured questionnaire was designed to collect primary data using a stratified sampling method from 120 respondents working in leading Investment banks operating in the geographical locality of urban Bangalore. Demographic variables, accounting variables, data reporting variables, approach variables, variables of EOM were considered to validate the hypothesis with the help of statistical tools, namely ANOVA, and Multiple Stepwise Regression Analysis. Findings: The results obtained confirm that there is significant difference in reconciliation with implementation of an innovative business process. Financial analysis is the highest predictor of ROI when integrated with technology as the adapted Blockchain innovation in reconciliation is the most influencing factor in enhancing, improving ROI playing a pivotal role in the Investment banks. Originality/value: Blockchain technology (Cryptobanking) facilitates in transforming the reconciliation process of these banks with improved operational efficiency. Blockchain and settlement platforms offer inter-organization solutions facilitating in the reconciliation of various transactions in real-time through a trust-based network in the form of digital settlements with better consortiums.","author":[{"dropping-particle":"","family":"Vedapradha","given":"R.","non-dropping-particle":"","parse-names":false,"suffix":""},{"dropping-particle":"","family":"Ravi","given":"Hariharan","non-dropping-particle":"","parse-names":false,"suffix":""}],"container-title":"Innovation and Management Review","id":"ITEM-1","issue":"1","issued":{"date-parts":[["2023"]]},"page":"17-27","publisher-place":"India","title":"Blockchain: an EOM approach to reconciliation in banking","type":"article-journal","volume":"20"},"uris":["http://www.mendeley.com/documents/?uuid=c0f57f7a-8065-4b31-ac55-ad661baec26f"]}],"mendeley":{"formattedCitation":"(Vedapradha &amp; Ravi 2023)","plainTextFormattedCitation":"(Vedapradha &amp; Ravi 2023)","previouslyFormattedCitation":"(Vedapradha &amp; Ravi 2023)"},"properties":{"noteIndex":0},"schema":"https://github.com/citation-style-language/schema/raw/master/csl-citation.json"}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(Vedapradha &amp; Ravi 2023)</w:t>
      </w:r>
      <w:r w:rsidRPr="00A65125">
        <w:rPr>
          <w:rFonts w:cs="Times New Roman"/>
          <w:color w:val="EE0000"/>
          <w:sz w:val="20"/>
          <w:szCs w:val="20"/>
        </w:rPr>
        <w:fldChar w:fldCharType="end"/>
      </w:r>
      <w:r w:rsidRPr="00A65125">
        <w:rPr>
          <w:rFonts w:cs="Times New Roman"/>
          <w:color w:val="EE0000"/>
          <w:sz w:val="20"/>
          <w:szCs w:val="20"/>
        </w:rPr>
        <w:t xml:space="preserve">. In addition,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{"citationItems":[{"id":"ITEM-1","itemData":{"DOI":"10.1145/3481127.3481168","ISBN":"9781450390064","abstract":"Technological developments have penetrated all sectors of the economy, including accounting and auditing. As companies and technology develop, auditors are now dealing with clients with the big data scope. Nowadays we have large amount of data from transactions and others. Thus auditors also need technology to compensate for the complexity of their work. Blockchain technology is present as a solution for auditors to be able to keep abreast of the times in the era of the industrial revolution. Our research tries to analyze quantitatively the factors that make auditors want to adopt blockchain. We use UTAUT 2 as the grand theory on which this research is based. The construct or latent variable in UTAUT 2 is used to predict the behavior of auditors in adopting blockchain. We use primary data from distributing questionnaires to auditors, then we perform statistical data to test the hypothesis. Our results suggest that performance expectancy, effort expectancy, hedonic motivation and habit have a significant effect on behavioral intention. Meanwhile, facilitating conditions and habits have a significant effect on the use behavior of auditors in adopting blockchain.","author":[{"dropping-particle":"","family":"Handoko","given":"Bambang Leo","non-dropping-particle":"","parse-names":false,"suffix":""},{"dropping-particle":"","family":"Lantu","given":"Jesica Ester","non-dropping-particle":"","parse-names":false,"suffix":""}],"container-title":"ACM International Conference Proceeding Series","id":"ITEM-1","issued":{"date-parts":[["2021"]]},"page":"82-89","title":"UTAUT 2 model for predicting auditor's blockchain technology adoption","type":"article-journal"},"uris":["http://www.mendeley.com/documents/?uuid=cb591277-92f0-4acd-82bb-b6ffd01a5902"]}],"mendeley":{"formattedCitation":"(Handoko &amp; Lantu 2021)","manualFormatting":"Handoko and Lantu (2021)","plainTextFormattedCitation":"(Handoko &amp; Lantu 2021)","previouslyFormattedCitation":"(Handoko &amp; Lantu 2021)"},"properties":{"noteIndex":0},"schema":"https://github.com/citation-style-language/schema/raw/master/csl-citation.json"}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Handoko and Lantu (2021)</w:t>
      </w:r>
      <w:r w:rsidRPr="00A65125">
        <w:rPr>
          <w:rFonts w:cs="Times New Roman"/>
          <w:color w:val="EE0000"/>
          <w:sz w:val="20"/>
          <w:szCs w:val="20"/>
        </w:rPr>
        <w:fldChar w:fldCharType="end"/>
      </w:r>
      <w:r w:rsidRPr="00A65125">
        <w:rPr>
          <w:rFonts w:cs="Times New Roman"/>
          <w:color w:val="EE0000"/>
          <w:sz w:val="20"/>
          <w:szCs w:val="20"/>
        </w:rPr>
        <w:t xml:space="preserve"> argues that siloes operation and information asymmetry contribute partner reliability. In the finance supply chain, manual data reconciliation tasks lead to additional burdens, increase errors and erode stakeholder confidence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{"citationItems":[{"id":"ITEM-1","itemData":{"DOI":"https://doi.org/10.3390/jtaer16070168","abstract":"Supply Chain Finance (SCF) faces the complex problem of implementing inventory, pur- chase order and accounts receivable financing automation in terms of transaction data trust and validation. This paper aims to explore how blockchain technology adoption solves the SCF problem using a multi-case method based on the Technological Acceptance Model (TAM). With purposive sampling, 30 cases were selected on the criteria of perceived usefulness and perceived ease of use in solving SCF problems. The results show that trust, validity and distributed ledger transaction data as perceived usefulness are the main drivers of blockchain adoption because it provides solutions to SCF automation problems such as Know Your Customer (KYC), accounting, and transaction settlement. Smart contracts offer easy and fast transactions such as in L/C export processing as perceived ease to use. Of the 30 blockchain projects, 21 offer the usefulness of automated accounts receivable financing, 15 offer easy-to-use purchase order financing and 8 offer easy-to-use inventory financing processes. This study provides the current state of blockchain technology adoption by exploring 30 real application cases in SCF globally. Blockchain advantages provide automation solutions in global supply SCF practices with smart contracts, transparency and security of distributed ledger data feature.","author":[{"dropping-particle":"","family":"Rijanto","given":"Arief","non-dropping-particle":"","parse-names":false,"suffix":""}],"container-title":"J. Theor. Appl. Electron. Commer. Res.","id":"ITEM-1","issued":{"date-parts":[["2021"]]},"page":"3078-3098","title":"Blockchain Technology Adoption in Supply Chain Finance","type":"article-journal","volume":"16"},"uris":["http://www.mendeley.com/documents/?uuid=13c46af0-62e2-412f-900f-a395ec8901a3"]}],"mendeley":{"formattedCitation":"(Rijanto 2021)","plainTextFormattedCitation":"(Rijanto 2021)","previouslyFormattedCitation":"(Rijanto 2021)"},"properties":{"noteIndex":0},"schema":"https://github.com/citation-style-language/schema/raw/master/csl-citation.json"}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(Rijanto 2021)</w:t>
      </w:r>
      <w:r w:rsidRPr="00A65125">
        <w:rPr>
          <w:rFonts w:cs="Times New Roman"/>
          <w:color w:val="EE0000"/>
          <w:sz w:val="20"/>
          <w:szCs w:val="20"/>
        </w:rPr>
        <w:fldChar w:fldCharType="end"/>
      </w:r>
      <w:r w:rsidRPr="00A65125">
        <w:rPr>
          <w:rFonts w:cs="Times New Roman"/>
          <w:color w:val="EE0000"/>
          <w:sz w:val="20"/>
          <w:szCs w:val="20"/>
        </w:rPr>
        <w:t>.</w:t>
      </w:r>
    </w:p>
    <w:p w14:paraId="35FFF3EE" w14:textId="76BEDD4F" w:rsidR="007F0737" w:rsidRPr="00A65125" w:rsidRDefault="007F0737" w:rsidP="00A65125">
      <w:pPr>
        <w:pStyle w:val="BodyText1"/>
        <w:rPr>
          <w:rFonts w:cs="Times New Roman"/>
          <w:color w:val="EE0000"/>
          <w:sz w:val="20"/>
          <w:szCs w:val="20"/>
        </w:rPr>
      </w:pPr>
      <w:r w:rsidRPr="00A65125">
        <w:rPr>
          <w:rFonts w:cs="Times New Roman"/>
          <w:color w:val="EE0000"/>
          <w:sz w:val="20"/>
          <w:szCs w:val="20"/>
        </w:rPr>
        <w:t xml:space="preserve">In the public sector e-payment process, the absence of unified monitoring tools, reliance on manual reconciliation, and late fund transfer have generated mistrust among parties.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{"citationItems":[{"id":"ITEM-1","itemData":{"DOI":"10.2308/JETA-19-06-01-28","ISSN":"1554-1908","abstract":"Reconciliation of transactions between multiple parties is a time-consuming process. This paper presents a new conceptual framework that may lower costs and shorten the reconciliation time. The proposed framework recommends recording transactions on the blockchain before populating the transacting parties’ respective enterprise resource planning (ERP) systems, which will be the source of a single truth. This information flow will result in all involved parties having access to the same transaction details. Further, the paper presents a technical feasibility demonstration with two examples, where all involved parties are executing transaction details on the blockchain after meeting the governing smart contract constraints using their digital wallets. The new conceptual framework has been specifically designed to create one truth for all parties involved in a transaction that in turn may eliminate what is perceived to be unnecessary redundancy in current accounting systems.","author":[{"dropping-particle":"","family":"Gomaa","given":"Ahmed A.","non-dropping-particle":"","parse-names":false,"suffix":""},{"dropping-particle":"","family":"Gomaa","given":"Mohamed I.","non-dropping-particle":"","parse-names":false,"suffix":""},{"dropping-particle":"","family":"Boumediene","given":"Salem L.","non-dropping-particle":"","parse-names":false,"suffix":""},{"dropping-particle":"","family":"Farag","given":"Magdy S.","non-dropping-particle":"","parse-names":false,"suffix":""}],"container-title":"Journal of Emerging Technologies in Accounting","id":"ITEM-1","issue":"1","issued":{"date-parts":[["2023","5","1"]]},"page":"59-75","title":"The Creation of One Truth: Single-Ledger Entries for Multiple Stakeholders Using Blockchain Technology to Address the Reconciliation Problem","type":"article-journal","volume":"20"},"uris":["http://www.mendeley.com/documents/?uuid=d11dd8db-eb58-4685-a0ed-b18b1df99721"]},{"id":"ITEM-2","itemData":{"DOI":"10.52783/jier.v4i2.924","ISSN":"1526-4726","abstract":"Abstract: Despite the advancements in modern accounting systems, fraud remains a prevalent issue, necessitating extensive time and financial resources for audits. Integrating modern accounting ledgers with a public blockchain could facilitate easily verifiable accounting records, streamlining the audit evidence gathering and analytics process. Continuous audits could become feasible through readily available audit evidence from the public blockchain. The proposed audit solution aims to establish verifiable \"Financial Fingerprints\" (signed indexes) for each accounting entry, subsequently publishing them to specific addresses on the public blockchain. This initiative seeks to structure accounting ledgers in a Triple Entry Accounting format, where the third entry involves notarizing an index of each accounting entry on the public blockchain. The essence of Triple Entry Accounting lies in its atomicity, ensuring a single authoritative set of books. Any attempt to present an alternative set of books would be automatically detected. The approach to achieving this objective can be articulated through two value propositions. Firstly, Triple Entry Accounting offers a means to establish a provable official set of books, providing market access independent of network effects. Secondly, it aims to dismantle data silos by leveraging the blockchain as a shared ledger, thereby assisting auditors in efficiently gathering adequate audit evidence. With its standalone value proposition, Triple Entry Accounting offers benefits even before the network effect comes into play, leading to the development of an open standardized protocol for implementing it as an extension to modern accounting systems.","author":[{"dropping-particle":"","family":"Dixit","given":"Pankaj","non-dropping-particle":"","parse-names":false,"suffix":""},{"dropping-particle":"","family":"Harwani","given":"Hitesh","non-dropping-particle":"","parse-names":false,"suffix":""},{"dropping-particle":"","family":"Kachhi","given":"Pragati","non-dropping-particle":"","parse-names":false,"suffix":""},{"dropping-particle":"","family":"Amarsela","given":"Ritesh","non-dropping-particle":"","parse-names":false,"suffix":""},{"dropping-particle":"","family":"Patel","given":"Kamal","non-dropping-particle":"","parse-names":false,"suffix":""},{"dropping-particle":"","family":"Patel","given":"Mitesh J.","non-dropping-particle":"","parse-names":false,"suffix":""}],"container-title":"Journal of Informatics Education and Research","id":"ITEM-2","issue":"2","issued":{"date-parts":[["2024","5","16"]]},"page":"1362-1372","title":"Incorporating Triple Entry Accounting as an Audit Tool—Enhancing Modern Accounting Systems","type":"article-journal","volume":"4"},"uris":["http://www.mendeley.com/documents/?uuid=03671cc4-fb05-42d4-9a50-c0d0b95ac448"]}],"mendeley":{"formattedCitation":"(Dixit et al. 2024; Gomaa et al. 2023)","manualFormatting":"Dixit et al. (2024) and Gomaa et al. (2023)","plainTextFormattedCitation":"(Dixit et al. 2024; Gomaa et al. 2023)","previouslyFormattedCitation":"(Dixit et al. 2024; Gomaa et al. 2023)"},"properties":{"noteIndex":0},"schema":"https://github.com/citation-style-language/schema/raw/master/csl-citation.json"}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Dixit et al. (2024) and Gomaa et al. (2023)</w:t>
      </w:r>
      <w:r w:rsidRPr="00A65125">
        <w:rPr>
          <w:rFonts w:cs="Times New Roman"/>
          <w:color w:val="EE0000"/>
          <w:sz w:val="20"/>
          <w:szCs w:val="20"/>
        </w:rPr>
        <w:fldChar w:fldCharType="end"/>
      </w:r>
      <w:r w:rsidRPr="00A65125">
        <w:rPr>
          <w:rFonts w:cs="Times New Roman"/>
          <w:color w:val="EE0000"/>
          <w:sz w:val="20"/>
          <w:szCs w:val="20"/>
        </w:rPr>
        <w:t xml:space="preserve"> contend that the lack of transparency and non-integrated systems degrade mutual Trust. However, past literature often views Trust as a relational virtue but less attention on discussing real operational occasion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{"citationItems":[{"id":"ITEM-1","itemData":{"DOI":"10.1109/ACCESS.2021.3075568","ISSN":"2169-3536","abstract":"The ongoing digital transformation and internationalization of business processes cause a shift towards a more collaborative nature of processes. In such collaborations, different organizations execute separate parts of the process autonomously. This fragmentation leads to uncertainty regarding the correct execution of activities, the proper workflow, and data in the process flow. If organizations engage in business together, trust is needed. Therefore, we propose Trust Mining as an analytical approach to better understand uncertainties and the potential trust issues that arise from them. Trust Mining takes a business process model as an input and analyzes uncertainties and relationships. In the end, an evaluation regarding the trust requirements of specific stakeholders is given. Furthermore, we present a prototypical implementation and illustrate how Trust Mining can be used in trust-aware process (re-)design.","author":[{"dropping-particle":"","family":"Muller","given":"Marcel","non-dropping-particle":"","parse-names":false,"suffix":""},{"dropping-particle":"","family":"Ostern","given":"Nadine","non-dropping-particle":"","parse-names":false,"suffix":""},{"dropping-particle":"","family":"Koljada","given":"Denis","non-dropping-particle":"","parse-names":false,"suffix":""},{"dropping-particle":"","family":"Grunert","given":"Kai","non-dropping-particle":"","parse-names":false,"suffix":""},{"dropping-particle":"","family":"Rosemann","given":"Michael","non-dropping-particle":"","parse-names":false,"suffix":""},{"dropping-particle":"","family":"Kupper","given":"Axel","non-dropping-particle":"","parse-names":false,"suffix":""}],"container-title":"IEEE Access","id":"ITEM-1","issued":{"date-parts":[["2021"]]},"page":"65044-65065","title":"Trust Mining: Analyzing Trust in Collaborative Business Processes","type":"article-journal","volume":"9"},"uris":["http://www.mendeley.com/documents/?uuid=45d407ff-22a2-4394-8c42-a333c5472111"]}],"mendeley":{"formattedCitation":"(Muller et al. 2021)","plainTextFormattedCitation":"(Muller et al. 2021)","previouslyFormattedCitation":"(Muller et al. 2021)"},"properties":{"noteIndex":0},"schema":"https://github.com/citation-style-language/schema/raw/master/csl-citation.json"}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(Muller et al. 2021)</w:t>
      </w:r>
      <w:r w:rsidRPr="00A65125">
        <w:rPr>
          <w:rFonts w:cs="Times New Roman"/>
          <w:color w:val="EE0000"/>
          <w:sz w:val="20"/>
          <w:szCs w:val="20"/>
        </w:rPr>
        <w:fldChar w:fldCharType="end"/>
      </w:r>
      <w:r w:rsidRPr="00A65125">
        <w:rPr>
          <w:rFonts w:cs="Times New Roman"/>
          <w:color w:val="EE0000"/>
          <w:sz w:val="20"/>
          <w:szCs w:val="20"/>
        </w:rPr>
        <w:t>, which therefore, this study reframes Trust as an outcome of systemic reliability in the operational view</w:t>
      </w:r>
      <w:r w:rsidR="009B63D6" w:rsidRPr="00A65125">
        <w:rPr>
          <w:rFonts w:cs="Times New Roman"/>
          <w:color w:val="EE0000"/>
          <w:sz w:val="20"/>
          <w:szCs w:val="20"/>
        </w:rPr>
        <w:t xml:space="preserve"> that </w:t>
      </w:r>
      <w:r w:rsidRPr="00A65125">
        <w:rPr>
          <w:rFonts w:cs="Times New Roman"/>
          <w:color w:val="EE0000"/>
          <w:sz w:val="20"/>
          <w:szCs w:val="20"/>
        </w:rPr>
        <w:t>earned through consistent execution and data sharing time frame, and transparent communication</w:t>
      </w:r>
      <w:r w:rsidR="009B63D6" w:rsidRPr="00A65125">
        <w:rPr>
          <w:rFonts w:cs="Times New Roman"/>
          <w:color w:val="EE0000"/>
          <w:sz w:val="20"/>
          <w:szCs w:val="20"/>
        </w:rPr>
        <w:t xml:space="preserve"> </w:t>
      </w:r>
      <w:r w:rsidRPr="00A65125">
        <w:rPr>
          <w:rFonts w:cs="Times New Roman"/>
          <w:color w:val="EE0000"/>
          <w:sz w:val="20"/>
          <w:szCs w:val="20"/>
        </w:rPr>
        <w:t>and extends interorganisational theory by highlighting Trust’s dependency on performance in real-time, digitally mediated workflows.</w:t>
      </w:r>
    </w:p>
    <w:p w14:paraId="04352DA0" w14:textId="77777777" w:rsidR="00857782" w:rsidRPr="00A65125" w:rsidRDefault="00857782" w:rsidP="00A65125">
      <w:pPr>
        <w:pStyle w:val="BodyText1"/>
        <w:ind w:firstLine="0"/>
        <w:rPr>
          <w:rFonts w:eastAsia="Times New Roman" w:cs="Times New Roman"/>
          <w:bCs w:val="0"/>
          <w:color w:val="EE0000"/>
          <w:sz w:val="20"/>
          <w:szCs w:val="20"/>
        </w:rPr>
      </w:pPr>
    </w:p>
    <w:p w14:paraId="7334C9AE" w14:textId="0D930A33" w:rsidR="00857782" w:rsidRPr="00A65125" w:rsidRDefault="00956CD1" w:rsidP="005764C7">
      <w:pPr>
        <w:pStyle w:val="Heading2"/>
      </w:pPr>
      <w:r w:rsidRPr="00A65125">
        <w:lastRenderedPageBreak/>
        <w:t>CONTROL</w:t>
      </w:r>
    </w:p>
    <w:p w14:paraId="02276C72" w14:textId="77777777" w:rsidR="008602B7" w:rsidRPr="00A65125" w:rsidRDefault="008602B7" w:rsidP="00A65125">
      <w:pPr>
        <w:rPr>
          <w:color w:val="EE0000"/>
          <w:sz w:val="20"/>
          <w:szCs w:val="20"/>
          <w:lang w:val="en-MY" w:eastAsia="en-US"/>
        </w:rPr>
      </w:pPr>
    </w:p>
    <w:p w14:paraId="5CAD76C5" w14:textId="52D7C782" w:rsidR="00EB2EF2" w:rsidRPr="00A65125" w:rsidRDefault="00EB2EF2" w:rsidP="00A65125">
      <w:pPr>
        <w:pStyle w:val="BodyText1"/>
        <w:ind w:firstLine="0"/>
        <w:rPr>
          <w:rFonts w:cs="Times New Roman"/>
          <w:color w:val="EE0000"/>
          <w:sz w:val="20"/>
          <w:szCs w:val="20"/>
        </w:rPr>
      </w:pPr>
      <w:r w:rsidRPr="00A65125">
        <w:rPr>
          <w:rFonts w:cs="Times New Roman"/>
          <w:color w:val="EE0000"/>
          <w:sz w:val="20"/>
          <w:szCs w:val="20"/>
        </w:rPr>
        <w:t xml:space="preserve">Control is crucial for coordinating actions, enforcing standards, and managing risk in interorganisational collaboration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{"citationItems":[{"id":"ITEM-1","itemData":{"DOI":"10.1016/j.techfore.2022.121981","ISSN":"00401625","abstract":"The proliferation of blockchain-based platform ecosystems in recent years has prompted scholars across various disciplines to explore the conditions leading to their successful deployment. However, developing a blockchain-based platform ecosystem creates various challenges for the platform sponsor that may influence industry-wide adoption and, ultimately, the platform's success. This study follows the development of TradeLens, a leading global shipping platform ecosystem underpinned by blockchain technology. We examine the factors affecting industry-wide adoption among global supply chain actors by unpacking platform value drivers and platform governance mechanisms identified at TradeLens. While the platform value hinges on the digitalization of workflows and the ecosystem leverage, the platform governance includes strategic (off-chain), technology (on-chain), and interoperability (on- and off-chain) governance – as mechanisms for effectively managing a blockchain-based platform ecosystem. This paper contributes to the literature on blockchain-based platform ecosystems and the platform literature.","author":[{"dropping-particle":"","family":"Jovanovic","given":"Marin","non-dropping-particle":"","parse-names":false,"suffix":""},{"dropping-particle":"","family":"Kostić","given":"Nikola","non-dropping-particle":"","parse-names":false,"suffix":""},{"dropping-particle":"","family":"Sebastian","given":"Ina M.","non-dropping-particle":"","parse-names":false,"suffix":""},{"dropping-particle":"","family":"Sedej","given":"Tomaz","non-dropping-particle":"","parse-names":false,"suffix":""}],"container-title":"Technological Forecasting and Social Change","id":"ITEM-1","issue":"August","issued":{"date-parts":[["2022"]]},"title":"Managing a blockchain-based platform ecosystem for industry-wide adoption: The case of TradeLens","type":"article-journal","volume":"184"},"uris":["http://www.mendeley.com/documents/?uuid=54c7726c-fe66-4ad8-893f-f7c49db17439"]}],"mendeley":{"formattedCitation":"(Jovanovic et al. 2022)","plainTextFormattedCitation":"(Jovanovic et al. 2022)","previouslyFormattedCitation":"(Jovanovic et al. 2022)"},"properties":{"noteIndex":0},"schema":"https://github.com/citation-style-language/schema/raw/master/csl-citation.json"}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(Jovanovic et al. 2022)</w:t>
      </w:r>
      <w:r w:rsidRPr="00A65125">
        <w:rPr>
          <w:rFonts w:cs="Times New Roman"/>
          <w:color w:val="EE0000"/>
          <w:sz w:val="20"/>
          <w:szCs w:val="20"/>
        </w:rPr>
        <w:fldChar w:fldCharType="end"/>
      </w:r>
      <w:r w:rsidRPr="00A65125">
        <w:rPr>
          <w:rFonts w:cs="Times New Roman"/>
          <w:color w:val="EE0000"/>
          <w:sz w:val="20"/>
          <w:szCs w:val="20"/>
        </w:rPr>
        <w:t xml:space="preserve">. Its implementation can include contracts, operating procedures, and monitoring tools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{"citationItems":[{"id":"ITEM-1","itemData":{"DOI":"10.1561/1400000032","ISSN":"1554-0642","author":[{"dropping-particle":"","family":"Anderson","given":"Shannon W.","non-dropping-particle":"","parse-names":false,"suffix":""},{"dropping-particle":"","family":"Dekker","given":"Henri C.","non-dropping-particle":"","parse-names":false,"suffix":""}],"container-title":"Foundations and Trends® in Accounting","id":"ITEM-1","issue":"2","issued":{"date-parts":[["2014"]]},"page":"75-141","title":"The Role of Management Controls in Transforming Firm Boundaries and Sustaining Hybrid Organizational Forms","type":"article-journal","volume":"8"},"uris":["http://www.mendeley.com/documents/?uuid=bed0ba2b-3aa3-4489-b10a-87e0089f5cc5"]},{"id":"ITEM-2","itemData":{"DOI":"10.1016/S0361-3682(02)00056-9","ISSN":"03613682","author":[{"dropping-particle":"","family":"Dekker","given":"Henri C","non-dropping-particle":"","parse-names":false,"suffix":""}],"container-title":"Accounting, Organizations and Society","id":"ITEM-2","issue":"1","issued":{"date-parts":[["2004","1"]]},"page":"27-49","title":"Control of inter-organizational relationships: evidence on appropriation concerns and coordination requirements","type":"article-journal","volume":"29"},"uris":["http://www.mendeley.com/documents/?uuid=0530e0b8-2543-4bf8-89f8-ad13dc6bc3a8"]}],"mendeley":{"formattedCitation":"(Anderson &amp; Dekker 2014; Dekker 2004)","plainTextFormattedCitation":"(Anderson &amp; Dekker 2014; Dekker 2004)","previouslyFormattedCitation":"(Anderson &amp; Dekker 2014; Dekker 2004)"},"properties":{"noteIndex":0},"schema":"https://github.com/citation-style-language/schema/raw/master/csl-citation.json"}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(Anderson &amp; Dekker 2014; Dekker 2004)</w:t>
      </w:r>
      <w:r w:rsidRPr="00A65125">
        <w:rPr>
          <w:rFonts w:cs="Times New Roman"/>
          <w:color w:val="EE0000"/>
          <w:sz w:val="20"/>
          <w:szCs w:val="20"/>
        </w:rPr>
        <w:fldChar w:fldCharType="end"/>
      </w:r>
      <w:r w:rsidRPr="00A65125">
        <w:rPr>
          <w:rFonts w:cs="Times New Roman"/>
          <w:color w:val="EE0000"/>
          <w:sz w:val="20"/>
          <w:szCs w:val="20"/>
        </w:rPr>
        <w:t xml:space="preserve">. Rather than undermining trust, control complements it by ensuring predictability (Kostić &amp; Sedej 2022). In the digital realm, </w:t>
      </w:r>
      <w:r w:rsidR="008752C6" w:rsidRPr="00A65125">
        <w:rPr>
          <w:rFonts w:cs="Times New Roman"/>
          <w:color w:val="EE0000"/>
          <w:sz w:val="20"/>
          <w:szCs w:val="20"/>
        </w:rPr>
        <w:t>SLA</w:t>
      </w:r>
      <w:r w:rsidRPr="00A65125">
        <w:rPr>
          <w:rFonts w:cs="Times New Roman"/>
          <w:color w:val="EE0000"/>
          <w:sz w:val="20"/>
          <w:szCs w:val="20"/>
        </w:rPr>
        <w:t xml:space="preserve"> play a pivotal role as an official control mechanism that codifies responsibilities, timelines, and penalties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{"citationItems":[{"id":"ITEM-1","itemData":{"DOI":"10.1108/JGOSS-05-2020-0024","ISSN":"23985364","abstract":"Purpose: This paper aims to explore the challenges and opportunities of blockchain technology adoption from the lens of the technological–organisational–environmental (TOE) framework for operational excellence in the UK automotive industry context. Design/methodology/approach: The research methodology of this study follows a systematic review approach, which analyses existing academic published research papers in the top 35 academic journals. There was no specific timeframe established for this study and shortlisting the articles through a set of used keywords. A sample of 71 articles was shortlisted and analysed to provide a discussion on technological and management challenges and opportunities of blockchain adoption from the lens of the TOE framework for operational excellence. Findings: The findings of this study present significant theoretical and managerial implications and deep understanding for firms seeking to understand the challenges and opportunities of blockchain adoption for their operational excellence. Research limitations/implications: The systematic literature approach was considered for the present study to explore existing academic papers on technological and management challenges and opportunities from the lens of TOE framework for operational excellence, whereas a more specified method meta-analysis can be considered for future research. The study has been explored in the UK automotive industry context, which has been considered as the limitation of generalisation across countries and industries. Originality/value: This paper represents the most comprehensive literature study related to the technological and management challenges and opportunities of blockchain from the TOE framework angle for operational excellence.","author":[{"dropping-particle":"","family":"Upadhyay","given":"Arvind","non-dropping-particle":"","parse-names":false,"suffix":""},{"dropping-particle":"","family":"Ayodele","given":"Julius Oluwasunkanmi","non-dropping-particle":"","parse-names":false,"suffix":""},{"dropping-particle":"","family":"Kumar","given":"Anil","non-dropping-particle":"","parse-names":false,"suffix":""},{"dropping-particle":"","family":"Garza-Reyes","given":"Jose Arturo","non-dropping-particle":"","parse-names":false,"suffix":""}],"container-title":"Journal of Global Operations and Strategic Sourcing","id":"ITEM-1","issue":"1","issued":{"date-parts":[["2021","1","1"]]},"page":"7-60","publisher":"Emerald Publishing Limited","title":"A review of challenges and opportunities of blockchain adoption for operational excellence in the UK automotive industry","type":"article-journal","volume":"14"},"uris":["http://www.mendeley.com/documents/?uuid=552225be-9e2b-4415-85cd-8570f4a9b1b5"]},{"id":"ITEM-2","itemData":{"author":[{"dropping-particle":"","family":"Ubani","given":"R. C.","non-dropping-particle":"","parse-names":false,"suffix":""},{"dropping-particle":"","family":"Emenike","given":"A.","non-dropping-particle":"","parse-names":false,"suffix":""}],"container-title":"European Journal of Marketing and Management Sciences","id":"ITEM-2","issue":"6","issued":{"date-parts":[["2023"]]},"page":"21-43","title":"The Impact Of Service Level Agreement (SLA) On The Performance Of Transmission Company Of Nigeria (TCN) Abuja","type":"article-journal","volume":"6"},"uris":["http://www.mendeley.com/documents/?uuid=51ed57c6-5460-4667-b8f4-109831bdce49"]}],"mendeley":{"formattedCitation":"(Ubani &amp; Emenike 2023; A. Upadhyay et al. 2021)","manualFormatting":"(Ubani &amp; Emenike 2023; Upadhyay et al. 2021)","plainTextFormattedCitation":"(Ubani &amp; Emenike 2023; A. Upadhyay et al. 2021)","previouslyFormattedCitation":"(Ubani &amp; Emenike 2023; A. Upadhyay et al. 2021)"},"properties":{"noteIndex":0},"schema":"https://github.com/citation-style-language/schema/raw/master/csl-citation.json"}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(Ubani &amp; Emenike 2023; Upadhyay et al. 2021)</w:t>
      </w:r>
      <w:r w:rsidRPr="00A65125">
        <w:rPr>
          <w:rFonts w:cs="Times New Roman"/>
          <w:color w:val="EE0000"/>
          <w:sz w:val="20"/>
          <w:szCs w:val="20"/>
        </w:rPr>
        <w:fldChar w:fldCharType="end"/>
      </w:r>
      <w:r w:rsidRPr="00A65125">
        <w:rPr>
          <w:rFonts w:cs="Times New Roman"/>
          <w:color w:val="EE0000"/>
          <w:sz w:val="20"/>
          <w:szCs w:val="20"/>
        </w:rPr>
        <w:t xml:space="preserve">. In a digital environment, SLA terms can be embedded in computerised code to govern structured and standard operational guidelines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10.1109/access.2023.3344038","ISSN":"21693536","author":[{"dropping-particle":"","family":"Nguyen","given":"Trung-Viet","non-dropping-particle":"","parse-names":false,"suffix":""},{"dropping-particle":"","family":"Lê","given":"Lam-Son","non-dropping-particle":"","parse-names":false,"suffix":""},{"dropping-particle":"","family":"Shah","given":"Syed Attique","non-dropping-particle":"","parse-names":false,"suffix":""},{"dropping-particle":"","family":"Hameed","given":"Sufian","non-dropping-particle":"","parse-names":false,"suffix":""},{"dropping-particle":"","family":"Draheim","given":"Dirk","non-dropping-particle":"","parse-names":false,"suffix":""}],"container-title":"IEEE Access","id":"ITEM-1","issue":"November 2023","issued":{"date-parts":[["2023"]]},"page":"1-1","publisher":"IEEE","publisher-place":"Vietnam","title":"PenChain: A Blockchain-Based Platform for Penalty-Aware Service Provisioning","type":"article-journal","volume":"12"},"uris":["http://www.mendeley.com/documents/?uuid=759d6a02-eb0b-48d0-9108-373443982209"]}],"mendeley":{"formattedCitation":"(Nguyen et al. 2023)","plainTextFormattedCitation":"(Nguyen et al. 2023)","previouslyFormattedCitation":"(Nguyen et al. 2023)"},"properties":{"noteIndex":0},"schema":"https://github.com/citation-style-language/schema/raw/master/csl-citation.json"}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(Nguyen et al. 2023)</w:t>
      </w:r>
      <w:r w:rsidRPr="00A65125">
        <w:rPr>
          <w:rFonts w:cs="Times New Roman"/>
          <w:color w:val="EE0000"/>
          <w:sz w:val="20"/>
          <w:szCs w:val="20"/>
        </w:rPr>
        <w:fldChar w:fldCharType="end"/>
      </w:r>
      <w:r w:rsidRPr="00A65125">
        <w:rPr>
          <w:rFonts w:cs="Times New Roman"/>
          <w:color w:val="EE0000"/>
          <w:sz w:val="20"/>
          <w:szCs w:val="20"/>
        </w:rPr>
        <w:t>.</w:t>
      </w:r>
    </w:p>
    <w:p w14:paraId="6EC2C98B" w14:textId="2C6569E9" w:rsidR="00EB2EF2" w:rsidRPr="00A65125" w:rsidRDefault="00EB2EF2" w:rsidP="00A65125">
      <w:pPr>
        <w:pStyle w:val="BodyText1"/>
        <w:rPr>
          <w:rFonts w:cs="Times New Roman"/>
          <w:color w:val="EE0000"/>
          <w:sz w:val="20"/>
          <w:szCs w:val="20"/>
        </w:rPr>
      </w:pPr>
      <w:r w:rsidRPr="00A65125">
        <w:rPr>
          <w:rFonts w:cs="Times New Roman"/>
          <w:color w:val="EE0000"/>
          <w:sz w:val="20"/>
          <w:szCs w:val="20"/>
        </w:rPr>
        <w:t xml:space="preserve">In the Malaysian public sector, the SLA terms upon fund transfer guideline is mentioned in the </w:t>
      </w:r>
      <w:r w:rsidRPr="00A65125">
        <w:rPr>
          <w:rFonts w:cs="Times New Roman"/>
          <w:i/>
          <w:iCs/>
          <w:color w:val="EE0000"/>
          <w:sz w:val="20"/>
          <w:szCs w:val="20"/>
        </w:rPr>
        <w:fldChar w:fldCharType="begin" w:fldLock="1"/>
      </w:r>
      <w:r w:rsidR="001F54BC" w:rsidRPr="00A65125">
        <w:rPr>
          <w:rFonts w:cs="Times New Roman"/>
          <w:i/>
          <w:iCs/>
          <w:color w:val="EE0000"/>
          <w:sz w:val="20"/>
          <w:szCs w:val="20"/>
        </w:rPr>
        <w:instrText>ADDIN CSL_CITATION {"citationItems":[{"id":"ITEM-1","itemData":{"author":[{"dropping-particle":"","family":"Surat Pekeliling Akauntan Negara Malaysia Bilangan 3 Tahun 2019","given":"","non-dropping-particle":"","parse-names":false,"suffix":""}],"id":"ITEM-1","issued":{"date-parts":[["0"]]},"publisher-place":"Malaysia","title":"Surat Pekeliling Akauntan Negara Malaysia (SPANM) Bil. 3 Tahun 2019 - Tatacara Pengurusan Terimaan","type":"article-journal"},"uris":["http://www.mendeley.com/documents/?uuid=e85434b4-069a-47d9-b1f0-a04be03c2829"]}],"mendeley":{"formattedCitation":"(Surat Pekeliling Akauntan Negara Malaysia Bilangan 3 Tahun 2019 n.d.)","manualFormatting":"Surat Pekeliling Akauntan Negara Malaysia Bilangan 3 Tahun 2019","plainTextFormattedCitation":"(Surat Pekeliling Akauntan Negara Malaysia Bilangan 3 Tahun 2019 n.d.)","previouslyFormattedCitation":"(Surat Pekeliling Akauntan Negara Malaysia Bilangan 3 Tahun 2019 2019)"},"properties":{"noteIndex":0},"schema":"https://github.com/citation-style-language/schema/raw/master/csl-citation.json"}</w:instrText>
      </w:r>
      <w:r w:rsidRPr="00A65125">
        <w:rPr>
          <w:rFonts w:cs="Times New Roman"/>
          <w:i/>
          <w:iCs/>
          <w:color w:val="EE0000"/>
          <w:sz w:val="20"/>
          <w:szCs w:val="20"/>
        </w:rPr>
        <w:fldChar w:fldCharType="separate"/>
      </w:r>
      <w:r w:rsidRPr="00A65125">
        <w:rPr>
          <w:rFonts w:cs="Times New Roman"/>
          <w:i/>
          <w:iCs/>
          <w:noProof/>
          <w:color w:val="EE0000"/>
          <w:sz w:val="20"/>
          <w:szCs w:val="20"/>
        </w:rPr>
        <w:t>Surat Pekeliling Akauntan Negara Malaysia Bilangan 3 Tahun 2019</w:t>
      </w:r>
      <w:r w:rsidRPr="00A65125">
        <w:rPr>
          <w:rFonts w:cs="Times New Roman"/>
          <w:i/>
          <w:iCs/>
          <w:color w:val="EE0000"/>
          <w:sz w:val="20"/>
          <w:szCs w:val="20"/>
        </w:rPr>
        <w:fldChar w:fldCharType="end"/>
      </w:r>
      <w:r w:rsidRPr="00A65125">
        <w:rPr>
          <w:rFonts w:cs="Times New Roman"/>
          <w:color w:val="EE0000"/>
          <w:sz w:val="20"/>
          <w:szCs w:val="20"/>
        </w:rPr>
        <w:t xml:space="preserve"> and must be included in the agreement. Nonetheless, SLA enforcement often fails in practice. Based on the Auditor General’s reports, the reports reveal breaches involving acquiring banks and collection agents, such as failing to meet fund transfer guidelines. These issues stem from a lack of real-time monitoring, escalation protocols, and adaptive enforcement mechanisms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{"citationItems":[{"id":"ITEM-1","itemData":{"DOI":"10.1007/s10257-022-00551-w","ISSN":"16179854","abstract":"Service providers compose services in service chains that require deep integration of core operational information systems across organizations. Additionally, advanced analytics inform data-driven decision-making in corresponding AI-enabled business processes in today’s complex environments. However, individual partner engagements with service consumers and providers often entail individually negotiated, highly customized Service Level Agreements (SLAs) comprising engagement-specific metrics that semantically differ from general KPIs utilized on a broader operational (i.e., cross-client) level. Furthermore, the number of unique SLAs to be managed increases with the size of such service chains. The resulting complexity pushes large organizations to employ dedicated SLA management systems, but such ‘siloed’ approaches make it difficult to leverage insights from SLA evaluations and predictions for decision-making in core business processes, and vice versa. Consequently, simultaneous optimization for both global operational process efficiency and engagement-specific SLA compliance is hampered. To address these shortcomings, we propose our vision of supplying online, AI-supported SLA analytics to data-driven, intelligent core workflows of the enterprise and discuss current research challenges arising from this vision. Exemplified by two scenarios derived from real use cases in industry and public administration, we demonstrate the need for improved semantic alignment of heavily customized SLAs with AI-enabled operational systems. Moreover, we discuss specific challenges of prescriptive SLA analytics under multi-engagement SLA awareness and how the dual role of AI in such scenarios demands bidirectional data exchange between operational processes and SLA management. Finally, we discuss the implications of federating AI-supported SLA analytics across organizations.","author":[{"dropping-particle":"","family":"Engel","given":"Robert","non-dropping-particle":"","parse-names":false,"suffix":""},{"dropping-particle":"","family":"Fernandez","given":"Pablo","non-dropping-particle":"","parse-names":false,"suffix":""},{"dropping-particle":"","family":"Ruiz-Cortes","given":"Antonio","non-dropping-particle":"","parse-names":false,"suffix":""},{"dropping-particle":"","family":"Megahed","given":"Aly","non-dropping-particle":"","parse-names":false,"suffix":""},{"dropping-particle":"","family":"Ojeda-Perez","given":"Juan","non-dropping-particle":"","parse-names":false,"suffix":""}],"container-title":"Information Systems and e-Business Management","id":"ITEM-1","issue":"1","issued":{"date-parts":[["2022"]]},"page":"199-221","title":"SLA-aware operational efficiency in AI-enabled service chains: challenges ahead","type":"article-journal","volume":"20"},"uris":["http://www.mendeley.com/documents/?uuid=4842b70c-428b-45b0-9c23-dac4bf4cc897"]},{"id":"ITEM-2","itemData":{"DOI":"10.21123/bsj.2021.18.2(Suppl.).1020","ISSN":"24117986","abstract":"Online service is used to be as Pay-Per-Use in Cloud computing. Service user need not be in a long time contract with cloud service providers. Service level agreements (SLAs) are understandings marked between a cloud service providers and others, for example, a service user, intermediary operator, or observing operators. Since cloud computing is an ongoing technology giving numerous services to basic business applications and adaptable systems to manage online agreements are significant. SLA maintains the quality-of-service to the cloud user. If service provider fails to maintain the required service SLA is considered to be SLA violated. The main aim is to minimize the SLA violations for maintain the QoS of their cloud users. In this research article, a toolbox is proposed to help the procedure of exchanging of a SLA with the service providers that will enable the cloud client in indicating service quality demands and an algorithm as well as Negotiation model is also proposed to negotiate the request with the service providers to produce a better agreement between service provider and cloud service consumer. Subsequently, the discussed framework can reduce SLA violations as well as negotiation disappointments and have expanded cost-adequacy. Moreover, the suggested SLA toolkit is additionally productive to clients so clients can secure a sensible value repayment for diminished QoS or conceding time. This research shows the assurance level in the cloud service providers can be kept up by as yet conveying the services with no interruption from the client's perspective.","author":[{"dropping-particle":"","family":"Kumar","given":"Surendra","non-dropping-particle":"","parse-names":false,"suffix":""},{"dropping-particle":"","family":"Kumar","given":"Narander","non-dropping-particle":"","parse-names":false,"suffix":""}],"container-title":"Baghdad Science Journal","id":"ITEM-2","issue":"2","issued":{"date-parts":[["2021"]]},"page":"1020-1029","title":"Conceptual service level agreement mechanism to minimize the SLA violation with SLA negotiation process in cloud computing environment","type":"article-journal","volume":"18"},"uris":["http://www.mendeley.com/documents/?uuid=90df939c-064b-48b8-93b2-f76a66f8a5bd"]}],"mendeley":{"formattedCitation":"(Engel et al. 2022; Kumar &amp; Kumar 2021)","plainTextFormattedCitation":"(Engel et al. 2022; Kumar &amp; Kumar 2021)","previouslyFormattedCitation":"(Engel et al. 2022; Kumar &amp; Kumar 2021)"},"properties":{"noteIndex":0},"schema":"https://github.com/citation-style-language/schema/raw/master/csl-citation.json"}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(Engel et al. 2022; Kumar &amp; Kumar 2021)</w:t>
      </w:r>
      <w:r w:rsidRPr="00A65125">
        <w:rPr>
          <w:rFonts w:cs="Times New Roman"/>
          <w:color w:val="EE0000"/>
          <w:sz w:val="20"/>
          <w:szCs w:val="20"/>
        </w:rPr>
        <w:fldChar w:fldCharType="end"/>
      </w:r>
      <w:r w:rsidRPr="00A65125">
        <w:rPr>
          <w:rFonts w:cs="Times New Roman"/>
          <w:color w:val="EE0000"/>
          <w:sz w:val="20"/>
          <w:szCs w:val="20"/>
        </w:rPr>
        <w:t xml:space="preserve">. The past literature tends to assume that a formal contract is a sufficient control mechanism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{"citationItems":[{"id":"ITEM-1","itemData":{"DOI":"10.1108/JFRA-03-2023-491","ISSN":"20425856","author":[{"dropping-particle":"","family":"Yaseen","given":"Saad G.","non-dropping-particle":"","parse-names":false,"suffix":""}],"container-title":"Journal of Financial Reporting and Accounting","id":"ITEM-1","issue":"1","issued":{"date-parts":[["2023"]]},"page":"1-4","title":"Guest editorial: Digital accounting, financial technology and data analytics","type":"article-journal","volume":"21"},"uris":["http://www.mendeley.com/documents/?uuid=278f6233-4e1b-4089-ae4a-2c3019ffa24e"]}],"mendeley":{"formattedCitation":"(Yaseen 2023)","plainTextFormattedCitation":"(Yaseen 2023)","previouslyFormattedCitation":"(Yaseen 2023)"},"properties":{"noteIndex":0},"schema":"https://github.com/citation-style-language/schema/raw/master/csl-citation.json"}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(Yaseen 2023)</w:t>
      </w:r>
      <w:r w:rsidRPr="00A65125">
        <w:rPr>
          <w:rFonts w:cs="Times New Roman"/>
          <w:color w:val="EE0000"/>
          <w:sz w:val="20"/>
          <w:szCs w:val="20"/>
        </w:rPr>
        <w:fldChar w:fldCharType="end"/>
      </w:r>
      <w:r w:rsidRPr="00A65125">
        <w:rPr>
          <w:rFonts w:cs="Times New Roman"/>
          <w:color w:val="EE0000"/>
          <w:sz w:val="20"/>
          <w:szCs w:val="20"/>
        </w:rPr>
        <w:t xml:space="preserve">, yet overlooks examining its challenges in real practice, particularly in interorganisational collaboration. Hence, this study advances the concept of control as a continuous governance process, requiring technological integration and institutional responsiveness to manage evolving </w:t>
      </w:r>
      <w:r w:rsidR="00470DA6" w:rsidRPr="00A65125">
        <w:rPr>
          <w:rFonts w:cs="Times New Roman"/>
          <w:color w:val="EE0000"/>
          <w:sz w:val="20"/>
          <w:szCs w:val="20"/>
        </w:rPr>
        <w:t>IOC workflows</w:t>
      </w:r>
      <w:r w:rsidRPr="00A65125">
        <w:rPr>
          <w:rFonts w:cs="Times New Roman"/>
          <w:color w:val="EE0000"/>
          <w:sz w:val="20"/>
          <w:szCs w:val="20"/>
        </w:rPr>
        <w:t xml:space="preserve"> effectively.</w:t>
      </w:r>
    </w:p>
    <w:p w14:paraId="48092375" w14:textId="77777777" w:rsidR="005764C7" w:rsidRDefault="005764C7" w:rsidP="005764C7">
      <w:pPr>
        <w:pStyle w:val="Heading2"/>
        <w:rPr>
          <w:rFonts w:eastAsiaTheme="majorEastAsia" w:cs="Times New Roman"/>
          <w:bCs/>
          <w:caps w:val="0"/>
          <w:color w:val="EE0000"/>
          <w:sz w:val="20"/>
          <w:szCs w:val="20"/>
        </w:rPr>
      </w:pPr>
    </w:p>
    <w:p w14:paraId="52D875EF" w14:textId="456B7F8D" w:rsidR="00857782" w:rsidRPr="00A65125" w:rsidRDefault="00956CD1" w:rsidP="005764C7">
      <w:pPr>
        <w:pStyle w:val="Heading2"/>
      </w:pPr>
      <w:r w:rsidRPr="00A65125">
        <w:t>INFORMATION EXCHANGE</w:t>
      </w:r>
    </w:p>
    <w:p w14:paraId="40800F14" w14:textId="77777777" w:rsidR="008602B7" w:rsidRPr="00A65125" w:rsidRDefault="008602B7" w:rsidP="00A65125">
      <w:pPr>
        <w:rPr>
          <w:color w:val="EE0000"/>
          <w:sz w:val="20"/>
          <w:szCs w:val="20"/>
          <w:lang w:val="en-MY" w:eastAsia="en-US"/>
        </w:rPr>
      </w:pPr>
    </w:p>
    <w:p w14:paraId="5F6BE67E" w14:textId="5E54AD12" w:rsidR="00343689" w:rsidRPr="00A65125" w:rsidRDefault="00343689" w:rsidP="00A65125">
      <w:pPr>
        <w:pStyle w:val="BodyText1"/>
        <w:ind w:firstLine="0"/>
        <w:rPr>
          <w:rFonts w:cs="Times New Roman"/>
          <w:color w:val="EE0000"/>
          <w:sz w:val="20"/>
          <w:szCs w:val="20"/>
        </w:rPr>
      </w:pPr>
      <w:r w:rsidRPr="00A65125">
        <w:rPr>
          <w:rFonts w:cs="Times New Roman"/>
          <w:color w:val="EE0000"/>
          <w:sz w:val="20"/>
          <w:szCs w:val="20"/>
        </w:rPr>
        <w:t>Information exchange</w:t>
      </w:r>
      <w:r w:rsidR="009B63D6" w:rsidRPr="00A65125">
        <w:rPr>
          <w:rFonts w:cs="Times New Roman"/>
          <w:color w:val="EE0000"/>
          <w:sz w:val="20"/>
          <w:szCs w:val="20"/>
        </w:rPr>
        <w:t xml:space="preserve"> is defined as </w:t>
      </w:r>
      <w:r w:rsidRPr="00A65125">
        <w:rPr>
          <w:rFonts w:cs="Times New Roman"/>
          <w:color w:val="EE0000"/>
          <w:sz w:val="20"/>
          <w:szCs w:val="20"/>
        </w:rPr>
        <w:t>the structured flow of data and communication between agencies</w:t>
      </w:r>
      <w:r w:rsidR="009B63D6" w:rsidRPr="00A65125">
        <w:rPr>
          <w:rFonts w:cs="Times New Roman"/>
          <w:color w:val="EE0000"/>
          <w:sz w:val="20"/>
          <w:szCs w:val="20"/>
        </w:rPr>
        <w:t xml:space="preserve"> that provide </w:t>
      </w:r>
      <w:r w:rsidRPr="00A65125">
        <w:rPr>
          <w:rFonts w:cs="Times New Roman"/>
          <w:color w:val="EE0000"/>
          <w:sz w:val="20"/>
          <w:szCs w:val="20"/>
        </w:rPr>
        <w:t xml:space="preserve">a foundational element of interorganisational collaboration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{"citationItems":[{"id":"ITEM-1","itemData":{"DOI":"10.2308/HORIZONS-19-147","ISSN":"1558-7975","abstract":"Blockchain technology is increasingly emerging as an important organizational phenomenon, especially for collaboration across firm boundaries. Over the past three decades, accounting scholars have shown significant interest in management accounting and control mechanisms that are used by actors to sustain inter-organizational relationships. We outline fundamental technical features and limitations of permissioned blockchain technology and analytically propose blockchain as an empirical concept with implications for management accounting practices that underpin inter-organizational collaboration, trust, control, and information exchange. Particular focus of the analysis is on the interplay between the technical capabilities of blockchain technology and inter-organizational management control procedures. Based on this analysis, we develop a series of propositions that theorize how these procedures affect the way in which blockchain is enacted in IORs, and how they are affected by blockchain in turn. The paper concludes with a research agenda for accounting scholars and offers directions for further research.","author":[{"dropping-particle":"","family":"Kostić","given":"Nikola","non-dropping-particle":"","parse-names":false,"suffix":""},{"dropping-particle":"","family":"Sedej","given":"Tomaz","non-dropping-particle":"","parse-names":false,"suffix":""}],"container-title":"Accounting Horizons","id":"ITEM-1","issue":"2","issued":{"date-parts":[["2022","6","1"]]},"page":"123-141","title":"Blockchain Technology, Inter-Organizational Relationships, and Management Accounting: A Synthesis and a Research Agenda","type":"article-journal","volume":"36"},"uris":["http://www.mendeley.com/documents/?uuid=6f39ff4b-9161-4c9b-9e25-8f0f8cbabd96"]},{"id":"ITEM-2","itemData":{"DOI":"10.1016/j.mar.2012.03.001","ISSN":"10445005","author":[{"dropping-particle":"","family":"Caglio","given":"Ariela","non-dropping-particle":"","parse-names":false,"suffix":""},{"dropping-particle":"","family":"Ditillo","given":"Angelo","non-dropping-particle":"","parse-names":false,"suffix":""}],"container-title":"Management Accounting Research","id":"ITEM-2","issue":"2","issued":{"date-parts":[["2012","6"]]},"page":"61-78","title":"Opening the black box of management accounting information exchanges in buyer–supplier relationships","type":"article-journal","volume":"23"},"uris":["http://www.mendeley.com/documents/?uuid=61648990-d853-4e6d-a2e6-babeec78f093"]}],"mendeley":{"formattedCitation":"(Caglio &amp; Ditillo 2012; Kostić &amp; Sedej 2022)","plainTextFormattedCitation":"(Caglio &amp; Ditillo 2012; Kostić &amp; Sedej 2022)","previouslyFormattedCitation":"(Caglio &amp; Ditillo 2012; Kostić &amp; Sedej 2022)"},"properties":{"noteIndex":0},"schema":"https://github.com/citation-style-language/schema/raw/master/csl-citation.json"}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(Caglio &amp; Ditillo 2012; Kostić &amp; Sedej 2022)</w:t>
      </w:r>
      <w:r w:rsidRPr="00A65125">
        <w:rPr>
          <w:rFonts w:cs="Times New Roman"/>
          <w:color w:val="EE0000"/>
          <w:sz w:val="20"/>
          <w:szCs w:val="20"/>
        </w:rPr>
        <w:fldChar w:fldCharType="end"/>
      </w:r>
      <w:r w:rsidRPr="00A65125">
        <w:rPr>
          <w:rFonts w:cs="Times New Roman"/>
          <w:color w:val="EE0000"/>
          <w:sz w:val="20"/>
          <w:szCs w:val="20"/>
        </w:rPr>
        <w:t>. It enables coordination, adaptability, and transparency. However, outdated communication methods, incompatible systems, and institutional misalignment frequently disrupt this exchange</w:t>
      </w:r>
      <w:r w:rsidR="001F54BC" w:rsidRPr="00A65125">
        <w:rPr>
          <w:rFonts w:cs="Times New Roman"/>
          <w:color w:val="EE0000"/>
          <w:sz w:val="20"/>
          <w:szCs w:val="20"/>
        </w:rPr>
        <w:t xml:space="preserve"> </w:t>
      </w:r>
      <w:r w:rsidR="001F54BC" w:rsidRPr="00A65125">
        <w:rPr>
          <w:rFonts w:cs="Times New Roman"/>
          <w:color w:val="EE0000"/>
          <w:sz w:val="20"/>
          <w:szCs w:val="20"/>
        </w:rPr>
        <w:fldChar w:fldCharType="begin" w:fldLock="1"/>
      </w:r>
      <w:r w:rsidR="001F54BC" w:rsidRPr="00A65125">
        <w:rPr>
          <w:rFonts w:cs="Times New Roman"/>
          <w:color w:val="EE0000"/>
          <w:sz w:val="20"/>
          <w:szCs w:val="20"/>
        </w:rPr>
        <w:instrText>ADDIN CSL_CITATION {"citationItems":[{"id":"ITEM-1","itemData":{"DOI":"10.1016/j.techfore.2021.120641","ISSN":"00401625","abstract":"Blockchain technology has been advocated as a possible solution to enduring trust issues among trading partners in trade finance. We conducted in-depth interviews with industry experts to examine how blockchain technology influences the trust relationships among trading partners. Our results show that the technology enhances trust relationships by (1) improving the security of transactions and data exchanges, (2) facilitating the expression of benevolence, (3) enhancing the efficiency and the quality of communication, and (4) increasing the predictability of trading partners. The paper concludes with implications for both research and practice.","author":[{"dropping-particle":"","family":"Kowalski","given":"Michał","non-dropping-particle":"","parse-names":false,"suffix":""},{"dropping-particle":"","family":"Lee","given":"Zach W.Y.","non-dropping-particle":"","parse-names":false,"suffix":""},{"dropping-particle":"","family":"Chan","given":"Tommy K.H.","non-dropping-particle":"","parse-names":false,"suffix":""}],"container-title":"Technological Forecasting and Social Change","id":"ITEM-1","issued":{"date-parts":[["2021"]]},"page":"120641","title":"Blockchain technology and trust relationships in trade finance","type":"article-journal","volume":"166"},"uris":["http://www.mendeley.com/documents/?uuid=26c6ee96-3a4e-4b0b-b07f-47fa6f0796c4"]},{"id":"ITEM-2","itemData":{"DOI":"10.1108/JRF-02-2017-0022","ISSN":"09657967","abstract":"Purpose: This paper aims to apply blockchains (BCs) for trade clearing and settlement in a realistic clearinghouse. The purpose is to demonstrate the feasibility and scalability of this approach. Design/methodology/approach: The study uses account BCs and trading BCs as building blocks for trade clearing and settlement. Careful design is made to ensure that this approach is feasible and scalable. Findings: A design has been proposed that can process hundreds of thousands of trades for a clearinghouse and it addresses performance, privacy and scalability of realistic trade clearing and settlement. The design has been implemented and experimented in a clearinghouse for over two months and processes over 3B real transactions from an exchange. The first month was to experiment with the system with historical data, the second month was to experiment with real-time data during market trading hours. The system performed as designed and intended. Research limitations/implications: This is the first large research paper that applied BCs for clearing in the world. The authors applied the system to a clearinghouse and processed over 3 billion transactions, equivalent to 13 years of London Stock Exchange transaction volume, demonstrating that BCs can handle a large number of transactions. Practical implications: The design can be duplicated to many clearinghouses in the world, and this also paves the way BCs can be used in large financial institutions. Social implications: An implication is that other trading firms, clearinghouses and banks can apply the same technology for trade clearing, ushering the way BCs can be used in institutions. As clearing is a core function in business transactions, this has significant implications. The design can be discussed and improved in various communities. Originality/value: As this is the first application of BCs to large clearinghouses that uses unique BC designs. This has significant value. Many studies have been performed but few have been reported in the scientific community. The system has been implemented, experimented and demonstrated in public for months.","author":[{"dropping-particle":"","family":"Tsai","given":"Wei Tek","non-dropping-particle":"","parse-names":false,"suffix":""},{"dropping-particle":"","family":"Luo","given":"Yong","non-dropping-particle":"","parse-names":false,"suffix":""},{"dropping-particle":"","family":"Deng","given":"Enyan","non-dropping-particle":"","parse-names":false,"suffix":""},{"dropping-particle":"","family":"Zhao","given":"Jing","non-dropping-particle":"","parse-names":false,"suffix":""},{"dropping-particle":"","family":"Ding","given":"Xiaoqiang","non-dropping-particle":"","parse-names":false,"suffix":""},{"dropping-particle":"","family":"Li","given":"Jie","non-dropping-particle":"","parse-names":false,"suffix":""},{"dropping-particle":"","family":"Yuan","given":"Bo","non-dropping-particle":"","parse-names":false,"suffix":""}],"container-title":"Journal of Risk Finance","id":"ITEM-2","issue":"5","issued":{"date-parts":[["2020"]]},"page":"469-492","title":"Blockchain systems for trade clearing","type":"article-journal","volume":"21"},"uris":["http://www.mendeley.com/documents/?uuid=46e64857-b8d6-46c8-a293-a2236c6e6d03"]}],"mendeley":{"formattedCitation":"(Kowalski et al. 2021; Tsai et al. 2020)","plainTextFormattedCitation":"(Kowalski et al. 2021; Tsai et al. 2020)"},"properties":{"noteIndex":0},"schema":"https://github.com/citation-style-language/schema/raw/master/csl-citation.json"}</w:instrText>
      </w:r>
      <w:r w:rsidR="001F54BC" w:rsidRPr="00A65125">
        <w:rPr>
          <w:rFonts w:cs="Times New Roman"/>
          <w:color w:val="EE0000"/>
          <w:sz w:val="20"/>
          <w:szCs w:val="20"/>
        </w:rPr>
        <w:fldChar w:fldCharType="separate"/>
      </w:r>
      <w:r w:rsidR="001F54BC" w:rsidRPr="00A65125">
        <w:rPr>
          <w:rFonts w:cs="Times New Roman"/>
          <w:noProof/>
          <w:color w:val="EE0000"/>
          <w:sz w:val="20"/>
          <w:szCs w:val="20"/>
        </w:rPr>
        <w:t>(Kowalski et al. 2021; Tsai et al. 2020)</w:t>
      </w:r>
      <w:r w:rsidR="001F54BC" w:rsidRPr="00A65125">
        <w:rPr>
          <w:rFonts w:cs="Times New Roman"/>
          <w:color w:val="EE0000"/>
          <w:sz w:val="20"/>
          <w:szCs w:val="20"/>
        </w:rPr>
        <w:fldChar w:fldCharType="end"/>
      </w:r>
      <w:r w:rsidR="001F54BC" w:rsidRPr="00A65125">
        <w:rPr>
          <w:rFonts w:cs="Times New Roman"/>
          <w:color w:val="EE0000"/>
          <w:sz w:val="20"/>
          <w:szCs w:val="20"/>
        </w:rPr>
        <w:t xml:space="preserve">. </w:t>
      </w:r>
      <w:r w:rsidRPr="00A65125">
        <w:rPr>
          <w:rFonts w:cs="Times New Roman"/>
          <w:color w:val="EE0000"/>
          <w:sz w:val="20"/>
          <w:szCs w:val="20"/>
        </w:rPr>
        <w:t xml:space="preserve">In addition,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{"citationItems":[{"id":"ITEM-1","itemData":{"DOI":"10.1108/AAAJ-10-2020-4994","ISSN":"09513574","abstract":"Purpose: This paper aims to design, build and evaluate a blockchain platform in the accounting domain, taking an ecosystem perspective. To achieve this aim, the research provides evidence for developing a decentralised architecture rooted on blockchain technology, designing a proof of concept and modelling an accounting blockchain-based system. Design/methodology/approach: Moving from the analysis of previous literature and leveraging on the design science approach, this paper provides a framework grounded on the main pillars of blockchain and accounting functions, identifying technical and non-technical issues that must be addressed embrace blockchain technology's full potential. Findings: We propose and discuss a conceptual framework for a blockchain-based accounting context, moving from the identification of a typical accounting scenario. The framework is organised around three scalable levels: the first level is a technological infrastructure based on a distributed database with peer-to-peer storage; second, in the intermediate level, increasing control levels are assured through permissions and validation and third, in the higher level, the system provides the integration of business and security applications. The deployment of this system relies on a private network of nodes that validates transactions. Practical implications: The proposed conceptual framework about blockchain development in accounting allows closing the knowledge gap between blockchain developers and accounting experts by suggesting technological and strategic issues for practitioners. Originality/value: We provide practical guidelines to design and adopt blockchain in the accounting domain.","author":[{"dropping-particle":"","family":"Centobelli","given":"Piera","non-dropping-particle":"","parse-names":false,"suffix":""},{"dropping-particle":"","family":"Cerchione","given":"Roberto","non-dropping-particle":"","parse-names":false,"suffix":""},{"dropping-particle":"","family":"Vecchio","given":"Pasquale","non-dropping-particle":"Del","parse-names":false,"suffix":""},{"dropping-particle":"","family":"Oropallo","given":"Eugenio","non-dropping-particle":"","parse-names":false,"suffix":""},{"dropping-particle":"","family":"Secundo","given":"Giustina","non-dropping-particle":"","parse-names":false,"suffix":""}],"container-title":"Accounting, Auditing and Accountability Journal","id":"ITEM-1","issue":"7","issued":{"date-parts":[["2022"]]},"page":"1566-1597","publisher-place":"Italy","title":"Blockchain technology design in accounting: Game changer to tackle fraud or technological fairy tale?","type":"article-journal","volume":"35"},"uris":["http://www.mendeley.com/documents/?uuid=4abd4a1a-795b-4fae-a994-ce2c77c363c1"]},{"id":"ITEM-2","itemData":{"DOI":"10.1111/auar.12280","ISSN":"1035-6908","abstract":"This paper aims to propound a thorough and circumspect analysis of the implications of blockchain technology in the accounting profession and its broader industry. The analysis begins with a summary of early developments by first movers and how they are harnessing blockchain technology to improve business practices. Concomitantly, the paper will go on to discuss how this technology will streamline accounting processes, specifically as the technology approaches critical mass. Finally, a discussion of its long‐term implications will follow through a more philosophical and conceptual dialogue. Throughout the paper, criticisms will be raised to address concerns regarding blockchain's widespread use.","author":[{"dropping-particle":"","family":"Karajovic","given":"Maria","non-dropping-particle":"","parse-names":false,"suffix":""},{"dropping-particle":"","family":"Kim","given":"Henry M.","non-dropping-particle":"","parse-names":false,"suffix":""},{"dropping-particle":"","family":"Laskowski","given":"Marek","non-dropping-particle":"","parse-names":false,"suffix":""}],"container-title":"Australian Accounting Review","id":"ITEM-2","issue":"2","issued":{"date-parts":[["2019","6","15"]]},"page":"319-330","title":"Thinking Outside the Block: Projected Phases of Blockchain Integration in the Accounting Industry","type":"article-journal","volume":"29"},"uris":["http://www.mendeley.com/documents/?uuid=e7008c98-b9b3-4148-96b1-48d7ef801462"]}],"mendeley":{"formattedCitation":"(Centobelli et al. 2022; Karajovic et al. 2019)","manualFormatting":"Centobelli et al. (2022) and Karajovic et al. (2019)","plainTextFormattedCitation":"(Centobelli et al. 2022; Karajovic et al. 2019)","previouslyFormattedCitation":"(Centobelli et al. 2022; Karajovic et al. 2019)"},"properties":{"noteIndex":0},"schema":"https://github.com/citation-style-language/schema/raw/master/csl-citation.json"}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Centobelli et al. (2022) and Karajovic et al. (2019)</w:t>
      </w:r>
      <w:r w:rsidRPr="00A65125">
        <w:rPr>
          <w:rFonts w:cs="Times New Roman"/>
          <w:color w:val="EE0000"/>
          <w:sz w:val="20"/>
          <w:szCs w:val="20"/>
        </w:rPr>
        <w:fldChar w:fldCharType="end"/>
      </w:r>
      <w:r w:rsidRPr="00A65125">
        <w:rPr>
          <w:rFonts w:cs="Times New Roman"/>
          <w:color w:val="EE0000"/>
          <w:sz w:val="20"/>
          <w:szCs w:val="20"/>
        </w:rPr>
        <w:t xml:space="preserve"> demonstrate how fragmented operations hinder effective communication, which delays responses and obscures accountability. Although digital platforms such as phone, email and other mobile apps can expedite the transmission of information, their effectiveness is still limited due to fragmented and manual operations. However, the past literature typically frames information exchange as a technical issue of system integration, overlooking institutional coordination and governance </w:t>
      </w:r>
      <w:r w:rsidRPr="00A65125">
        <w:rPr>
          <w:rFonts w:cs="Times New Roman"/>
          <w:color w:val="EE0000"/>
          <w:sz w:val="20"/>
          <w:szCs w:val="20"/>
        </w:rPr>
        <w:fldChar w:fldCharType="begin" w:fldLock="1"/>
      </w:r>
      <w:r w:rsidRPr="00A65125">
        <w:rPr>
          <w:rFonts w:cs="Times New Roman"/>
          <w:color w:val="EE0000"/>
          <w:sz w:val="20"/>
          <w:szCs w:val="20"/>
        </w:rPr>
        <w:instrText>ADDIN CSL_CITATION {"citationItems":[{"id":"ITEM-1","itemData":{"abstract":"E-payment paradigm in the context of fighting corruption and increasing transparency at the public-sector authority's level is becoming more important than ever especially for Eastern Europe. The present research will address how an electronic payment system is affecting …","author":[{"dropping-particle":"","family":"Lazo","given":"Edmundo","non-dropping-particle":"","parse-names":false,"suffix":""},{"dropping-particle":"","family":"Casu","given":"Oxana","non-dropping-particle":"","parse-names":false,"suffix":""}],"container-title":"KTH Industrial Engineering and Management","id":"ITEM-1","issued":{"date-parts":[["2017"]]},"page":"1-48","title":"Towards a new transformation of epaymentsparadigm: a case study on Moldovan public services","type":"article-journal"},"uris":["http://www.mendeley.com/documents/?uuid=d1991620-e675-46ac-86b1-335757dd9dce"]}],"mendeley":{"formattedCitation":"(Lazo &amp; Casu 2017)","plainTextFormattedCitation":"(Lazo &amp; Casu 2017)","previouslyFormattedCitation":"(Lazo &amp; Casu 2017)"},"properties":{"noteIndex":0},"schema":"https://github.com/citation-style-language/schema/raw/master/csl-citation.json"}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(Lazo &amp; Casu 2017)</w:t>
      </w:r>
      <w:r w:rsidRPr="00A65125">
        <w:rPr>
          <w:rFonts w:cs="Times New Roman"/>
          <w:color w:val="EE0000"/>
          <w:sz w:val="20"/>
          <w:szCs w:val="20"/>
        </w:rPr>
        <w:fldChar w:fldCharType="end"/>
      </w:r>
      <w:r w:rsidRPr="00A65125">
        <w:rPr>
          <w:rFonts w:cs="Times New Roman"/>
          <w:color w:val="EE0000"/>
          <w:sz w:val="20"/>
          <w:szCs w:val="20"/>
        </w:rPr>
        <w:t>. This study expands the concept to include formal communication protocols, standardised data practices, and real-time visibility, essential for managing digital public finance ecosystems.</w:t>
      </w:r>
    </w:p>
    <w:p w14:paraId="6E3D2242" w14:textId="628BB3A4" w:rsidR="00343689" w:rsidRPr="00A65125" w:rsidRDefault="00343689" w:rsidP="00A65125">
      <w:pPr>
        <w:pStyle w:val="BodyText1"/>
        <w:rPr>
          <w:rFonts w:cs="Times New Roman"/>
          <w:color w:val="EE0000"/>
          <w:sz w:val="20"/>
          <w:szCs w:val="20"/>
        </w:rPr>
      </w:pPr>
      <w:r w:rsidRPr="00A65125">
        <w:rPr>
          <w:rFonts w:cs="Times New Roman"/>
          <w:color w:val="EE0000"/>
          <w:sz w:val="20"/>
          <w:szCs w:val="20"/>
        </w:rPr>
        <w:t xml:space="preserve">In conclusion, this study addresses a notable gap by shifting the focus of interorganisational collaboration from predominantly commercial domains to workflow-level phenomena within the public sector, specifically in e-payment processes. While existing literature extensively discusses interorganisational collaboration through dimensions such as trust, control, collaboration, and information exchange, these constructs are often treated as static and abstract, with limited attention to how they manifest in the daily operations of </w:t>
      </w:r>
      <w:r w:rsidR="00470DA6" w:rsidRPr="00A65125">
        <w:rPr>
          <w:rFonts w:cs="Times New Roman"/>
          <w:color w:val="EE0000"/>
          <w:sz w:val="20"/>
          <w:szCs w:val="20"/>
        </w:rPr>
        <w:t>IOC workflows</w:t>
      </w:r>
      <w:r w:rsidRPr="00A65125">
        <w:rPr>
          <w:rFonts w:cs="Times New Roman"/>
          <w:color w:val="EE0000"/>
          <w:sz w:val="20"/>
          <w:szCs w:val="20"/>
        </w:rPr>
        <w:t xml:space="preserve">, particularly in public sector e-payment systems. This study reframes </w:t>
      </w:r>
      <w:r w:rsidR="00470DA6" w:rsidRPr="00A65125">
        <w:rPr>
          <w:rFonts w:cs="Times New Roman"/>
          <w:color w:val="EE0000"/>
          <w:sz w:val="20"/>
          <w:szCs w:val="20"/>
        </w:rPr>
        <w:t>IOC workflows</w:t>
      </w:r>
      <w:r w:rsidRPr="00A65125">
        <w:rPr>
          <w:rFonts w:cs="Times New Roman"/>
          <w:color w:val="EE0000"/>
          <w:sz w:val="20"/>
          <w:szCs w:val="20"/>
        </w:rPr>
        <w:t xml:space="preserve"> as dynamic, performance-dependent constructs by grounding these dimensions in the operational realities of Malaysian public sector agencies. This theoretical repositioning underscores the need for more context-sensitive frameworks to evaluate and improve interorganisational collaboration. Furthermore, the findings highlight the imperative for strategic technology integration to address fragmentation, enhance transparency, and automate key aspects of the post-e-payment collection process. As such, this study advances theoretical discourse and provides a practical foundation for future innovations in digital public finance.</w:t>
      </w:r>
    </w:p>
    <w:p w14:paraId="16F09EB4" w14:textId="77777777" w:rsidR="000B0EC8" w:rsidRPr="00A65125" w:rsidRDefault="000B0EC8" w:rsidP="00A65125">
      <w:pPr>
        <w:pStyle w:val="BodyText1"/>
        <w:ind w:firstLine="0"/>
        <w:rPr>
          <w:rFonts w:cs="Times New Roman"/>
          <w:sz w:val="20"/>
          <w:szCs w:val="20"/>
        </w:rPr>
      </w:pPr>
    </w:p>
    <w:p w14:paraId="36AC2CD6" w14:textId="49C20DC3" w:rsidR="004368B9" w:rsidRPr="00A65125" w:rsidRDefault="008602B7" w:rsidP="00A65125">
      <w:pPr>
        <w:pStyle w:val="Heading1"/>
        <w:rPr>
          <w:rFonts w:cs="Times New Roman"/>
          <w:sz w:val="20"/>
          <w:szCs w:val="20"/>
        </w:rPr>
      </w:pPr>
      <w:r w:rsidRPr="00A65125">
        <w:rPr>
          <w:rFonts w:cs="Times New Roman"/>
          <w:sz w:val="20"/>
          <w:szCs w:val="20"/>
        </w:rPr>
        <w:t>RE</w:t>
      </w:r>
      <w:r w:rsidR="00214D67" w:rsidRPr="00A65125">
        <w:rPr>
          <w:rFonts w:cs="Times New Roman"/>
          <w:sz w:val="20"/>
          <w:szCs w:val="20"/>
        </w:rPr>
        <w:t>SEARCH METHODOLOGY</w:t>
      </w:r>
    </w:p>
    <w:p w14:paraId="4212BF9C" w14:textId="77777777" w:rsidR="00440E07" w:rsidRPr="00A65125" w:rsidRDefault="00440E07" w:rsidP="00A65125">
      <w:pPr>
        <w:rPr>
          <w:sz w:val="20"/>
          <w:szCs w:val="20"/>
          <w:lang w:val="en-MY" w:eastAsia="en-US"/>
        </w:rPr>
      </w:pPr>
    </w:p>
    <w:p w14:paraId="6A402039" w14:textId="6F5D8304" w:rsidR="002A474C" w:rsidRPr="00A65125" w:rsidRDefault="002A474C" w:rsidP="00A65125">
      <w:pPr>
        <w:pStyle w:val="BodyText1"/>
        <w:ind w:firstLine="0"/>
        <w:rPr>
          <w:rFonts w:cs="Times New Roman"/>
          <w:sz w:val="20"/>
          <w:szCs w:val="20"/>
        </w:rPr>
      </w:pPr>
      <w:r w:rsidRPr="00A65125">
        <w:rPr>
          <w:rFonts w:cs="Times New Roman"/>
          <w:sz w:val="20"/>
          <w:szCs w:val="20"/>
        </w:rPr>
        <w:t xml:space="preserve">This research employs a qualitative case study methodology, well-suited for exploring complex real-world phenomena such as </w:t>
      </w:r>
      <w:r w:rsidR="00470DA6" w:rsidRPr="00A65125">
        <w:rPr>
          <w:rFonts w:cs="Times New Roman"/>
          <w:sz w:val="20"/>
          <w:szCs w:val="20"/>
        </w:rPr>
        <w:t>IOC workflows</w:t>
      </w:r>
      <w:r w:rsidRPr="00A65125">
        <w:rPr>
          <w:rFonts w:cs="Times New Roman"/>
          <w:sz w:val="20"/>
          <w:szCs w:val="20"/>
        </w:rPr>
        <w:t xml:space="preserve"> in the e-payment processes of a Malaysian public sector agency </w:t>
      </w:r>
      <w:r w:rsidRPr="00A65125">
        <w:rPr>
          <w:rFonts w:cs="Times New Roman"/>
          <w:sz w:val="20"/>
          <w:szCs w:val="20"/>
        </w:rPr>
        <w:fldChar w:fldCharType="begin" w:fldLock="1"/>
      </w:r>
      <w:r w:rsidRPr="00A65125">
        <w:rPr>
          <w:rFonts w:cs="Times New Roman"/>
          <w:sz w:val="20"/>
          <w:szCs w:val="20"/>
        </w:rPr>
        <w:instrText>ADDIN CSL_CITATION {"citationItems":[{"id":"ITEM-1","itemData":{"ISBN":"978-1-5063-8670-6","author":[{"dropping-particle":"","family":"Creswell","given":"John W.","non-dropping-particle":"","parse-names":false,"suffix":""},{"dropping-particle":"","family":"Creswell","given":"John D.","non-dropping-particle":"","parse-names":false,"suffix":""}],"edition":"5th Editio","id":"ITEM-1","issued":{"date-parts":[["2018"]]},"publisher":"SAGE Publications, Inc.","title":"Research Design Qualitative, Quantitative, and Mixed Methods Approaches","type":"book"},"uris":["http://www.mendeley.com/documents/?uuid=3d97a9ac-6e9e-44c1-bc91-e5889d51115b"]},{"id":"ITEM-2","itemData":{"ISBN":"9781462517978","ISSN":"0032-633X","author":[{"dropping-particle":"","family":"Yin","given":"Robert K.","non-dropping-particle":"","parse-names":false,"suffix":""}],"container-title":"The Guilford Press","edition":"Second Edi","id":"ITEM-2","issued":{"date-parts":[["2016"]]},"publisher":"The Guilford Press","title":"Qualitative Research from Start to Finish","type":"book"},"uris":["http://www.mendeley.com/documents/?uuid=32ab80c1-c4c1-4955-999c-64f73b004b10"]}],"mendeley":{"formattedCitation":"(Creswell &amp; Creswell 2018; Yin 2016)","plainTextFormattedCitation":"(Creswell &amp; Creswell 2018; Yin 2016)","previouslyFormattedCitation":"(Creswell &amp; Creswell 2018; Yin 2016)"},"properties":{"noteIndex":0},"schema":"https://github.com/citation-style-language/schema/raw/master/csl-citation.json"}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(Creswell &amp; Creswell 2018; Yin 2016)</w:t>
      </w:r>
      <w:r w:rsidRPr="00A65125">
        <w:rPr>
          <w:rFonts w:cs="Times New Roman"/>
          <w:sz w:val="20"/>
          <w:szCs w:val="20"/>
        </w:rPr>
        <w:fldChar w:fldCharType="end"/>
      </w:r>
      <w:r w:rsidRPr="00A65125">
        <w:rPr>
          <w:rFonts w:cs="Times New Roman"/>
          <w:sz w:val="20"/>
          <w:szCs w:val="20"/>
        </w:rPr>
        <w:t xml:space="preserve">. The qualitative case study approach allows for in-depth exploration into </w:t>
      </w:r>
      <w:r w:rsidR="00470DA6" w:rsidRPr="00A65125">
        <w:rPr>
          <w:rFonts w:cs="Times New Roman"/>
          <w:sz w:val="20"/>
          <w:szCs w:val="20"/>
        </w:rPr>
        <w:t>IOC workflows</w:t>
      </w:r>
      <w:r w:rsidRPr="00A65125">
        <w:rPr>
          <w:rFonts w:cs="Times New Roman"/>
          <w:sz w:val="20"/>
          <w:szCs w:val="20"/>
        </w:rPr>
        <w:t xml:space="preserve"> challenges within the e-payment process at the TLD. This approach offers context-specific insights into how organisational structures and processes interact, particularly in an operational and institutionally unique environment </w:t>
      </w:r>
      <w:r w:rsidRPr="00A65125">
        <w:rPr>
          <w:rFonts w:cs="Times New Roman"/>
          <w:sz w:val="20"/>
          <w:szCs w:val="20"/>
        </w:rPr>
        <w:fldChar w:fldCharType="begin" w:fldLock="1"/>
      </w:r>
      <w:r w:rsidRPr="00A65125">
        <w:rPr>
          <w:rFonts w:cs="Times New Roman"/>
          <w:sz w:val="20"/>
          <w:szCs w:val="20"/>
        </w:rPr>
        <w:instrText>ADDIN CSL_CITATION {"citationItems":[{"id":"ITEM-1","itemData":{"ISBN":"978-0-470-28354-7","author":[{"dropping-particle":"","family":"Merriam","given":"Sharan B.","non-dropping-particle":"","parse-names":false,"suffix":""}],"container-title":"John Wiley &amp; Sons, Inc.","edition":"2nd Editio","id":"ITEM-1","issued":{"date-parts":[["2013"]]},"number-of-pages":"293","publisher":"John Wiley &amp; Sons, Inc.","title":"Qualitative Research A Guide to Design and Implementation","type":"book"},"uris":["http://www.mendeley.com/documents/?uuid=2f2ea5a3-051e-42ab-a0e7-7d64f1b06ac2"]},{"id":"ITEM-2","itemData":{"ISBN":"9781506336169","author":[{"dropping-particle":"","family":"Yin","given":"Robert K.","non-dropping-particle":"","parse-names":false,"suffix":""}],"container-title":"SAGE Publications, Inc.","id":"ITEM-2","issued":{"date-parts":[["2018"]]},"publisher":"SAGE Publications, Inc.","title":"Case study research and applications: Design and methods","type":"book"},"uris":["http://www.mendeley.com/documents/?uuid=5bca491a-34bf-49fb-aa5d-cca93958fb97"]}],"mendeley":{"formattedCitation":"(Merriam 2013; Yin 2018)","plainTextFormattedCitation":"(Merriam 2013; Yin 2018)","previouslyFormattedCitation":"(Merriam 2013; Yin 2018)"},"properties":{"noteIndex":0},"schema":"https://github.com/citation-style-language/schema/raw/master/csl-citation.json"}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(Merriam 2013; Yin 2018)</w:t>
      </w:r>
      <w:r w:rsidRPr="00A65125">
        <w:rPr>
          <w:rFonts w:cs="Times New Roman"/>
          <w:sz w:val="20"/>
          <w:szCs w:val="20"/>
        </w:rPr>
        <w:fldChar w:fldCharType="end"/>
      </w:r>
      <w:r w:rsidRPr="00A65125">
        <w:rPr>
          <w:rFonts w:cs="Times New Roman"/>
          <w:sz w:val="20"/>
          <w:szCs w:val="20"/>
        </w:rPr>
        <w:t>. It enables the identification of meaningful patterns and themes, contributing to both theoretical understanding and practical improvements in public sector e-payment systems.</w:t>
      </w:r>
    </w:p>
    <w:p w14:paraId="4B2FB471" w14:textId="77777777" w:rsidR="00971030" w:rsidRPr="00A65125" w:rsidRDefault="00971030" w:rsidP="00A65125">
      <w:pPr>
        <w:pStyle w:val="BodyText1"/>
        <w:ind w:firstLine="0"/>
        <w:rPr>
          <w:rFonts w:cs="Times New Roman"/>
          <w:sz w:val="20"/>
          <w:szCs w:val="20"/>
        </w:rPr>
      </w:pPr>
    </w:p>
    <w:p w14:paraId="685FFCAE" w14:textId="2C63B35F" w:rsidR="001E1AA6" w:rsidRPr="00A65125" w:rsidRDefault="00956CD1" w:rsidP="005764C7">
      <w:pPr>
        <w:pStyle w:val="Heading2"/>
      </w:pPr>
      <w:r w:rsidRPr="00A65125">
        <w:t>DATA COLLECTION</w:t>
      </w:r>
    </w:p>
    <w:p w14:paraId="2843FDDC" w14:textId="77777777" w:rsidR="008602B7" w:rsidRPr="00A65125" w:rsidRDefault="008602B7" w:rsidP="00A65125">
      <w:pPr>
        <w:rPr>
          <w:sz w:val="20"/>
          <w:szCs w:val="20"/>
          <w:lang w:val="en-MY" w:eastAsia="en-US"/>
        </w:rPr>
      </w:pPr>
    </w:p>
    <w:p w14:paraId="4614F356" w14:textId="27911594" w:rsidR="00587DDF" w:rsidRPr="00A65125" w:rsidRDefault="00587DDF" w:rsidP="00A65125">
      <w:pPr>
        <w:pStyle w:val="BodyText1"/>
        <w:ind w:firstLine="0"/>
        <w:rPr>
          <w:rFonts w:cs="Times New Roman"/>
          <w:sz w:val="20"/>
          <w:szCs w:val="20"/>
        </w:rPr>
      </w:pPr>
      <w:r w:rsidRPr="00A65125">
        <w:rPr>
          <w:rFonts w:cs="Times New Roman"/>
          <w:sz w:val="20"/>
          <w:szCs w:val="20"/>
        </w:rPr>
        <w:t xml:space="preserve">Data collection for this study was conducted through semi-structured interview questions through face-to-face and online sessions to accommodate participants’ preferences </w:t>
      </w:r>
      <w:r w:rsidRPr="00A65125">
        <w:rPr>
          <w:rFonts w:cs="Times New Roman"/>
          <w:sz w:val="20"/>
          <w:szCs w:val="20"/>
        </w:rPr>
        <w:fldChar w:fldCharType="begin" w:fldLock="1"/>
      </w:r>
      <w:r w:rsidRPr="00A65125">
        <w:rPr>
          <w:rFonts w:cs="Times New Roman"/>
          <w:sz w:val="20"/>
          <w:szCs w:val="20"/>
        </w:rPr>
        <w:instrText>ADDIN CSL_CITATION {"citationItems":[{"id":"ITEM-1","itemData":{"DOI":"10.1080/21670811.2022.2047083","ISSN":"2167-0811","abstract":"This paper points out the main opportunities and challenges when qualitative data collection (both in-depth interviews and focus groups) is transferred from an in-person setting to a video conferencing platform. Online video research interviews (OVRI) permit an overcoming of limitations in in-person interviews such as access to participants, time, expense, and a potential impact of the researcher's physical presence during data collection on the subjects' responses. The most prominent challenges regarding the quality of OVRIs are: building rapport and restricted visual cues, turn-taking, participant activation through exercises and participant validation. In this article we offer advice on how to solve these challenges.","author":[{"dropping-particle":"","family":"Heiselberg","given":"Lene","non-dropping-particle":"","parse-names":false,"suffix":""},{"dropping-particle":"","family":"Stępińska","given":"Agnieszka","non-dropping-particle":"","parse-names":false,"suffix":""}],"container-title":"Digital Journalism","id":"ITEM-1","issue":"7","issued":{"date-parts":[["2023","8","9"]]},"page":"1353-1364","title":"Transforming Qualitative Interviewing Techniques for Video Conferencing Platforms","type":"article-journal","volume":"11"},"uris":["http://www.mendeley.com/documents/?uuid=330b1e13-5e6f-4b70-aa5a-4375e6045ec3"]},{"id":"ITEM-2","itemData":{"DOI":"10.1093/eurjcn/zvab038","ISSN":"1474-5151","abstract":"Face-to-face interviews have long been the norm for conducting qualitative interviews in healthcare research. However, the Covid-19 pandemic has accelerated the need to explore alternative methods. This, along with the swift digitalization of healthcare, has led to video, telephone, and online interactions becoming increasingly used. The use of new techniques to carry out interviews through video, telephone, and online applications all come with benefits and drawbacks. In this article, three ways of collecting data through qualitative interviews are described and their uses exemplified through a project investigating the impact of a transition program for adolescents with congenital heart disease.","author":[{"dropping-particle":"","family":"Saarijärvi","given":"Markus","non-dropping-particle":"","parse-names":false,"suffix":""},{"dropping-particle":"","family":"Bratt","given":"Ewa-Lena","non-dropping-particle":"","parse-names":false,"suffix":""}],"container-title":"European Journal of Cardiovascular Nursing","id":"ITEM-2","issue":"4","issued":{"date-parts":[["2021","5","22"]]},"page":"392-396","title":"When face-to-face interviews are not possible: tips and tricks for video, telephone, online chat, and email interviews in qualitative research","type":"article-journal","volume":"20"},"uris":["http://www.mendeley.com/documents/?uuid=43da89df-1db4-4ecf-a775-e702dd0346b4"]}],"mendeley":{"formattedCitation":"(Heiselberg &amp; Stępińska 2023; Saarijärvi &amp; Bratt 2021)","plainTextFormattedCitation":"(Heiselberg &amp; Stępińska 2023; Saarijärvi &amp; Bratt 2021)","previouslyFormattedCitation":"(Heiselberg &amp; Stępińska 2023; Saarijärvi &amp; Bratt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 xml:space="preserve">(Heiselberg &amp; Stępińska 2023; Saarijärvi &amp; Bratt </w:t>
      </w:r>
      <w:r w:rsidRPr="00A65125">
        <w:rPr>
          <w:rFonts w:cs="Times New Roman"/>
          <w:noProof/>
          <w:sz w:val="20"/>
          <w:szCs w:val="20"/>
        </w:rPr>
        <w:lastRenderedPageBreak/>
        <w:t>2021)</w:t>
      </w:r>
      <w:r w:rsidRPr="00A65125">
        <w:rPr>
          <w:rFonts w:cs="Times New Roman"/>
          <w:sz w:val="20"/>
          <w:szCs w:val="20"/>
        </w:rPr>
        <w:fldChar w:fldCharType="end"/>
      </w:r>
      <w:r w:rsidRPr="00A65125">
        <w:rPr>
          <w:rFonts w:cs="Times New Roman"/>
          <w:sz w:val="20"/>
          <w:szCs w:val="20"/>
        </w:rPr>
        <w:t xml:space="preserve">. The combination of structured inquiry and contextual flexibility ensured the collection of nuanced, relevant data critical for understanding the phenomena of the study </w:t>
      </w:r>
      <w:r w:rsidRPr="00A65125">
        <w:rPr>
          <w:rFonts w:cs="Times New Roman"/>
          <w:sz w:val="20"/>
          <w:szCs w:val="20"/>
        </w:rPr>
        <w:fldChar w:fldCharType="begin" w:fldLock="1"/>
      </w:r>
      <w:r w:rsidRPr="00A65125">
        <w:rPr>
          <w:rFonts w:cs="Times New Roman"/>
          <w:sz w:val="20"/>
          <w:szCs w:val="20"/>
        </w:rPr>
        <w:instrText>ADDIN CSL_CITATION {"citationItems":[{"id":"ITEM-1","itemData":{"author":[{"dropping-particle":"","family":"Brinkmann","given":"Svend","non-dropping-particle":"","parse-names":false,"suffix":""},{"dropping-particle":"","family":"Kvale","given":"Steinar","non-dropping-particle":"","parse-names":false,"suffix":""}],"edition":"3rd Ed.","id":"ITEM-1","issued":{"date-parts":[["2014"]]},"number-of-pages":"424","publisher":"SAGE Publications, Inc.","title":"Interviews: Learning the craft of qualitative research interviewing","type":"book"},"uris":["http://www.mendeley.com/documents/?uuid=39fb65b8-0f75-4453-9e67-01ce9f615906"]},{"id":"ITEM-2","itemData":{"ISBN":"978-1-4522-2609-5 (cloth)","author":[{"dropping-particle":"","family":"Creswell","given":"John W.","non-dropping-particle":"","parse-names":false,"suffix":""}],"edition":"4th Editio","id":"ITEM-2","issued":{"date-parts":[["2014"]]},"publisher":"SAGE Publications, Inc.","title":"Research Design Qualitative, Quantitativem and Mixed Methods Approaches","type":"book"},"uris":["http://www.mendeley.com/documents/?uuid=31aa828e-13a5-4358-b42a-93ba22bc2681"]}],"mendeley":{"formattedCitation":"(Brinkmann &amp; Kvale 2014; Creswell 2014)","plainTextFormattedCitation":"(Brinkmann &amp; Kvale 2014; Creswell 2014)","previouslyFormattedCitation":"(Brinkmann &amp; Kvale 2014; Creswell 2014)"},"properties":{"noteIndex":0},"schema":"https://github.com/citation-style-language/schema/raw/master/csl-citation.json"}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(Brinkmann &amp; Kvale 2014; Creswell 2014)</w:t>
      </w:r>
      <w:r w:rsidRPr="00A65125">
        <w:rPr>
          <w:rFonts w:cs="Times New Roman"/>
          <w:sz w:val="20"/>
          <w:szCs w:val="20"/>
        </w:rPr>
        <w:fldChar w:fldCharType="end"/>
      </w:r>
      <w:r w:rsidRPr="00A65125">
        <w:rPr>
          <w:rFonts w:cs="Times New Roman"/>
          <w:sz w:val="20"/>
          <w:szCs w:val="20"/>
        </w:rPr>
        <w:t xml:space="preserve">. This approach was particularly suitable as the exploratory study focuses on the complexities of </w:t>
      </w:r>
      <w:r w:rsidR="00470DA6" w:rsidRPr="00A65125">
        <w:rPr>
          <w:rFonts w:cs="Times New Roman"/>
          <w:sz w:val="20"/>
          <w:szCs w:val="20"/>
        </w:rPr>
        <w:t>IOC workflows</w:t>
      </w:r>
      <w:r w:rsidRPr="00A65125">
        <w:rPr>
          <w:rFonts w:cs="Times New Roman"/>
          <w:sz w:val="20"/>
          <w:szCs w:val="20"/>
        </w:rPr>
        <w:t xml:space="preserve"> in e-payment processes at TLD. This methodological design improved participation rates and enriched the dataset by capturing a broad range of operational contexts from the participant experience.</w:t>
      </w:r>
    </w:p>
    <w:p w14:paraId="00690EBF" w14:textId="77777777" w:rsidR="00707D85" w:rsidRPr="00A65125" w:rsidRDefault="00707D85" w:rsidP="00A65125">
      <w:pPr>
        <w:pStyle w:val="BodyText1"/>
        <w:ind w:firstLine="0"/>
        <w:rPr>
          <w:rFonts w:cs="Times New Roman"/>
          <w:sz w:val="20"/>
          <w:szCs w:val="20"/>
        </w:rPr>
      </w:pPr>
    </w:p>
    <w:p w14:paraId="13EA7F73" w14:textId="7B089E59" w:rsidR="001E1AA6" w:rsidRPr="00A65125" w:rsidRDefault="00956CD1" w:rsidP="005764C7">
      <w:pPr>
        <w:pStyle w:val="Heading2"/>
      </w:pPr>
      <w:r w:rsidRPr="00A65125">
        <w:t>PARTICIPANT SELECTION</w:t>
      </w:r>
    </w:p>
    <w:p w14:paraId="590587C3" w14:textId="77777777" w:rsidR="008602B7" w:rsidRPr="00A65125" w:rsidRDefault="008602B7" w:rsidP="00A65125">
      <w:pPr>
        <w:rPr>
          <w:sz w:val="20"/>
          <w:szCs w:val="20"/>
          <w:lang w:val="en-MY" w:eastAsia="en-US"/>
        </w:rPr>
      </w:pPr>
    </w:p>
    <w:p w14:paraId="6C28511B" w14:textId="7F988048" w:rsidR="00587DDF" w:rsidRPr="00A65125" w:rsidRDefault="00587DDF" w:rsidP="00A65125">
      <w:pPr>
        <w:jc w:val="both"/>
        <w:rPr>
          <w:sz w:val="20"/>
          <w:szCs w:val="20"/>
          <w:lang w:val="en-MY" w:eastAsia="en-US"/>
        </w:rPr>
      </w:pPr>
      <w:r w:rsidRPr="00A65125">
        <w:rPr>
          <w:rFonts w:eastAsiaTheme="majorEastAsia"/>
          <w:bCs/>
          <w:kern w:val="2"/>
          <w:sz w:val="20"/>
          <w:szCs w:val="20"/>
          <w:lang w:val="en-MY" w:eastAsia="en-US"/>
        </w:rPr>
        <w:t>This study involved four purposively selected participants from the TLD who were directly involved in daily operations in e-payment collection processes, each representing a distinct operational cluste</w:t>
      </w:r>
      <w:r w:rsidR="009B63D6" w:rsidRPr="00A65125">
        <w:rPr>
          <w:rFonts w:eastAsiaTheme="majorEastAsia"/>
          <w:bCs/>
          <w:kern w:val="2"/>
          <w:sz w:val="20"/>
          <w:szCs w:val="20"/>
          <w:lang w:val="en-MY" w:eastAsia="en-US"/>
        </w:rPr>
        <w:t xml:space="preserve">r from a </w:t>
      </w:r>
      <w:r w:rsidRPr="00A65125">
        <w:rPr>
          <w:rFonts w:eastAsiaTheme="majorEastAsia"/>
          <w:bCs/>
          <w:kern w:val="2"/>
          <w:sz w:val="20"/>
          <w:szCs w:val="20"/>
          <w:lang w:val="en-MY" w:eastAsia="en-US"/>
        </w:rPr>
        <w:t>large, medium, small, and headquarter</w:t>
      </w:r>
      <w:r w:rsidR="009B63D6" w:rsidRPr="00A65125">
        <w:rPr>
          <w:rFonts w:eastAsiaTheme="majorEastAsia"/>
          <w:bCs/>
          <w:kern w:val="2"/>
          <w:sz w:val="20"/>
          <w:szCs w:val="20"/>
          <w:lang w:val="en-MY" w:eastAsia="en-US"/>
        </w:rPr>
        <w:t xml:space="preserve"> which derived from </w:t>
      </w:r>
      <w:r w:rsidRPr="00A65125">
        <w:rPr>
          <w:rFonts w:eastAsiaTheme="majorEastAsia"/>
          <w:bCs/>
          <w:kern w:val="2"/>
          <w:sz w:val="20"/>
          <w:szCs w:val="20"/>
          <w:lang w:val="en-MY" w:eastAsia="en-US"/>
        </w:rPr>
        <w:t xml:space="preserve">annual e-payment collection volumes. While the number of participants may appear modest, it aligns with qualitative studies that suggest an adequate range of three to twelve </w:t>
      </w:r>
      <w:r w:rsidR="001F54BC" w:rsidRPr="00A65125">
        <w:rPr>
          <w:rFonts w:eastAsiaTheme="majorEastAsia"/>
          <w:bCs/>
          <w:kern w:val="2"/>
          <w:sz w:val="20"/>
          <w:szCs w:val="20"/>
          <w:lang w:val="en-MY" w:eastAsia="en-US"/>
        </w:rPr>
        <w:t>participant</w:t>
      </w:r>
      <w:r w:rsidRPr="00A65125">
        <w:rPr>
          <w:rFonts w:eastAsiaTheme="majorEastAsia"/>
          <w:bCs/>
          <w:kern w:val="2"/>
          <w:sz w:val="20"/>
          <w:szCs w:val="20"/>
          <w:lang w:val="en-MY" w:eastAsia="en-US"/>
        </w:rPr>
        <w:t xml:space="preserve">s for interpretive case studies </w:t>
      </w:r>
      <w:r w:rsidRPr="00A65125">
        <w:rPr>
          <w:sz w:val="20"/>
          <w:szCs w:val="20"/>
          <w:lang w:val="en-MY" w:eastAsia="en-US"/>
        </w:rPr>
        <w:fldChar w:fldCharType="begin" w:fldLock="1"/>
      </w:r>
      <w:r w:rsidRPr="00A65125">
        <w:rPr>
          <w:sz w:val="20"/>
          <w:szCs w:val="20"/>
          <w:lang w:val="en-MY" w:eastAsia="en-US"/>
        </w:rPr>
        <w:instrText>ADDIN CSL_CITATION {"citationItems":[{"id":"ITEM-1","itemData":{"DOI":"10.1177/1525822X05279903","ISSN":"1525822X","abstract":"Guidelines for determining nonprobabilistic sample sizes are virtually nonexistent. Purposive samples are the most commonly used form of nonprobabilistic sampling, and their size typically relies on the concept of “saturation,” or the point at which no new information or themes are observed in the data. Although the idea of saturation is helpful at the conceptual level, it provides little practical guidance for estimating sample sizes, prior to data collection, necessary for conducting quality research. Using data from a study involving sixty in-depth interviews with women in two West African countries, the authors systematically document the degree of data saturation and variability over the course of thematic analysis. They operationalize saturation and make evidence-based recommendations regarding nonprobabilistic sample sizes for interviews. Based on the data set, they found that saturation occurred within the first twelve interviews, although basic elements for metathemes were present as early as six interviews. Variability within the data followed similar patterns. © 2006, Sage Publications. All rights reserved.","author":[{"dropping-particle":"","family":"Guest","given":"Greg","non-dropping-particle":"","parse-names":false,"suffix":""},{"dropping-particle":"","family":"Bunce","given":"Arwen","non-dropping-particle":"","parse-names":false,"suffix":""},{"dropping-particle":"","family":"Johnson","given":"Laura","non-dropping-particle":"","parse-names":false,"suffix":""}],"container-title":"Field Methods","id":"ITEM-1","issue":"1","issued":{"date-parts":[["2006"]]},"page":"59-82","title":"How Many Interviews Are Enough?: An Experiment with Data Saturation and Variability","type":"article-journal","volume":"18"},"uris":["http://www.mendeley.com/documents/?uuid=16515e9e-91db-49f1-b3b0-987b0b8366f7"]},{"id":"ITEM-2","itemData":{"DOI":"10.4324/9781003268154","ISBN":"9781003268154","abstract":"Modern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Richard","author":[{"dropping-particle":"","family":"Adu","given":"Philip","non-dropping-particle":"","parse-names":false,"suffix":""},{"dropping-particle":"","family":"Miles","given":"D. Anthony","non-dropping-particle":"","parse-names":false,"suffix":""}],"container-title":"Dissertation Research Methods","id":"ITEM-2","issued":{"date-parts":[["2024","7","21"]]},"publisher":"Routledge","publisher-place":"London","title":"Dissertation Research Methods","type":"book"},"uris":["http://www.mendeley.com/documents/?uuid=23e55c1b-c6a9-472d-b446-6aa78e5fb035"]}],"mendeley":{"formattedCitation":"(Adu &amp; Miles 2024; Guest et al. 2006)","plainTextFormattedCitation":"(Adu &amp; Miles 2024; Guest et al. 2006)","previouslyFormattedCitation":"(Adu &amp; Miles 2024; Guest et al. 2006)"},"properties":{"noteIndex":0},"schema":"https://github.com/citation-style-language/schema/raw/master/csl-citation.json"}</w:instrText>
      </w:r>
      <w:r w:rsidRPr="00A65125">
        <w:rPr>
          <w:sz w:val="20"/>
          <w:szCs w:val="20"/>
          <w:lang w:val="en-MY" w:eastAsia="en-US"/>
        </w:rPr>
        <w:fldChar w:fldCharType="separate"/>
      </w:r>
      <w:r w:rsidRPr="00A65125">
        <w:rPr>
          <w:noProof/>
          <w:sz w:val="20"/>
          <w:szCs w:val="20"/>
          <w:lang w:val="en-MY" w:eastAsia="en-US"/>
        </w:rPr>
        <w:t>(Adu &amp; Miles 2024; Guest et al. 2006)</w:t>
      </w:r>
      <w:r w:rsidRPr="00A65125">
        <w:rPr>
          <w:sz w:val="20"/>
          <w:szCs w:val="20"/>
          <w:lang w:val="en-MY" w:eastAsia="en-US"/>
        </w:rPr>
        <w:fldChar w:fldCharType="end"/>
      </w:r>
      <w:r w:rsidRPr="00A65125">
        <w:rPr>
          <w:rFonts w:eastAsiaTheme="majorEastAsia"/>
          <w:bCs/>
          <w:kern w:val="2"/>
          <w:sz w:val="20"/>
          <w:szCs w:val="20"/>
          <w:lang w:val="en-MY" w:eastAsia="en-US"/>
        </w:rPr>
        <w:t xml:space="preserve">. </w:t>
      </w:r>
      <w:r w:rsidRPr="00A65125">
        <w:rPr>
          <w:rFonts w:eastAsiaTheme="majorEastAsia"/>
          <w:bCs/>
          <w:color w:val="EE0000"/>
          <w:kern w:val="2"/>
          <w:sz w:val="20"/>
          <w:szCs w:val="20"/>
          <w:lang w:val="en-MY" w:eastAsia="en-US"/>
        </w:rPr>
        <w:t xml:space="preserve">Qualitative research does not prescribe a predetermined number of participants; instead, it emphasises information richness, relevance, and depth over quantity </w:t>
      </w:r>
      <w:r w:rsidRPr="00A65125">
        <w:rPr>
          <w:color w:val="EE0000"/>
          <w:sz w:val="20"/>
          <w:szCs w:val="20"/>
          <w:lang w:val="en-MY" w:eastAsia="en-US"/>
        </w:rPr>
        <w:fldChar w:fldCharType="begin" w:fldLock="1"/>
      </w:r>
      <w:r w:rsidRPr="00A65125">
        <w:rPr>
          <w:color w:val="EE0000"/>
          <w:sz w:val="20"/>
          <w:szCs w:val="20"/>
          <w:lang w:val="en-MY" w:eastAsia="en-US"/>
        </w:rPr>
        <w:instrText>ADDIN CSL_CITATION {"citationItems":[{"id":"ITEM-1","itemData":{"author":[{"dropping-particle":"","family":"Patton","given":"M. Q.","non-dropping-particle":"","parse-names":false,"suffix":""}],"edition":"(3rd ed.)","id":"ITEM-1","issued":{"date-parts":[["2002"]]},"publisher":"SAGE Publications","title":"Qualitative research and evaluation methods","type":"book"},"uris":["http://www.mendeley.com/documents/?uuid=1c03fe3c-1255-497a-8c12-3148b23d6c2b"]}],"mendeley":{"formattedCitation":"(Patton 2002)","plainTextFormattedCitation":"(Patton 2002)","previouslyFormattedCitation":"(Patton 2002)"},"properties":{"noteIndex":0},"schema":"https://github.com/citation-style-language/schema/raw/master/csl-citation.json"}</w:instrText>
      </w:r>
      <w:r w:rsidRPr="00A65125">
        <w:rPr>
          <w:color w:val="EE0000"/>
          <w:sz w:val="20"/>
          <w:szCs w:val="20"/>
          <w:lang w:val="en-MY" w:eastAsia="en-US"/>
        </w:rPr>
        <w:fldChar w:fldCharType="separate"/>
      </w:r>
      <w:r w:rsidRPr="00A65125">
        <w:rPr>
          <w:noProof/>
          <w:color w:val="EE0000"/>
          <w:sz w:val="20"/>
          <w:szCs w:val="20"/>
          <w:lang w:val="en-MY" w:eastAsia="en-US"/>
        </w:rPr>
        <w:t>(Patton 2002)</w:t>
      </w:r>
      <w:r w:rsidRPr="00A65125">
        <w:rPr>
          <w:color w:val="EE0000"/>
          <w:sz w:val="20"/>
          <w:szCs w:val="20"/>
          <w:lang w:val="en-MY" w:eastAsia="en-US"/>
        </w:rPr>
        <w:fldChar w:fldCharType="end"/>
      </w:r>
      <w:r w:rsidRPr="00A65125">
        <w:rPr>
          <w:rFonts w:eastAsiaTheme="majorEastAsia"/>
          <w:bCs/>
          <w:color w:val="EE0000"/>
          <w:kern w:val="2"/>
          <w:sz w:val="20"/>
          <w:szCs w:val="20"/>
          <w:lang w:val="en-MY" w:eastAsia="en-US"/>
        </w:rPr>
        <w:t xml:space="preserve">. The credibility of qualitative data is thus determined by the ability of the sample to provide meaningful insights, not statistical generalisability. </w:t>
      </w:r>
      <w:r w:rsidRPr="00A65125">
        <w:rPr>
          <w:color w:val="EE0000"/>
          <w:sz w:val="20"/>
          <w:szCs w:val="20"/>
          <w:lang w:val="en-MY" w:eastAsia="en-US"/>
        </w:rPr>
        <w:fldChar w:fldCharType="begin" w:fldLock="1"/>
      </w:r>
      <w:r w:rsidRPr="00A65125">
        <w:rPr>
          <w:color w:val="EE0000"/>
          <w:sz w:val="20"/>
          <w:szCs w:val="20"/>
          <w:lang w:val="en-MY" w:eastAsia="en-US"/>
        </w:rPr>
        <w:instrText>ADDIN CSL_CITATION {"citationItems":[{"id":"ITEM-1","itemData":{"DOI":"10.1177/1049732315617444","ISSN":"1049-7323","abstract":"Sample sizes must be ascertained in qualitative studies like in quantitative studies but not by the same means. The prevailing concept for sample size in qualitative studies is “saturation.” Saturation is closely tied to a specific methodology, and the term is inconsistently applied. We propose the concept “information power” to guide adequate sample size for qualitative studies. Information power indicates that the more information the sample holds, relevant for the actual study, the lower amount of participants is needed. We suggest that the size of a sample with sufficient information power depends on (a) the aim of the study, (b) sample specificity, (c) use of established theory, (d) quality of dialogue, and (e) analysis strategy. We present a model where these elements of information and their relevant dimensions are related to information power. Application of this model in the planning and during data collection of a qualitative study is discussed.","author":[{"dropping-particle":"","family":"Malterud","given":"Kirsti","non-dropping-particle":"","parse-names":false,"suffix":""},{"dropping-particle":"","family":"Siersma","given":"Volkert Dirk","non-dropping-particle":"","parse-names":false,"suffix":""},{"dropping-particle":"","family":"Guassora","given":"Ann Dorrit","non-dropping-particle":"","parse-names":false,"suffix":""}],"container-title":"Qualitative Health Research","id":"ITEM-1","issue":"13","issued":{"date-parts":[["2016","11","10"]]},"page":"1753-1760","title":"Sample Size in Qualitative Interview Studies","type":"article-journal","volume":"26"},"uris":["http://www.mendeley.com/documents/?uuid=855dc4fd-e231-43c8-b947-1f15e4d37197"]}],"mendeley":{"formattedCitation":"(Malterud et al. 2016)","manualFormatting":"Malterud et al. (2016)","plainTextFormattedCitation":"(Malterud et al. 2016)","previouslyFormattedCitation":"(Malterud et al. 2016)"},"properties":{"noteIndex":0},"schema":"https://github.com/citation-style-language/schema/raw/master/csl-citation.json"}</w:instrText>
      </w:r>
      <w:r w:rsidRPr="00A65125">
        <w:rPr>
          <w:color w:val="EE0000"/>
          <w:sz w:val="20"/>
          <w:szCs w:val="20"/>
          <w:lang w:val="en-MY" w:eastAsia="en-US"/>
        </w:rPr>
        <w:fldChar w:fldCharType="separate"/>
      </w:r>
      <w:r w:rsidRPr="00A65125">
        <w:rPr>
          <w:noProof/>
          <w:color w:val="EE0000"/>
          <w:sz w:val="20"/>
          <w:szCs w:val="20"/>
          <w:lang w:val="en-MY" w:eastAsia="en-US"/>
        </w:rPr>
        <w:t>Malterud et al. (2016)</w:t>
      </w:r>
      <w:r w:rsidRPr="00A65125">
        <w:rPr>
          <w:color w:val="EE0000"/>
          <w:sz w:val="20"/>
          <w:szCs w:val="20"/>
          <w:lang w:val="en-MY" w:eastAsia="en-US"/>
        </w:rPr>
        <w:fldChar w:fldCharType="end"/>
      </w:r>
      <w:r w:rsidRPr="00A65125">
        <w:rPr>
          <w:color w:val="EE0000"/>
          <w:sz w:val="20"/>
          <w:szCs w:val="20"/>
          <w:lang w:val="en-MY" w:eastAsia="en-US"/>
        </w:rPr>
        <w:t xml:space="preserve"> and </w:t>
      </w:r>
      <w:r w:rsidRPr="00A65125">
        <w:rPr>
          <w:color w:val="EE0000"/>
          <w:sz w:val="20"/>
          <w:szCs w:val="20"/>
          <w:lang w:val="en-MY" w:eastAsia="en-US"/>
        </w:rPr>
        <w:fldChar w:fldCharType="begin" w:fldLock="1"/>
      </w:r>
      <w:r w:rsidRPr="00A65125">
        <w:rPr>
          <w:color w:val="EE0000"/>
          <w:sz w:val="20"/>
          <w:szCs w:val="20"/>
          <w:lang w:val="en-MY" w:eastAsia="en-US"/>
        </w:rPr>
        <w:instrText>ADDIN CSL_CITATION {"citationItems":[{"id":"ITEM-1","itemData":{"DOI":"10.1037/0022-0167.52.2.250","ISSN":"1939-2168","author":[{"dropping-particle":"","family":"Morrow","given":"Susan L.","non-dropping-particle":"","parse-names":false,"suffix":""}],"container-title":"Journal of Counseling Psychology","id":"ITEM-1","issue":"2","issued":{"date-parts":[["2005","4"]]},"page":"250-260","title":"Quality and trustworthiness in qualitative research in counseling psychology.","type":"article-journal","volume":"52"},"uris":["http://www.mendeley.com/documents/?uuid=7f898ac0-331b-46c6-a71d-ae0a1c96c055"]}],"mendeley":{"formattedCitation":"(Morrow 2005)","manualFormatting":"Morrow (2005)","plainTextFormattedCitation":"(Morrow 2005)","previouslyFormattedCitation":"(Morrow 2005)"},"properties":{"noteIndex":0},"schema":"https://github.com/citation-style-language/schema/raw/master/csl-citation.json"}</w:instrText>
      </w:r>
      <w:r w:rsidRPr="00A65125">
        <w:rPr>
          <w:color w:val="EE0000"/>
          <w:sz w:val="20"/>
          <w:szCs w:val="20"/>
          <w:lang w:val="en-MY" w:eastAsia="en-US"/>
        </w:rPr>
        <w:fldChar w:fldCharType="separate"/>
      </w:r>
      <w:r w:rsidRPr="00A65125">
        <w:rPr>
          <w:noProof/>
          <w:color w:val="EE0000"/>
          <w:sz w:val="20"/>
          <w:szCs w:val="20"/>
          <w:lang w:val="en-MY" w:eastAsia="en-US"/>
        </w:rPr>
        <w:t>Morrow (2005)</w:t>
      </w:r>
      <w:r w:rsidRPr="00A65125">
        <w:rPr>
          <w:color w:val="EE0000"/>
          <w:sz w:val="20"/>
          <w:szCs w:val="20"/>
          <w:lang w:val="en-MY" w:eastAsia="en-US"/>
        </w:rPr>
        <w:fldChar w:fldCharType="end"/>
      </w:r>
      <w:r w:rsidRPr="00A65125">
        <w:rPr>
          <w:rFonts w:eastAsiaTheme="majorEastAsia"/>
          <w:bCs/>
          <w:color w:val="EE0000"/>
          <w:kern w:val="2"/>
          <w:sz w:val="20"/>
          <w:szCs w:val="20"/>
          <w:lang w:val="en-MY" w:eastAsia="en-US"/>
        </w:rPr>
        <w:t xml:space="preserve"> further contend that adequacy must be evaluated based on the study’s aim, sample specificity, theoretical grounding, and data variability. In this study, saturation was reached after four interviews, with no new insights emerging, indicating sufficient in-depth exploration to meet the study’s objectives. Accordingly, the sample size was deemed adequate to capture multiple perspectives and uncover the challenges of </w:t>
      </w:r>
      <w:r w:rsidR="00470DA6" w:rsidRPr="00A65125">
        <w:rPr>
          <w:rFonts w:eastAsiaTheme="majorEastAsia"/>
          <w:bCs/>
          <w:color w:val="EE0000"/>
          <w:kern w:val="2"/>
          <w:sz w:val="20"/>
          <w:szCs w:val="20"/>
          <w:lang w:val="en-MY" w:eastAsia="en-US"/>
        </w:rPr>
        <w:t>IOC workflows</w:t>
      </w:r>
      <w:r w:rsidRPr="00A65125">
        <w:rPr>
          <w:rFonts w:eastAsiaTheme="majorEastAsia"/>
          <w:bCs/>
          <w:color w:val="EE0000"/>
          <w:kern w:val="2"/>
          <w:sz w:val="20"/>
          <w:szCs w:val="20"/>
          <w:lang w:val="en-MY" w:eastAsia="en-US"/>
        </w:rPr>
        <w:t xml:space="preserve"> in TLD’s e-payment processes.</w:t>
      </w:r>
    </w:p>
    <w:p w14:paraId="774ACE56" w14:textId="77777777" w:rsidR="00CD521A" w:rsidRDefault="00CD521A" w:rsidP="005764C7">
      <w:pPr>
        <w:pStyle w:val="Heading2"/>
        <w:rPr>
          <w:rFonts w:cs="Times New Roman"/>
          <w:caps w:val="0"/>
          <w:kern w:val="0"/>
          <w:sz w:val="20"/>
          <w:szCs w:val="20"/>
          <w:lang w:val="en-GB" w:eastAsia="en-MY"/>
        </w:rPr>
      </w:pPr>
    </w:p>
    <w:p w14:paraId="21648A1E" w14:textId="0780E7D7" w:rsidR="001E1AA6" w:rsidRPr="00A65125" w:rsidRDefault="00956CD1" w:rsidP="005764C7">
      <w:pPr>
        <w:pStyle w:val="Heading2"/>
      </w:pPr>
      <w:r w:rsidRPr="00A65125">
        <w:t>DATA ANALYSIS</w:t>
      </w:r>
    </w:p>
    <w:p w14:paraId="6D08F7C4" w14:textId="77777777" w:rsidR="008602B7" w:rsidRPr="00A65125" w:rsidRDefault="008602B7" w:rsidP="00A65125">
      <w:pPr>
        <w:rPr>
          <w:sz w:val="20"/>
          <w:szCs w:val="20"/>
          <w:lang w:val="en-MY" w:eastAsia="en-US"/>
        </w:rPr>
      </w:pPr>
    </w:p>
    <w:p w14:paraId="05332BF5" w14:textId="19A32041" w:rsidR="00F8517F" w:rsidRPr="00A65125" w:rsidRDefault="00F8517F" w:rsidP="00A65125">
      <w:pPr>
        <w:pStyle w:val="BodyText1"/>
        <w:ind w:firstLine="0"/>
        <w:rPr>
          <w:rFonts w:cs="Times New Roman"/>
          <w:sz w:val="20"/>
          <w:szCs w:val="20"/>
        </w:rPr>
      </w:pPr>
      <w:r w:rsidRPr="00A65125">
        <w:rPr>
          <w:rFonts w:cs="Times New Roman"/>
          <w:sz w:val="20"/>
          <w:szCs w:val="20"/>
        </w:rPr>
        <w:t xml:space="preserve">Thematic analysis was used to analyse the interview data, providing a structured yet flexible approach to identifying and interpreting patterns within qualitative responses </w:t>
      </w:r>
      <w:r w:rsidRPr="00A65125">
        <w:rPr>
          <w:rFonts w:cs="Times New Roman"/>
          <w:sz w:val="20"/>
          <w:szCs w:val="20"/>
        </w:rPr>
        <w:fldChar w:fldCharType="begin" w:fldLock="1"/>
      </w:r>
      <w:r w:rsidR="007D6460" w:rsidRPr="00A65125">
        <w:rPr>
          <w:rFonts w:cs="Times New Roman"/>
          <w:sz w:val="20"/>
          <w:szCs w:val="20"/>
        </w:rPr>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psychology","type":"article-journal","volume":"3"},"uris":["http://www.mendeley.com/documents/?uuid=fd8f7ff3-5ad1-4d5c-90c6-5812f1c0b5cc"]}],"mendeley":{"formattedCitation":"(Braun &amp; Clarke 2006)","plainTextFormattedCitation":"(Braun &amp; Clarke 2006)","previouslyFormattedCitation":"(Braun &amp; Clarke 2006)"},"properties":{"noteIndex":0},"schema":"https://github.com/citation-style-language/schema/raw/master/csl-citation.json"}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(Braun &amp; Clarke 2006)</w:t>
      </w:r>
      <w:r w:rsidRPr="00A65125">
        <w:rPr>
          <w:rFonts w:cs="Times New Roman"/>
          <w:sz w:val="20"/>
          <w:szCs w:val="20"/>
        </w:rPr>
        <w:fldChar w:fldCharType="end"/>
      </w:r>
      <w:r w:rsidRPr="00A65125">
        <w:rPr>
          <w:rFonts w:cs="Times New Roman"/>
          <w:sz w:val="20"/>
          <w:szCs w:val="20"/>
        </w:rPr>
        <w:t xml:space="preserve">. Interviews were conducted in </w:t>
      </w:r>
      <w:r w:rsidRPr="00A65125">
        <w:rPr>
          <w:rFonts w:cs="Times New Roman"/>
          <w:i/>
          <w:iCs/>
          <w:sz w:val="20"/>
          <w:szCs w:val="20"/>
        </w:rPr>
        <w:t xml:space="preserve">Bahasa </w:t>
      </w:r>
      <w:proofErr w:type="spellStart"/>
      <w:r w:rsidRPr="00A65125">
        <w:rPr>
          <w:rFonts w:cs="Times New Roman"/>
          <w:i/>
          <w:iCs/>
          <w:sz w:val="20"/>
          <w:szCs w:val="20"/>
        </w:rPr>
        <w:t>Melayu</w:t>
      </w:r>
      <w:proofErr w:type="spellEnd"/>
      <w:r w:rsidRPr="00A65125">
        <w:rPr>
          <w:rFonts w:cs="Times New Roman"/>
          <w:sz w:val="20"/>
          <w:szCs w:val="20"/>
        </w:rPr>
        <w:t xml:space="preserve">, the participants' mother tongue. The conversation was transcribed and then translated into English to ensure consistency in analysis. Member checking was conducted to validate transcriptions, while peer debriefing reviewed the coding and proposed themes to enhance the trustworthiness. The six-phase process by Braun and Clarke (2006) guided the analysis, from familiarisation and coding to theme refinement and reporting. </w:t>
      </w:r>
      <w:proofErr w:type="spellStart"/>
      <w:r w:rsidRPr="00A65125">
        <w:rPr>
          <w:rFonts w:cs="Times New Roman"/>
          <w:sz w:val="20"/>
          <w:szCs w:val="20"/>
        </w:rPr>
        <w:t>ATLAS.ti</w:t>
      </w:r>
      <w:proofErr w:type="spellEnd"/>
      <w:r w:rsidRPr="00A65125">
        <w:rPr>
          <w:rFonts w:cs="Times New Roman"/>
          <w:sz w:val="20"/>
          <w:szCs w:val="20"/>
        </w:rPr>
        <w:t xml:space="preserve"> software was employed to organise and code the data analysis, supporting systematic theme development and enhancing analytical rigour </w:t>
      </w:r>
      <w:r w:rsidRPr="00A65125">
        <w:rPr>
          <w:rFonts w:cs="Times New Roman"/>
          <w:sz w:val="20"/>
          <w:szCs w:val="20"/>
        </w:rPr>
        <w:fldChar w:fldCharType="begin" w:fldLock="1"/>
      </w:r>
      <w:r w:rsidRPr="00A65125">
        <w:rPr>
          <w:rFonts w:cs="Times New Roman"/>
          <w:sz w:val="20"/>
          <w:szCs w:val="20"/>
        </w:rPr>
        <w:instrText>ADDIN CSL_CITATION {"citationItems":[{"id":"ITEM-1","itemData":{"ISBN":"ISBN 978-629-7524-66-5","author":[{"dropping-particle":"","family":"Zairul","given":"Mohd","non-dropping-particle":"","parse-names":false,"suffix":""}],"id":"ITEM-1","issued":{"date-parts":[["2023"]]},"publisher":"Universiti Pendidikan Sultan Idris","title":"Memahami Asas Penyelidikan Kualitatif dan Analisis Tematik dengan Atlas.ti 23","type":"book"},"uris":["http://www.mendeley.com/documents/?uuid=6ed3536d-e076-4a72-974c-b553478faeb3"]}],"mendeley":{"formattedCitation":"(Zairul 2023)","plainTextFormattedCitation":"(Zairul 2023)","previouslyFormattedCitation":"(Zairul 2023)"},"properties":{"noteIndex":0},"schema":"https://github.com/citation-style-language/schema/raw/master/csl-citation.json"}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(Zairul 2023)</w:t>
      </w:r>
      <w:r w:rsidRPr="00A65125">
        <w:rPr>
          <w:rFonts w:cs="Times New Roman"/>
          <w:sz w:val="20"/>
          <w:szCs w:val="20"/>
        </w:rPr>
        <w:fldChar w:fldCharType="end"/>
      </w:r>
      <w:r w:rsidRPr="00A65125">
        <w:rPr>
          <w:rFonts w:cs="Times New Roman"/>
          <w:sz w:val="20"/>
          <w:szCs w:val="20"/>
        </w:rPr>
        <w:t xml:space="preserve">. This approach enabled a nuanced understanding of the challenges and dynamics within </w:t>
      </w:r>
      <w:r w:rsidR="00470DA6" w:rsidRPr="00A65125">
        <w:rPr>
          <w:rFonts w:cs="Times New Roman"/>
          <w:sz w:val="20"/>
          <w:szCs w:val="20"/>
        </w:rPr>
        <w:t>IOC workflows</w:t>
      </w:r>
      <w:r w:rsidRPr="00A65125">
        <w:rPr>
          <w:rFonts w:cs="Times New Roman"/>
          <w:sz w:val="20"/>
          <w:szCs w:val="20"/>
        </w:rPr>
        <w:t xml:space="preserve"> in TLD’s e-payment processes. The Thematic Analysis Matrix (see Appendix 1), as proposed by </w:t>
      </w:r>
      <w:r w:rsidRPr="00A65125">
        <w:rPr>
          <w:rFonts w:cs="Times New Roman"/>
          <w:sz w:val="20"/>
          <w:szCs w:val="20"/>
        </w:rPr>
        <w:fldChar w:fldCharType="begin" w:fldLock="1"/>
      </w:r>
      <w:r w:rsidRPr="00A65125">
        <w:rPr>
          <w:rFonts w:cs="Times New Roman"/>
          <w:sz w:val="20"/>
          <w:szCs w:val="20"/>
        </w:rPr>
        <w:instrText>ADDIN CSL_CITATION {"citationItems":[{"id":"ITEM-1","itemData":{"DOI":"10.47836/AC.18.1.ARTICLE1","ISSN":"1823-7231","author":[{"dropping-particle":"","family":"Zairul","given":"Mohd","non-dropping-particle":"","parse-names":false,"suffix":""}],"container-title":"ALAM CIPTA International Journal Of Sustainable Tropical Design &amp; Practice","id":"ITEM-1","issue":"1","issued":{"date-parts":[["2025","4","30"]]},"page":"1-17","title":"Enhancing Qualitative Research With Thematic Analysis Matrix (TAM): A Systematic Approach To Thematic Analysis In Architectural Research","type":"article-journal","volume":"18"},"uris":["http://www.mendeley.com/documents/?uuid=e2a6c6fd-a792-4be7-a8ce-5ce10ebede78"]}],"mendeley":{"formattedCitation":"(Zairul 2025)","manualFormatting":"Zairul (2025)","plainTextFormattedCitation":"(Zairul 2025)","previouslyFormattedCitation":"(Zairul 2025)"},"properties":{"noteIndex":0},"schema":"https://github.com/citation-style-language/schema/raw/master/csl-citation.json"}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Zairul (2025)</w:t>
      </w:r>
      <w:r w:rsidRPr="00A65125">
        <w:rPr>
          <w:rFonts w:cs="Times New Roman"/>
          <w:sz w:val="20"/>
          <w:szCs w:val="20"/>
        </w:rPr>
        <w:fldChar w:fldCharType="end"/>
      </w:r>
      <w:r w:rsidRPr="00A65125">
        <w:rPr>
          <w:rFonts w:cs="Times New Roman"/>
          <w:sz w:val="20"/>
          <w:szCs w:val="20"/>
        </w:rPr>
        <w:t>, presents the summarisation of theme development.</w:t>
      </w:r>
    </w:p>
    <w:p w14:paraId="0C07B2D1" w14:textId="77777777" w:rsidR="00B83B02" w:rsidRPr="00A65125" w:rsidRDefault="00B83B02" w:rsidP="00A65125">
      <w:pPr>
        <w:rPr>
          <w:sz w:val="20"/>
          <w:szCs w:val="20"/>
          <w:lang w:val="en-MY" w:eastAsia="en-US"/>
        </w:rPr>
      </w:pPr>
    </w:p>
    <w:p w14:paraId="49BA4EC8" w14:textId="63E68644" w:rsidR="004368B9" w:rsidRPr="00A65125" w:rsidRDefault="00956CD1" w:rsidP="005764C7">
      <w:pPr>
        <w:pStyle w:val="Heading2"/>
      </w:pPr>
      <w:r w:rsidRPr="00A65125">
        <w:t>THE SUBJECT OF CASE STUDY</w:t>
      </w:r>
    </w:p>
    <w:p w14:paraId="44CF52AC" w14:textId="77777777" w:rsidR="008602B7" w:rsidRPr="00A65125" w:rsidRDefault="008602B7" w:rsidP="00A65125">
      <w:pPr>
        <w:rPr>
          <w:sz w:val="20"/>
          <w:szCs w:val="20"/>
          <w:lang w:val="en-MY" w:eastAsia="en-US"/>
        </w:rPr>
      </w:pPr>
    </w:p>
    <w:p w14:paraId="374F85F1" w14:textId="3735AB14" w:rsidR="00F8517F" w:rsidRPr="00A65125" w:rsidRDefault="00F8517F" w:rsidP="00A65125">
      <w:pPr>
        <w:jc w:val="both"/>
        <w:rPr>
          <w:sz w:val="20"/>
          <w:szCs w:val="20"/>
          <w:lang w:eastAsia="en-US"/>
        </w:rPr>
      </w:pPr>
      <w:r w:rsidRPr="00A65125">
        <w:rPr>
          <w:sz w:val="20"/>
          <w:szCs w:val="20"/>
          <w:lang w:eastAsia="en-US"/>
        </w:rPr>
        <w:t xml:space="preserve">The Transport License Department was purposefully selected as the single case study due to its critical role in managing the highest volume of e-payment transactions within the Federal Government of Malaysia </w:t>
      </w:r>
      <w:r w:rsidRPr="00A65125">
        <w:rPr>
          <w:sz w:val="20"/>
          <w:szCs w:val="20"/>
          <w:lang w:eastAsia="en-US"/>
        </w:rPr>
        <w:fldChar w:fldCharType="begin" w:fldLock="1"/>
      </w:r>
      <w:r w:rsidRPr="00A65125">
        <w:rPr>
          <w:sz w:val="20"/>
          <w:szCs w:val="20"/>
          <w:lang w:eastAsia="en-US"/>
        </w:rPr>
        <w:instrText>ADDIN CSL_CITATION {"citationItems":[{"id":"ITEM-1","itemData":{"ISBN":"9781506336169","author":[{"dropping-particle":"","family":"Yin","given":"Robert K.","non-dropping-particle":"","parse-names":false,"suffix":""}],"container-title":"SAGE Publications, Inc.","id":"ITEM-1","issued":{"date-parts":[["2018"]]},"publisher":"SAGE Publications, Inc.","title":"Case study research and applications: Design and methods","type":"book"},"uris":["http://www.mendeley.com/documents/?uuid=5bca491a-34bf-49fb-aa5d-cca93958fb97"]}],"mendeley":{"formattedCitation":"(Yin 2018)","plainTextFormattedCitation":"(Yin 2018)","previouslyFormattedCitation":"(Yin 2018)"},"properties":{"noteIndex":0},"schema":"https://github.com/citation-style-language/schema/raw/master/csl-citation.json"}</w:instrText>
      </w:r>
      <w:r w:rsidRPr="00A65125">
        <w:rPr>
          <w:sz w:val="20"/>
          <w:szCs w:val="20"/>
          <w:lang w:eastAsia="en-US"/>
        </w:rPr>
        <w:fldChar w:fldCharType="separate"/>
      </w:r>
      <w:r w:rsidRPr="00A65125">
        <w:rPr>
          <w:noProof/>
          <w:sz w:val="20"/>
          <w:szCs w:val="20"/>
          <w:lang w:eastAsia="en-US"/>
        </w:rPr>
        <w:t>(Yin 2018)</w:t>
      </w:r>
      <w:r w:rsidRPr="00A65125">
        <w:rPr>
          <w:sz w:val="20"/>
          <w:szCs w:val="20"/>
          <w:lang w:eastAsia="en-US"/>
        </w:rPr>
        <w:fldChar w:fldCharType="end"/>
      </w:r>
      <w:r w:rsidRPr="00A65125">
        <w:rPr>
          <w:sz w:val="20"/>
          <w:szCs w:val="20"/>
          <w:lang w:eastAsia="en-US"/>
        </w:rPr>
        <w:t xml:space="preserve">. As a federal agency responsible for transport licensing and enforcement, TLD operates a complex, decentralised revenue collection network across 14 state offices, 68 branches, 22 Urban Transformation Centres, 201 kiosk machines, and 37 mobile van counters. Its commitment to digital transformation, as outlined in the Digital Plan Blueprint 2021–2025, and its strategic goal of becoming a fully digital agency by 2025 further highlight its relevance in this study context. The scale, diversity, and intensity of its operations offer an ideal context for exploring the </w:t>
      </w:r>
      <w:r w:rsidR="00470DA6" w:rsidRPr="00A65125">
        <w:rPr>
          <w:sz w:val="20"/>
          <w:szCs w:val="20"/>
          <w:lang w:eastAsia="en-US"/>
        </w:rPr>
        <w:t>IOC workflows</w:t>
      </w:r>
      <w:r w:rsidRPr="00A65125">
        <w:rPr>
          <w:sz w:val="20"/>
          <w:szCs w:val="20"/>
          <w:lang w:eastAsia="en-US"/>
        </w:rPr>
        <w:t>' challenges in the e-payment process.</w:t>
      </w:r>
    </w:p>
    <w:p w14:paraId="1CABE776" w14:textId="77777777" w:rsidR="00F8517F" w:rsidRPr="00A65125" w:rsidRDefault="00F8517F" w:rsidP="00A65125">
      <w:pPr>
        <w:jc w:val="both"/>
        <w:rPr>
          <w:sz w:val="20"/>
          <w:szCs w:val="20"/>
          <w:lang w:eastAsia="en-US"/>
        </w:rPr>
      </w:pPr>
    </w:p>
    <w:p w14:paraId="519F1511" w14:textId="5002F44A" w:rsidR="00F71657" w:rsidRPr="00A65125" w:rsidRDefault="00F11BC5" w:rsidP="00A65125">
      <w:pPr>
        <w:pStyle w:val="Heading1"/>
        <w:rPr>
          <w:rFonts w:cs="Times New Roman"/>
          <w:b/>
          <w:sz w:val="20"/>
          <w:szCs w:val="20"/>
        </w:rPr>
      </w:pPr>
      <w:r w:rsidRPr="00A65125">
        <w:rPr>
          <w:rFonts w:cs="Times New Roman"/>
          <w:sz w:val="20"/>
          <w:szCs w:val="20"/>
        </w:rPr>
        <w:t>RESULT AND FINDINGS</w:t>
      </w:r>
    </w:p>
    <w:p w14:paraId="541C95AA" w14:textId="77777777" w:rsidR="00653907" w:rsidRPr="00A65125" w:rsidRDefault="00653907" w:rsidP="00A65125">
      <w:pPr>
        <w:rPr>
          <w:sz w:val="20"/>
          <w:szCs w:val="20"/>
          <w:lang w:val="en-MY" w:eastAsia="en-US"/>
        </w:rPr>
      </w:pPr>
    </w:p>
    <w:p w14:paraId="4CE71770" w14:textId="33006A73" w:rsidR="007766FF" w:rsidRPr="00A65125" w:rsidRDefault="00E8410F" w:rsidP="00A65125">
      <w:pPr>
        <w:pStyle w:val="BodyText1"/>
        <w:ind w:firstLine="0"/>
        <w:rPr>
          <w:rFonts w:cs="Times New Roman"/>
          <w:sz w:val="20"/>
          <w:szCs w:val="20"/>
        </w:rPr>
      </w:pPr>
      <w:r w:rsidRPr="00A65125">
        <w:rPr>
          <w:rFonts w:cs="Times New Roman"/>
          <w:sz w:val="20"/>
          <w:szCs w:val="20"/>
        </w:rPr>
        <w:t xml:space="preserve">The research findings centre on four key themes: non-integrated operations, operational deficiencies, SLA discrepancies, and communication challenges within the </w:t>
      </w:r>
      <w:r w:rsidR="00470DA6" w:rsidRPr="00A65125">
        <w:rPr>
          <w:rFonts w:cs="Times New Roman"/>
          <w:sz w:val="20"/>
          <w:szCs w:val="20"/>
        </w:rPr>
        <w:t>IOC workflows</w:t>
      </w:r>
      <w:r w:rsidRPr="00A65125">
        <w:rPr>
          <w:rFonts w:cs="Times New Roman"/>
          <w:sz w:val="20"/>
          <w:szCs w:val="20"/>
        </w:rPr>
        <w:t xml:space="preserve"> of TLD’s e-payment process. These interrelated themes underscore inefficiencies that hinder streamlined, accurate transactions and compromise operational effectiveness and accountability.</w:t>
      </w:r>
      <w:r w:rsidR="0053297C" w:rsidRPr="00A65125">
        <w:rPr>
          <w:rFonts w:cs="Times New Roman"/>
          <w:sz w:val="20"/>
          <w:szCs w:val="20"/>
        </w:rPr>
        <w:t xml:space="preserve"> The summary of theme development is presented in </w:t>
      </w:r>
      <w:r w:rsidR="008D6C61" w:rsidRPr="00A65125">
        <w:rPr>
          <w:rFonts w:cs="Times New Roman"/>
          <w:sz w:val="20"/>
          <w:szCs w:val="20"/>
        </w:rPr>
        <w:t xml:space="preserve">the </w:t>
      </w:r>
      <w:r w:rsidR="0053297C" w:rsidRPr="00A65125">
        <w:rPr>
          <w:rFonts w:cs="Times New Roman"/>
          <w:sz w:val="20"/>
          <w:szCs w:val="20"/>
        </w:rPr>
        <w:t xml:space="preserve">Thematic Analysis </w:t>
      </w:r>
      <w:r w:rsidR="00F8517F" w:rsidRPr="00A65125">
        <w:rPr>
          <w:rFonts w:cs="Times New Roman"/>
          <w:sz w:val="20"/>
          <w:szCs w:val="20"/>
        </w:rPr>
        <w:t>Diagram</w:t>
      </w:r>
      <w:r w:rsidR="0053297C" w:rsidRPr="00A65125">
        <w:rPr>
          <w:rFonts w:cs="Times New Roman"/>
          <w:sz w:val="20"/>
          <w:szCs w:val="20"/>
        </w:rPr>
        <w:t xml:space="preserve"> (see Appendix </w:t>
      </w:r>
      <w:r w:rsidR="00F8517F" w:rsidRPr="00A65125">
        <w:rPr>
          <w:rFonts w:cs="Times New Roman"/>
          <w:sz w:val="20"/>
          <w:szCs w:val="20"/>
        </w:rPr>
        <w:t>2</w:t>
      </w:r>
      <w:r w:rsidR="0053297C" w:rsidRPr="00A65125">
        <w:rPr>
          <w:rFonts w:cs="Times New Roman"/>
          <w:sz w:val="20"/>
          <w:szCs w:val="20"/>
        </w:rPr>
        <w:t>)</w:t>
      </w:r>
    </w:p>
    <w:p w14:paraId="25A03AA0" w14:textId="77777777" w:rsidR="00E8410F" w:rsidRPr="00A65125" w:rsidRDefault="00E8410F" w:rsidP="00A65125">
      <w:pPr>
        <w:pStyle w:val="BodyText1"/>
        <w:ind w:firstLine="0"/>
        <w:rPr>
          <w:rFonts w:cs="Times New Roman"/>
          <w:sz w:val="20"/>
          <w:szCs w:val="20"/>
        </w:rPr>
      </w:pPr>
    </w:p>
    <w:p w14:paraId="19004497" w14:textId="57AC2946" w:rsidR="008D4BA0" w:rsidRPr="00A65125" w:rsidRDefault="00956CD1" w:rsidP="005764C7">
      <w:pPr>
        <w:pStyle w:val="Heading2"/>
        <w:rPr>
          <w:b/>
          <w:i/>
        </w:rPr>
      </w:pPr>
      <w:r w:rsidRPr="00A65125">
        <w:t xml:space="preserve">NON-INTEGRATED OPERATION IN </w:t>
      </w:r>
      <w:r w:rsidR="00470DA6" w:rsidRPr="00A65125">
        <w:t>IOC WORKFLOWS</w:t>
      </w:r>
      <w:r w:rsidRPr="00A65125">
        <w:t xml:space="preserve"> IN E-PAYMENT PROCESS</w:t>
      </w:r>
    </w:p>
    <w:p w14:paraId="2C3CB0A5" w14:textId="77777777" w:rsidR="00466AC2" w:rsidRPr="00A65125" w:rsidRDefault="00466AC2" w:rsidP="00A65125">
      <w:pPr>
        <w:pStyle w:val="BodyText1"/>
        <w:ind w:firstLine="0"/>
        <w:rPr>
          <w:rFonts w:cs="Times New Roman"/>
          <w:sz w:val="20"/>
          <w:szCs w:val="20"/>
        </w:rPr>
      </w:pPr>
    </w:p>
    <w:p w14:paraId="65D2B8E2" w14:textId="291B5731" w:rsidR="00E8410F" w:rsidRPr="00A65125" w:rsidRDefault="008D6C61" w:rsidP="00A65125">
      <w:pPr>
        <w:pStyle w:val="BodyText1"/>
        <w:ind w:firstLine="0"/>
        <w:rPr>
          <w:rFonts w:cs="Times New Roman"/>
          <w:sz w:val="20"/>
          <w:szCs w:val="20"/>
        </w:rPr>
      </w:pPr>
      <w:r w:rsidRPr="00A65125">
        <w:rPr>
          <w:rFonts w:cs="Times New Roman"/>
          <w:sz w:val="20"/>
          <w:szCs w:val="20"/>
        </w:rPr>
        <w:t xml:space="preserve">TLD operates within a </w:t>
      </w:r>
      <w:proofErr w:type="gramStart"/>
      <w:r w:rsidRPr="00A65125">
        <w:rPr>
          <w:rFonts w:cs="Times New Roman"/>
          <w:sz w:val="20"/>
          <w:szCs w:val="20"/>
        </w:rPr>
        <w:t xml:space="preserve">complex </w:t>
      </w:r>
      <w:r w:rsidR="00470DA6" w:rsidRPr="00A65125">
        <w:rPr>
          <w:rFonts w:cs="Times New Roman"/>
          <w:sz w:val="20"/>
          <w:szCs w:val="20"/>
        </w:rPr>
        <w:t>IOC workflows</w:t>
      </w:r>
      <w:proofErr w:type="gramEnd"/>
      <w:r w:rsidRPr="00A65125">
        <w:rPr>
          <w:rFonts w:cs="Times New Roman"/>
          <w:sz w:val="20"/>
          <w:szCs w:val="20"/>
        </w:rPr>
        <w:t xml:space="preserve"> characterised by non-integrated operational systems. The findings highlight how siloed structures and workflow complexity contribute to inefficiencies and increase the risk of errors in the e-payment process. A key challenge is the fragmentation of systems, forcing personnel to cross-check data </w:t>
      </w:r>
      <w:r w:rsidRPr="00A65125">
        <w:rPr>
          <w:rFonts w:cs="Times New Roman"/>
          <w:sz w:val="20"/>
          <w:szCs w:val="20"/>
        </w:rPr>
        <w:lastRenderedPageBreak/>
        <w:t>across multiple platforms manually. Participant 1 noted that this includes verifying information across different payment channels and modes.</w:t>
      </w:r>
    </w:p>
    <w:p w14:paraId="4053C988" w14:textId="77777777" w:rsidR="008D6C61" w:rsidRPr="00A65125" w:rsidRDefault="008D6C61" w:rsidP="00A65125">
      <w:pPr>
        <w:pStyle w:val="BodyText1"/>
        <w:ind w:firstLine="0"/>
        <w:rPr>
          <w:rFonts w:cs="Times New Roman"/>
          <w:sz w:val="20"/>
          <w:szCs w:val="20"/>
        </w:rPr>
      </w:pPr>
    </w:p>
    <w:p w14:paraId="222F573C" w14:textId="148D31BE" w:rsidR="00554EAD" w:rsidRPr="00A65125" w:rsidRDefault="00554EAD" w:rsidP="00A65125">
      <w:pPr>
        <w:ind w:left="426" w:right="521"/>
        <w:jc w:val="both"/>
        <w:rPr>
          <w:i/>
          <w:iCs/>
          <w:sz w:val="20"/>
          <w:szCs w:val="20"/>
          <w:lang w:val="en-MY" w:eastAsia="en-US"/>
        </w:rPr>
      </w:pPr>
      <w:r w:rsidRPr="00A65125">
        <w:rPr>
          <w:i/>
          <w:iCs/>
          <w:sz w:val="20"/>
          <w:szCs w:val="20"/>
          <w:lang w:val="en-MY" w:eastAsia="en-US"/>
        </w:rPr>
        <w:t>“</w:t>
      </w:r>
      <w:r w:rsidR="000D4557" w:rsidRPr="00A65125">
        <w:rPr>
          <w:i/>
          <w:iCs/>
          <w:sz w:val="20"/>
          <w:szCs w:val="20"/>
          <w:lang w:val="en-MY" w:eastAsia="en-US"/>
        </w:rPr>
        <w:t>…</w:t>
      </w:r>
      <w:r w:rsidR="00927E77" w:rsidRPr="00A65125">
        <w:rPr>
          <w:i/>
          <w:iCs/>
          <w:sz w:val="20"/>
          <w:szCs w:val="20"/>
          <w:lang w:val="en-MY" w:eastAsia="en-US"/>
        </w:rPr>
        <w:t>e</w:t>
      </w:r>
      <w:r w:rsidRPr="00A65125">
        <w:rPr>
          <w:i/>
          <w:iCs/>
          <w:sz w:val="20"/>
          <w:szCs w:val="20"/>
          <w:lang w:val="en-MY" w:eastAsia="en-US"/>
        </w:rPr>
        <w:t>very day at 7.30 am, I will print this report</w:t>
      </w:r>
      <w:r w:rsidR="00927E77" w:rsidRPr="00A65125">
        <w:rPr>
          <w:i/>
          <w:iCs/>
          <w:sz w:val="20"/>
          <w:szCs w:val="20"/>
          <w:lang w:val="en-MY" w:eastAsia="en-US"/>
        </w:rPr>
        <w:t xml:space="preserve"> (TLD system)</w:t>
      </w:r>
      <w:r w:rsidRPr="00A65125">
        <w:rPr>
          <w:i/>
          <w:iCs/>
          <w:sz w:val="20"/>
          <w:szCs w:val="20"/>
          <w:lang w:val="en-MY" w:eastAsia="en-US"/>
        </w:rPr>
        <w:t>, and compare it with this report</w:t>
      </w:r>
      <w:r w:rsidR="00927E77" w:rsidRPr="00A65125">
        <w:rPr>
          <w:i/>
          <w:iCs/>
          <w:sz w:val="20"/>
          <w:szCs w:val="20"/>
          <w:lang w:val="en-MY" w:eastAsia="en-US"/>
        </w:rPr>
        <w:t xml:space="preserve"> Bank Report)</w:t>
      </w:r>
      <w:r w:rsidRPr="00A65125">
        <w:rPr>
          <w:i/>
          <w:iCs/>
          <w:sz w:val="20"/>
          <w:szCs w:val="20"/>
          <w:lang w:val="en-MY" w:eastAsia="en-US"/>
        </w:rPr>
        <w:t xml:space="preserve">, are they the same or not? If they're not same, there's something wrong. Then, I have to check again, whether </w:t>
      </w:r>
      <w:r w:rsidR="00593684" w:rsidRPr="00A65125">
        <w:rPr>
          <w:i/>
          <w:iCs/>
          <w:sz w:val="20"/>
          <w:szCs w:val="20"/>
          <w:lang w:val="en-MY" w:eastAsia="en-US"/>
        </w:rPr>
        <w:t>Kiosk machine</w:t>
      </w:r>
      <w:r w:rsidRPr="00A65125">
        <w:rPr>
          <w:i/>
          <w:iCs/>
          <w:sz w:val="20"/>
          <w:szCs w:val="20"/>
          <w:lang w:val="en-MY" w:eastAsia="en-US"/>
        </w:rPr>
        <w:t>, Mobile, or Counter is not the same. Besides, I have to confirm that this amount is mixed with</w:t>
      </w:r>
      <w:r w:rsidR="00927E77" w:rsidRPr="00A65125">
        <w:rPr>
          <w:i/>
          <w:iCs/>
          <w:sz w:val="20"/>
          <w:szCs w:val="20"/>
          <w:lang w:val="en-MY" w:eastAsia="en-US"/>
        </w:rPr>
        <w:t xml:space="preserve"> other transaction from</w:t>
      </w:r>
      <w:r w:rsidRPr="00A65125">
        <w:rPr>
          <w:i/>
          <w:iCs/>
          <w:sz w:val="20"/>
          <w:szCs w:val="20"/>
          <w:lang w:val="en-MY" w:eastAsia="en-US"/>
        </w:rPr>
        <w:t xml:space="preserve"> finance</w:t>
      </w:r>
      <w:r w:rsidR="00927E77" w:rsidRPr="00A65125">
        <w:rPr>
          <w:i/>
          <w:iCs/>
          <w:sz w:val="20"/>
          <w:szCs w:val="20"/>
          <w:lang w:val="en-MY" w:eastAsia="en-US"/>
        </w:rPr>
        <w:t xml:space="preserve"> unit</w:t>
      </w:r>
      <w:r w:rsidR="000D4557" w:rsidRPr="00A65125">
        <w:rPr>
          <w:i/>
          <w:iCs/>
          <w:sz w:val="20"/>
          <w:szCs w:val="20"/>
          <w:lang w:val="en-MY" w:eastAsia="en-US"/>
        </w:rPr>
        <w:t>…</w:t>
      </w:r>
      <w:r w:rsidRPr="00A65125">
        <w:rPr>
          <w:i/>
          <w:iCs/>
          <w:sz w:val="20"/>
          <w:szCs w:val="20"/>
          <w:lang w:val="en-MY" w:eastAsia="en-US"/>
        </w:rPr>
        <w:t>” (P1-TLD1-0:13:20).</w:t>
      </w:r>
    </w:p>
    <w:p w14:paraId="639D1A67" w14:textId="77777777" w:rsidR="00554EAD" w:rsidRPr="00A65125" w:rsidRDefault="00554EAD" w:rsidP="00A65125">
      <w:pPr>
        <w:pStyle w:val="NoSpacing"/>
        <w:rPr>
          <w:sz w:val="20"/>
          <w:szCs w:val="20"/>
          <w:lang w:eastAsia="en-US"/>
        </w:rPr>
      </w:pPr>
    </w:p>
    <w:p w14:paraId="1FD9574B" w14:textId="608760F4" w:rsidR="00F11BC5" w:rsidRPr="00A65125" w:rsidRDefault="00E8410F" w:rsidP="00A65125">
      <w:pPr>
        <w:pStyle w:val="BodyText1"/>
        <w:rPr>
          <w:rFonts w:cs="Times New Roman"/>
          <w:sz w:val="20"/>
          <w:szCs w:val="20"/>
        </w:rPr>
      </w:pPr>
      <w:r w:rsidRPr="00A65125">
        <w:rPr>
          <w:rFonts w:cs="Times New Roman"/>
          <w:sz w:val="20"/>
          <w:szCs w:val="20"/>
        </w:rPr>
        <w:t>These practices underscore the complexity of TLD’s workflows, where operational intricacies intersect with technological limitations. Repeated reconciliation tasks are labour-intensive and prone to discrepancies that disrupt subsequent processes. Due to siloed operations, the Revenue Unit must manually verify system integration between TLD’s platform and the accounting office system within specific time windows</w:t>
      </w:r>
      <w:r w:rsidR="009B63D6" w:rsidRPr="00A65125">
        <w:rPr>
          <w:rFonts w:cs="Times New Roman"/>
          <w:sz w:val="20"/>
          <w:szCs w:val="20"/>
        </w:rPr>
        <w:t xml:space="preserve"> where </w:t>
      </w:r>
      <w:r w:rsidRPr="00A65125">
        <w:rPr>
          <w:rFonts w:cs="Times New Roman"/>
          <w:sz w:val="20"/>
          <w:szCs w:val="20"/>
        </w:rPr>
        <w:t>a process that, as Participant 2 explained, requires ongoing manual oversight.</w:t>
      </w:r>
    </w:p>
    <w:p w14:paraId="644F2D42" w14:textId="77777777" w:rsidR="00E8410F" w:rsidRPr="00A65125" w:rsidRDefault="00E8410F" w:rsidP="00A65125">
      <w:pPr>
        <w:pStyle w:val="BodyText1"/>
        <w:rPr>
          <w:rFonts w:cs="Times New Roman"/>
          <w:sz w:val="20"/>
          <w:szCs w:val="20"/>
        </w:rPr>
      </w:pPr>
    </w:p>
    <w:p w14:paraId="75CAAE13" w14:textId="441404EE" w:rsidR="005E67B1" w:rsidRPr="00A65125" w:rsidRDefault="005E67B1" w:rsidP="00A65125">
      <w:pPr>
        <w:ind w:left="426" w:right="521"/>
        <w:jc w:val="both"/>
        <w:rPr>
          <w:i/>
          <w:iCs/>
          <w:sz w:val="20"/>
          <w:szCs w:val="20"/>
          <w:lang w:val="en-MY" w:eastAsia="en-US"/>
        </w:rPr>
      </w:pPr>
      <w:r w:rsidRPr="00A65125">
        <w:rPr>
          <w:i/>
          <w:iCs/>
          <w:sz w:val="20"/>
          <w:szCs w:val="20"/>
          <w:lang w:val="en-MY" w:eastAsia="en-US"/>
        </w:rPr>
        <w:t xml:space="preserve">“…We will also receive the relevant supporting documents. After verification, </w:t>
      </w:r>
      <w:r w:rsidR="00927E77" w:rsidRPr="00A65125">
        <w:rPr>
          <w:i/>
          <w:iCs/>
          <w:sz w:val="20"/>
          <w:szCs w:val="20"/>
          <w:lang w:val="en-MY" w:eastAsia="en-US"/>
        </w:rPr>
        <w:t>partial</w:t>
      </w:r>
      <w:r w:rsidRPr="00A65125">
        <w:rPr>
          <w:i/>
          <w:iCs/>
          <w:sz w:val="20"/>
          <w:szCs w:val="20"/>
          <w:lang w:val="en-MY" w:eastAsia="en-US"/>
        </w:rPr>
        <w:t xml:space="preserve"> </w:t>
      </w:r>
      <w:r w:rsidR="00927E77" w:rsidRPr="00A65125">
        <w:rPr>
          <w:i/>
          <w:iCs/>
          <w:sz w:val="20"/>
          <w:szCs w:val="20"/>
          <w:lang w:val="en-MY" w:eastAsia="en-US"/>
        </w:rPr>
        <w:t xml:space="preserve">of transaction </w:t>
      </w:r>
      <w:r w:rsidRPr="00A65125">
        <w:rPr>
          <w:i/>
          <w:iCs/>
          <w:sz w:val="20"/>
          <w:szCs w:val="20"/>
          <w:lang w:val="en-MY" w:eastAsia="en-US"/>
        </w:rPr>
        <w:t xml:space="preserve">receipts from the TLD system </w:t>
      </w:r>
      <w:r w:rsidR="00927E77" w:rsidRPr="00A65125">
        <w:rPr>
          <w:i/>
          <w:iCs/>
          <w:sz w:val="20"/>
          <w:szCs w:val="20"/>
          <w:lang w:val="en-MY" w:eastAsia="en-US"/>
        </w:rPr>
        <w:t>will be posted to</w:t>
      </w:r>
      <w:r w:rsidRPr="00A65125">
        <w:rPr>
          <w:i/>
          <w:iCs/>
          <w:sz w:val="20"/>
          <w:szCs w:val="20"/>
          <w:lang w:val="en-MY" w:eastAsia="en-US"/>
        </w:rPr>
        <w:t xml:space="preserve"> the </w:t>
      </w:r>
      <w:r w:rsidR="000D4557" w:rsidRPr="00A65125">
        <w:rPr>
          <w:i/>
          <w:iCs/>
          <w:sz w:val="20"/>
          <w:szCs w:val="20"/>
          <w:lang w:val="en-MY" w:eastAsia="en-US"/>
        </w:rPr>
        <w:t>accounting office</w:t>
      </w:r>
      <w:r w:rsidRPr="00A65125">
        <w:rPr>
          <w:i/>
          <w:iCs/>
          <w:sz w:val="20"/>
          <w:szCs w:val="20"/>
          <w:lang w:val="en-MY" w:eastAsia="en-US"/>
        </w:rPr>
        <w:t xml:space="preserve"> system. Usually, this</w:t>
      </w:r>
      <w:r w:rsidR="00927E77" w:rsidRPr="00A65125">
        <w:rPr>
          <w:i/>
          <w:iCs/>
          <w:sz w:val="20"/>
          <w:szCs w:val="20"/>
          <w:lang w:val="en-MY" w:eastAsia="en-US"/>
        </w:rPr>
        <w:t xml:space="preserve"> operation</w:t>
      </w:r>
      <w:r w:rsidRPr="00A65125">
        <w:rPr>
          <w:i/>
          <w:iCs/>
          <w:sz w:val="20"/>
          <w:szCs w:val="20"/>
          <w:lang w:val="en-MY" w:eastAsia="en-US"/>
        </w:rPr>
        <w:t xml:space="preserve"> integration occurs at 10:30 PM. The next morning, we will check the cash book in </w:t>
      </w:r>
      <w:r w:rsidR="000D4557" w:rsidRPr="00A65125">
        <w:rPr>
          <w:i/>
          <w:iCs/>
          <w:sz w:val="20"/>
          <w:szCs w:val="20"/>
          <w:lang w:val="en-MY" w:eastAsia="en-US"/>
        </w:rPr>
        <w:t>accounting office system</w:t>
      </w:r>
      <w:r w:rsidRPr="00A65125">
        <w:rPr>
          <w:i/>
          <w:iCs/>
          <w:sz w:val="20"/>
          <w:szCs w:val="20"/>
          <w:lang w:val="en-MY" w:eastAsia="en-US"/>
        </w:rPr>
        <w:t>. If there is a di</w:t>
      </w:r>
      <w:r w:rsidR="00927E77" w:rsidRPr="00A65125">
        <w:rPr>
          <w:i/>
          <w:iCs/>
          <w:sz w:val="20"/>
          <w:szCs w:val="20"/>
          <w:lang w:val="en-MY" w:eastAsia="en-US"/>
        </w:rPr>
        <w:t>fference</w:t>
      </w:r>
      <w:r w:rsidRPr="00A65125">
        <w:rPr>
          <w:i/>
          <w:iCs/>
          <w:sz w:val="20"/>
          <w:szCs w:val="20"/>
          <w:lang w:val="en-MY" w:eastAsia="en-US"/>
        </w:rPr>
        <w:t xml:space="preserve"> in the amount, we will </w:t>
      </w:r>
      <w:r w:rsidR="00927E77" w:rsidRPr="00A65125">
        <w:rPr>
          <w:i/>
          <w:iCs/>
          <w:sz w:val="20"/>
          <w:szCs w:val="20"/>
          <w:lang w:val="en-MY" w:eastAsia="en-US"/>
        </w:rPr>
        <w:t>find</w:t>
      </w:r>
      <w:r w:rsidRPr="00A65125">
        <w:rPr>
          <w:i/>
          <w:iCs/>
          <w:sz w:val="20"/>
          <w:szCs w:val="20"/>
          <w:lang w:val="en-MY" w:eastAsia="en-US"/>
        </w:rPr>
        <w:t xml:space="preserve"> </w:t>
      </w:r>
      <w:r w:rsidR="00927E77" w:rsidRPr="00A65125">
        <w:rPr>
          <w:i/>
          <w:iCs/>
          <w:sz w:val="20"/>
          <w:szCs w:val="20"/>
          <w:lang w:val="en-MY" w:eastAsia="en-US"/>
        </w:rPr>
        <w:t>manually</w:t>
      </w:r>
      <w:r w:rsidRPr="00A65125">
        <w:rPr>
          <w:i/>
          <w:iCs/>
          <w:sz w:val="20"/>
          <w:szCs w:val="20"/>
          <w:lang w:val="en-MY" w:eastAsia="en-US"/>
        </w:rPr>
        <w:t xml:space="preserve"> the</w:t>
      </w:r>
      <w:r w:rsidR="00927E77" w:rsidRPr="00A65125">
        <w:rPr>
          <w:i/>
          <w:iCs/>
          <w:sz w:val="20"/>
          <w:szCs w:val="20"/>
          <w:lang w:val="en-MY" w:eastAsia="en-US"/>
        </w:rPr>
        <w:t xml:space="preserve"> transaction</w:t>
      </w:r>
      <w:r w:rsidRPr="00A65125">
        <w:rPr>
          <w:i/>
          <w:iCs/>
          <w:sz w:val="20"/>
          <w:szCs w:val="20"/>
          <w:lang w:val="en-MY" w:eastAsia="en-US"/>
        </w:rPr>
        <w:t xml:space="preserve"> does not match…” (</w:t>
      </w:r>
      <w:r w:rsidR="00C37B57" w:rsidRPr="00A65125">
        <w:rPr>
          <w:i/>
          <w:iCs/>
          <w:sz w:val="20"/>
          <w:szCs w:val="20"/>
          <w:lang w:val="en-MY" w:eastAsia="en-US"/>
        </w:rPr>
        <w:t>P</w:t>
      </w:r>
      <w:r w:rsidRPr="00A65125">
        <w:rPr>
          <w:i/>
          <w:iCs/>
          <w:sz w:val="20"/>
          <w:szCs w:val="20"/>
          <w:lang w:val="en-MY" w:eastAsia="en-US"/>
        </w:rPr>
        <w:t>2-TLD-0:05:01)</w:t>
      </w:r>
    </w:p>
    <w:p w14:paraId="0E630710" w14:textId="77777777" w:rsidR="005E67B1" w:rsidRPr="00A65125" w:rsidRDefault="005E67B1" w:rsidP="00A65125">
      <w:pPr>
        <w:rPr>
          <w:sz w:val="20"/>
          <w:szCs w:val="20"/>
          <w:lang w:val="en-MY" w:eastAsia="en-US"/>
        </w:rPr>
      </w:pPr>
    </w:p>
    <w:p w14:paraId="740F1CF8" w14:textId="19C0242B" w:rsidR="00E8410F" w:rsidRPr="00A65125" w:rsidRDefault="008D6C61" w:rsidP="00A65125">
      <w:pPr>
        <w:pStyle w:val="BodyText1"/>
        <w:rPr>
          <w:rFonts w:cs="Times New Roman"/>
          <w:sz w:val="20"/>
          <w:szCs w:val="20"/>
        </w:rPr>
      </w:pPr>
      <w:r w:rsidRPr="00A65125">
        <w:rPr>
          <w:rFonts w:cs="Times New Roman"/>
          <w:sz w:val="20"/>
          <w:szCs w:val="20"/>
        </w:rPr>
        <w:t>Although receipt information integration occurs automatically, TLD officers must manually verify reports the following working day. This manual task limits flexibility, consumes time, and contributes to revenue recording delays. The process complexity, marked by multiple verification steps for each transaction, also demands continuous and meticulous monitoring. The need to reconcile reports from the acquiring bank portal, the TLD system, and the accounting office system results in redundant work. As Participant 4 noted, this duplication exacerbates the operational burden.</w:t>
      </w:r>
    </w:p>
    <w:p w14:paraId="1776AAAB" w14:textId="77777777" w:rsidR="008D6C61" w:rsidRPr="00A65125" w:rsidRDefault="008D6C61" w:rsidP="00A65125">
      <w:pPr>
        <w:pStyle w:val="BodyText1"/>
        <w:rPr>
          <w:rFonts w:cs="Times New Roman"/>
          <w:sz w:val="20"/>
          <w:szCs w:val="20"/>
        </w:rPr>
      </w:pPr>
    </w:p>
    <w:p w14:paraId="46D2ABC3" w14:textId="48664FDB" w:rsidR="00C37B57" w:rsidRPr="00A65125" w:rsidRDefault="00C37B57" w:rsidP="00A65125">
      <w:pPr>
        <w:ind w:left="426" w:right="521"/>
        <w:jc w:val="both"/>
        <w:rPr>
          <w:i/>
          <w:iCs/>
          <w:sz w:val="20"/>
          <w:szCs w:val="20"/>
          <w:lang w:val="en-MY" w:eastAsia="en-US"/>
        </w:rPr>
      </w:pPr>
      <w:r w:rsidRPr="00A65125">
        <w:rPr>
          <w:i/>
          <w:iCs/>
          <w:sz w:val="20"/>
          <w:szCs w:val="20"/>
          <w:lang w:val="en-MY" w:eastAsia="en-US"/>
        </w:rPr>
        <w:t>“</w:t>
      </w:r>
      <w:r w:rsidR="000D4557" w:rsidRPr="00A65125">
        <w:rPr>
          <w:i/>
          <w:iCs/>
          <w:sz w:val="20"/>
          <w:szCs w:val="20"/>
          <w:lang w:val="en-MY" w:eastAsia="en-US"/>
        </w:rPr>
        <w:t>…</w:t>
      </w:r>
      <w:r w:rsidRPr="00A65125">
        <w:rPr>
          <w:i/>
          <w:iCs/>
          <w:sz w:val="20"/>
          <w:szCs w:val="20"/>
          <w:lang w:val="en-MY" w:eastAsia="en-US"/>
        </w:rPr>
        <w:t>There are several reports that we will use: - Daily Counter Report</w:t>
      </w:r>
      <w:r w:rsidR="000D4557" w:rsidRPr="00A65125">
        <w:rPr>
          <w:i/>
          <w:iCs/>
          <w:sz w:val="20"/>
          <w:szCs w:val="20"/>
          <w:lang w:val="en-MY" w:eastAsia="en-US"/>
        </w:rPr>
        <w:t xml:space="preserve">, </w:t>
      </w:r>
      <w:r w:rsidR="00927E77" w:rsidRPr="00A65125">
        <w:rPr>
          <w:i/>
          <w:iCs/>
          <w:sz w:val="20"/>
          <w:szCs w:val="20"/>
          <w:lang w:val="en-MY" w:eastAsia="en-US"/>
        </w:rPr>
        <w:t>kiosk machine</w:t>
      </w:r>
      <w:r w:rsidRPr="00A65125">
        <w:rPr>
          <w:i/>
          <w:iCs/>
          <w:sz w:val="20"/>
          <w:szCs w:val="20"/>
          <w:lang w:val="en-MY" w:eastAsia="en-US"/>
        </w:rPr>
        <w:t xml:space="preserve"> </w:t>
      </w:r>
      <w:r w:rsidR="00927E77" w:rsidRPr="00A65125">
        <w:rPr>
          <w:i/>
          <w:iCs/>
          <w:sz w:val="20"/>
          <w:szCs w:val="20"/>
          <w:lang w:val="en-MY" w:eastAsia="en-US"/>
        </w:rPr>
        <w:t>r</w:t>
      </w:r>
      <w:r w:rsidRPr="00A65125">
        <w:rPr>
          <w:i/>
          <w:iCs/>
          <w:sz w:val="20"/>
          <w:szCs w:val="20"/>
          <w:lang w:val="en-MY" w:eastAsia="en-US"/>
        </w:rPr>
        <w:t>eport</w:t>
      </w:r>
      <w:r w:rsidR="000D4557" w:rsidRPr="00A65125">
        <w:rPr>
          <w:i/>
          <w:iCs/>
          <w:sz w:val="20"/>
          <w:szCs w:val="20"/>
          <w:lang w:val="en-MY" w:eastAsia="en-US"/>
        </w:rPr>
        <w:t xml:space="preserve">, </w:t>
      </w:r>
      <w:r w:rsidR="00927E77" w:rsidRPr="00A65125">
        <w:rPr>
          <w:i/>
          <w:iCs/>
          <w:sz w:val="20"/>
          <w:szCs w:val="20"/>
          <w:lang w:val="en-MY" w:eastAsia="en-US"/>
        </w:rPr>
        <w:t>m</w:t>
      </w:r>
      <w:r w:rsidRPr="00A65125">
        <w:rPr>
          <w:i/>
          <w:iCs/>
          <w:sz w:val="20"/>
          <w:szCs w:val="20"/>
          <w:lang w:val="en-MY" w:eastAsia="en-US"/>
        </w:rPr>
        <w:t xml:space="preserve">erchant </w:t>
      </w:r>
      <w:r w:rsidR="00927E77" w:rsidRPr="00A65125">
        <w:rPr>
          <w:i/>
          <w:iCs/>
          <w:sz w:val="20"/>
          <w:szCs w:val="20"/>
          <w:lang w:val="en-MY" w:eastAsia="en-US"/>
        </w:rPr>
        <w:t>r</w:t>
      </w:r>
      <w:r w:rsidRPr="00A65125">
        <w:rPr>
          <w:i/>
          <w:iCs/>
          <w:sz w:val="20"/>
          <w:szCs w:val="20"/>
          <w:lang w:val="en-MY" w:eastAsia="en-US"/>
        </w:rPr>
        <w:t>eport</w:t>
      </w:r>
      <w:r w:rsidR="000D4557" w:rsidRPr="00A65125">
        <w:rPr>
          <w:i/>
          <w:iCs/>
          <w:sz w:val="20"/>
          <w:szCs w:val="20"/>
          <w:lang w:val="en-MY" w:eastAsia="en-US"/>
        </w:rPr>
        <w:t xml:space="preserve">, </w:t>
      </w:r>
      <w:r w:rsidR="00927E77" w:rsidRPr="00A65125">
        <w:rPr>
          <w:i/>
          <w:iCs/>
          <w:sz w:val="20"/>
          <w:szCs w:val="20"/>
          <w:lang w:val="en-MY" w:eastAsia="en-US"/>
        </w:rPr>
        <w:t>b</w:t>
      </w:r>
      <w:r w:rsidR="000D4557" w:rsidRPr="00A65125">
        <w:rPr>
          <w:i/>
          <w:iCs/>
          <w:sz w:val="20"/>
          <w:szCs w:val="20"/>
          <w:lang w:val="en-MY" w:eastAsia="en-US"/>
        </w:rPr>
        <w:t>ank</w:t>
      </w:r>
      <w:r w:rsidRPr="00A65125">
        <w:rPr>
          <w:i/>
          <w:iCs/>
          <w:sz w:val="20"/>
          <w:szCs w:val="20"/>
          <w:lang w:val="en-MY" w:eastAsia="en-US"/>
        </w:rPr>
        <w:t xml:space="preserve"> </w:t>
      </w:r>
      <w:r w:rsidR="00927E77" w:rsidRPr="00A65125">
        <w:rPr>
          <w:i/>
          <w:iCs/>
          <w:sz w:val="20"/>
          <w:szCs w:val="20"/>
          <w:lang w:val="en-MY" w:eastAsia="en-US"/>
        </w:rPr>
        <w:t>p</w:t>
      </w:r>
      <w:r w:rsidRPr="00A65125">
        <w:rPr>
          <w:i/>
          <w:iCs/>
          <w:sz w:val="20"/>
          <w:szCs w:val="20"/>
          <w:lang w:val="en-MY" w:eastAsia="en-US"/>
        </w:rPr>
        <w:t xml:space="preserve">ortal </w:t>
      </w:r>
      <w:r w:rsidR="00927E77" w:rsidRPr="00A65125">
        <w:rPr>
          <w:i/>
          <w:iCs/>
          <w:sz w:val="20"/>
          <w:szCs w:val="20"/>
          <w:lang w:val="en-MY" w:eastAsia="en-US"/>
        </w:rPr>
        <w:t>r</w:t>
      </w:r>
      <w:r w:rsidRPr="00A65125">
        <w:rPr>
          <w:i/>
          <w:iCs/>
          <w:sz w:val="20"/>
          <w:szCs w:val="20"/>
          <w:lang w:val="en-MY" w:eastAsia="en-US"/>
        </w:rPr>
        <w:t>eport</w:t>
      </w:r>
      <w:r w:rsidR="000D4557" w:rsidRPr="00A65125">
        <w:rPr>
          <w:i/>
          <w:iCs/>
          <w:sz w:val="20"/>
          <w:szCs w:val="20"/>
          <w:lang w:val="en-MY" w:eastAsia="en-US"/>
        </w:rPr>
        <w:t xml:space="preserve">. </w:t>
      </w:r>
      <w:r w:rsidRPr="00A65125">
        <w:rPr>
          <w:i/>
          <w:iCs/>
          <w:sz w:val="20"/>
          <w:szCs w:val="20"/>
          <w:lang w:val="en-MY" w:eastAsia="en-US"/>
        </w:rPr>
        <w:t xml:space="preserve">For the </w:t>
      </w:r>
      <w:r w:rsidR="00927E77" w:rsidRPr="00A65125">
        <w:rPr>
          <w:i/>
          <w:iCs/>
          <w:sz w:val="20"/>
          <w:szCs w:val="20"/>
          <w:lang w:val="en-MY" w:eastAsia="en-US"/>
        </w:rPr>
        <w:t>b</w:t>
      </w:r>
      <w:r w:rsidR="000D4557" w:rsidRPr="00A65125">
        <w:rPr>
          <w:i/>
          <w:iCs/>
          <w:sz w:val="20"/>
          <w:szCs w:val="20"/>
          <w:lang w:val="en-MY" w:eastAsia="en-US"/>
        </w:rPr>
        <w:t>ank</w:t>
      </w:r>
      <w:r w:rsidRPr="00A65125">
        <w:rPr>
          <w:i/>
          <w:iCs/>
          <w:sz w:val="20"/>
          <w:szCs w:val="20"/>
          <w:lang w:val="en-MY" w:eastAsia="en-US"/>
        </w:rPr>
        <w:t xml:space="preserve"> portal report, we will use it</w:t>
      </w:r>
      <w:r w:rsidR="00927E77" w:rsidRPr="00A65125">
        <w:rPr>
          <w:i/>
          <w:iCs/>
          <w:sz w:val="20"/>
          <w:szCs w:val="20"/>
          <w:lang w:val="en-MY" w:eastAsia="en-US"/>
        </w:rPr>
        <w:t xml:space="preserve"> reference</w:t>
      </w:r>
      <w:r w:rsidRPr="00A65125">
        <w:rPr>
          <w:i/>
          <w:iCs/>
          <w:sz w:val="20"/>
          <w:szCs w:val="20"/>
          <w:lang w:val="en-MY" w:eastAsia="en-US"/>
        </w:rPr>
        <w:t xml:space="preserve"> </w:t>
      </w:r>
      <w:r w:rsidR="00927E77" w:rsidRPr="00A65125">
        <w:rPr>
          <w:i/>
          <w:iCs/>
          <w:sz w:val="20"/>
          <w:szCs w:val="20"/>
          <w:lang w:val="en-MY" w:eastAsia="en-US"/>
        </w:rPr>
        <w:t>as</w:t>
      </w:r>
      <w:r w:rsidRPr="00A65125">
        <w:rPr>
          <w:i/>
          <w:iCs/>
          <w:sz w:val="20"/>
          <w:szCs w:val="20"/>
          <w:lang w:val="en-MY" w:eastAsia="en-US"/>
        </w:rPr>
        <w:t xml:space="preserve"> the bank slip number for preparing the collect</w:t>
      </w:r>
      <w:r w:rsidR="00927E77" w:rsidRPr="00A65125">
        <w:rPr>
          <w:i/>
          <w:iCs/>
          <w:sz w:val="20"/>
          <w:szCs w:val="20"/>
          <w:lang w:val="en-MY" w:eastAsia="en-US"/>
        </w:rPr>
        <w:t>ion</w:t>
      </w:r>
      <w:r w:rsidRPr="00A65125">
        <w:rPr>
          <w:i/>
          <w:iCs/>
          <w:sz w:val="20"/>
          <w:szCs w:val="20"/>
          <w:lang w:val="en-MY" w:eastAsia="en-US"/>
        </w:rPr>
        <w:t xml:space="preserve"> statement</w:t>
      </w:r>
      <w:r w:rsidR="000D4557" w:rsidRPr="00A65125">
        <w:rPr>
          <w:i/>
          <w:iCs/>
          <w:sz w:val="20"/>
          <w:szCs w:val="20"/>
          <w:lang w:val="en-MY" w:eastAsia="en-US"/>
        </w:rPr>
        <w:t>…</w:t>
      </w:r>
      <w:r w:rsidRPr="00A65125">
        <w:rPr>
          <w:i/>
          <w:iCs/>
          <w:sz w:val="20"/>
          <w:szCs w:val="20"/>
          <w:lang w:val="en-MY" w:eastAsia="en-US"/>
        </w:rPr>
        <w:t>” (P4- TLD-0:07:26)</w:t>
      </w:r>
    </w:p>
    <w:p w14:paraId="64B85D06" w14:textId="77777777" w:rsidR="008C0885" w:rsidRPr="00A65125" w:rsidRDefault="008C0885" w:rsidP="00A65125">
      <w:pPr>
        <w:pStyle w:val="NoSpacing"/>
        <w:rPr>
          <w:sz w:val="20"/>
          <w:szCs w:val="20"/>
          <w:lang w:val="en-MY" w:eastAsia="en-US"/>
        </w:rPr>
      </w:pPr>
    </w:p>
    <w:p w14:paraId="234E4397" w14:textId="78D27248" w:rsidR="00F11BC5" w:rsidRPr="00A65125" w:rsidRDefault="008D6C61" w:rsidP="00A65125">
      <w:pPr>
        <w:pStyle w:val="BodyText1"/>
        <w:rPr>
          <w:rFonts w:cs="Times New Roman"/>
          <w:sz w:val="20"/>
          <w:szCs w:val="20"/>
        </w:rPr>
      </w:pPr>
      <w:r w:rsidRPr="00A65125">
        <w:rPr>
          <w:rFonts w:cs="Times New Roman"/>
          <w:sz w:val="20"/>
          <w:szCs w:val="20"/>
        </w:rPr>
        <w:t>One recurring issue is the inconsistent records. This is due to human error, particularly when a front-line officer fails to cancel void transactions in the TLD system and Electronic Data Capture machines. Participant 2 highlighted this challenge, stating</w:t>
      </w:r>
      <w:r w:rsidR="003600A6" w:rsidRPr="00A65125">
        <w:rPr>
          <w:rFonts w:cs="Times New Roman"/>
          <w:sz w:val="20"/>
          <w:szCs w:val="20"/>
        </w:rPr>
        <w:t>:</w:t>
      </w:r>
    </w:p>
    <w:p w14:paraId="4937B554" w14:textId="77777777" w:rsidR="008D6C61" w:rsidRPr="00A65125" w:rsidRDefault="008D6C61" w:rsidP="00A65125">
      <w:pPr>
        <w:pStyle w:val="BodyText1"/>
        <w:rPr>
          <w:rFonts w:cs="Times New Roman"/>
          <w:sz w:val="20"/>
          <w:szCs w:val="20"/>
        </w:rPr>
      </w:pPr>
    </w:p>
    <w:p w14:paraId="25B44A55" w14:textId="01908330" w:rsidR="005E67B1" w:rsidRPr="00A65125" w:rsidRDefault="00C37B57" w:rsidP="00A65125">
      <w:pPr>
        <w:ind w:left="426" w:right="521"/>
        <w:jc w:val="both"/>
        <w:rPr>
          <w:i/>
          <w:iCs/>
          <w:sz w:val="20"/>
          <w:szCs w:val="20"/>
          <w:lang w:val="en-MY" w:eastAsia="en-US"/>
        </w:rPr>
      </w:pPr>
      <w:r w:rsidRPr="00A65125">
        <w:rPr>
          <w:i/>
          <w:iCs/>
          <w:sz w:val="20"/>
          <w:szCs w:val="20"/>
          <w:lang w:val="en-MY" w:eastAsia="en-US"/>
        </w:rPr>
        <w:t xml:space="preserve">“… for instance, if the counter staff cancels a receipt in the TLD </w:t>
      </w:r>
      <w:r w:rsidR="00EF3B8A" w:rsidRPr="00A65125">
        <w:rPr>
          <w:i/>
          <w:iCs/>
          <w:sz w:val="20"/>
          <w:szCs w:val="20"/>
          <w:lang w:val="en-MY" w:eastAsia="en-US"/>
        </w:rPr>
        <w:t>s</w:t>
      </w:r>
      <w:r w:rsidRPr="00A65125">
        <w:rPr>
          <w:i/>
          <w:iCs/>
          <w:sz w:val="20"/>
          <w:szCs w:val="20"/>
          <w:lang w:val="en-MY" w:eastAsia="en-US"/>
        </w:rPr>
        <w:t>ystem but does not</w:t>
      </w:r>
      <w:r w:rsidR="00EF3B8A" w:rsidRPr="00A65125">
        <w:rPr>
          <w:i/>
          <w:iCs/>
          <w:sz w:val="20"/>
          <w:szCs w:val="20"/>
          <w:lang w:val="en-MY" w:eastAsia="en-US"/>
        </w:rPr>
        <w:t xml:space="preserve"> perform</w:t>
      </w:r>
      <w:r w:rsidRPr="00A65125">
        <w:rPr>
          <w:i/>
          <w:iCs/>
          <w:sz w:val="20"/>
          <w:szCs w:val="20"/>
          <w:lang w:val="en-MY" w:eastAsia="en-US"/>
        </w:rPr>
        <w:t xml:space="preserve"> void the transaction on the EDC machine, there will be an </w:t>
      </w:r>
      <w:r w:rsidR="00EF3B8A" w:rsidRPr="00A65125">
        <w:rPr>
          <w:i/>
          <w:iCs/>
          <w:sz w:val="20"/>
          <w:szCs w:val="20"/>
          <w:lang w:val="en-MY" w:eastAsia="en-US"/>
        </w:rPr>
        <w:t>excess</w:t>
      </w:r>
      <w:r w:rsidRPr="00A65125">
        <w:rPr>
          <w:i/>
          <w:iCs/>
          <w:sz w:val="20"/>
          <w:szCs w:val="20"/>
          <w:lang w:val="en-MY" w:eastAsia="en-US"/>
        </w:rPr>
        <w:t xml:space="preserve"> in the bank report </w:t>
      </w:r>
      <w:r w:rsidR="00EF3B8A" w:rsidRPr="00A65125">
        <w:rPr>
          <w:i/>
          <w:iCs/>
          <w:sz w:val="20"/>
          <w:szCs w:val="20"/>
          <w:lang w:val="en-MY" w:eastAsia="en-US"/>
        </w:rPr>
        <w:t xml:space="preserve">in </w:t>
      </w:r>
      <w:r w:rsidRPr="00A65125">
        <w:rPr>
          <w:i/>
          <w:iCs/>
          <w:sz w:val="20"/>
          <w:szCs w:val="20"/>
          <w:lang w:val="en-MY" w:eastAsia="en-US"/>
        </w:rPr>
        <w:t>the next day. Sometimes, the counter staff manually cancels but does not perform the void process on the EDC machine</w:t>
      </w:r>
      <w:r w:rsidR="00EF3B8A" w:rsidRPr="00A65125">
        <w:rPr>
          <w:i/>
          <w:iCs/>
          <w:sz w:val="20"/>
          <w:szCs w:val="20"/>
          <w:lang w:val="en-MY" w:eastAsia="en-US"/>
        </w:rPr>
        <w:t>..</w:t>
      </w:r>
      <w:r w:rsidRPr="00A65125">
        <w:rPr>
          <w:i/>
          <w:iCs/>
          <w:sz w:val="20"/>
          <w:szCs w:val="20"/>
          <w:lang w:val="en-MY" w:eastAsia="en-US"/>
        </w:rPr>
        <w:t>.” (P2- TLD-0:13:04)</w:t>
      </w:r>
    </w:p>
    <w:p w14:paraId="5DD22DF5" w14:textId="77777777" w:rsidR="00C37B57" w:rsidRPr="00A65125" w:rsidRDefault="00C37B57" w:rsidP="00A65125">
      <w:pPr>
        <w:pStyle w:val="NoSpacing"/>
        <w:rPr>
          <w:sz w:val="20"/>
          <w:szCs w:val="20"/>
          <w:lang w:eastAsia="en-US"/>
        </w:rPr>
      </w:pPr>
    </w:p>
    <w:p w14:paraId="7D92A465" w14:textId="4F87A058" w:rsidR="00E8410F" w:rsidRPr="00A65125" w:rsidRDefault="0041361D" w:rsidP="00A65125">
      <w:pPr>
        <w:pStyle w:val="BodyText1"/>
        <w:rPr>
          <w:rFonts w:cs="Times New Roman"/>
          <w:sz w:val="20"/>
          <w:szCs w:val="20"/>
        </w:rPr>
      </w:pPr>
      <w:r w:rsidRPr="00A65125">
        <w:rPr>
          <w:rFonts w:cs="Times New Roman"/>
          <w:sz w:val="20"/>
          <w:szCs w:val="20"/>
        </w:rPr>
        <w:t xml:space="preserve">Challenges arising from non-integrated operations in the </w:t>
      </w:r>
      <w:r w:rsidR="00470DA6" w:rsidRPr="00A65125">
        <w:rPr>
          <w:rFonts w:cs="Times New Roman"/>
          <w:sz w:val="20"/>
          <w:szCs w:val="20"/>
        </w:rPr>
        <w:t>IOC workflows</w:t>
      </w:r>
      <w:r w:rsidRPr="00A65125">
        <w:rPr>
          <w:rFonts w:cs="Times New Roman"/>
          <w:sz w:val="20"/>
          <w:szCs w:val="20"/>
        </w:rPr>
        <w:t xml:space="preserve"> are multifaceted. Siloed systems and complex workflows lead to inefficiencies, necessitating manual reconciliation that escalates the risk of errors and delays. This not only strains resources but also increases the potential for financial penalties. The workflow’s complexity further amplifies the likelihood of human error, demanding repeated verification and reducing overall efficiency.</w:t>
      </w:r>
    </w:p>
    <w:p w14:paraId="7BE499E4" w14:textId="77777777" w:rsidR="009E12C2" w:rsidRPr="00A65125" w:rsidRDefault="009E12C2" w:rsidP="00A65125">
      <w:pPr>
        <w:pStyle w:val="BodyText1"/>
        <w:rPr>
          <w:rFonts w:cs="Times New Roman"/>
          <w:sz w:val="20"/>
          <w:szCs w:val="20"/>
        </w:rPr>
      </w:pPr>
    </w:p>
    <w:p w14:paraId="71E62EC4" w14:textId="720F47AC" w:rsidR="00180E7D" w:rsidRPr="00A65125" w:rsidRDefault="00956CD1" w:rsidP="005764C7">
      <w:pPr>
        <w:pStyle w:val="Heading2"/>
        <w:rPr>
          <w:b/>
          <w:i/>
        </w:rPr>
      </w:pPr>
      <w:r w:rsidRPr="00A65125">
        <w:t xml:space="preserve">OPERATIONAL DEFICIENCY ON </w:t>
      </w:r>
      <w:r w:rsidR="00470DA6" w:rsidRPr="00A65125">
        <w:t>IOC WORKFLOWS</w:t>
      </w:r>
      <w:r w:rsidRPr="00A65125">
        <w:t xml:space="preserve"> IN E-PAYMENT PROCESS</w:t>
      </w:r>
    </w:p>
    <w:p w14:paraId="4194FB5D" w14:textId="77777777" w:rsidR="00C37B57" w:rsidRPr="00A65125" w:rsidRDefault="00C37B57" w:rsidP="00A65125">
      <w:pPr>
        <w:rPr>
          <w:sz w:val="20"/>
          <w:szCs w:val="20"/>
          <w:lang w:val="en-MY" w:eastAsia="en-US"/>
        </w:rPr>
      </w:pPr>
    </w:p>
    <w:p w14:paraId="3766C742" w14:textId="70857376" w:rsidR="007241B3" w:rsidRPr="00A65125" w:rsidRDefault="003600A6" w:rsidP="00A65125">
      <w:pPr>
        <w:pStyle w:val="BodyText1"/>
        <w:ind w:firstLine="0"/>
        <w:rPr>
          <w:rFonts w:cs="Times New Roman"/>
          <w:sz w:val="20"/>
          <w:szCs w:val="20"/>
        </w:rPr>
      </w:pPr>
      <w:r w:rsidRPr="00A65125">
        <w:rPr>
          <w:rFonts w:cs="Times New Roman"/>
          <w:sz w:val="20"/>
          <w:szCs w:val="20"/>
        </w:rPr>
        <w:t>The data integrity is compromised due to mismatches in transaction records between TLD system, the acquiring bank system and the accounting office system. The data mismatch occurs when the TLD and the acquiring bank operations have different cut-off times. Participant 3 mentioned:</w:t>
      </w:r>
    </w:p>
    <w:p w14:paraId="53FE0251" w14:textId="77777777" w:rsidR="003600A6" w:rsidRPr="00A65125" w:rsidRDefault="003600A6" w:rsidP="00A65125">
      <w:pPr>
        <w:pStyle w:val="BodyText1"/>
        <w:ind w:firstLine="0"/>
        <w:rPr>
          <w:rFonts w:cs="Times New Roman"/>
          <w:sz w:val="20"/>
          <w:szCs w:val="20"/>
        </w:rPr>
      </w:pPr>
    </w:p>
    <w:p w14:paraId="2344F053" w14:textId="2C2BC167" w:rsidR="00102883" w:rsidRPr="00A65125" w:rsidRDefault="00102883" w:rsidP="00A65125">
      <w:pPr>
        <w:ind w:left="426" w:right="521"/>
        <w:jc w:val="both"/>
        <w:rPr>
          <w:i/>
          <w:iCs/>
          <w:sz w:val="20"/>
          <w:szCs w:val="20"/>
          <w:lang w:val="en-MY" w:eastAsia="en-US"/>
        </w:rPr>
      </w:pPr>
      <w:r w:rsidRPr="00A65125">
        <w:rPr>
          <w:i/>
          <w:iCs/>
          <w:sz w:val="20"/>
          <w:szCs w:val="20"/>
          <w:lang w:val="en-MY" w:eastAsia="en-US"/>
        </w:rPr>
        <w:t xml:space="preserve">“…there are instances where transactions recorded are not the same between Bank Portal and TLD System. This </w:t>
      </w:r>
      <w:r w:rsidR="00DA5F6F" w:rsidRPr="00A65125">
        <w:rPr>
          <w:i/>
          <w:iCs/>
          <w:sz w:val="20"/>
          <w:szCs w:val="20"/>
          <w:lang w:val="en-MY" w:eastAsia="en-US"/>
        </w:rPr>
        <w:t>mismatch</w:t>
      </w:r>
      <w:r w:rsidRPr="00A65125">
        <w:rPr>
          <w:i/>
          <w:iCs/>
          <w:sz w:val="20"/>
          <w:szCs w:val="20"/>
          <w:lang w:val="en-MY" w:eastAsia="en-US"/>
        </w:rPr>
        <w:t xml:space="preserve"> occurs when collections occur from 10:30PM onwards. Those amounts will not be included on the same day; they will be </w:t>
      </w:r>
      <w:r w:rsidR="00DA5F6F" w:rsidRPr="00A65125">
        <w:rPr>
          <w:i/>
          <w:iCs/>
          <w:sz w:val="20"/>
          <w:szCs w:val="20"/>
          <w:lang w:val="en-MY" w:eastAsia="en-US"/>
        </w:rPr>
        <w:t>posted in</w:t>
      </w:r>
      <w:r w:rsidRPr="00A65125">
        <w:rPr>
          <w:i/>
          <w:iCs/>
          <w:sz w:val="20"/>
          <w:szCs w:val="20"/>
          <w:lang w:val="en-MY" w:eastAsia="en-US"/>
        </w:rPr>
        <w:t xml:space="preserve"> the next day. This is due to</w:t>
      </w:r>
      <w:r w:rsidR="00DA5F6F" w:rsidRPr="00A65125">
        <w:rPr>
          <w:i/>
          <w:iCs/>
          <w:sz w:val="20"/>
          <w:szCs w:val="20"/>
          <w:lang w:val="en-MY" w:eastAsia="en-US"/>
        </w:rPr>
        <w:t xml:space="preserve"> early</w:t>
      </w:r>
      <w:r w:rsidRPr="00A65125">
        <w:rPr>
          <w:i/>
          <w:iCs/>
          <w:sz w:val="20"/>
          <w:szCs w:val="20"/>
          <w:lang w:val="en-MY" w:eastAsia="en-US"/>
        </w:rPr>
        <w:t xml:space="preserve"> bank's cut-off</w:t>
      </w:r>
      <w:r w:rsidR="00DA5F6F" w:rsidRPr="00A65125">
        <w:rPr>
          <w:i/>
          <w:iCs/>
          <w:sz w:val="20"/>
          <w:szCs w:val="20"/>
          <w:lang w:val="en-MY" w:eastAsia="en-US"/>
        </w:rPr>
        <w:t xml:space="preserve"> time</w:t>
      </w:r>
      <w:r w:rsidRPr="00A65125">
        <w:rPr>
          <w:i/>
          <w:iCs/>
          <w:sz w:val="20"/>
          <w:szCs w:val="20"/>
          <w:lang w:val="en-MY" w:eastAsia="en-US"/>
        </w:rPr>
        <w:t>…” (P3- TLD-0:05:56)</w:t>
      </w:r>
    </w:p>
    <w:p w14:paraId="26C46F6E" w14:textId="77777777" w:rsidR="00102883" w:rsidRPr="00A65125" w:rsidRDefault="00102883" w:rsidP="00A65125">
      <w:pPr>
        <w:pStyle w:val="NoSpacing"/>
        <w:rPr>
          <w:sz w:val="20"/>
          <w:szCs w:val="20"/>
          <w:lang w:val="en-MY" w:eastAsia="en-US"/>
        </w:rPr>
      </w:pPr>
    </w:p>
    <w:p w14:paraId="599E20A6" w14:textId="704D72D2" w:rsidR="007241B3" w:rsidRPr="00A65125" w:rsidRDefault="003600A6" w:rsidP="00A65125">
      <w:pPr>
        <w:pStyle w:val="BodyText1"/>
        <w:rPr>
          <w:rFonts w:cs="Times New Roman"/>
          <w:sz w:val="20"/>
          <w:szCs w:val="20"/>
        </w:rPr>
      </w:pPr>
      <w:r w:rsidRPr="00A65125">
        <w:rPr>
          <w:rFonts w:cs="Times New Roman"/>
          <w:sz w:val="20"/>
          <w:szCs w:val="20"/>
        </w:rPr>
        <w:t xml:space="preserve">The bank’s cut-off time excludes these late transactions from being recorded on the same day, resulting in inconsistency in day-to-day reporting. This lack of data synchronisation impedes data accuracy on daily transaction records. It is creating continuous challenges for TLD’s accounting records. However, Participant 4 </w:t>
      </w:r>
      <w:r w:rsidRPr="00A65125">
        <w:rPr>
          <w:rFonts w:cs="Times New Roman"/>
          <w:sz w:val="20"/>
          <w:szCs w:val="20"/>
        </w:rPr>
        <w:lastRenderedPageBreak/>
        <w:t>mentioned that he is not facing a significant issue with data integrity, although it occasionally happens because the acquiring bank officer often quickly responds to resolve the issues. Participant 4 states:</w:t>
      </w:r>
    </w:p>
    <w:p w14:paraId="7AAB5D8E" w14:textId="77777777" w:rsidR="003600A6" w:rsidRPr="00A65125" w:rsidRDefault="003600A6" w:rsidP="00A65125">
      <w:pPr>
        <w:pStyle w:val="BodyText1"/>
        <w:rPr>
          <w:rFonts w:cs="Times New Roman"/>
          <w:sz w:val="20"/>
          <w:szCs w:val="20"/>
        </w:rPr>
      </w:pPr>
    </w:p>
    <w:p w14:paraId="3AA3E0F9" w14:textId="0BA6635C" w:rsidR="00102883" w:rsidRPr="00A65125" w:rsidRDefault="00102883" w:rsidP="00A65125">
      <w:pPr>
        <w:ind w:left="426" w:right="521"/>
        <w:jc w:val="both"/>
        <w:rPr>
          <w:i/>
          <w:iCs/>
          <w:sz w:val="20"/>
          <w:szCs w:val="20"/>
          <w:lang w:val="en-MY" w:eastAsia="en-US"/>
        </w:rPr>
      </w:pPr>
      <w:r w:rsidRPr="00A65125">
        <w:rPr>
          <w:i/>
          <w:iCs/>
          <w:sz w:val="20"/>
          <w:szCs w:val="20"/>
          <w:lang w:val="en-MY" w:eastAsia="en-US"/>
        </w:rPr>
        <w:t xml:space="preserve">"…So far, our problems are all okay (resolved). However, with the acquiring bank, if they can provide solutions faster, that would be better…. </w:t>
      </w:r>
      <w:r w:rsidR="00DA5F6F" w:rsidRPr="00A65125">
        <w:rPr>
          <w:i/>
          <w:iCs/>
          <w:sz w:val="20"/>
          <w:szCs w:val="20"/>
          <w:lang w:val="en-MY" w:eastAsia="en-US"/>
        </w:rPr>
        <w:t>a</w:t>
      </w:r>
      <w:r w:rsidRPr="00A65125">
        <w:rPr>
          <w:i/>
          <w:iCs/>
          <w:sz w:val="20"/>
          <w:szCs w:val="20"/>
          <w:lang w:val="en-MY" w:eastAsia="en-US"/>
        </w:rPr>
        <w:t xml:space="preserve">t the end of the month, we are pressured to expedite the accounting process even though </w:t>
      </w:r>
      <w:r w:rsidR="00DA5F6F" w:rsidRPr="00A65125">
        <w:rPr>
          <w:i/>
          <w:iCs/>
          <w:sz w:val="20"/>
          <w:szCs w:val="20"/>
          <w:lang w:val="en-MY" w:eastAsia="en-US"/>
        </w:rPr>
        <w:t xml:space="preserve">the </w:t>
      </w:r>
      <w:r w:rsidRPr="00A65125">
        <w:rPr>
          <w:i/>
          <w:iCs/>
          <w:sz w:val="20"/>
          <w:szCs w:val="20"/>
          <w:lang w:val="en-MY" w:eastAsia="en-US"/>
        </w:rPr>
        <w:t xml:space="preserve">issues are </w:t>
      </w:r>
      <w:r w:rsidR="001264BF" w:rsidRPr="00A65125">
        <w:rPr>
          <w:i/>
          <w:iCs/>
          <w:sz w:val="20"/>
          <w:szCs w:val="20"/>
          <w:lang w:val="en-MY" w:eastAsia="en-US"/>
        </w:rPr>
        <w:t>unsettled</w:t>
      </w:r>
      <w:r w:rsidRPr="00A65125">
        <w:rPr>
          <w:i/>
          <w:iCs/>
          <w:sz w:val="20"/>
          <w:szCs w:val="20"/>
          <w:lang w:val="en-MY" w:eastAsia="en-US"/>
        </w:rPr>
        <w:t xml:space="preserve">, so we have to find our own solutions to </w:t>
      </w:r>
      <w:r w:rsidR="00466AC2" w:rsidRPr="00A65125">
        <w:rPr>
          <w:i/>
          <w:iCs/>
          <w:sz w:val="20"/>
          <w:szCs w:val="20"/>
          <w:lang w:val="en-MY" w:eastAsia="en-US"/>
        </w:rPr>
        <w:t>solve</w:t>
      </w:r>
      <w:r w:rsidRPr="00A65125">
        <w:rPr>
          <w:i/>
          <w:iCs/>
          <w:sz w:val="20"/>
          <w:szCs w:val="20"/>
          <w:lang w:val="en-MY" w:eastAsia="en-US"/>
        </w:rPr>
        <w:t xml:space="preserve"> these issues…"(P4-TLD-0:26:12)</w:t>
      </w:r>
    </w:p>
    <w:p w14:paraId="01420B4A" w14:textId="77777777" w:rsidR="00687B3A" w:rsidRPr="00A65125" w:rsidRDefault="00687B3A" w:rsidP="00A65125">
      <w:pPr>
        <w:ind w:left="709" w:right="521"/>
        <w:jc w:val="both"/>
        <w:rPr>
          <w:i/>
          <w:iCs/>
          <w:sz w:val="20"/>
          <w:szCs w:val="20"/>
          <w:lang w:val="en-MY" w:eastAsia="en-US"/>
        </w:rPr>
      </w:pPr>
    </w:p>
    <w:p w14:paraId="1CC4C813" w14:textId="08D70C82" w:rsidR="00534BA4" w:rsidRPr="00A65125" w:rsidRDefault="003600A6" w:rsidP="00A65125">
      <w:pPr>
        <w:pStyle w:val="BodyText1"/>
        <w:rPr>
          <w:rStyle w:val="bodytextChar"/>
          <w:rFonts w:cs="Times New Roman"/>
          <w:bCs/>
          <w:sz w:val="20"/>
          <w:szCs w:val="20"/>
        </w:rPr>
      </w:pPr>
      <w:r w:rsidRPr="00A65125">
        <w:rPr>
          <w:rFonts w:cs="Times New Roman"/>
          <w:sz w:val="20"/>
          <w:szCs w:val="20"/>
        </w:rPr>
        <w:t xml:space="preserve">Delays in these updates are attributed to differences in timing protocols across regions and states, complicating data synchronisation. These data integrity issues and the manual interventions required to verify the transaction accuracy are not isolated. Reliance on manual processes for managing data further disrupts operational efficiency, illustrating a weakness in </w:t>
      </w:r>
      <w:r w:rsidR="00470DA6" w:rsidRPr="00A65125">
        <w:rPr>
          <w:rFonts w:cs="Times New Roman"/>
          <w:sz w:val="20"/>
          <w:szCs w:val="20"/>
        </w:rPr>
        <w:t>IOC workflows</w:t>
      </w:r>
      <w:r w:rsidRPr="00A65125">
        <w:rPr>
          <w:rFonts w:cs="Times New Roman"/>
          <w:sz w:val="20"/>
          <w:szCs w:val="20"/>
        </w:rPr>
        <w:t>. The manual process will disrupt and prolong the reconciliation process for TLD</w:t>
      </w:r>
      <w:r w:rsidR="00534BA4" w:rsidRPr="00A65125">
        <w:rPr>
          <w:rStyle w:val="bodytextChar"/>
          <w:rFonts w:cs="Times New Roman"/>
          <w:sz w:val="20"/>
          <w:szCs w:val="20"/>
        </w:rPr>
        <w:t xml:space="preserve">. This statement supported by </w:t>
      </w:r>
      <w:r w:rsidR="0094521A" w:rsidRPr="00A65125">
        <w:rPr>
          <w:rFonts w:cs="Times New Roman"/>
          <w:sz w:val="20"/>
          <w:szCs w:val="20"/>
        </w:rPr>
        <w:t>Participant</w:t>
      </w:r>
      <w:r w:rsidR="0094521A" w:rsidRPr="00A65125">
        <w:rPr>
          <w:rStyle w:val="bodytextChar"/>
          <w:rFonts w:cs="Times New Roman"/>
          <w:sz w:val="20"/>
          <w:szCs w:val="20"/>
        </w:rPr>
        <w:t xml:space="preserve"> </w:t>
      </w:r>
      <w:r w:rsidR="00534BA4" w:rsidRPr="00A65125">
        <w:rPr>
          <w:rStyle w:val="bodytextChar"/>
          <w:rFonts w:cs="Times New Roman"/>
          <w:sz w:val="20"/>
          <w:szCs w:val="20"/>
        </w:rPr>
        <w:t>3 quotation:</w:t>
      </w:r>
    </w:p>
    <w:p w14:paraId="7EB40E43" w14:textId="77777777" w:rsidR="007241B3" w:rsidRPr="00A65125" w:rsidRDefault="007241B3" w:rsidP="00A65125">
      <w:pPr>
        <w:pStyle w:val="BodyText1"/>
        <w:rPr>
          <w:rFonts w:cs="Times New Roman"/>
          <w:sz w:val="20"/>
          <w:szCs w:val="20"/>
        </w:rPr>
      </w:pPr>
    </w:p>
    <w:p w14:paraId="443C392C" w14:textId="2282926B" w:rsidR="00534BA4" w:rsidRPr="00A65125" w:rsidRDefault="00534BA4" w:rsidP="00A65125">
      <w:pPr>
        <w:pStyle w:val="NoSpacing"/>
        <w:ind w:left="426" w:right="521"/>
        <w:jc w:val="both"/>
        <w:rPr>
          <w:i/>
          <w:iCs/>
          <w:sz w:val="20"/>
          <w:szCs w:val="20"/>
        </w:rPr>
      </w:pPr>
      <w:r w:rsidRPr="00A65125">
        <w:rPr>
          <w:i/>
          <w:iCs/>
          <w:sz w:val="20"/>
          <w:szCs w:val="20"/>
        </w:rPr>
        <w:t>“…The challenge is when there are system errors, even minor ones, they can cause calculation errors. We use Ms Excel to compare transactions in TLD System and the Bank Portal. The transactions involved are not trivial; they can amount to millions of ringgits. So, if there is even a slight change in the TLD system, the impact can be severe, involving 2-3 days. That's why we always pray that no errors occur in the TLD system…” (P3-</w:t>
      </w:r>
      <w:r w:rsidRPr="00A65125">
        <w:rPr>
          <w:sz w:val="20"/>
          <w:szCs w:val="20"/>
        </w:rPr>
        <w:t xml:space="preserve"> </w:t>
      </w:r>
      <w:r w:rsidRPr="00A65125">
        <w:rPr>
          <w:i/>
          <w:iCs/>
          <w:sz w:val="20"/>
          <w:szCs w:val="20"/>
        </w:rPr>
        <w:t>TLD-0:08:25)</w:t>
      </w:r>
    </w:p>
    <w:p w14:paraId="6FB8FC01" w14:textId="77777777" w:rsidR="00C26A43" w:rsidRPr="00A65125" w:rsidRDefault="00C26A43" w:rsidP="00A65125">
      <w:pPr>
        <w:pStyle w:val="NoSpacing"/>
        <w:rPr>
          <w:sz w:val="20"/>
          <w:szCs w:val="20"/>
          <w:lang w:val="en-MY" w:eastAsia="en-US"/>
        </w:rPr>
      </w:pPr>
    </w:p>
    <w:p w14:paraId="70A14C11" w14:textId="33D8C0F3" w:rsidR="007241B3" w:rsidRPr="00A65125" w:rsidRDefault="003600A6" w:rsidP="00A65125">
      <w:pPr>
        <w:pStyle w:val="BodyText1"/>
        <w:rPr>
          <w:rFonts w:cs="Times New Roman"/>
          <w:sz w:val="20"/>
          <w:szCs w:val="20"/>
        </w:rPr>
      </w:pPr>
      <w:r w:rsidRPr="00A65125">
        <w:rPr>
          <w:rFonts w:cs="Times New Roman"/>
          <w:sz w:val="20"/>
          <w:szCs w:val="20"/>
        </w:rPr>
        <w:t xml:space="preserve">The operational deficiencies in TLD’s e-payment </w:t>
      </w:r>
      <w:r w:rsidR="00470DA6" w:rsidRPr="00A65125">
        <w:rPr>
          <w:rFonts w:cs="Times New Roman"/>
          <w:sz w:val="20"/>
          <w:szCs w:val="20"/>
        </w:rPr>
        <w:t>IOC workflows</w:t>
      </w:r>
      <w:r w:rsidRPr="00A65125">
        <w:rPr>
          <w:rFonts w:cs="Times New Roman"/>
          <w:sz w:val="20"/>
          <w:szCs w:val="20"/>
        </w:rPr>
        <w:t xml:space="preserve"> reflect operational challenges to data integrity and required manual processes and human effort. The persistent discrepancies in data integrity, combined with an over-reliance on human intervention, contribute to delays and inefficiency in </w:t>
      </w:r>
      <w:r w:rsidR="00470DA6" w:rsidRPr="00A65125">
        <w:rPr>
          <w:rFonts w:cs="Times New Roman"/>
          <w:sz w:val="20"/>
          <w:szCs w:val="20"/>
        </w:rPr>
        <w:t>IOC workflows</w:t>
      </w:r>
      <w:r w:rsidRPr="00A65125">
        <w:rPr>
          <w:rFonts w:cs="Times New Roman"/>
          <w:sz w:val="20"/>
          <w:szCs w:val="20"/>
        </w:rPr>
        <w:t>.</w:t>
      </w:r>
    </w:p>
    <w:p w14:paraId="3C7E0C39" w14:textId="77777777" w:rsidR="003600A6" w:rsidRPr="00A65125" w:rsidRDefault="003600A6" w:rsidP="00A65125">
      <w:pPr>
        <w:pStyle w:val="BodyText1"/>
        <w:rPr>
          <w:rFonts w:cs="Times New Roman"/>
          <w:sz w:val="20"/>
          <w:szCs w:val="20"/>
        </w:rPr>
      </w:pPr>
    </w:p>
    <w:p w14:paraId="1D6CA04A" w14:textId="484575D4" w:rsidR="008D4BA0" w:rsidRPr="00A65125" w:rsidRDefault="00956CD1" w:rsidP="005764C7">
      <w:pPr>
        <w:pStyle w:val="Heading2"/>
        <w:rPr>
          <w:b/>
          <w:i/>
        </w:rPr>
      </w:pPr>
      <w:r w:rsidRPr="00A65125">
        <w:t xml:space="preserve">RISK EXPOSURE OF SLA DISCREPANCIES IN </w:t>
      </w:r>
      <w:r w:rsidR="00470DA6" w:rsidRPr="00A65125">
        <w:t>IOC WORKFLOWS</w:t>
      </w:r>
      <w:r w:rsidRPr="00A65125">
        <w:t xml:space="preserve"> </w:t>
      </w:r>
      <w:r w:rsidRPr="00A65125">
        <w:rPr>
          <w:bCs/>
          <w:iCs/>
        </w:rPr>
        <w:t>IN</w:t>
      </w:r>
      <w:r w:rsidRPr="00A65125">
        <w:t xml:space="preserve"> E-PAYMENT PROCESS</w:t>
      </w:r>
    </w:p>
    <w:p w14:paraId="3A3A72DF" w14:textId="77777777" w:rsidR="005D73E4" w:rsidRPr="00A65125" w:rsidRDefault="005D73E4" w:rsidP="00A65125">
      <w:pPr>
        <w:rPr>
          <w:b/>
          <w:bCs/>
          <w:sz w:val="20"/>
          <w:szCs w:val="20"/>
        </w:rPr>
      </w:pPr>
    </w:p>
    <w:p w14:paraId="37733E02" w14:textId="175A7FFA" w:rsidR="00E8410F" w:rsidRPr="00A65125" w:rsidRDefault="003600A6" w:rsidP="00A65125">
      <w:pPr>
        <w:pStyle w:val="BodyText1"/>
        <w:ind w:firstLine="0"/>
        <w:rPr>
          <w:rFonts w:cs="Times New Roman"/>
          <w:sz w:val="20"/>
          <w:szCs w:val="20"/>
        </w:rPr>
      </w:pPr>
      <w:r w:rsidRPr="00A65125">
        <w:rPr>
          <w:rFonts w:cs="Times New Roman"/>
          <w:sz w:val="20"/>
          <w:szCs w:val="20"/>
        </w:rPr>
        <w:t xml:space="preserve">The findings reveal significant risk exposure from non-compliance with </w:t>
      </w:r>
      <w:r w:rsidR="008752C6" w:rsidRPr="00A65125">
        <w:rPr>
          <w:rFonts w:cs="Times New Roman"/>
          <w:sz w:val="20"/>
          <w:szCs w:val="20"/>
        </w:rPr>
        <w:t>SLA</w:t>
      </w:r>
      <w:r w:rsidRPr="00A65125">
        <w:rPr>
          <w:rFonts w:cs="Times New Roman"/>
          <w:sz w:val="20"/>
          <w:szCs w:val="20"/>
        </w:rPr>
        <w:t xml:space="preserve"> within the </w:t>
      </w:r>
      <w:r w:rsidR="00470DA6" w:rsidRPr="00A65125">
        <w:rPr>
          <w:rFonts w:cs="Times New Roman"/>
          <w:sz w:val="20"/>
          <w:szCs w:val="20"/>
        </w:rPr>
        <w:t>IOC workflows</w:t>
      </w:r>
      <w:r w:rsidRPr="00A65125">
        <w:rPr>
          <w:rFonts w:cs="Times New Roman"/>
          <w:sz w:val="20"/>
          <w:szCs w:val="20"/>
        </w:rPr>
        <w:t>. Although operational guidelines mandate fund transfers by the acquiring bank within one working day (T+1), enforcement remains absent, with penalties applicable for delays. Participant 1 and Participant 2 noted that while TLD headquarters had communicated the penalty provisions to state offices, they were never enforced due to a perceived lack of necessity</w:t>
      </w:r>
    </w:p>
    <w:p w14:paraId="39FB9C3F" w14:textId="77777777" w:rsidR="003600A6" w:rsidRPr="00A65125" w:rsidRDefault="003600A6" w:rsidP="00A65125">
      <w:pPr>
        <w:pStyle w:val="BodyText1"/>
        <w:ind w:firstLine="0"/>
        <w:rPr>
          <w:rFonts w:cs="Times New Roman"/>
          <w:sz w:val="20"/>
          <w:szCs w:val="20"/>
        </w:rPr>
      </w:pPr>
    </w:p>
    <w:p w14:paraId="06A45BFA" w14:textId="71655C6C" w:rsidR="00B310FB" w:rsidRPr="00A65125" w:rsidRDefault="00B310FB" w:rsidP="00A65125">
      <w:pPr>
        <w:ind w:left="567" w:right="521"/>
        <w:jc w:val="both"/>
        <w:rPr>
          <w:i/>
          <w:iCs/>
          <w:sz w:val="20"/>
          <w:szCs w:val="20"/>
        </w:rPr>
      </w:pPr>
      <w:r w:rsidRPr="00A65125">
        <w:rPr>
          <w:i/>
          <w:iCs/>
          <w:sz w:val="20"/>
          <w:szCs w:val="20"/>
        </w:rPr>
        <w:t>“…. Yes, we are aware of that; during the last meeting, TLD HQ informed all state offices about these penalty charges. We didn't see it as an issue…” (P2- TLD-0:30:44)</w:t>
      </w:r>
    </w:p>
    <w:p w14:paraId="5F3E4782" w14:textId="77777777" w:rsidR="00B310FB" w:rsidRPr="00A65125" w:rsidRDefault="00B310FB" w:rsidP="00A65125">
      <w:pPr>
        <w:ind w:left="709" w:right="521"/>
        <w:jc w:val="both"/>
        <w:rPr>
          <w:i/>
          <w:iCs/>
          <w:sz w:val="20"/>
          <w:szCs w:val="20"/>
        </w:rPr>
      </w:pPr>
    </w:p>
    <w:p w14:paraId="725C8880" w14:textId="6619BDF2" w:rsidR="00B310FB" w:rsidRPr="00A65125" w:rsidRDefault="00B310FB" w:rsidP="00A65125">
      <w:pPr>
        <w:ind w:left="567" w:right="521"/>
        <w:jc w:val="both"/>
        <w:rPr>
          <w:i/>
          <w:iCs/>
          <w:sz w:val="20"/>
          <w:szCs w:val="20"/>
        </w:rPr>
      </w:pPr>
      <w:r w:rsidRPr="00A65125">
        <w:rPr>
          <w:i/>
          <w:iCs/>
          <w:sz w:val="20"/>
          <w:szCs w:val="20"/>
        </w:rPr>
        <w:t>“…we never execute the penalty because maybe they didn't see that the delays were happening…” (P1- TLD1-0:31:16)</w:t>
      </w:r>
    </w:p>
    <w:p w14:paraId="62ED9700" w14:textId="77777777" w:rsidR="00B310FB" w:rsidRPr="00A65125" w:rsidRDefault="00B310FB" w:rsidP="00A65125">
      <w:pPr>
        <w:pStyle w:val="NoSpacing"/>
        <w:rPr>
          <w:sz w:val="20"/>
          <w:szCs w:val="20"/>
        </w:rPr>
      </w:pPr>
    </w:p>
    <w:p w14:paraId="6DDFE245" w14:textId="0F4BD094" w:rsidR="003600A6" w:rsidRPr="00A65125" w:rsidRDefault="003600A6" w:rsidP="00A65125">
      <w:pPr>
        <w:pStyle w:val="BodyText1"/>
        <w:rPr>
          <w:rFonts w:cs="Times New Roman"/>
          <w:sz w:val="20"/>
          <w:szCs w:val="20"/>
        </w:rPr>
      </w:pPr>
      <w:r w:rsidRPr="00A65125">
        <w:rPr>
          <w:rFonts w:cs="Times New Roman"/>
          <w:sz w:val="20"/>
          <w:szCs w:val="20"/>
        </w:rPr>
        <w:t>As acknowledged by TLD headquarters, one underlying reason for the lack of enforcement is the language barrie</w:t>
      </w:r>
      <w:r w:rsidR="009B63D6" w:rsidRPr="00A65125">
        <w:rPr>
          <w:rFonts w:cs="Times New Roman"/>
          <w:sz w:val="20"/>
          <w:szCs w:val="20"/>
        </w:rPr>
        <w:t xml:space="preserve">r where </w:t>
      </w:r>
      <w:r w:rsidRPr="00A65125">
        <w:rPr>
          <w:rFonts w:cs="Times New Roman"/>
          <w:sz w:val="20"/>
          <w:szCs w:val="20"/>
        </w:rPr>
        <w:t>the contract is drafted in English, making it difficult for some operational staff to fully comprehend and enforce. Although the agreement was shared with regional and branch offices, the responsibility to interpret and uphold its terms has not been fully realised. Participant 3 noted that many state and branch officers struggle to understand the contractual provisions.</w:t>
      </w:r>
    </w:p>
    <w:p w14:paraId="23F1AD66" w14:textId="77777777" w:rsidR="003600A6" w:rsidRPr="00A65125" w:rsidRDefault="003600A6" w:rsidP="00A65125">
      <w:pPr>
        <w:pStyle w:val="BodyText1"/>
        <w:rPr>
          <w:rFonts w:cs="Times New Roman"/>
          <w:sz w:val="20"/>
          <w:szCs w:val="20"/>
        </w:rPr>
      </w:pPr>
    </w:p>
    <w:p w14:paraId="2126F3DE" w14:textId="3616A950" w:rsidR="00B310FB" w:rsidRPr="00A65125" w:rsidRDefault="00B310FB" w:rsidP="00A65125">
      <w:pPr>
        <w:ind w:left="426" w:right="521"/>
        <w:jc w:val="both"/>
        <w:rPr>
          <w:i/>
          <w:iCs/>
          <w:sz w:val="20"/>
          <w:szCs w:val="20"/>
        </w:rPr>
      </w:pPr>
      <w:r w:rsidRPr="00A65125">
        <w:rPr>
          <w:i/>
          <w:iCs/>
          <w:sz w:val="20"/>
          <w:szCs w:val="20"/>
        </w:rPr>
        <w:t>“</w:t>
      </w:r>
      <w:r w:rsidR="00174BF2" w:rsidRPr="00A65125">
        <w:rPr>
          <w:i/>
          <w:iCs/>
          <w:sz w:val="20"/>
          <w:szCs w:val="20"/>
        </w:rPr>
        <w:t>…</w:t>
      </w:r>
      <w:r w:rsidRPr="00A65125">
        <w:rPr>
          <w:i/>
          <w:iCs/>
          <w:sz w:val="20"/>
          <w:szCs w:val="20"/>
        </w:rPr>
        <w:t xml:space="preserve">I understand why they haven't enforced those penalties because they have no guidance to implement it; they just keep the agreement documents. I don't think they've </w:t>
      </w:r>
      <w:r w:rsidR="00174BF2" w:rsidRPr="00A65125">
        <w:rPr>
          <w:i/>
          <w:iCs/>
          <w:sz w:val="20"/>
          <w:szCs w:val="20"/>
        </w:rPr>
        <w:t>read</w:t>
      </w:r>
      <w:r w:rsidRPr="00A65125">
        <w:rPr>
          <w:i/>
          <w:iCs/>
          <w:sz w:val="20"/>
          <w:szCs w:val="20"/>
        </w:rPr>
        <w:t xml:space="preserve"> the agreement; in addition, the agreement was written in English. Furthermore, there is no template for penalty charge reports that they can use. Also, even at TLD HQ, this has never been implemented</w:t>
      </w:r>
      <w:r w:rsidR="00E8410F" w:rsidRPr="00A65125">
        <w:rPr>
          <w:i/>
          <w:iCs/>
          <w:sz w:val="20"/>
          <w:szCs w:val="20"/>
        </w:rPr>
        <w:t>…</w:t>
      </w:r>
      <w:r w:rsidRPr="00A65125">
        <w:rPr>
          <w:i/>
          <w:iCs/>
          <w:sz w:val="20"/>
          <w:szCs w:val="20"/>
        </w:rPr>
        <w:t>If there is a delay in bank transfers, they (State TLD &amp; Branches) will email the bank or seek assistance from TLD HQ</w:t>
      </w:r>
      <w:r w:rsidR="00174BF2" w:rsidRPr="00A65125">
        <w:rPr>
          <w:i/>
          <w:iCs/>
          <w:sz w:val="20"/>
          <w:szCs w:val="20"/>
        </w:rPr>
        <w:t>..</w:t>
      </w:r>
      <w:r w:rsidRPr="00A65125">
        <w:rPr>
          <w:i/>
          <w:iCs/>
          <w:sz w:val="20"/>
          <w:szCs w:val="20"/>
        </w:rPr>
        <w:t>.” (P3- TLD-0:13:40)</w:t>
      </w:r>
    </w:p>
    <w:p w14:paraId="4FB64359" w14:textId="77777777" w:rsidR="00B310FB" w:rsidRPr="00A65125" w:rsidRDefault="00B310FB" w:rsidP="00A65125">
      <w:pPr>
        <w:rPr>
          <w:b/>
          <w:bCs/>
          <w:sz w:val="20"/>
          <w:szCs w:val="20"/>
        </w:rPr>
      </w:pPr>
    </w:p>
    <w:p w14:paraId="01087279" w14:textId="4B05DB1B" w:rsidR="007241B3" w:rsidRPr="00A65125" w:rsidRDefault="0034424F" w:rsidP="00A65125">
      <w:pPr>
        <w:pStyle w:val="BodyText1"/>
        <w:rPr>
          <w:rFonts w:cs="Times New Roman"/>
          <w:sz w:val="20"/>
          <w:szCs w:val="20"/>
        </w:rPr>
      </w:pPr>
      <w:r w:rsidRPr="00A65125">
        <w:rPr>
          <w:rFonts w:cs="Times New Roman"/>
          <w:sz w:val="20"/>
          <w:szCs w:val="20"/>
        </w:rPr>
        <w:t>Furthermore, minimal oversight of SLA compliance is compounded by a broader reliance on discretionary negotiation rather than strict enforcement; Participant 3 highlighted that TLD and the bank favour negotiation over enforcement, as exemplified by the waiving of EDC terminal rental fees, which demonstrates the bank’s preferential treatment of TLD due to their significant transaction volume.</w:t>
      </w:r>
    </w:p>
    <w:p w14:paraId="0FA62BF7" w14:textId="77777777" w:rsidR="0034424F" w:rsidRPr="00A65125" w:rsidRDefault="0034424F" w:rsidP="00A65125">
      <w:pPr>
        <w:pStyle w:val="BodyText1"/>
        <w:rPr>
          <w:rFonts w:cs="Times New Roman"/>
          <w:sz w:val="20"/>
          <w:szCs w:val="20"/>
        </w:rPr>
      </w:pPr>
    </w:p>
    <w:p w14:paraId="4A23E244" w14:textId="58996B41" w:rsidR="00B310FB" w:rsidRPr="00A65125" w:rsidRDefault="00B310FB" w:rsidP="00A65125">
      <w:pPr>
        <w:ind w:left="426" w:right="521"/>
        <w:jc w:val="both"/>
        <w:rPr>
          <w:i/>
          <w:iCs/>
          <w:sz w:val="20"/>
          <w:szCs w:val="20"/>
        </w:rPr>
      </w:pPr>
      <w:r w:rsidRPr="00A65125">
        <w:rPr>
          <w:i/>
          <w:iCs/>
          <w:sz w:val="20"/>
          <w:szCs w:val="20"/>
        </w:rPr>
        <w:t xml:space="preserve">“…We also raised this issue in a meeting with </w:t>
      </w:r>
      <w:r w:rsidR="00174BF2" w:rsidRPr="00A65125">
        <w:rPr>
          <w:i/>
          <w:iCs/>
          <w:sz w:val="20"/>
          <w:szCs w:val="20"/>
        </w:rPr>
        <w:t>bank</w:t>
      </w:r>
      <w:r w:rsidRPr="00A65125">
        <w:rPr>
          <w:i/>
          <w:iCs/>
          <w:sz w:val="20"/>
          <w:szCs w:val="20"/>
        </w:rPr>
        <w:t xml:space="preserve">. However, </w:t>
      </w:r>
      <w:r w:rsidR="00174BF2" w:rsidRPr="00A65125">
        <w:rPr>
          <w:i/>
          <w:iCs/>
          <w:sz w:val="20"/>
          <w:szCs w:val="20"/>
        </w:rPr>
        <w:t>the bank</w:t>
      </w:r>
      <w:r w:rsidRPr="00A65125">
        <w:rPr>
          <w:i/>
          <w:iCs/>
          <w:sz w:val="20"/>
          <w:szCs w:val="20"/>
        </w:rPr>
        <w:t xml:space="preserve"> prefers the concept of negotiation in resolving these issues. For example, they have granted exceptions for EDC terminal rental. TLD is among the departments that conduct the most transactions with </w:t>
      </w:r>
      <w:r w:rsidR="00174BF2" w:rsidRPr="00A65125">
        <w:rPr>
          <w:i/>
          <w:iCs/>
          <w:sz w:val="20"/>
          <w:szCs w:val="20"/>
        </w:rPr>
        <w:t>bank</w:t>
      </w:r>
      <w:r w:rsidRPr="00A65125">
        <w:rPr>
          <w:i/>
          <w:iCs/>
          <w:sz w:val="20"/>
          <w:szCs w:val="20"/>
        </w:rPr>
        <w:t xml:space="preserve">. </w:t>
      </w:r>
      <w:r w:rsidR="00174BF2" w:rsidRPr="00A65125">
        <w:rPr>
          <w:i/>
          <w:iCs/>
          <w:sz w:val="20"/>
          <w:szCs w:val="20"/>
        </w:rPr>
        <w:t xml:space="preserve">Bank </w:t>
      </w:r>
      <w:r w:rsidRPr="00A65125">
        <w:rPr>
          <w:i/>
          <w:iCs/>
          <w:sz w:val="20"/>
          <w:szCs w:val="20"/>
        </w:rPr>
        <w:t>has given special treatment to TLD</w:t>
      </w:r>
      <w:r w:rsidR="00F93970" w:rsidRPr="00A65125">
        <w:rPr>
          <w:i/>
          <w:iCs/>
          <w:sz w:val="20"/>
          <w:szCs w:val="20"/>
        </w:rPr>
        <w:t>..</w:t>
      </w:r>
      <w:r w:rsidRPr="00A65125">
        <w:rPr>
          <w:i/>
          <w:iCs/>
          <w:sz w:val="20"/>
          <w:szCs w:val="20"/>
        </w:rPr>
        <w:t>.” (P3- TLD-0:16:48)</w:t>
      </w:r>
    </w:p>
    <w:p w14:paraId="5DAC273D" w14:textId="77777777" w:rsidR="00B310FB" w:rsidRPr="00A65125" w:rsidRDefault="00B310FB" w:rsidP="00A65125">
      <w:pPr>
        <w:rPr>
          <w:b/>
          <w:bCs/>
          <w:sz w:val="20"/>
          <w:szCs w:val="20"/>
        </w:rPr>
      </w:pPr>
    </w:p>
    <w:p w14:paraId="5C2899D4" w14:textId="1818EF3E" w:rsidR="007241B3" w:rsidRPr="00A65125" w:rsidRDefault="0034424F" w:rsidP="00A65125">
      <w:pPr>
        <w:pStyle w:val="BodyText1"/>
        <w:rPr>
          <w:rFonts w:cs="Times New Roman"/>
          <w:sz w:val="20"/>
          <w:szCs w:val="20"/>
        </w:rPr>
      </w:pPr>
      <w:r w:rsidRPr="00A65125">
        <w:rPr>
          <w:rFonts w:cs="Times New Roman"/>
          <w:sz w:val="20"/>
          <w:szCs w:val="20"/>
        </w:rPr>
        <w:t>Monitoring and enforcement limitations also extend to TLD headquarters, where insufficient human resources hinder the department’s capacity for continuous monitoring. TLD headquarters only provides the standard guideline to the state and branch as a reference. Participant 3 explains that TLD headquarters only provides feedback upon receiving complaints from state offices or the accounting office.</w:t>
      </w:r>
    </w:p>
    <w:p w14:paraId="5E0C18E8" w14:textId="77777777" w:rsidR="0034424F" w:rsidRPr="00A65125" w:rsidRDefault="0034424F" w:rsidP="00A65125">
      <w:pPr>
        <w:pStyle w:val="BodyText1"/>
        <w:ind w:firstLine="0"/>
        <w:rPr>
          <w:rFonts w:cs="Times New Roman"/>
          <w:sz w:val="20"/>
          <w:szCs w:val="20"/>
        </w:rPr>
      </w:pPr>
    </w:p>
    <w:p w14:paraId="4062D19D" w14:textId="12EEA4CB" w:rsidR="00B310FB" w:rsidRPr="00A65125" w:rsidRDefault="00B310FB" w:rsidP="00A65125">
      <w:pPr>
        <w:ind w:left="426" w:right="521"/>
        <w:jc w:val="both"/>
        <w:rPr>
          <w:i/>
          <w:iCs/>
          <w:sz w:val="20"/>
          <w:szCs w:val="20"/>
        </w:rPr>
      </w:pPr>
      <w:r w:rsidRPr="00A65125">
        <w:rPr>
          <w:i/>
          <w:iCs/>
          <w:sz w:val="20"/>
          <w:szCs w:val="20"/>
        </w:rPr>
        <w:t>“…</w:t>
      </w:r>
      <w:r w:rsidR="00437368" w:rsidRPr="00A65125">
        <w:rPr>
          <w:i/>
          <w:iCs/>
          <w:sz w:val="20"/>
          <w:szCs w:val="20"/>
        </w:rPr>
        <w:t>f</w:t>
      </w:r>
      <w:r w:rsidRPr="00A65125">
        <w:rPr>
          <w:i/>
          <w:iCs/>
          <w:sz w:val="20"/>
          <w:szCs w:val="20"/>
        </w:rPr>
        <w:t>rom the perspective of</w:t>
      </w:r>
      <w:r w:rsidR="00437368" w:rsidRPr="00A65125">
        <w:rPr>
          <w:i/>
          <w:iCs/>
          <w:sz w:val="20"/>
          <w:szCs w:val="20"/>
        </w:rPr>
        <w:t xml:space="preserve"> </w:t>
      </w:r>
      <w:r w:rsidRPr="00A65125">
        <w:rPr>
          <w:i/>
          <w:iCs/>
          <w:sz w:val="20"/>
          <w:szCs w:val="20"/>
        </w:rPr>
        <w:t xml:space="preserve">TLD HQ itself, with the resources we have, we are unable to monitor everything. At the TLD State and Branch levels, they rely on their respective </w:t>
      </w:r>
      <w:r w:rsidR="00437368" w:rsidRPr="00A65125">
        <w:rPr>
          <w:i/>
          <w:iCs/>
          <w:sz w:val="20"/>
          <w:szCs w:val="20"/>
        </w:rPr>
        <w:t>a</w:t>
      </w:r>
      <w:r w:rsidRPr="00A65125">
        <w:rPr>
          <w:i/>
          <w:iCs/>
          <w:sz w:val="20"/>
          <w:szCs w:val="20"/>
        </w:rPr>
        <w:t xml:space="preserve">ccounting </w:t>
      </w:r>
      <w:r w:rsidR="00F93970" w:rsidRPr="00A65125">
        <w:rPr>
          <w:i/>
          <w:iCs/>
          <w:sz w:val="20"/>
          <w:szCs w:val="20"/>
        </w:rPr>
        <w:t>o</w:t>
      </w:r>
      <w:r w:rsidRPr="00A65125">
        <w:rPr>
          <w:i/>
          <w:iCs/>
          <w:sz w:val="20"/>
          <w:szCs w:val="20"/>
        </w:rPr>
        <w:t>ffice. We can't arbitrarily interfere with their operations. In terms of workflow, TLD HQ will issue SOPs</w:t>
      </w:r>
      <w:r w:rsidR="00E8410F" w:rsidRPr="00A65125">
        <w:rPr>
          <w:i/>
          <w:iCs/>
          <w:sz w:val="20"/>
          <w:szCs w:val="20"/>
        </w:rPr>
        <w:t>…</w:t>
      </w:r>
      <w:r w:rsidRPr="00A65125">
        <w:rPr>
          <w:i/>
          <w:iCs/>
          <w:sz w:val="20"/>
          <w:szCs w:val="20"/>
        </w:rPr>
        <w:t>” (P3- TLD-0:25:56)</w:t>
      </w:r>
    </w:p>
    <w:p w14:paraId="2A105A77" w14:textId="77777777" w:rsidR="00B310FB" w:rsidRPr="00A65125" w:rsidRDefault="00B310FB" w:rsidP="00A65125">
      <w:pPr>
        <w:rPr>
          <w:b/>
          <w:bCs/>
          <w:sz w:val="20"/>
          <w:szCs w:val="20"/>
        </w:rPr>
      </w:pPr>
    </w:p>
    <w:p w14:paraId="7C66535B" w14:textId="4C16981D" w:rsidR="00916969" w:rsidRPr="00A65125" w:rsidRDefault="0034424F" w:rsidP="00A65125">
      <w:pPr>
        <w:pStyle w:val="BodyText1"/>
        <w:rPr>
          <w:rFonts w:cs="Times New Roman"/>
          <w:color w:val="EE0000"/>
          <w:sz w:val="20"/>
          <w:szCs w:val="20"/>
        </w:rPr>
      </w:pPr>
      <w:r w:rsidRPr="00A65125">
        <w:rPr>
          <w:rFonts w:cs="Times New Roman"/>
          <w:color w:val="EE0000"/>
          <w:sz w:val="20"/>
          <w:szCs w:val="20"/>
        </w:rPr>
        <w:t xml:space="preserve">Consequently, the </w:t>
      </w:r>
      <w:r w:rsidR="00470DA6" w:rsidRPr="00A65125">
        <w:rPr>
          <w:rFonts w:cs="Times New Roman"/>
          <w:color w:val="EE0000"/>
          <w:sz w:val="20"/>
          <w:szCs w:val="20"/>
        </w:rPr>
        <w:t>IOC workflows</w:t>
      </w:r>
      <w:r w:rsidRPr="00A65125">
        <w:rPr>
          <w:rFonts w:cs="Times New Roman"/>
          <w:color w:val="EE0000"/>
          <w:sz w:val="20"/>
          <w:szCs w:val="20"/>
        </w:rPr>
        <w:t xml:space="preserve"> within the TLD remain largely decentralised, relying heavily on self-reporting mechanisms by state branches and the accounting office to ensure compliance. Currently, TLD adopts a negotiation-based approach to resolve issues, rather than enforcing penalties on the acquiring bank for service lapses. This lack of stringent SLA enforcement poses a significant operational and reputational risk, potentially leading to adverse audit findings that may undermine the department’s accountability and public trust.</w:t>
      </w:r>
    </w:p>
    <w:p w14:paraId="63CBECFC" w14:textId="77777777" w:rsidR="0034424F" w:rsidRPr="00A65125" w:rsidRDefault="0034424F" w:rsidP="00A65125">
      <w:pPr>
        <w:pStyle w:val="BodyText1"/>
        <w:ind w:firstLine="0"/>
        <w:rPr>
          <w:rFonts w:cs="Times New Roman"/>
          <w:sz w:val="20"/>
          <w:szCs w:val="20"/>
        </w:rPr>
      </w:pPr>
    </w:p>
    <w:p w14:paraId="36E1EFAA" w14:textId="504BC71A" w:rsidR="008D4BA0" w:rsidRPr="00A65125" w:rsidRDefault="00956CD1" w:rsidP="005764C7">
      <w:pPr>
        <w:pStyle w:val="Heading2"/>
        <w:rPr>
          <w:b/>
          <w:i/>
        </w:rPr>
      </w:pPr>
      <w:r w:rsidRPr="00A65125">
        <w:t xml:space="preserve">COMMUNICATION DIFFICULTIES IN </w:t>
      </w:r>
      <w:r w:rsidR="00470DA6" w:rsidRPr="00A65125">
        <w:t>IOC WORKFLOWS</w:t>
      </w:r>
      <w:r w:rsidRPr="00A65125">
        <w:t xml:space="preserve"> IN E-PAYMENT PROCESS</w:t>
      </w:r>
    </w:p>
    <w:p w14:paraId="5D938361" w14:textId="77777777" w:rsidR="00687B3A" w:rsidRPr="00A65125" w:rsidRDefault="00687B3A" w:rsidP="00A65125">
      <w:pPr>
        <w:rPr>
          <w:sz w:val="20"/>
          <w:szCs w:val="20"/>
          <w:lang w:val="en-MY" w:eastAsia="en-US"/>
        </w:rPr>
      </w:pPr>
    </w:p>
    <w:p w14:paraId="7747E25B" w14:textId="30795675" w:rsidR="002876A7" w:rsidRDefault="0034424F" w:rsidP="00A65125">
      <w:pPr>
        <w:pStyle w:val="BodyText1"/>
        <w:ind w:firstLine="0"/>
        <w:rPr>
          <w:rFonts w:cs="Times New Roman"/>
          <w:sz w:val="20"/>
          <w:szCs w:val="20"/>
        </w:rPr>
      </w:pPr>
      <w:r w:rsidRPr="00A65125">
        <w:rPr>
          <w:rFonts w:cs="Times New Roman"/>
          <w:sz w:val="20"/>
          <w:szCs w:val="20"/>
        </w:rPr>
        <w:t xml:space="preserve">The findings highlight significant communication challenges within the </w:t>
      </w:r>
      <w:r w:rsidR="00470DA6" w:rsidRPr="00A65125">
        <w:rPr>
          <w:rFonts w:cs="Times New Roman"/>
          <w:sz w:val="20"/>
          <w:szCs w:val="20"/>
        </w:rPr>
        <w:t>IOC workflows</w:t>
      </w:r>
      <w:r w:rsidRPr="00A65125">
        <w:rPr>
          <w:rFonts w:cs="Times New Roman"/>
          <w:sz w:val="20"/>
          <w:szCs w:val="20"/>
        </w:rPr>
        <w:t xml:space="preserve"> in the e-payment process. Communication between TLD, the acquiring bank, and the accounting office is predominantly manual, relying on formal and informal channels such as email, WhatsApp, and phone calls. As Participant 4 noted, while they officially use email, they often resort to WhatsApp or phone calls when responses are delayed.</w:t>
      </w:r>
    </w:p>
    <w:p w14:paraId="39F69BD9" w14:textId="77777777" w:rsidR="00CB244C" w:rsidRPr="00A65125" w:rsidRDefault="00CB244C" w:rsidP="00A65125">
      <w:pPr>
        <w:pStyle w:val="BodyText1"/>
        <w:ind w:firstLine="0"/>
        <w:rPr>
          <w:rFonts w:cs="Times New Roman"/>
          <w:sz w:val="20"/>
          <w:szCs w:val="20"/>
        </w:rPr>
      </w:pPr>
    </w:p>
    <w:p w14:paraId="53727A1B" w14:textId="7B1E60ED" w:rsidR="009E1071" w:rsidRPr="00A65125" w:rsidRDefault="009E1071" w:rsidP="00A65125">
      <w:pPr>
        <w:ind w:left="426" w:right="521"/>
        <w:jc w:val="both"/>
        <w:rPr>
          <w:i/>
          <w:iCs/>
          <w:sz w:val="20"/>
          <w:szCs w:val="20"/>
        </w:rPr>
      </w:pPr>
      <w:r w:rsidRPr="00A65125">
        <w:rPr>
          <w:i/>
          <w:iCs/>
          <w:sz w:val="20"/>
          <w:szCs w:val="20"/>
        </w:rPr>
        <w:t xml:space="preserve">“…Usually, we will use email as the communication medium, other platforms like WhatsApp are also used. </w:t>
      </w:r>
      <w:r w:rsidR="00850F4F" w:rsidRPr="00A65125">
        <w:rPr>
          <w:i/>
          <w:iCs/>
          <w:sz w:val="20"/>
          <w:szCs w:val="20"/>
        </w:rPr>
        <w:t>bank</w:t>
      </w:r>
      <w:r w:rsidRPr="00A65125">
        <w:rPr>
          <w:i/>
          <w:iCs/>
          <w:sz w:val="20"/>
          <w:szCs w:val="20"/>
        </w:rPr>
        <w:t xml:space="preserve"> provides a PIC number. So, if email does not work, we will try to contact the bank through WhatsApp or phone…” (P4- TLD-0:14:33)</w:t>
      </w:r>
    </w:p>
    <w:p w14:paraId="6E009886" w14:textId="77777777" w:rsidR="00CB244C" w:rsidRDefault="00CB244C" w:rsidP="00A65125">
      <w:pPr>
        <w:pStyle w:val="BodyText1"/>
        <w:rPr>
          <w:rFonts w:cs="Times New Roman"/>
          <w:sz w:val="20"/>
          <w:szCs w:val="20"/>
        </w:rPr>
      </w:pPr>
    </w:p>
    <w:p w14:paraId="3682CF5A" w14:textId="44C5A966" w:rsidR="009E1071" w:rsidRPr="00A65125" w:rsidRDefault="0034424F" w:rsidP="00A65125">
      <w:pPr>
        <w:pStyle w:val="BodyText1"/>
        <w:rPr>
          <w:rFonts w:cs="Times New Roman"/>
          <w:sz w:val="20"/>
          <w:szCs w:val="20"/>
        </w:rPr>
      </w:pPr>
      <w:r w:rsidRPr="00A65125">
        <w:rPr>
          <w:rFonts w:cs="Times New Roman"/>
          <w:sz w:val="20"/>
          <w:szCs w:val="20"/>
        </w:rPr>
        <w:t>The process, although adaptable, poses delays when immediate contact with bank officers is needed, impacting the overall process. For instance, Participant 2 reports that while bank support is adequate once contact is established, reaching a bank officer often takes considerable time, as Participant 2 explains</w:t>
      </w:r>
      <w:r w:rsidR="009E1071" w:rsidRPr="00A65125">
        <w:rPr>
          <w:rFonts w:cs="Times New Roman"/>
          <w:sz w:val="20"/>
          <w:szCs w:val="20"/>
        </w:rPr>
        <w:t xml:space="preserve">, </w:t>
      </w:r>
    </w:p>
    <w:p w14:paraId="0FDAD56E" w14:textId="77777777" w:rsidR="007241B3" w:rsidRPr="00A65125" w:rsidRDefault="007241B3" w:rsidP="00A65125">
      <w:pPr>
        <w:pStyle w:val="BodyText1"/>
        <w:rPr>
          <w:rFonts w:cs="Times New Roman"/>
          <w:sz w:val="20"/>
          <w:szCs w:val="20"/>
        </w:rPr>
      </w:pPr>
    </w:p>
    <w:p w14:paraId="535972C1" w14:textId="31580B2F" w:rsidR="009E1071" w:rsidRPr="00A65125" w:rsidRDefault="009E1071" w:rsidP="00A65125">
      <w:pPr>
        <w:tabs>
          <w:tab w:val="left" w:pos="7797"/>
        </w:tabs>
        <w:ind w:left="426" w:right="521"/>
        <w:jc w:val="both"/>
        <w:rPr>
          <w:i/>
          <w:iCs/>
          <w:sz w:val="20"/>
          <w:szCs w:val="20"/>
        </w:rPr>
      </w:pPr>
      <w:r w:rsidRPr="00A65125">
        <w:rPr>
          <w:i/>
          <w:iCs/>
          <w:sz w:val="20"/>
          <w:szCs w:val="20"/>
        </w:rPr>
        <w:t>“…Based on my experience, dealing with bank officer, when I contact him, he is very helpful, although initially getting through to him can sometimes be difficult. But after speaking with him, he usually resolves the issues raised…” (P2- TLD-0:23:25)</w:t>
      </w:r>
    </w:p>
    <w:p w14:paraId="1E7FD9CA" w14:textId="77777777" w:rsidR="009E1071" w:rsidRPr="00A65125" w:rsidRDefault="009E1071" w:rsidP="00A65125">
      <w:pPr>
        <w:jc w:val="both"/>
        <w:rPr>
          <w:sz w:val="20"/>
          <w:szCs w:val="20"/>
        </w:rPr>
      </w:pPr>
    </w:p>
    <w:p w14:paraId="24AE9A1C" w14:textId="3B421452" w:rsidR="007241B3" w:rsidRPr="00A65125" w:rsidRDefault="0034424F" w:rsidP="00A65125">
      <w:pPr>
        <w:pStyle w:val="BodyText1"/>
        <w:rPr>
          <w:rFonts w:cs="Times New Roman"/>
          <w:sz w:val="20"/>
          <w:szCs w:val="20"/>
        </w:rPr>
      </w:pPr>
      <w:r w:rsidRPr="00A65125">
        <w:rPr>
          <w:rFonts w:cs="Times New Roman"/>
          <w:sz w:val="20"/>
          <w:szCs w:val="20"/>
        </w:rPr>
        <w:t>This communication hurdle varies across TLD offices, as observed by Participant 1, who attributes these differences to individual personalities within the bank’s support staff. For example, while communicating with bank officer X proved challenging due to unresponsiveness, bank officer Y's involvement markedly improved ease of communication, illustrating how bank personnel shifts can influence communication efficacy at different TLD locations.</w:t>
      </w:r>
    </w:p>
    <w:p w14:paraId="67979A42" w14:textId="77777777" w:rsidR="0034424F" w:rsidRPr="00A65125" w:rsidRDefault="0034424F" w:rsidP="00A65125">
      <w:pPr>
        <w:pStyle w:val="BodyText1"/>
        <w:rPr>
          <w:rFonts w:cs="Times New Roman"/>
          <w:sz w:val="20"/>
          <w:szCs w:val="20"/>
        </w:rPr>
      </w:pPr>
    </w:p>
    <w:p w14:paraId="3844EFAE" w14:textId="758993FB" w:rsidR="009E1071" w:rsidRPr="00A65125" w:rsidRDefault="009E1071" w:rsidP="00A65125">
      <w:pPr>
        <w:ind w:left="426" w:right="521"/>
        <w:jc w:val="both"/>
        <w:rPr>
          <w:i/>
          <w:iCs/>
          <w:sz w:val="20"/>
          <w:szCs w:val="20"/>
        </w:rPr>
      </w:pPr>
      <w:r w:rsidRPr="00A65125">
        <w:rPr>
          <w:i/>
          <w:iCs/>
          <w:sz w:val="20"/>
          <w:szCs w:val="20"/>
        </w:rPr>
        <w:t xml:space="preserve">“…Dealing with Mr. X was difficult before, he didn't even reply to my messages. Only the </w:t>
      </w:r>
      <w:r w:rsidR="00CD0C65" w:rsidRPr="00A65125">
        <w:rPr>
          <w:i/>
          <w:iCs/>
          <w:sz w:val="20"/>
          <w:szCs w:val="20"/>
        </w:rPr>
        <w:t>machine operator</w:t>
      </w:r>
      <w:r w:rsidRPr="00A65125">
        <w:rPr>
          <w:i/>
          <w:iCs/>
          <w:sz w:val="20"/>
          <w:szCs w:val="20"/>
        </w:rPr>
        <w:t xml:space="preserve"> replied. But dealing with the bank is easy, if you follow </w:t>
      </w:r>
      <w:r w:rsidR="00850F4F" w:rsidRPr="00A65125">
        <w:rPr>
          <w:i/>
          <w:iCs/>
          <w:sz w:val="20"/>
          <w:szCs w:val="20"/>
        </w:rPr>
        <w:t>TLD</w:t>
      </w:r>
      <w:r w:rsidRPr="00A65125">
        <w:rPr>
          <w:i/>
          <w:iCs/>
          <w:sz w:val="20"/>
          <w:szCs w:val="20"/>
        </w:rPr>
        <w:t xml:space="preserve"> Johor it's easy, I'm not sure about other places. If I don't get help from </w:t>
      </w:r>
      <w:r w:rsidR="00850F4F" w:rsidRPr="00A65125">
        <w:rPr>
          <w:i/>
          <w:iCs/>
          <w:sz w:val="20"/>
          <w:szCs w:val="20"/>
        </w:rPr>
        <w:t xml:space="preserve">Bank </w:t>
      </w:r>
      <w:r w:rsidRPr="00A65125">
        <w:rPr>
          <w:i/>
          <w:iCs/>
          <w:sz w:val="20"/>
          <w:szCs w:val="20"/>
        </w:rPr>
        <w:t>HQ, I ask for help from Mr. Y…” (P1- TLD2-0:05:21)</w:t>
      </w:r>
    </w:p>
    <w:p w14:paraId="7C226BFD" w14:textId="77777777" w:rsidR="0034424F" w:rsidRPr="00A65125" w:rsidRDefault="0034424F" w:rsidP="00A65125">
      <w:pPr>
        <w:pStyle w:val="NoSpacing"/>
        <w:rPr>
          <w:sz w:val="20"/>
          <w:szCs w:val="20"/>
        </w:rPr>
      </w:pPr>
    </w:p>
    <w:p w14:paraId="47ABB5A3" w14:textId="39197BDB" w:rsidR="009E1071" w:rsidRPr="00A65125" w:rsidRDefault="009E1071" w:rsidP="00A65125">
      <w:pPr>
        <w:pStyle w:val="BodyText1"/>
        <w:rPr>
          <w:rFonts w:cs="Times New Roman"/>
          <w:sz w:val="20"/>
          <w:szCs w:val="20"/>
        </w:rPr>
      </w:pPr>
      <w:r w:rsidRPr="00A65125">
        <w:rPr>
          <w:rFonts w:cs="Times New Roman"/>
          <w:sz w:val="20"/>
          <w:szCs w:val="20"/>
        </w:rPr>
        <w:t xml:space="preserve">The ramifications of communication delays within TLD’s </w:t>
      </w:r>
      <w:r w:rsidR="00470DA6" w:rsidRPr="00A65125">
        <w:rPr>
          <w:rFonts w:cs="Times New Roman"/>
          <w:sz w:val="20"/>
          <w:szCs w:val="20"/>
        </w:rPr>
        <w:t>IOC workflows</w:t>
      </w:r>
      <w:r w:rsidRPr="00A65125">
        <w:rPr>
          <w:rFonts w:cs="Times New Roman"/>
          <w:sz w:val="20"/>
          <w:szCs w:val="20"/>
        </w:rPr>
        <w:t xml:space="preserve"> extend to reputational risks at the operational level, as unresolved operational issues may trigger queries from the </w:t>
      </w:r>
      <w:r w:rsidR="00A32100" w:rsidRPr="00A65125">
        <w:rPr>
          <w:rFonts w:cs="Times New Roman"/>
          <w:sz w:val="20"/>
          <w:szCs w:val="20"/>
        </w:rPr>
        <w:t>a</w:t>
      </w:r>
      <w:r w:rsidRPr="00A65125">
        <w:rPr>
          <w:rFonts w:cs="Times New Roman"/>
          <w:sz w:val="20"/>
          <w:szCs w:val="20"/>
        </w:rPr>
        <w:t xml:space="preserve">ccounting and </w:t>
      </w:r>
      <w:r w:rsidR="00A32100" w:rsidRPr="00A65125">
        <w:rPr>
          <w:rFonts w:cs="Times New Roman"/>
          <w:sz w:val="20"/>
          <w:szCs w:val="20"/>
        </w:rPr>
        <w:t>a</w:t>
      </w:r>
      <w:r w:rsidRPr="00A65125">
        <w:rPr>
          <w:rFonts w:cs="Times New Roman"/>
          <w:sz w:val="20"/>
          <w:szCs w:val="20"/>
        </w:rPr>
        <w:t xml:space="preserve">udit </w:t>
      </w:r>
      <w:r w:rsidR="00D76E70" w:rsidRPr="00A65125">
        <w:rPr>
          <w:rFonts w:cs="Times New Roman"/>
          <w:sz w:val="20"/>
          <w:szCs w:val="20"/>
        </w:rPr>
        <w:t>o</w:t>
      </w:r>
      <w:r w:rsidRPr="00A65125">
        <w:rPr>
          <w:rFonts w:cs="Times New Roman"/>
          <w:sz w:val="20"/>
          <w:szCs w:val="20"/>
        </w:rPr>
        <w:t xml:space="preserve">ffices. </w:t>
      </w:r>
      <w:r w:rsidR="00A32100" w:rsidRPr="00A65125">
        <w:rPr>
          <w:rFonts w:cs="Times New Roman"/>
          <w:sz w:val="20"/>
          <w:szCs w:val="20"/>
        </w:rPr>
        <w:t xml:space="preserve">Participant </w:t>
      </w:r>
      <w:r w:rsidRPr="00A65125">
        <w:rPr>
          <w:rFonts w:cs="Times New Roman"/>
          <w:sz w:val="20"/>
          <w:szCs w:val="20"/>
        </w:rPr>
        <w:t>4 highlights this concern, noting that slow bank responses have led to accountability inquiries, such as from the Auditor General’s office, questioning delays in accounting for revenue collections at TLD Kedah.</w:t>
      </w:r>
    </w:p>
    <w:p w14:paraId="3E7431D3" w14:textId="77777777" w:rsidR="007241B3" w:rsidRPr="00A65125" w:rsidRDefault="007241B3" w:rsidP="00A65125">
      <w:pPr>
        <w:pStyle w:val="BodyText1"/>
        <w:rPr>
          <w:rFonts w:cs="Times New Roman"/>
          <w:sz w:val="20"/>
          <w:szCs w:val="20"/>
        </w:rPr>
      </w:pPr>
    </w:p>
    <w:p w14:paraId="2163F65F" w14:textId="6DB9F2F4" w:rsidR="009E1071" w:rsidRPr="00A65125" w:rsidRDefault="009E1071" w:rsidP="00A65125">
      <w:pPr>
        <w:ind w:left="567" w:right="521"/>
        <w:jc w:val="both"/>
        <w:rPr>
          <w:i/>
          <w:iCs/>
          <w:sz w:val="20"/>
          <w:szCs w:val="20"/>
        </w:rPr>
      </w:pPr>
      <w:r w:rsidRPr="00A65125">
        <w:rPr>
          <w:i/>
          <w:iCs/>
          <w:sz w:val="20"/>
          <w:szCs w:val="20"/>
        </w:rPr>
        <w:t xml:space="preserve">“…The challenge in dealing with the bank is their slow response. When they (the bank) respond slowly, we will be queried </w:t>
      </w:r>
      <w:r w:rsidR="00A32100" w:rsidRPr="00A65125">
        <w:rPr>
          <w:i/>
          <w:iCs/>
          <w:sz w:val="20"/>
          <w:szCs w:val="20"/>
        </w:rPr>
        <w:t>by accounting office</w:t>
      </w:r>
      <w:r w:rsidRPr="00A65125">
        <w:rPr>
          <w:i/>
          <w:iCs/>
          <w:sz w:val="20"/>
          <w:szCs w:val="20"/>
        </w:rPr>
        <w:t xml:space="preserve">, why </w:t>
      </w:r>
      <w:r w:rsidR="00A32100" w:rsidRPr="00A65125">
        <w:rPr>
          <w:i/>
          <w:iCs/>
          <w:sz w:val="20"/>
          <w:szCs w:val="20"/>
        </w:rPr>
        <w:t>TLD</w:t>
      </w:r>
      <w:r w:rsidRPr="00A65125">
        <w:rPr>
          <w:i/>
          <w:iCs/>
          <w:sz w:val="20"/>
          <w:szCs w:val="20"/>
        </w:rPr>
        <w:t xml:space="preserve"> is slow in accounting for the collection…” (P4- TLD-0:15:51)</w:t>
      </w:r>
    </w:p>
    <w:p w14:paraId="77A8E09A" w14:textId="77777777" w:rsidR="009E1071" w:rsidRPr="00A65125" w:rsidRDefault="009E1071" w:rsidP="00A65125">
      <w:pPr>
        <w:jc w:val="both"/>
        <w:rPr>
          <w:sz w:val="20"/>
          <w:szCs w:val="20"/>
        </w:rPr>
      </w:pPr>
    </w:p>
    <w:p w14:paraId="213181CA" w14:textId="03B4957B" w:rsidR="00194CF4" w:rsidRPr="00A65125" w:rsidRDefault="0034424F" w:rsidP="00A65125">
      <w:pPr>
        <w:pStyle w:val="BodyText1"/>
        <w:rPr>
          <w:rFonts w:cs="Times New Roman"/>
          <w:sz w:val="20"/>
          <w:szCs w:val="20"/>
        </w:rPr>
      </w:pPr>
      <w:r w:rsidRPr="00A65125">
        <w:rPr>
          <w:rFonts w:cs="Times New Roman"/>
          <w:sz w:val="20"/>
          <w:szCs w:val="20"/>
        </w:rPr>
        <w:t>These communication difficulties impede prompt issue resolution and expose TLD to scrutiny, underscoring the need for more streamlined and responsive communication channels within its e-payment workflow.</w:t>
      </w:r>
    </w:p>
    <w:p w14:paraId="7CB0B11C" w14:textId="77777777" w:rsidR="0034424F" w:rsidRPr="00A65125" w:rsidRDefault="0034424F" w:rsidP="00A65125">
      <w:pPr>
        <w:pStyle w:val="BodyText1"/>
        <w:rPr>
          <w:rFonts w:cs="Times New Roman"/>
          <w:sz w:val="20"/>
          <w:szCs w:val="20"/>
        </w:rPr>
      </w:pPr>
    </w:p>
    <w:p w14:paraId="006C827E" w14:textId="2B841120" w:rsidR="0034424F" w:rsidRPr="00A65125" w:rsidRDefault="0034424F" w:rsidP="00A65125">
      <w:pPr>
        <w:pStyle w:val="BodyText1"/>
        <w:rPr>
          <w:rFonts w:cs="Times New Roman"/>
          <w:sz w:val="20"/>
          <w:szCs w:val="20"/>
          <w:lang w:val="en-GB"/>
        </w:rPr>
      </w:pPr>
      <w:r w:rsidRPr="00A65125">
        <w:rPr>
          <w:rFonts w:cs="Times New Roman"/>
          <w:sz w:val="20"/>
          <w:szCs w:val="20"/>
          <w:lang w:val="en-GB"/>
        </w:rPr>
        <w:t xml:space="preserve">Finally, the findings reveal four interrelated challenges within the </w:t>
      </w:r>
      <w:r w:rsidR="00470DA6" w:rsidRPr="00A65125">
        <w:rPr>
          <w:rFonts w:cs="Times New Roman"/>
          <w:sz w:val="20"/>
          <w:szCs w:val="20"/>
          <w:lang w:val="en-GB"/>
        </w:rPr>
        <w:t>IOC workflows</w:t>
      </w:r>
      <w:r w:rsidRPr="00A65125">
        <w:rPr>
          <w:rFonts w:cs="Times New Roman"/>
          <w:sz w:val="20"/>
          <w:szCs w:val="20"/>
          <w:lang w:val="en-GB"/>
        </w:rPr>
        <w:t xml:space="preserve"> of TLD’s e-payment process: non-integrated operations, operational deficiencies, risk exposure on SLA discrepancies, and </w:t>
      </w:r>
      <w:r w:rsidRPr="00A65125">
        <w:rPr>
          <w:rFonts w:cs="Times New Roman"/>
          <w:sz w:val="20"/>
          <w:szCs w:val="20"/>
          <w:lang w:val="en-GB"/>
        </w:rPr>
        <w:lastRenderedPageBreak/>
        <w:t>communication difficulties. These challenges disrupt transaction accuracy, delay revenue recording, and compromise accountability. Manual reconciliation, fragmented systems, and inconsistent data management highlight the operational burden TLD officers face. Furthermore, weak SLA enforcement, decentralised monitoring, and reliance on informal communication channels exacerbate risks and hinder responsiveness. In conclusion, these findings underscore the urgent need for systemic improvements and technology integration to enhance workflow efficiency, data integrity, and inter-agency coordination.</w:t>
      </w:r>
    </w:p>
    <w:p w14:paraId="74548316" w14:textId="77777777" w:rsidR="007738CC" w:rsidRPr="00A65125" w:rsidRDefault="007738CC" w:rsidP="00A65125">
      <w:pPr>
        <w:pStyle w:val="BodyText1"/>
        <w:rPr>
          <w:rFonts w:cs="Times New Roman"/>
          <w:sz w:val="20"/>
          <w:szCs w:val="20"/>
          <w:lang w:val="en-GB"/>
        </w:rPr>
      </w:pPr>
    </w:p>
    <w:p w14:paraId="37FC408A" w14:textId="67A67113" w:rsidR="00687B3A" w:rsidRPr="00A65125" w:rsidRDefault="007241B3" w:rsidP="00A65125">
      <w:pPr>
        <w:pStyle w:val="Heading1"/>
        <w:rPr>
          <w:rFonts w:cs="Times New Roman"/>
          <w:sz w:val="20"/>
          <w:szCs w:val="20"/>
        </w:rPr>
      </w:pPr>
      <w:r w:rsidRPr="00A65125">
        <w:rPr>
          <w:rFonts w:cs="Times New Roman"/>
          <w:sz w:val="20"/>
          <w:szCs w:val="20"/>
        </w:rPr>
        <w:t>DISCUSSION</w:t>
      </w:r>
    </w:p>
    <w:p w14:paraId="30C09749" w14:textId="77777777" w:rsidR="000357AC" w:rsidRPr="00A65125" w:rsidRDefault="000357AC" w:rsidP="00A65125">
      <w:pPr>
        <w:rPr>
          <w:sz w:val="20"/>
          <w:szCs w:val="20"/>
          <w:lang w:val="en-MY" w:eastAsia="en-US"/>
        </w:rPr>
      </w:pPr>
    </w:p>
    <w:p w14:paraId="73C02FDE" w14:textId="694D1A63" w:rsidR="00CF5AE7" w:rsidRPr="00A65125" w:rsidRDefault="00CF5AE7" w:rsidP="00A65125">
      <w:pPr>
        <w:pStyle w:val="BodyText1"/>
        <w:ind w:firstLine="0"/>
        <w:rPr>
          <w:rFonts w:cs="Times New Roman"/>
          <w:sz w:val="20"/>
          <w:szCs w:val="20"/>
        </w:rPr>
      </w:pPr>
      <w:r w:rsidRPr="00A65125">
        <w:rPr>
          <w:rFonts w:cs="Times New Roman"/>
          <w:sz w:val="20"/>
          <w:szCs w:val="20"/>
        </w:rPr>
        <w:t xml:space="preserve">The study identifies that TLD’s </w:t>
      </w:r>
      <w:r w:rsidR="00470DA6" w:rsidRPr="00A65125">
        <w:rPr>
          <w:rFonts w:cs="Times New Roman"/>
          <w:sz w:val="20"/>
          <w:szCs w:val="20"/>
        </w:rPr>
        <w:t>IOC workflows</w:t>
      </w:r>
      <w:r w:rsidRPr="00A65125">
        <w:rPr>
          <w:rFonts w:cs="Times New Roman"/>
          <w:sz w:val="20"/>
          <w:szCs w:val="20"/>
        </w:rPr>
        <w:t xml:space="preserve"> are fragmented due to non-integrated operational systems, inhibiting effective collaboration across entities. Participant 1 highlighted the need for repeated manual cross-checking across payment channels, while Participant 2 confirmed that, despite overnight automation, reconciliation with the accounting office still required manual checking. Similarly, Participant 4 reported the task duplication in compiling multiple reports from unconnected platforms. These observations reflect the lack of a shared platform necessary for interdependent coordination, consistent with </w:t>
      </w:r>
      <w:r w:rsidRPr="00A65125">
        <w:rPr>
          <w:rFonts w:cs="Times New Roman"/>
          <w:sz w:val="20"/>
          <w:szCs w:val="20"/>
        </w:rPr>
        <w:fldChar w:fldCharType="begin" w:fldLock="1"/>
      </w:r>
      <w:r w:rsidRPr="00A65125">
        <w:rPr>
          <w:rFonts w:cs="Times New Roman"/>
          <w:sz w:val="20"/>
          <w:szCs w:val="20"/>
        </w:rPr>
        <w:instrText>ADDIN CSL_CITATION {"citationItems":[{"id":"ITEM-1","itemData":{"DOI":"10.3390/ijerph19148831","ISSN":"1660-4601","abstract":"The current models used for paying for health and social care are considered a major barrier to integrated care. Despite the implementation of integrated payment schemes proving difficult, such initiatives are still widely pursued. In the Netherlands, this development has led to a payment architecture combining traditional and integrated payment models. To gain insight into the justification for and future viability of integrated payment, this paper’s purpose is to explain the current duality by identifying discourses on integrated payment models, determining which discourses predominate, and how they have changed over time and differ among key stakeholders in healthcare. The discourse analysis revealed four discourses, each with its own underlying assumptions and values regarding integrated payment. First, the Quality-of-Care discourse sees integrated payment as instrumental in improving care. Second, the Affordability discourse emphasizes how integrated payment can contribute to the financial sustainability of the healthcare system. Third, the Bureaucratization discourse highlights the administrative burden associated with integrated payment models. Fourth, the Strategic discourse stresses micropolitical and professional issues that come into play when implementing such models. The future viability of integrated payment depends on how issues reflected in the Bureaucratization and Strategic discourses are addressed without losing sight of quality-of-care and affordability, two aspects attracting significant public interest in The Netherlands.","author":[{"dropping-particle":"","family":"Reindersma","given":"Thomas","non-dropping-particle":"","parse-names":false,"suffix":""},{"dropping-particle":"","family":"Fabbricotti","given":"Isabelle","non-dropping-particle":"","parse-names":false,"suffix":""},{"dropping-particle":"","family":"Ahaus","given":"Kees","non-dropping-particle":"","parse-names":false,"suffix":""},{"dropping-particle":"","family":"Sülz","given":"Sandra","non-dropping-particle":"","parse-names":false,"suffix":""}],"container-title":"International Journal of Environmental Research and Public Health","id":"ITEM-1","issue":"14","issued":{"date-parts":[["2022","7","20"]]},"note":"The reference Reindersma et al. (2022) discusses how fragmentation in payment systems complicates the payment settlement process in healthcare. It highlights that the coexistence of traditional payment models, such as fee-for-service, alongside integrated payment schemes creates a duality that leads to increased bureaucracy and confusion among stakeholders. The paper identifies that while integrated payment aims to improve care quality and financial sustainability, it also introduces new forms of fragmentation, necessitating a careful balance between integration and traditional models. This complexity arises from the administrative burdens and strategic challenges that stakeholders face, ultimately impacting the efficiency of the payment settlement process.","page":"8831","title":"Integrated Payment, Fragmented Realities? A Discourse Analysis of Integrated Payment in the Netherlands","type":"article-journal","volume":"19"},"uris":["http://www.mendeley.com/documents/?uuid=f69bfbdf-eb39-4c75-922d-bf3829c31239"]}],"mendeley":{"formattedCitation":"(Reindersma et al. 2022)","manualFormatting":"Reindersma et al. (2022)","plainTextFormattedCitation":"(Reindersma et al. 2022)","previouslyFormattedCitation":"(Reindersma et al. 2022)"},"properties":{"noteIndex":0},"schema":"https://github.com/citation-style-language/schema/raw/master/csl-citation.json"}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Reindersma et al. (2022)</w:t>
      </w:r>
      <w:r w:rsidRPr="00A65125">
        <w:rPr>
          <w:rFonts w:cs="Times New Roman"/>
          <w:sz w:val="20"/>
          <w:szCs w:val="20"/>
        </w:rPr>
        <w:fldChar w:fldCharType="end"/>
      </w:r>
      <w:r w:rsidRPr="00A65125">
        <w:rPr>
          <w:rFonts w:cs="Times New Roman"/>
          <w:sz w:val="20"/>
          <w:szCs w:val="20"/>
        </w:rPr>
        <w:t xml:space="preserve">, who argue that fragmented systems obstruct collaboration by creating procedural redundancies. In interorganisational settings, collaboration involves aligning systems, processes, and goals to enable joint problem-solving and mutual efficiency </w:t>
      </w:r>
      <w:r w:rsidRPr="00A65125">
        <w:rPr>
          <w:rFonts w:cs="Times New Roman"/>
          <w:sz w:val="20"/>
          <w:szCs w:val="20"/>
        </w:rPr>
        <w:fldChar w:fldCharType="begin" w:fldLock="1"/>
      </w:r>
      <w:r w:rsidRPr="00A65125">
        <w:rPr>
          <w:rFonts w:cs="Times New Roman"/>
          <w:sz w:val="20"/>
          <w:szCs w:val="20"/>
        </w:rPr>
        <w:instrText>ADDIN CSL_CITATION {"citationItems":[{"id":"ITEM-1","itemData":{"DOI":"10.1007/s10961-023-10031-z","ISSN":"15737047","abstract":"In this study, we explore the impact of business process digitalization on technology transfer intensity through the mediating mechanism of inter-organizational collaboration. Using data collected from 211 firms in Vietnam, we find that: (1) digitalization positively influences inter-organizational collaboration, (2) inter-organization collaboration positively affects technology transfer intensity, (3) the effect of inter-organizational collaboration on technology transfer intensity is amplified when technology commercialization potential is high, and (4) the effect of digitalization on technology transfer intensity is mediated by inter-organizational collaboration. These findings suggest that technology commercialization potential is a critical moderating factor that needs to be considered in the context of technology transfer, and its interaction with inter-organizational collaboration should be carefully managed to maximize the benefits of technology transfer. The study provides practical implications for technology firms seeking to enhance their technology transfer outcomes.","author":[{"dropping-particle":"","family":"Adomako","given":"Samuel","non-dropping-particle":"","parse-names":false,"suffix":""},{"dropping-particle":"","family":"Nguyen","given":"Nguyen Phong","non-dropping-particle":"","parse-names":false,"suffix":""}],"container-title":"Journal of Technology Transfer","id":"ITEM-1","issue":"4","issued":{"date-parts":[["2023"]]},"page":"1176-1202","publisher":"Springer US","title":"Digitalization, inter-organizational collaboration, and technology transfer","type":"article-journal","volume":"49"},"uris":["http://www.mendeley.com/documents/?uuid=c4a59bcc-8fe8-42ca-9d57-f38106fb7b49"]},{"id":"ITEM-2","itemData":{"DOI":"10.3390/su152316223","ISSN":"2071-1050","abstract":"The objective of this paper is to assess the potential roles of blockchain technology in enhancing quality, safety, and sustainability throughout the production and distribution of food and beverage products. To achieve this, a multiple case study approach has been selected as the primary research methodology. This article underscores the transformative impact of blockchain implementation on inter-organizational transactions, reducing uncertainty among supply chain participants and fostering more equitable interdependence among partners in the value chain. These developments have the potential to bolster quality, safety, and sustainability within the food and beverage industry. The article also explores strategies for enhancing blockchain’s influence on interfirm governance structures within the food and beverage sector. It delves into the possibilities of broadening participation by increasing the number and variety of participants in blockchain networks. It investigates how the synergy between blockchain technology and other emerging technologies can further optimize their impact on reducing interfirm governance structures. Also addressed in the paper is the potential for blockchain-based solutions to enhance distributive fairness within the food and beverage industry, offering marginalized groups, such as small-holder farmers, greater opportunities for integration into the global economy. Special emphasis is placed on blockchain’s capacity to enhance interfirm governance in this industry by reducing uncertainty among supply chain participants and creating more symmetrical dependencies among them. The article also posits that by fostering entrepreneurial prospects for marginalized communities and promoting distributive fairness, blockchain technology can contribute to socially responsible actions. Overall, this study extends theories and concepts from information and communications technologies’ (ICTs) effects on agency, boundaries, and uncertainty in the context of organizational and inter-organizational dynamics.","author":[{"dropping-particle":"","family":"Kshetri","given":"Nir","non-dropping-particle":"","parse-names":false,"suffix":""}],"container-title":"Sustainability","id":"ITEM-2","issue":"23","issued":{"date-parts":[["2023","11","23"]]},"note":"Cited by: 6; All Open Access, Gold Open Access","page":"16223","publisher":"Multidisciplinary Digital Publishing Institute (MDPI)","publisher-place":"United States","title":"Blockchain’s Role in Enhancing Quality and Safety and Promoting Sustainability in the Food and Beverage Industry","type":"article-journal","volume":"15"},"uris":["http://www.mendeley.com/documents/?uuid=a512ea56-8cf1-4b76-9879-3d795cc73f81"]}],"mendeley":{"formattedCitation":"(Adomako &amp; Nguyen 2023; Kshetri 2023)","plainTextFormattedCitation":"(Adomako &amp; Nguyen 2023; Kshetri 2023)","previouslyFormattedCitation":"(Adomako &amp; Nguyen 2023; Kshetri 2023)"},"properties":{"noteIndex":0},"schema":"https://github.com/citation-style-language/schema/raw/master/csl-citation.json"}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(Adomako &amp; Nguyen 2023; Kshetri 2023)</w:t>
      </w:r>
      <w:r w:rsidRPr="00A65125">
        <w:rPr>
          <w:rFonts w:cs="Times New Roman"/>
          <w:sz w:val="20"/>
          <w:szCs w:val="20"/>
        </w:rPr>
        <w:fldChar w:fldCharType="end"/>
      </w:r>
      <w:r w:rsidRPr="00A65125">
        <w:rPr>
          <w:rFonts w:cs="Times New Roman"/>
          <w:sz w:val="20"/>
          <w:szCs w:val="20"/>
        </w:rPr>
        <w:t xml:space="preserve">. However, in the TLD context, </w:t>
      </w:r>
      <w:r w:rsidR="00470DA6" w:rsidRPr="00A65125">
        <w:rPr>
          <w:rFonts w:cs="Times New Roman"/>
          <w:sz w:val="20"/>
          <w:szCs w:val="20"/>
        </w:rPr>
        <w:t>IOC workflows</w:t>
      </w:r>
      <w:r w:rsidRPr="00A65125">
        <w:rPr>
          <w:rFonts w:cs="Times New Roman"/>
          <w:sz w:val="20"/>
          <w:szCs w:val="20"/>
        </w:rPr>
        <w:t xml:space="preserve"> are reactive and constrained by siloed operations, echoing findings by </w:t>
      </w:r>
      <w:r w:rsidRPr="00A65125">
        <w:rPr>
          <w:rFonts w:cs="Times New Roman"/>
          <w:sz w:val="20"/>
          <w:szCs w:val="20"/>
        </w:rPr>
        <w:fldChar w:fldCharType="begin" w:fldLock="1"/>
      </w:r>
      <w:r w:rsidRPr="00A65125">
        <w:rPr>
          <w:rFonts w:cs="Times New Roman"/>
          <w:sz w:val="20"/>
          <w:szCs w:val="20"/>
        </w:rPr>
        <w:instrText>ADDIN CSL_CITATION {"citationItems":[{"id":"ITEM-1","itemData":{"DOI":"10.1007/s40812-023-00296-8","ISBN":"0123456789","ISSN":"19724977","abstract":"The business potential of blockchain technology in global value chains (GVCs) includes the creation of permanent records of information, to facilitate specifications regulation, to mitigate risk using smart contracts and through full, transparent transaction traceability at reduced costs. Blockchain as a general-purpose technology (GPT) thus has the potential to increase the effectiveness and efficiency of value creation for firm specific advantages owned and/or controlled by multinational enterprises (MNE), yet adoption of blockchain is uneven. This study adopts a micro-foundational lens to explain the non-adoption of blockchain technology in multinational enterprises’ (MNE) global value chains (GVC), emphasizing the influence of the technology, organization and environment (TOE) influences on the technology acceptance (TAM) for blockchain, due to the impact on managers’ perception of blockchain's usefulness and ease of use. The empirical results are based on a multiple-case study research design, that collected interview data from supply chain managers in small, medium, and large-sized manufacturing MNEs that participate in global value chains that differ in their governance patterns. The results identified fifteen different drivers of the non-adoption of blockchain technology across the technological, organizational and external environments of the MNE. The results of the study allow a parsimonious model of blockchain technology non-adoption that is aligned with the digital technology adoption literature using a TOE–TAM approach.","author":[{"dropping-particle":"","family":"Hubenova","given":"Tsvetelina","non-dropping-particle":"","parse-names":false,"suffix":""},{"dropping-particle":"","family":"Lindeque","given":"Johan P.","non-dropping-particle":"","parse-names":false,"suffix":""},{"dropping-particle":"","family":"Peter","given":"Marc K.","non-dropping-particle":"","parse-names":false,"suffix":""}],"container-title":"Journal of Industrial and Business Economics","id":"ITEM-1","issue":"2","issued":{"date-parts":[["2024"]]},"number-of-pages":"397-429","publisher":"Springer International Publishing","title":"Explaining the non-adoption of blockchain technology in global value chains: a micro-foundational perspective","type":"book","volume":"51"},"uris":["http://www.mendeley.com/documents/?uuid=8fe2a2dc-e6d1-4be2-af1d-ea1377cdcb6d"]}],"mendeley":{"formattedCitation":"(Hubenova et al. 2024)","manualFormatting":"Hubenova et al. (2024)","plainTextFormattedCitation":"(Hubenova et al. 2024)","previouslyFormattedCitation":"(Hubenova et al. 2024)"},"properties":{"noteIndex":0},"schema":"https://github.com/citation-style-language/schema/raw/master/csl-citation.json"}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Hubenova et al. (2024)</w:t>
      </w:r>
      <w:r w:rsidRPr="00A65125">
        <w:rPr>
          <w:rFonts w:cs="Times New Roman"/>
          <w:sz w:val="20"/>
          <w:szCs w:val="20"/>
        </w:rPr>
        <w:fldChar w:fldCharType="end"/>
      </w:r>
      <w:r w:rsidRPr="00A65125">
        <w:rPr>
          <w:rFonts w:cs="Times New Roman"/>
          <w:sz w:val="20"/>
          <w:szCs w:val="20"/>
        </w:rPr>
        <w:t xml:space="preserve"> that siloed systems lead to inefficiencies and hinder collective responsiveness. Therefore, effective collaboration in </w:t>
      </w:r>
      <w:r w:rsidR="00470DA6" w:rsidRPr="00A65125">
        <w:rPr>
          <w:rFonts w:cs="Times New Roman"/>
          <w:sz w:val="20"/>
          <w:szCs w:val="20"/>
        </w:rPr>
        <w:t>IOC workflows</w:t>
      </w:r>
      <w:r w:rsidRPr="00A65125">
        <w:rPr>
          <w:rFonts w:cs="Times New Roman"/>
          <w:sz w:val="20"/>
          <w:szCs w:val="20"/>
        </w:rPr>
        <w:t xml:space="preserve"> requires digital interoperability that supports shared visibility, real-time coordination, and process standardisation.</w:t>
      </w:r>
    </w:p>
    <w:p w14:paraId="05A06348" w14:textId="13454F73" w:rsidR="00D5219F" w:rsidRPr="00A65125" w:rsidRDefault="00D5219F" w:rsidP="00A65125">
      <w:pPr>
        <w:pStyle w:val="BodyText1"/>
        <w:rPr>
          <w:rFonts w:cs="Times New Roman"/>
          <w:sz w:val="20"/>
          <w:szCs w:val="20"/>
        </w:rPr>
      </w:pPr>
      <w:r w:rsidRPr="00A65125">
        <w:rPr>
          <w:rFonts w:cs="Times New Roman"/>
          <w:sz w:val="20"/>
          <w:szCs w:val="20"/>
        </w:rPr>
        <w:t xml:space="preserve">Next, trust within </w:t>
      </w:r>
      <w:r w:rsidR="00470DA6" w:rsidRPr="00A65125">
        <w:rPr>
          <w:rFonts w:cs="Times New Roman"/>
          <w:sz w:val="20"/>
          <w:szCs w:val="20"/>
        </w:rPr>
        <w:t>IOC workflows</w:t>
      </w:r>
      <w:r w:rsidRPr="00A65125">
        <w:rPr>
          <w:rFonts w:cs="Times New Roman"/>
          <w:sz w:val="20"/>
          <w:szCs w:val="20"/>
        </w:rPr>
        <w:t xml:space="preserve"> is compromised by operational inconsistency, particularly due to non-synchronised cut-off times and manual reconciliation. Participant 3 noted the risks introduced by even minor system errors, which can disrupt workflows for days, while Participant 4 described the recurring pressure to meet reporting deadlines despite unresolved data mismatches. This aligns with </w:t>
      </w:r>
      <w:r w:rsidRPr="00A65125">
        <w:rPr>
          <w:rFonts w:cs="Times New Roman"/>
          <w:sz w:val="20"/>
          <w:szCs w:val="20"/>
        </w:rPr>
        <w:fldChar w:fldCharType="begin" w:fldLock="1"/>
      </w:r>
      <w:r w:rsidRPr="00A65125">
        <w:rPr>
          <w:rFonts w:cs="Times New Roman"/>
          <w:sz w:val="20"/>
          <w:szCs w:val="20"/>
        </w:rPr>
        <w:instrText>ADDIN CSL_CITATION {"citationItems":[{"id":"ITEM-1","itemData":{"DOI":"https://doi.org/10.3390/jtaer16070168","abstract":"Supply Chain Finance (SCF) faces the complex problem of implementing inventory, pur- chase order and accounts receivable financing automation in terms of transaction data trust and validation. This paper aims to explore how blockchain technology adoption solves the SCF problem using a multi-case method based on the Technological Acceptance Model (TAM). With purposive sampling, 30 cases were selected on the criteria of perceived usefulness and perceived ease of use in solving SCF problems. The results show that trust, validity and distributed ledger transaction data as perceived usefulness are the main drivers of blockchain adoption because it provides solutions to SCF automation problems such as Know Your Customer (KYC), accounting, and transaction settlement. Smart contracts offer easy and fast transactions such as in L/C export processing as perceived ease to use. Of the 30 blockchain projects, 21 offer the usefulness of automated accounts receivable financing, 15 offer easy-to-use purchase order financing and 8 offer easy-to-use inventory financing processes. This study provides the current state of blockchain technology adoption by exploring 30 real application cases in SCF globally. Blockchain advantages provide automation solutions in global supply SCF practices with smart contracts, transparency and security of distributed ledger data feature.","author":[{"dropping-particle":"","family":"Rijanto","given":"Arief","non-dropping-particle":"","parse-names":false,"suffix":""}],"container-title":"J. Theor. Appl. Electron. Commer. Res.","id":"ITEM-1","issued":{"date-parts":[["2021"]]},"page":"3078-3098","title":"Blockchain Technology Adoption in Supply Chain Finance","type":"article-journal","volume":"16"},"uris":["http://www.mendeley.com/documents/?uuid=13c46af0-62e2-412f-900f-a395ec8901a3"]}],"mendeley":{"formattedCitation":"(Rijanto 2021)","manualFormatting":"Rijanto (2021)","plainTextFormattedCitation":"(Rijanto 2021)","previouslyFormattedCitation":"(Rijanto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Rijanto (2021)</w:t>
      </w:r>
      <w:r w:rsidRPr="00A65125">
        <w:rPr>
          <w:rFonts w:cs="Times New Roman"/>
          <w:sz w:val="20"/>
          <w:szCs w:val="20"/>
        </w:rPr>
        <w:fldChar w:fldCharType="end"/>
      </w:r>
      <w:r w:rsidRPr="00A65125">
        <w:rPr>
          <w:rFonts w:cs="Times New Roman"/>
          <w:sz w:val="20"/>
          <w:szCs w:val="20"/>
        </w:rPr>
        <w:t xml:space="preserve">, who argues that trust in financial collaboration deteriorates when error-prone due to manual tasks persist without systematic safeguards. Trust is not merely a relational construct but a function of system reliability, transparency, and consistency in execution </w:t>
      </w:r>
      <w:r w:rsidRPr="00A65125">
        <w:rPr>
          <w:rFonts w:cs="Times New Roman"/>
          <w:sz w:val="20"/>
          <w:szCs w:val="20"/>
        </w:rPr>
        <w:fldChar w:fldCharType="begin" w:fldLock="1"/>
      </w:r>
      <w:r w:rsidRPr="00A65125">
        <w:rPr>
          <w:rFonts w:cs="Times New Roman"/>
          <w:sz w:val="20"/>
          <w:szCs w:val="20"/>
        </w:rPr>
        <w:instrText>ADDIN CSL_CITATION {"citationItems":[{"id":"ITEM-1","itemData":{"DOI":"10.1016/j.techfore.2021.120641","ISSN":"00401625","abstract":"Blockchain technology has been advocated as a possible solution to enduring trust issues among trading partners in trade finance. We conducted in-depth interviews with industry experts to examine how blockchain technology influences the trust relationships among trading partners. Our results show that the technology enhances trust relationships by (1) improving the security of transactions and data exchanges, (2) facilitating the expression of benevolence, (3) enhancing the efficiency and the quality of communication, and (4) increasing the predictability of trading partners. The paper concludes with implications for both research and practice.","author":[{"dropping-particle":"","family":"Kowalski","given":"Michał","non-dropping-particle":"","parse-names":false,"suffix":""},{"dropping-particle":"","family":"Lee","given":"Zach W.Y.","non-dropping-particle":"","parse-names":false,"suffix":""},{"dropping-particle":"","family":"Chan","given":"Tommy K.H.","non-dropping-particle":"","parse-names":false,"suffix":""}],"container-title":"Technological Forecasting and Social Change","id":"ITEM-1","issued":{"date-parts":[["2021"]]},"page":"120641","title":"Blockchain technology and trust relationships in trade finance","type":"article-journal","volume":"166"},"uris":["http://www.mendeley.com/documents/?uuid=26c6ee96-3a4e-4b0b-b07f-47fa6f0796c4"]},{"id":"ITEM-2","itemData":{"DOI":"https://doi.org/10.17605/OSF.IO/SN9TF","abstract":"Effective rebate management is crucial for organizations to optimize their supply chain operations; improve financial performance; and strengthen supplier relationships. This article presents a comprehensive framework for rebate management; covering the entire lifecycle from negotiating agreements to monitoring supplier performance. Key aspects include accurate data capture and validation; efficient rebate accrual and calculation; streamlined claim processing and approval; timely rebate settlement and payment; and continuous supplier performance optimization. The article emphasizes the importance of cross-functional collaboration; robust data management practices; and strategic use of technology solutions. Organizations that proactively address the challenges and opportunities associated with rebate management can achieve sustainable growth; maintain a competitive edge; and foster long-term; mutually beneficial supplier relationships in an increasingly complex business landscape","author":[{"dropping-particle":"","family":"Shivaraj","given":"Gayathri","non-dropping-particle":"","parse-names":false,"suffix":""}],"container-title":"International Journal of Advanced Research in Engineering and Technology","id":"ITEM-2","issue":"3","issued":{"date-parts":[["2024"]]},"page":"110-118","title":"OPTIMIZING REBATE MANAGEMENT IN SUPPLY CHAIN OPERATIONS","type":"article-journal","volume":"15"},"uris":["http://www.mendeley.com/documents/?uuid=18bf65e5-0289-42d8-8923-5def8e3a97ee"]}],"mendeley":{"formattedCitation":"(Kowalski et al. 2021; Shivaraj 2024)","plainTextFormattedCitation":"(Kowalski et al. 2021; Shivaraj 2024)","previouslyFormattedCitation":"(Kowalski et al. 2021; Shivaraj 2024)"},"properties":{"noteIndex":0},"schema":"https://github.com/citation-style-language/schema/raw/master/csl-citation.json"}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(Kowalski et al. 2021; Shivaraj 2024)</w:t>
      </w:r>
      <w:r w:rsidRPr="00A65125">
        <w:rPr>
          <w:rFonts w:cs="Times New Roman"/>
          <w:sz w:val="20"/>
          <w:szCs w:val="20"/>
        </w:rPr>
        <w:fldChar w:fldCharType="end"/>
      </w:r>
      <w:r w:rsidRPr="00A65125">
        <w:rPr>
          <w:rFonts w:cs="Times New Roman"/>
          <w:sz w:val="20"/>
          <w:szCs w:val="20"/>
        </w:rPr>
        <w:t xml:space="preserve">. In a public sector context, trust is weakened when performance outcomes rely heavily on personal effort rather than institutional mechanisms. </w:t>
      </w:r>
      <w:r w:rsidRPr="00A65125">
        <w:rPr>
          <w:rFonts w:cs="Times New Roman"/>
          <w:sz w:val="20"/>
          <w:szCs w:val="20"/>
        </w:rPr>
        <w:fldChar w:fldCharType="begin" w:fldLock="1"/>
      </w:r>
      <w:r w:rsidRPr="00A65125">
        <w:rPr>
          <w:rFonts w:cs="Times New Roman"/>
          <w:sz w:val="20"/>
          <w:szCs w:val="20"/>
        </w:rPr>
        <w:instrText>ADDIN CSL_CITATION {"citationItems":[{"id":"ITEM-1","itemData":{"DOI":"10.1108/INMR-05-2020-0060","ISSN":"25158961","abstract":"Purpose: The study aim is to evaluate the contribution of Blockchain technology (Cryptobanking) using expected operating model (EOM) to address the pain points in reconciliation at middle and back-office operational levels in assessing the significance of this technology on return on investment. Design/methodology/approach: A structured questionnaire was designed to collect primary data using a stratified sampling method from 120 respondents working in leading Investment banks operating in the geographical locality of urban Bangalore. Demographic variables, accounting variables, data reporting variables, approach variables, variables of EOM were considered to validate the hypothesis with the help of statistical tools, namely ANOVA, and Multiple Stepwise Regression Analysis. Findings: The results obtained confirm that there is significant difference in reconciliation with implementation of an innovative business process. Financial analysis is the highest predictor of ROI when integrated with technology as the adapted Blockchain innovation in reconciliation is the most influencing factor in enhancing, improving ROI playing a pivotal role in the Investment banks. Originality/value: Blockchain technology (Cryptobanking) facilitates in transforming the reconciliation process of these banks with improved operational efficiency. Blockchain and settlement platforms offer inter-organization solutions facilitating in the reconciliation of various transactions in real-time through a trust-based network in the form of digital settlements with better consortiums.","author":[{"dropping-particle":"","family":"Vedapradha","given":"R.","non-dropping-particle":"","parse-names":false,"suffix":""},{"dropping-particle":"","family":"Ravi","given":"Hariharan","non-dropping-particle":"","parse-names":false,"suffix":""}],"container-title":"Innovation and Management Review","id":"ITEM-1","issue":"1","issued":{"date-parts":[["2023"]]},"page":"17-27","publisher-place":"India","title":"Blockchain: an EOM approach to reconciliation in banking","type":"article-journal","volume":"20"},"uris":["http://www.mendeley.com/documents/?uuid=c0f57f7a-8065-4b31-ac55-ad661baec26f"]}],"mendeley":{"formattedCitation":"(Vedapradha &amp; Ravi 2023)","manualFormatting":"Vedapradha and Ravi (2023)","plainTextFormattedCitation":"(Vedapradha &amp; Ravi 2023)","previouslyFormattedCitation":"(Vedapradha &amp; Ravi 2023)"},"properties":{"noteIndex":0},"schema":"https://github.com/citation-style-language/schema/raw/master/csl-citation.json"}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Vedapradha and Ravi (2023)</w:t>
      </w:r>
      <w:r w:rsidRPr="00A65125">
        <w:rPr>
          <w:rFonts w:cs="Times New Roman"/>
          <w:sz w:val="20"/>
          <w:szCs w:val="20"/>
        </w:rPr>
        <w:fldChar w:fldCharType="end"/>
      </w:r>
      <w:r w:rsidRPr="00A65125">
        <w:rPr>
          <w:rFonts w:cs="Times New Roman"/>
          <w:sz w:val="20"/>
          <w:szCs w:val="20"/>
        </w:rPr>
        <w:t xml:space="preserve"> argue that repeated human intervention in data reconciliation signals systemic fragility and lowers stakeholder confidence. Hence, the research underscores the need for improved systems to enhance trust and reliability, such as integrating real-time data validation and automated reconciliation tools (</w:t>
      </w:r>
      <w:r w:rsidRPr="00A65125">
        <w:rPr>
          <w:rFonts w:cs="Times New Roman"/>
          <w:sz w:val="20"/>
          <w:szCs w:val="20"/>
        </w:rPr>
        <w:fldChar w:fldCharType="begin" w:fldLock="1"/>
      </w:r>
      <w:r w:rsidRPr="00A65125">
        <w:rPr>
          <w:rFonts w:cs="Times New Roman"/>
          <w:sz w:val="20"/>
          <w:szCs w:val="20"/>
        </w:rPr>
        <w:instrText>ADDIN CSL_CITATION {"citationItems":[{"id":"ITEM-1","itemData":{"DOI":"10.1109/ACCESS.2021.3075568","ISSN":"2169-3536","abstract":"The ongoing digital transformation and internationalization of business processes cause a shift towards a more collaborative nature of processes. In such collaborations, different organizations execute separate parts of the process autonomously. This fragmentation leads to uncertainty regarding the correct execution of activities, the proper workflow, and data in the process flow. If organizations engage in business together, trust is needed. Therefore, we propose Trust Mining as an analytical approach to better understand uncertainties and the potential trust issues that arise from them. Trust Mining takes a business process model as an input and analyzes uncertainties and relationships. In the end, an evaluation regarding the trust requirements of specific stakeholders is given. Furthermore, we present a prototypical implementation and illustrate how Trust Mining can be used in trust-aware process (re-)design.","author":[{"dropping-particle":"","family":"Muller","given":"Marcel","non-dropping-particle":"","parse-names":false,"suffix":""},{"dropping-particle":"","family":"Ostern","given":"Nadine","non-dropping-particle":"","parse-names":false,"suffix":""},{"dropping-particle":"","family":"Koljada","given":"Denis","non-dropping-particle":"","parse-names":false,"suffix":""},{"dropping-particle":"","family":"Grunert","given":"Kai","non-dropping-particle":"","parse-names":false,"suffix":""},{"dropping-particle":"","family":"Rosemann","given":"Michael","non-dropping-particle":"","parse-names":false,"suffix":""},{"dropping-particle":"","family":"Kupper","given":"Axel","non-dropping-particle":"","parse-names":false,"suffix":""}],"container-title":"IEEE Access","id":"ITEM-1","issued":{"date-parts":[["2021"]]},"page":"65044-65065","title":"Trust Mining: Analyzing Trust in Collaborative Business Processes","type":"article-journal","volume":"9"},"uris":["http://www.mendeley.com/documents/?uuid=45d407ff-22a2-4394-8c42-a333c5472111"]},{"id":"ITEM-2","itemData":{"DOI":"10.2308/JETA-19-06-01-28","ISSN":"1554-1908","abstract":"Reconciliation of transactions between multiple parties is a time-consuming process. This paper presents a new conceptual framework that may lower costs and shorten the reconciliation time. The proposed framework recommends recording transactions on the blockchain before populating the transacting parties’ respective enterprise resource planning (ERP) systems, which will be the source of a single truth. This information flow will result in all involved parties having access to the same transaction details. Further, the paper presents a technical feasibility demonstration with two examples, where all involved parties are executing transaction details on the blockchain after meeting the governing smart contract constraints using their digital wallets. The new conceptual framework has been specifically designed to create one truth for all parties involved in a transaction that in turn may eliminate what is perceived to be unnecessary redundancy in current accounting systems.","author":[{"dropping-particle":"","family":"Gomaa","given":"Ahmed A.","non-dropping-particle":"","parse-names":false,"suffix":""},{"dropping-particle":"","family":"Gomaa","given":"Mohamed I.","non-dropping-particle":"","parse-names":false,"suffix":""},{"dropping-particle":"","family":"Boumediene","given":"Salem L.","non-dropping-particle":"","parse-names":false,"suffix":""},{"dropping-particle":"","family":"Farag","given":"Magdy S.","non-dropping-particle":"","parse-names":false,"suffix":""}],"container-title":"Journal of Emerging Technologies in Accounting","id":"ITEM-2","issue":"1","issued":{"date-parts":[["2023","5","1"]]},"page":"59-75","title":"The Creation of One Truth: Single-Ledger Entries for Multiple Stakeholders Using Blockchain Technology to Address the Reconciliation Problem","type":"article-journal","volume":"20"},"uris":["http://www.mendeley.com/documents/?uuid=d11dd8db-eb58-4685-a0ed-b18b1df99721"]}],"mendeley":{"formattedCitation":"(Gomaa et al. 2023; Muller et al. 2021)","plainTextFormattedCitation":"(Gomaa et al. 2023; Muller et al. 2021)","previouslyFormattedCitation":"(Gomaa et al. 2023; Muller et al.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Gomaa et al. 2023; Muller et al. 2021)</w:t>
      </w:r>
      <w:r w:rsidRPr="00A65125">
        <w:rPr>
          <w:rFonts w:cs="Times New Roman"/>
          <w:sz w:val="20"/>
          <w:szCs w:val="20"/>
        </w:rPr>
        <w:fldChar w:fldCharType="end"/>
      </w:r>
      <w:r w:rsidRPr="00A65125">
        <w:rPr>
          <w:rFonts w:cs="Times New Roman"/>
          <w:sz w:val="20"/>
          <w:szCs w:val="20"/>
        </w:rPr>
        <w:t>, ensuring continuity and reducing dependency on individual resilience.</w:t>
      </w:r>
    </w:p>
    <w:p w14:paraId="68DD1C7E" w14:textId="704FB6FC" w:rsidR="00646F06" w:rsidRPr="00A65125" w:rsidRDefault="00646F06" w:rsidP="00A65125">
      <w:pPr>
        <w:pStyle w:val="BodyText1"/>
        <w:rPr>
          <w:rFonts w:cs="Times New Roman"/>
          <w:sz w:val="20"/>
          <w:szCs w:val="20"/>
        </w:rPr>
      </w:pPr>
      <w:r w:rsidRPr="00A65125">
        <w:rPr>
          <w:rFonts w:cs="Times New Roman"/>
          <w:sz w:val="20"/>
          <w:szCs w:val="20"/>
        </w:rPr>
        <w:t xml:space="preserve">Meanwhile, lack of control in </w:t>
      </w:r>
      <w:r w:rsidR="00470DA6" w:rsidRPr="00A65125">
        <w:rPr>
          <w:rFonts w:cs="Times New Roman"/>
          <w:sz w:val="20"/>
          <w:szCs w:val="20"/>
        </w:rPr>
        <w:t>IOC workflows</w:t>
      </w:r>
      <w:r w:rsidRPr="00A65125">
        <w:rPr>
          <w:rFonts w:cs="Times New Roman"/>
          <w:sz w:val="20"/>
          <w:szCs w:val="20"/>
        </w:rPr>
        <w:t xml:space="preserve"> reveals a critical challenge in SLA monitoring. Participant 1 and Participant 2 acknowledged that penalties for delayed fund transfers were never applied, and Participant 3 attributed this to the absence of procedural guidance, language barrier, and insufficient monitoring capacity. This reflects broader issues noted by </w:t>
      </w:r>
      <w:r w:rsidRPr="00A65125">
        <w:rPr>
          <w:rFonts w:cs="Times New Roman"/>
          <w:sz w:val="20"/>
          <w:szCs w:val="20"/>
        </w:rPr>
        <w:fldChar w:fldCharType="begin" w:fldLock="1"/>
      </w:r>
      <w:r w:rsidRPr="00A65125">
        <w:rPr>
          <w:rFonts w:cs="Times New Roman"/>
          <w:sz w:val="20"/>
          <w:szCs w:val="20"/>
        </w:rPr>
        <w:instrText>ADDIN CSL_CITATION {"citationItems":[{"id":"ITEM-1","itemData":{"DOI":"10.1007/s10257-022-00551-w","ISSN":"16179854","abstract":"Service providers compose services in service chains that require deep integration of core operational information systems across organizations. Additionally, advanced analytics inform data-driven decision-making in corresponding AI-enabled business processes in today’s complex environments. However, individual partner engagements with service consumers and providers often entail individually negotiated, highly customized Service Level Agreements (SLAs) comprising engagement-specific metrics that semantically differ from general KPIs utilized on a broader operational (i.e., cross-client) level. Furthermore, the number of unique SLAs to be managed increases with the size of such service chains. The resulting complexity pushes large organizations to employ dedicated SLA management systems, but such ‘siloed’ approaches make it difficult to leverage insights from SLA evaluations and predictions for decision-making in core business processes, and vice versa. Consequently, simultaneous optimization for both global operational process efficiency and engagement-specific SLA compliance is hampered. To address these shortcomings, we propose our vision of supplying online, AI-supported SLA analytics to data-driven, intelligent core workflows of the enterprise and discuss current research challenges arising from this vision. Exemplified by two scenarios derived from real use cases in industry and public administration, we demonstrate the need for improved semantic alignment of heavily customized SLAs with AI-enabled operational systems. Moreover, we discuss specific challenges of prescriptive SLA analytics under multi-engagement SLA awareness and how the dual role of AI in such scenarios demands bidirectional data exchange between operational processes and SLA management. Finally, we discuss the implications of federating AI-supported SLA analytics across organizations.","author":[{"dropping-particle":"","family":"Engel","given":"Robert","non-dropping-particle":"","parse-names":false,"suffix":""},{"dropping-particle":"","family":"Fernandez","given":"Pablo","non-dropping-particle":"","parse-names":false,"suffix":""},{"dropping-particle":"","family":"Ruiz-Cortes","given":"Antonio","non-dropping-particle":"","parse-names":false,"suffix":""},{"dropping-particle":"","family":"Megahed","given":"Aly","non-dropping-particle":"","parse-names":false,"suffix":""},{"dropping-particle":"","family":"Ojeda-Perez","given":"Juan","non-dropping-particle":"","parse-names":false,"suffix":""}],"container-title":"Information Systems and e-Business Management","id":"ITEM-1","issue":"1","issued":{"date-parts":[["2022"]]},"page":"199-221","title":"SLA-aware operational efficiency in AI-enabled service chains: challenges ahead","type":"article-journal","volume":"20"},"uris":["http://www.mendeley.com/documents/?uuid=4842b70c-428b-45b0-9c23-dac4bf4cc897"]}],"mendeley":{"formattedCitation":"(Engel et al. 2022)","manualFormatting":"Engel et al. (2022)","plainTextFormattedCitation":"(Engel et al. 2022)","previouslyFormattedCitation":"(Engel et al. 2022)"},"properties":{"noteIndex":0},"schema":"https://github.com/citation-style-language/schema/raw/master/csl-citation.json"}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Engel et al. (2022)</w:t>
      </w:r>
      <w:r w:rsidRPr="00A65125">
        <w:rPr>
          <w:rFonts w:cs="Times New Roman"/>
          <w:sz w:val="20"/>
          <w:szCs w:val="20"/>
        </w:rPr>
        <w:fldChar w:fldCharType="end"/>
      </w:r>
      <w:r w:rsidRPr="00A65125">
        <w:rPr>
          <w:rFonts w:cs="Times New Roman"/>
          <w:sz w:val="20"/>
          <w:szCs w:val="20"/>
        </w:rPr>
        <w:t xml:space="preserve">, who found that SLA in the TLD often fail due to inadequate operational mechanisms rather than flaws in the contractual design itself. Control in </w:t>
      </w:r>
      <w:r w:rsidR="00470DA6" w:rsidRPr="00A65125">
        <w:rPr>
          <w:rFonts w:cs="Times New Roman"/>
          <w:sz w:val="20"/>
          <w:szCs w:val="20"/>
        </w:rPr>
        <w:t>IOC workflows</w:t>
      </w:r>
      <w:r w:rsidRPr="00A65125">
        <w:rPr>
          <w:rFonts w:cs="Times New Roman"/>
          <w:sz w:val="20"/>
          <w:szCs w:val="20"/>
        </w:rPr>
        <w:t xml:space="preserve"> ensures predictability and standardised performance, particularly through codified mechanisms like SLA </w:t>
      </w:r>
      <w:r w:rsidR="000F6D89" w:rsidRPr="00A65125">
        <w:rPr>
          <w:rFonts w:cs="Times New Roman"/>
          <w:sz w:val="20"/>
          <w:szCs w:val="20"/>
        </w:rPr>
        <w:fldChar w:fldCharType="begin" w:fldLock="1"/>
      </w:r>
      <w:r w:rsidR="000F6D89" w:rsidRPr="00A65125">
        <w:rPr>
          <w:rFonts w:cs="Times New Roman"/>
          <w:sz w:val="20"/>
          <w:szCs w:val="20"/>
        </w:rPr>
        <w:instrText>ADDIN CSL_CITATION {"citationItems":[{"id":"ITEM-1","itemData":{"DOI":"10.1016/j.techfore.2022.121981","ISSN":"00401625","abstract":"The proliferation of blockchain-based platform ecosystems in recent years has prompted scholars across various disciplines to explore the conditions leading to their successful deployment. However, developing a blockchain-based platform ecosystem creates various challenges for the platform sponsor that may influence industry-wide adoption and, ultimately, the platform's success. This study follows the development of TradeLens, a leading global shipping platform ecosystem underpinned by blockchain technology. We examine the factors affecting industry-wide adoption among global supply chain actors by unpacking platform value drivers and platform governance mechanisms identified at TradeLens. While the platform value hinges on the digitalization of workflows and the ecosystem leverage, the platform governance includes strategic (off-chain), technology (on-chain), and interoperability (on- and off-chain) governance – as mechanisms for effectively managing a blockchain-based platform ecosystem. This paper contributes to the literature on blockchain-based platform ecosystems and the platform literature.","author":[{"dropping-particle":"","family":"Jovanovic","given":"Marin","non-dropping-particle":"","parse-names":false,"suffix":""},{"dropping-particle":"","family":"Kostić","given":"Nikola","non-dropping-particle":"","parse-names":false,"suffix":""},{"dropping-particle":"","family":"Sebastian","given":"Ina M.","non-dropping-particle":"","parse-names":false,"suffix":""},{"dropping-particle":"","family":"Sedej","given":"Tomaz","non-dropping-particle":"","parse-names":false,"suffix":""}],"container-title":"Technological Forecasting and Social Change","id":"ITEM-1","issue":"August","issued":{"date-parts":[["2022"]]},"title":"Managing a blockchain-based platform ecosystem for industry-wide adoption: The case of TradeLens","type":"article-journal","volume":"184"},"uris":["http://www.mendeley.com/documents/?uuid=54c7726c-fe66-4ad8-893f-f7c49db17439"]},{"id":"ITEM-2","itemData":{"DOI":"10.1561/1400000032","ISSN":"1554-0642","author":[{"dropping-particle":"","family":"Anderson","given":"Shannon W.","non-dropping-particle":"","parse-names":false,"suffix":""},{"dropping-particle":"","family":"Dekker","given":"Henri C.","non-dropping-particle":"","parse-names":false,"suffix":""}],"container-title":"Foundations and Trends® in Accounting","id":"ITEM-2","issue":"2","issued":{"date-parts":[["2014"]]},"page":"75-141","title":"The Role of Management Controls in Transforming Firm Boundaries and Sustaining Hybrid Organizational Forms","type":"article-journal","volume":"8"},"uris":["http://www.mendeley.com/documents/?uuid=bed0ba2b-3aa3-4489-b10a-87e0089f5cc5"]}],"mendeley":{"formattedCitation":"(Anderson &amp; Dekker 2014; Jovanovic et al. 2022)","plainTextFormattedCitation":"(Anderson &amp; Dekker 2014; Jovanovic et al. 2022)","previouslyFormattedCitation":"(Anderson &amp; Dekker 2014; Jovanovic et al. 2022)"},"properties":{"noteIndex":0},"schema":"https://github.com/citation-style-language/schema/raw/master/csl-citation.json"}</w:instrText>
      </w:r>
      <w:r w:rsidR="000F6D89" w:rsidRPr="00A65125">
        <w:rPr>
          <w:rFonts w:cs="Times New Roman"/>
          <w:sz w:val="20"/>
          <w:szCs w:val="20"/>
        </w:rPr>
        <w:fldChar w:fldCharType="separate"/>
      </w:r>
      <w:r w:rsidR="000F6D89" w:rsidRPr="00A65125">
        <w:rPr>
          <w:rFonts w:cs="Times New Roman"/>
          <w:noProof/>
          <w:sz w:val="20"/>
          <w:szCs w:val="20"/>
        </w:rPr>
        <w:t>(Anderson &amp; Dekker 2014; Jovanovic et al. 2022)</w:t>
      </w:r>
      <w:r w:rsidR="000F6D89" w:rsidRPr="00A65125">
        <w:rPr>
          <w:rFonts w:cs="Times New Roman"/>
          <w:sz w:val="20"/>
          <w:szCs w:val="20"/>
        </w:rPr>
        <w:fldChar w:fldCharType="end"/>
      </w:r>
      <w:r w:rsidRPr="00A65125">
        <w:rPr>
          <w:rFonts w:cs="Times New Roman"/>
          <w:sz w:val="20"/>
          <w:szCs w:val="20"/>
        </w:rPr>
        <w:t xml:space="preserve">. However, </w:t>
      </w:r>
      <w:r w:rsidR="000F6D89" w:rsidRPr="00A65125">
        <w:rPr>
          <w:rFonts w:cs="Times New Roman"/>
          <w:sz w:val="20"/>
          <w:szCs w:val="20"/>
        </w:rPr>
        <w:fldChar w:fldCharType="begin" w:fldLock="1"/>
      </w:r>
      <w:r w:rsidR="000F6D89" w:rsidRPr="00A65125">
        <w:rPr>
          <w:rFonts w:cs="Times New Roman"/>
          <w:sz w:val="20"/>
          <w:szCs w:val="20"/>
        </w:rPr>
        <w:instrText>ADDIN CSL_CITATION {"citationItems":[{"id":"ITEM-1","itemData":{"DOI":"10.1108/JFRA-03-2023-491","ISSN":"20425856","author":[{"dropping-particle":"","family":"Yaseen","given":"Saad G.","non-dropping-particle":"","parse-names":false,"suffix":""}],"container-title":"Journal of Financial Reporting and Accounting","id":"ITEM-1","issue":"1","issued":{"date-parts":[["2023"]]},"page":"1-4","title":"Guest editorial: Digital accounting, financial technology and data analytics","type":"article-journal","volume":"21"},"uris":["http://www.mendeley.com/documents/?uuid=278f6233-4e1b-4089-ae4a-2c3019ffa24e"]}],"mendeley":{"formattedCitation":"(Yaseen 2023)","manualFormatting":"Yaseen (2023)","plainTextFormattedCitation":"(Yaseen 2023)","previouslyFormattedCitation":"(Yaseen 2023)"},"properties":{"noteIndex":0},"schema":"https://github.com/citation-style-language/schema/raw/master/csl-citation.json"}</w:instrText>
      </w:r>
      <w:r w:rsidR="000F6D89" w:rsidRPr="00A65125">
        <w:rPr>
          <w:rFonts w:cs="Times New Roman"/>
          <w:sz w:val="20"/>
          <w:szCs w:val="20"/>
        </w:rPr>
        <w:fldChar w:fldCharType="separate"/>
      </w:r>
      <w:r w:rsidR="000F6D89" w:rsidRPr="00A65125">
        <w:rPr>
          <w:rFonts w:cs="Times New Roman"/>
          <w:noProof/>
          <w:sz w:val="20"/>
          <w:szCs w:val="20"/>
        </w:rPr>
        <w:t>Yaseen (2023)</w:t>
      </w:r>
      <w:r w:rsidR="000F6D89" w:rsidRPr="00A65125">
        <w:rPr>
          <w:rFonts w:cs="Times New Roman"/>
          <w:sz w:val="20"/>
          <w:szCs w:val="20"/>
        </w:rPr>
        <w:fldChar w:fldCharType="end"/>
      </w:r>
      <w:r w:rsidRPr="00A65125">
        <w:rPr>
          <w:rFonts w:cs="Times New Roman"/>
          <w:sz w:val="20"/>
          <w:szCs w:val="20"/>
        </w:rPr>
        <w:t xml:space="preserve"> contends that control mechanisms must be actively implemented, not merely documented. In TLD’s case, the disconnect between SLA policy and practice reinforces the argument that static contractual tools are ineffective without dynamic, system-supported enforcement, a need that cannot be overstated. </w:t>
      </w:r>
      <w:r w:rsidR="000F6D89" w:rsidRPr="00A65125">
        <w:rPr>
          <w:rFonts w:cs="Times New Roman"/>
          <w:sz w:val="20"/>
          <w:szCs w:val="20"/>
        </w:rPr>
        <w:fldChar w:fldCharType="begin" w:fldLock="1"/>
      </w:r>
      <w:r w:rsidR="000F6D89" w:rsidRPr="00A65125">
        <w:rPr>
          <w:rFonts w:cs="Times New Roman"/>
          <w:sz w:val="20"/>
          <w:szCs w:val="20"/>
        </w:rPr>
        <w:instrText>ADDIN CSL_CITATION {"citationItems":[{"id":"ITEM-1","itemData":{"DOI":"10.1108/JGOSS-05-2020-0024","ISSN":"23985364","abstract":"Purpose: This paper aims to explore the challenges and opportunities of blockchain technology adoption from the lens of the technological–organisational–environmental (TOE) framework for operational excellence in the UK automotive industry context. Design/methodology/approach: The research methodology of this study follows a systematic review approach, which analyses existing academic published research papers in the top 35 academic journals. There was no specific timeframe established for this study and shortlisting the articles through a set of used keywords. A sample of 71 articles was shortlisted and analysed to provide a discussion on technological and management challenges and opportunities of blockchain adoption from the lens of the TOE framework for operational excellence. Findings: The findings of this study present significant theoretical and managerial implications and deep understanding for firms seeking to understand the challenges and opportunities of blockchain adoption for their operational excellence. Research limitations/implications: The systematic literature approach was considered for the present study to explore existing academic papers on technological and management challenges and opportunities from the lens of TOE framework for operational excellence, whereas a more specified method meta-analysis can be considered for future research. The study has been explored in the UK automotive industry context, which has been considered as the limitation of generalisation across countries and industries. Originality/value: This paper represents the most comprehensive literature study related to the technological and management challenges and opportunities of blockchain from the TOE framework angle for operational excellence.","author":[{"dropping-particle":"","family":"Upadhyay","given":"Arvind","non-dropping-particle":"","parse-names":false,"suffix":""},{"dropping-particle":"","family":"Ayodele","given":"Julius Oluwasunkanmi","non-dropping-particle":"","parse-names":false,"suffix":""},{"dropping-particle":"","family":"Kumar","given":"Anil","non-dropping-particle":"","parse-names":false,"suffix":""},{"dropping-particle":"","family":"Garza-Reyes","given":"Jose Arturo","non-dropping-particle":"","parse-names":false,"suffix":""}],"container-title":"Journal of Global Operations and Strategic Sourcing","id":"ITEM-1","issue":"1","issued":{"date-parts":[["2021","1","1"]]},"page":"7-60","publisher":"Emerald Publishing Limited","title":"A review of challenges and opportunities of blockchain adoption for operational excellence in the UK automotive industry","type":"article-journal","volume":"14"},"uris":["http://www.mendeley.com/documents/?uuid=552225be-9e2b-4415-85cd-8570f4a9b1b5"]},{"id":"ITEM-2","itemData":{"DOI":"10.1109/access.2023.3344038","ISSN":"21693536","author":[{"dropping-particle":"","family":"Nguyen","given":"Trung-Viet","non-dropping-particle":"","parse-names":false,"suffix":""},{"dropping-particle":"","family":"Lê","given":"Lam-Son","non-dropping-particle":"","parse-names":false,"suffix":""},{"dropping-particle":"","family":"Shah","given":"Syed Attique","non-dropping-particle":"","parse-names":false,"suffix":""},{"dropping-particle":"","family":"Hameed","given":"Sufian","non-dropping-particle":"","parse-names":false,"suffix":""},{"dropping-particle":"","family":"Draheim","given":"Dirk","non-dropping-particle":"","parse-names":false,"suffix":""}],"container-title":"IEEE Access","id":"ITEM-2","issue":"November 2023","issued":{"date-parts":[["2023"]]},"page":"1-1","publisher":"IEEE","publisher-place":"Vietnam","title":"PenChain: A Blockchain-Based Platform for Penalty-Aware Service Provisioning","type":"article-journal","volume":"12"},"uris":["http://www.mendeley.com/documents/?uuid=759d6a02-eb0b-48d0-9108-373443982209"]}],"mendeley":{"formattedCitation":"(Nguyen et al. 2023; A. Upadhyay et al. 2021)","manualFormatting":"Nguyen et al. (2023) and Upadhyay et al. (2021)","plainTextFormattedCitation":"(Nguyen et al. 2023; A. Upadhyay et al. 2021)","previouslyFormattedCitation":"(Nguyen et al. 2023; A. Upadhyay et al. 2021)"},"properties":{"noteIndex":0},"schema":"https://github.com/citation-style-language/schema/raw/master/csl-citation.json"}</w:instrText>
      </w:r>
      <w:r w:rsidR="000F6D89" w:rsidRPr="00A65125">
        <w:rPr>
          <w:rFonts w:cs="Times New Roman"/>
          <w:sz w:val="20"/>
          <w:szCs w:val="20"/>
        </w:rPr>
        <w:fldChar w:fldCharType="separate"/>
      </w:r>
      <w:r w:rsidR="000F6D89" w:rsidRPr="00A65125">
        <w:rPr>
          <w:rFonts w:cs="Times New Roman"/>
          <w:noProof/>
          <w:sz w:val="20"/>
          <w:szCs w:val="20"/>
        </w:rPr>
        <w:t>Nguyen et al. (2023) and Upadhyay et al. (2021)</w:t>
      </w:r>
      <w:r w:rsidR="000F6D89" w:rsidRPr="00A65125">
        <w:rPr>
          <w:rFonts w:cs="Times New Roman"/>
          <w:sz w:val="20"/>
          <w:szCs w:val="20"/>
        </w:rPr>
        <w:fldChar w:fldCharType="end"/>
      </w:r>
      <w:r w:rsidRPr="00A65125">
        <w:rPr>
          <w:rFonts w:cs="Times New Roman"/>
          <w:sz w:val="20"/>
          <w:szCs w:val="20"/>
        </w:rPr>
        <w:t xml:space="preserve"> advocate embedding SLA compliance into digital infrastructures, such as smart contracts and automated monitoring dashboards, to institutionalise control and close enforcement gaps.</w:t>
      </w:r>
    </w:p>
    <w:p w14:paraId="25561396" w14:textId="713EA198" w:rsidR="000F6D89" w:rsidRPr="00A65125" w:rsidRDefault="000F6D89" w:rsidP="00A65125">
      <w:pPr>
        <w:pStyle w:val="BodyText1"/>
        <w:rPr>
          <w:rFonts w:cs="Times New Roman"/>
          <w:sz w:val="20"/>
          <w:szCs w:val="20"/>
        </w:rPr>
      </w:pPr>
      <w:r w:rsidRPr="00A65125">
        <w:rPr>
          <w:rFonts w:cs="Times New Roman"/>
          <w:sz w:val="20"/>
          <w:szCs w:val="20"/>
        </w:rPr>
        <w:t xml:space="preserve">Communication across </w:t>
      </w:r>
      <w:r w:rsidR="00470DA6" w:rsidRPr="00A65125">
        <w:rPr>
          <w:rFonts w:cs="Times New Roman"/>
          <w:sz w:val="20"/>
          <w:szCs w:val="20"/>
        </w:rPr>
        <w:t>IOC workflows</w:t>
      </w:r>
      <w:r w:rsidRPr="00A65125">
        <w:rPr>
          <w:rFonts w:cs="Times New Roman"/>
          <w:sz w:val="20"/>
          <w:szCs w:val="20"/>
        </w:rPr>
        <w:t xml:space="preserve"> is currently inconsistent and over-reliant on informal platforms. Participants 4 reported frequent use of WhatsApp and phone calls instead of formal email channels, mainly when delays occurred. This practice has led to variations in responsiveness among bank personnel, introducing coordination uncertainty. These insights are supported by </w:t>
      </w:r>
      <w:r w:rsidRPr="00A65125">
        <w:rPr>
          <w:rFonts w:cs="Times New Roman"/>
          <w:sz w:val="20"/>
          <w:szCs w:val="20"/>
        </w:rPr>
        <w:fldChar w:fldCharType="begin" w:fldLock="1"/>
      </w:r>
      <w:r w:rsidRPr="00A65125">
        <w:rPr>
          <w:rFonts w:cs="Times New Roman"/>
          <w:sz w:val="20"/>
          <w:szCs w:val="20"/>
        </w:rPr>
        <w:instrText>ADDIN CSL_CITATION {"citationItems":[{"id":"ITEM-1","itemData":{"DOI":"10.1108/AAAJ-10-2020-4994","ISSN":"09513574","abstract":"Purpose: This paper aims to design, build and evaluate a blockchain platform in the accounting domain, taking an ecosystem perspective. To achieve this aim, the research provides evidence for developing a decentralised architecture rooted on blockchain technology, designing a proof of concept and modelling an accounting blockchain-based system. Design/methodology/approach: Moving from the analysis of previous literature and leveraging on the design science approach, this paper provides a framework grounded on the main pillars of blockchain and accounting functions, identifying technical and non-technical issues that must be addressed embrace blockchain technology's full potential. Findings: We propose and discuss a conceptual framework for a blockchain-based accounting context, moving from the identification of a typical accounting scenario. The framework is organised around three scalable levels: the first level is a technological infrastructure based on a distributed database with peer-to-peer storage; second, in the intermediate level, increasing control levels are assured through permissions and validation and third, in the higher level, the system provides the integration of business and security applications. The deployment of this system relies on a private network of nodes that validates transactions. Practical implications: The proposed conceptual framework about blockchain development in accounting allows closing the knowledge gap between blockchain developers and accounting experts by suggesting technological and strategic issues for practitioners. Originality/value: We provide practical guidelines to design and adopt blockchain in the accounting domain.","author":[{"dropping-particle":"","family":"Centobelli","given":"Piera","non-dropping-particle":"","parse-names":false,"suffix":""},{"dropping-particle":"","family":"Cerchione","given":"Roberto","non-dropping-particle":"","parse-names":false,"suffix":""},{"dropping-particle":"","family":"Vecchio","given":"Pasquale","non-dropping-particle":"Del","parse-names":false,"suffix":""},{"dropping-particle":"","family":"Oropallo","given":"Eugenio","non-dropping-particle":"","parse-names":false,"suffix":""},{"dropping-particle":"","family":"Secundo","given":"Giustina","non-dropping-particle":"","parse-names":false,"suffix":""}],"container-title":"Accounting, Auditing and Accountability Journal","id":"ITEM-1","issue":"7","issued":{"date-parts":[["2022"]]},"page":"1566-1597","publisher-place":"Italy","title":"Blockchain technology design in accounting: Game changer to tackle fraud or technological fairy tale?","type":"article-journal","volume":"35"},"uris":["http://www.mendeley.com/documents/?uuid=4abd4a1a-795b-4fae-a994-ce2c77c363c1"]}],"mendeley":{"formattedCitation":"(Centobelli et al. 2022)","manualFormatting":"Centobelli et al. (2022)","plainTextFormattedCitation":"(Centobelli et al. 2022)","previouslyFormattedCitation":"(Centobelli et al. 2022)"},"properties":{"noteIndex":0},"schema":"https://github.com/citation-style-language/schema/raw/master/csl-citation.json"}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Centobelli et al. (2022)</w:t>
      </w:r>
      <w:r w:rsidRPr="00A65125">
        <w:rPr>
          <w:rFonts w:cs="Times New Roman"/>
          <w:sz w:val="20"/>
          <w:szCs w:val="20"/>
        </w:rPr>
        <w:fldChar w:fldCharType="end"/>
      </w:r>
      <w:r w:rsidRPr="00A65125">
        <w:rPr>
          <w:rFonts w:cs="Times New Roman"/>
          <w:sz w:val="20"/>
          <w:szCs w:val="20"/>
        </w:rPr>
        <w:t xml:space="preserve">, who argue that fragmented communication practices contribute to response delays and accountability breakdowns in multi-agency environments. Effective information exchange depends on structured, timely, and traceable communication processes </w:t>
      </w:r>
      <w:r w:rsidRPr="00A65125">
        <w:rPr>
          <w:rFonts w:cs="Times New Roman"/>
          <w:sz w:val="20"/>
          <w:szCs w:val="20"/>
        </w:rPr>
        <w:fldChar w:fldCharType="begin" w:fldLock="1"/>
      </w:r>
      <w:r w:rsidRPr="00A65125">
        <w:rPr>
          <w:rFonts w:cs="Times New Roman"/>
          <w:sz w:val="20"/>
          <w:szCs w:val="20"/>
        </w:rPr>
        <w:instrText>ADDIN CSL_CITATION {"citationItems":[{"id":"ITEM-1","itemData":{"DOI":"10.1016/j.mar.2012.03.001","ISSN":"10445005","author":[{"dropping-particle":"","family":"Caglio","given":"Ariela","non-dropping-particle":"","parse-names":false,"suffix":""},{"dropping-particle":"","family":"Ditillo","given":"Angelo","non-dropping-particle":"","parse-names":false,"suffix":""}],"container-title":"Management Accounting Research","id":"ITEM-1","issue":"2","issued":{"date-parts":[["2012","6"]]},"page":"61-78","title":"Opening the black box of management accounting information exchanges in buyer–supplier relationships","type":"article-journal","volume":"23"},"uris":["http://www.mendeley.com/documents/?uuid=61648990-d853-4e6d-a2e6-babeec78f093"]},{"id":"ITEM-2","itemData":{"DOI":"10.2308/HORIZONS-19-147","ISSN":"1558-7975","abstract":"Blockchain technology is increasingly emerging as an important organizational phenomenon, especially for collaboration across firm boundaries. Over the past three decades, accounting scholars have shown significant interest in management accounting and control mechanisms that are used by actors to sustain inter-organizational relationships. We outline fundamental technical features and limitations of permissioned blockchain technology and analytically propose blockchain as an empirical concept with implications for management accounting practices that underpin inter-organizational collaboration, trust, control, and information exchange. Particular focus of the analysis is on the interplay between the technical capabilities of blockchain technology and inter-organizational management control procedures. Based on this analysis, we develop a series of propositions that theorize how these procedures affect the way in which blockchain is enacted in IORs, and how they are affected by blockchain in turn. The paper concludes with a research agenda for accounting scholars and offers directions for further research.","author":[{"dropping-particle":"","family":"Kostić","given":"Nikola","non-dropping-particle":"","parse-names":false,"suffix":""},{"dropping-particle":"","family":"Sedej","given":"Tomaz","non-dropping-particle":"","parse-names":false,"suffix":""}],"container-title":"Accounting Horizons","id":"ITEM-2","issue":"2","issued":{"date-parts":[["2022","6","1"]]},"page":"123-141","title":"Blockchain Technology, Inter-Organizational Relationships, and Management Accounting: A Synthesis and a Research Agenda","type":"article-journal","volume":"36"},"uris":["http://www.mendeley.com/documents/?uuid=6f39ff4b-9161-4c9b-9e25-8f0f8cbabd96"]}],"mendeley":{"formattedCitation":"(Caglio &amp; Ditillo 2012; Kostić &amp; Sedej 2022)","plainTextFormattedCitation":"(Caglio &amp; Ditillo 2012; Kostić &amp; Sedej 2022)","previouslyFormattedCitation":"(Caglio &amp; Ditillo 2012; Kostić &amp; Sedej 2022)"},"properties":{"noteIndex":0},"schema":"https://github.com/citation-style-language/schema/raw/master/csl-citation.json"}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(Caglio &amp; Ditillo 2012; Kostić &amp; Sedej 2022)</w:t>
      </w:r>
      <w:r w:rsidRPr="00A65125">
        <w:rPr>
          <w:rFonts w:cs="Times New Roman"/>
          <w:sz w:val="20"/>
          <w:szCs w:val="20"/>
        </w:rPr>
        <w:fldChar w:fldCharType="end"/>
      </w:r>
      <w:r w:rsidRPr="00A65125">
        <w:rPr>
          <w:rFonts w:cs="Times New Roman"/>
          <w:sz w:val="20"/>
          <w:szCs w:val="20"/>
        </w:rPr>
        <w:t xml:space="preserve">. However, the overuse of informal channels undermines the institutional memory and consistency needed in interorganisational settings. </w:t>
      </w:r>
      <w:r w:rsidRPr="00A65125">
        <w:rPr>
          <w:rFonts w:cs="Times New Roman"/>
          <w:sz w:val="20"/>
          <w:szCs w:val="20"/>
        </w:rPr>
        <w:fldChar w:fldCharType="begin" w:fldLock="1"/>
      </w:r>
      <w:r w:rsidRPr="00A65125">
        <w:rPr>
          <w:rFonts w:cs="Times New Roman"/>
          <w:sz w:val="20"/>
          <w:szCs w:val="20"/>
        </w:rPr>
        <w:instrText>ADDIN CSL_CITATION {"citationItems":[{"id":"ITEM-1","itemData":{"DOI":"10.1111/auar.12280","ISSN":"1035-6908","abstract":"This paper aims to propound a thorough and circumspect analysis of the implications of blockchain technology in the accounting profession and its broader industry. The analysis begins with a summary of early developments by first movers and how they are harnessing blockchain technology to improve business practices. Concomitantly, the paper will go on to discuss how this technology will streamline accounting processes, specifically as the technology approaches critical mass. Finally, a discussion of its long‐term implications will follow through a more philosophical and conceptual dialogue. Throughout the paper, criticisms will be raised to address concerns regarding blockchain's widespread use.","author":[{"dropping-particle":"","family":"Karajovic","given":"Maria","non-dropping-particle":"","parse-names":false,"suffix":""},{"dropping-particle":"","family":"Kim","given":"Henry M.","non-dropping-particle":"","parse-names":false,"suffix":""},{"dropping-particle":"","family":"Laskowski","given":"Marek","non-dropping-particle":"","parse-names":false,"suffix":""}],"container-title":"Australian Accounting Review","id":"ITEM-1","issue":"2","issued":{"date-parts":[["2019","6","15"]]},"page":"319-330","title":"Thinking Outside the Block: Projected Phases of Blockchain Integration in the Accounting Industry","type":"article-journal","volume":"29"},"uris":["http://www.mendeley.com/documents/?uuid=e7008c98-b9b3-4148-96b1-48d7ef801462"]}],"mendeley":{"formattedCitation":"(Karajovic et al. 2019)","manualFormatting":"Karajovic et al. (2019)","plainTextFormattedCitation":"(Karajovic et al. 2019)","previouslyFormattedCitation":"(Karajovic et al. 2019)"},"properties":{"noteIndex":0},"schema":"https://github.com/citation-style-language/schema/raw/master/csl-citation.json"}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Karajovic et al. (2019)</w:t>
      </w:r>
      <w:r w:rsidRPr="00A65125">
        <w:rPr>
          <w:rFonts w:cs="Times New Roman"/>
          <w:sz w:val="20"/>
          <w:szCs w:val="20"/>
        </w:rPr>
        <w:fldChar w:fldCharType="end"/>
      </w:r>
      <w:r w:rsidRPr="00A65125">
        <w:rPr>
          <w:rFonts w:cs="Times New Roman"/>
          <w:sz w:val="20"/>
          <w:szCs w:val="20"/>
        </w:rPr>
        <w:t xml:space="preserve"> emphasise that the absence of formal communication protocols increases reliance on personal relationships, which may fluctuate with staff changes. To address these issues, TLD must urgently adopt a centralised communication platform that ensures message traceability, enables standardised reporting, and supports real-time inter-agency coordination, which is crucial for maintaining transparency and responsiveness in </w:t>
      </w:r>
      <w:r w:rsidR="00470DA6" w:rsidRPr="00A65125">
        <w:rPr>
          <w:rFonts w:cs="Times New Roman"/>
          <w:sz w:val="20"/>
          <w:szCs w:val="20"/>
        </w:rPr>
        <w:t>IOC workflows</w:t>
      </w:r>
      <w:r w:rsidRPr="00A65125">
        <w:rPr>
          <w:rFonts w:cs="Times New Roman"/>
          <w:sz w:val="20"/>
          <w:szCs w:val="20"/>
        </w:rPr>
        <w:t>.</w:t>
      </w:r>
    </w:p>
    <w:p w14:paraId="76BE6FBC" w14:textId="77777777" w:rsidR="00194CF4" w:rsidRPr="00A65125" w:rsidRDefault="00194CF4" w:rsidP="00A65125">
      <w:pPr>
        <w:pStyle w:val="BodyText1"/>
        <w:ind w:firstLine="0"/>
        <w:rPr>
          <w:rFonts w:cs="Times New Roman"/>
          <w:sz w:val="20"/>
          <w:szCs w:val="20"/>
        </w:rPr>
      </w:pPr>
    </w:p>
    <w:p w14:paraId="7519AA82" w14:textId="08E700A4" w:rsidR="004E6DFF" w:rsidRPr="00A65125" w:rsidRDefault="00956CD1" w:rsidP="005764C7">
      <w:pPr>
        <w:pStyle w:val="Heading2"/>
      </w:pPr>
      <w:r w:rsidRPr="00A65125">
        <w:t xml:space="preserve">TECHNOLOGY POTENTIAL IN IMPROVING </w:t>
      </w:r>
      <w:r w:rsidR="00470DA6" w:rsidRPr="00A65125">
        <w:t>IOC WORKFLOWS</w:t>
      </w:r>
    </w:p>
    <w:p w14:paraId="4C28B47A" w14:textId="77777777" w:rsidR="00415A3B" w:rsidRPr="00A65125" w:rsidRDefault="00415A3B" w:rsidP="00A65125">
      <w:pPr>
        <w:rPr>
          <w:sz w:val="20"/>
          <w:szCs w:val="20"/>
          <w:lang w:val="en-MY" w:eastAsia="en-US"/>
        </w:rPr>
      </w:pPr>
    </w:p>
    <w:p w14:paraId="1156196D" w14:textId="10E83842" w:rsidR="00415A3B" w:rsidRPr="00A65125" w:rsidRDefault="00415A3B" w:rsidP="00A65125">
      <w:pPr>
        <w:pStyle w:val="BodyText1"/>
        <w:ind w:firstLine="0"/>
        <w:rPr>
          <w:rFonts w:cs="Times New Roman"/>
          <w:sz w:val="20"/>
          <w:szCs w:val="20"/>
        </w:rPr>
      </w:pPr>
      <w:r w:rsidRPr="00A65125">
        <w:rPr>
          <w:rFonts w:cs="Times New Roman"/>
          <w:sz w:val="20"/>
          <w:szCs w:val="20"/>
        </w:rPr>
        <w:lastRenderedPageBreak/>
        <w:t xml:space="preserve">Addressing the challenges identified in </w:t>
      </w:r>
      <w:r w:rsidR="00470DA6" w:rsidRPr="00A65125">
        <w:rPr>
          <w:rFonts w:cs="Times New Roman"/>
          <w:sz w:val="20"/>
          <w:szCs w:val="20"/>
        </w:rPr>
        <w:t>IOC workflows</w:t>
      </w:r>
      <w:r w:rsidRPr="00A65125">
        <w:rPr>
          <w:rFonts w:cs="Times New Roman"/>
          <w:sz w:val="20"/>
          <w:szCs w:val="20"/>
        </w:rPr>
        <w:t xml:space="preserve">, such as fragmented operations in collaboration, trust deficits, weak control mechanisms, and inconsistent information exchange, requires the integration of advanced digital technologies. Emerging solutions such as Artificial Intelligence (AI), Big Data analytics, and Blockchain Technology (BCT) offer significant potential to restructure interorganisational collaboration in the public sector. AI and predictive analytics can support real-time decision-making by automating anomaly detection and improving forecasting accuracy across </w:t>
      </w:r>
      <w:r w:rsidR="00470DA6" w:rsidRPr="00A65125">
        <w:rPr>
          <w:rFonts w:cs="Times New Roman"/>
          <w:sz w:val="20"/>
          <w:szCs w:val="20"/>
        </w:rPr>
        <w:t>IOC workflows</w:t>
      </w:r>
      <w:r w:rsidRPr="00A65125">
        <w:rPr>
          <w:rFonts w:cs="Times New Roman"/>
          <w:sz w:val="20"/>
          <w:szCs w:val="20"/>
        </w:rPr>
        <w:t xml:space="preserve"> </w:t>
      </w:r>
      <w:r w:rsidRPr="00A65125">
        <w:rPr>
          <w:rFonts w:cs="Times New Roman"/>
          <w:sz w:val="20"/>
          <w:szCs w:val="20"/>
        </w:rPr>
        <w:fldChar w:fldCharType="begin" w:fldLock="1"/>
      </w:r>
      <w:r w:rsidRPr="00A65125">
        <w:rPr>
          <w:rFonts w:cs="Times New Roman"/>
          <w:sz w:val="20"/>
          <w:szCs w:val="20"/>
        </w:rPr>
        <w:instrText>ADDIN CSL_CITATION {"citationItems":[{"id":"ITEM-1","itemData":{"DOI":"10.1287/orsc.2021.1562","ISSN":"1047-7039","abstract":"Technologies are changing at a rapid pace and in unpredictable ways. The scale of their impact is also far-reaching. Technologies such as artificial intelligence, data analytics, robotics, digital platforms, social media, blockchain, and 3-D printing affect many parts of the organization simultaneously, enabling new interdependencies within and between units and with actors that many organizations have typically considered to be outside their boundaries. Consequently, today’s emerging technologies have the potential to fundamentally shape all aspects of organizing. This article introduces the special issue “Emerging Technologies and Organizing.” We treat these new technologies as “emerging” because their uses and effects are still varied and have yet to stabilize around a recognizable set of patterns and because the technologies themselves are, by design, always changing and adapting. To theorize the relationship between emerging technologies and organizing, we draw on relational thinking in philosophy and sociology to develop a relational perspective on emerging technologies. Our goal in doing so is to create a new way for organizational scholars to incorporate the ever-increasing role of technology in their theorizing of key organizational processes and phenomena. By developing a relational perspective that treats emerging technologies not as stable entities, but as a set of evolving relations, we provide a novel way for organizational scholars to account for the role of technology in their topics of interest. We sketch the outlines of this relational perspective on emerging technologies and discuss the implications it has for what organizational scholars study and how we study it.","author":[{"dropping-particle":"","family":"Bailey","given":"Diane E.","non-dropping-particle":"","parse-names":false,"suffix":""},{"dropping-particle":"","family":"Faraj","given":"Samer","non-dropping-particle":"","parse-names":false,"suffix":""},{"dropping-particle":"","family":"Hinds","given":"Pamela J.","non-dropping-particle":"","parse-names":false,"suffix":""},{"dropping-particle":"","family":"Leonardi","given":"Paul M.","non-dropping-particle":"","parse-names":false,"suffix":""},{"dropping-particle":"","family":"Krogh","given":"Georg","non-dropping-particle":"von","parse-names":false,"suffix":""}],"container-title":"Organization Science","id":"ITEM-1","issue":"1","issued":{"date-parts":[["2022","1"]]},"page":"1-18","title":"We Are All Theorists of Technology Now: A Relational Perspective on Emerging Technology and Organizing","type":"article-journal","volume":"33"},"uris":["http://www.mendeley.com/documents/?uuid=34331137-737d-43f8-89fd-cb2a00584d56"]},{"id":"ITEM-2","itemData":{"abstract":"In the fast-paced world of finance, the integration of digital technologies has become imperative for businesses to stay competitive and relevant. This paper explores the profound impact of digital transformation on finance, with a specific focus on the role of accounting technology. Through a comprehensive review of existing literature and case studies, the paper examines how advancements in accounting technology have revolutionized traditional financial processes. The digital transformation of finance has led to significant improvements in efficiency, accuracy, and decision-making. Automation tools, such as artificial intelligence and machine learning algorithms, have enabled finance professionals to streamline routine tasks, such as data entry, reconciliation, and reporting. Moreover, cloud-based accounting platforms have facilitated real-time collaboration and access to financial data, enhancing agility and responsiveness to changing market conditions. The paper concludes by emphasizing the transformative impact of accounting technology on finance and the need for organizations to embrace innovation to thrive in the digital age. By leveraging cutting-edge tools and strategies, businesses can enhance their competitiveness, drive growth, and achieve sustainable success in today's dynamic financial landscape.","author":[{"dropping-particle":"","family":"Elsa","given":"Jane","non-dropping-particle":"","parse-names":false,"suffix":""},{"dropping-particle":"","family":"Halil","given":"Hakan","non-dropping-particle":"","parse-names":false,"suffix":""}],"container-title":"EasyChair Preprint","id":"ITEM-2","issued":{"date-parts":[["2024"]]},"title":"Digital Transformation in Finance: the Role of Accounting Technology","type":"article-journal","volume":"12112"},"uris":["http://www.mendeley.com/documents/?uuid=f6c04f0f-ff1e-4e27-a990-7cc37456e886"]}],"mendeley":{"formattedCitation":"(Bailey et al. 2022; Elsa &amp; Halil 2024)","plainTextFormattedCitation":"(Bailey et al. 2022; Elsa &amp; Halil 2024)","previouslyFormattedCitation":"(Bailey et al. 2022; Elsa &amp; Halil 2024)"},"properties":{"noteIndex":0},"schema":"https://github.com/citation-style-language/schema/raw/master/csl-citation.json"}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(Bailey et al. 2022; Elsa &amp; Halil 2024)</w:t>
      </w:r>
      <w:r w:rsidRPr="00A65125">
        <w:rPr>
          <w:rFonts w:cs="Times New Roman"/>
          <w:sz w:val="20"/>
          <w:szCs w:val="20"/>
        </w:rPr>
        <w:fldChar w:fldCharType="end"/>
      </w:r>
      <w:r w:rsidRPr="00A65125">
        <w:rPr>
          <w:rFonts w:cs="Times New Roman"/>
          <w:sz w:val="20"/>
          <w:szCs w:val="20"/>
        </w:rPr>
        <w:t xml:space="preserve">. These capabilities can reduce dependency on manual reconciliation while enhancing operational responsiveness. Simultaneously, Big Data and cloud computing provide scalable, interoperable environments that enable seamless data sharing and process automation, mitigating redundancy, enhancing coordination, and improving data integrity </w:t>
      </w:r>
      <w:r w:rsidRPr="00A65125">
        <w:rPr>
          <w:rFonts w:cs="Times New Roman"/>
          <w:sz w:val="20"/>
          <w:szCs w:val="20"/>
        </w:rPr>
        <w:fldChar w:fldCharType="begin" w:fldLock="1"/>
      </w:r>
      <w:r w:rsidRPr="00A65125">
        <w:rPr>
          <w:rFonts w:cs="Times New Roman"/>
          <w:sz w:val="20"/>
          <w:szCs w:val="20"/>
        </w:rPr>
        <w:instrText>ADDIN CSL_CITATION {"citationItems":[{"id":"ITEM-1","itemData":{"DOI":"10.1108/S0733-558X20190000064007","author":[{"dropping-particle":"","family":"Cepa","given":"Katharina","non-dropping-particle":"","parse-names":false,"suffix":""},{"dropping-particle":"","family":"Schildt","given":"Henri","non-dropping-particle":"","parse-names":false,"suffix":""}],"container-title":"Managing Inter-organizational Collaborations: Process Views.","id":"ITEM-1","issued":{"date-parts":[["2019","10","4"]]},"page":"91-115","title":"Technological Embeddedness of Inter-organizational Collaboration Processes","type":"chapter"},"uris":["http://www.mendeley.com/documents/?uuid=2dc70fd0-39b1-4e3a-b626-704a542c8ff6"]},{"id":"ITEM-2","itemData":{"DOI":"10.14807/ijmp.v13i3.1993","ISSN":"2236-269X","abstract":"The purpose of the study was to reveal the directions, challenges and opportunities that arise in the accounting system in the conditions of Industry 4.0, when innovative solutions based on the capabilities of new digital technologies become the management of in-demand enterprises. The role of Industry 4.0 is shown, the features of modern Industry 4 technologies are revealed, the main technologies and production processes are demonstrated, interconnected using industrial protocols to create intelligent data. The rating of digital competitiveness and their readiness to implement Industry 4.0 technologies for 64 countries of the world is given and analyzed. These factors hinder the process of digitalization in countries with a low rating. The influence of Industry 4.0 on the accounting system is determined and the technologies affected by the fourth industrial revolution in terms of accounting (Big Data or Data Analytics, Cloud Computing, AI, Blockchain, Internet of Things (IoT), Robotic Process Automation) and changes waiting for the profession of accountant. The coordination of efforts of business, education and the state in the context of the development of Industry 4.0 technologies was noted.","author":[{"dropping-particle":"","family":"Onyshchenko","given":"Oksana","non-dropping-particle":"","parse-names":false,"suffix":""},{"dropping-particle":"","family":"Shevchuk","given":"Kateryna","non-dropping-particle":"","parse-names":false,"suffix":""},{"dropping-particle":"","family":"Shara","given":"Yevheniia","non-dropping-particle":"","parse-names":false,"suffix":""},{"dropping-particle":"","family":"Koval","given":"Nataliia","non-dropping-particle":"","parse-names":false,"suffix":""},{"dropping-particle":"","family":"Demchuk","given":"Olena","non-dropping-particle":"","parse-names":false,"suffix":""}],"container-title":"Independent Journal of Management &amp; Production","id":"ITEM-2","issue":"3","issued":{"date-parts":[["2022"]]},"page":"s161-s195","title":"Industry 4.0 and accounting: directions, challenges, opportunities","type":"article-journal","volume":"13"},"uris":["http://www.mendeley.com/documents/?uuid=f8146fce-8e6f-42b8-8c0c-8ef09afbbbe0"]}],"mendeley":{"formattedCitation":"(Cepa &amp; Schildt 2019; Onyshchenko et al. 2022)","plainTextFormattedCitation":"(Cepa &amp; Schildt 2019; Onyshchenko et al. 2022)","previouslyFormattedCitation":"(Cepa &amp; Schildt 2019; Onyshchenko et al. 2022)"},"properties":{"noteIndex":0},"schema":"https://github.com/citation-style-language/schema/raw/master/csl-citation.json"}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(Cepa &amp; Schildt 2019; Onyshchenko et al. 2022)</w:t>
      </w:r>
      <w:r w:rsidRPr="00A65125">
        <w:rPr>
          <w:rFonts w:cs="Times New Roman"/>
          <w:sz w:val="20"/>
          <w:szCs w:val="20"/>
        </w:rPr>
        <w:fldChar w:fldCharType="end"/>
      </w:r>
      <w:r w:rsidRPr="00A65125">
        <w:rPr>
          <w:rFonts w:cs="Times New Roman"/>
          <w:sz w:val="20"/>
          <w:szCs w:val="20"/>
        </w:rPr>
        <w:t>..</w:t>
      </w:r>
    </w:p>
    <w:p w14:paraId="37D63D1D" w14:textId="526DAC72" w:rsidR="00194CF4" w:rsidRPr="00A65125" w:rsidRDefault="00415A3B" w:rsidP="00A65125">
      <w:pPr>
        <w:pStyle w:val="BodyText1"/>
        <w:rPr>
          <w:rFonts w:cs="Times New Roman"/>
          <w:sz w:val="20"/>
          <w:szCs w:val="20"/>
        </w:rPr>
      </w:pPr>
      <w:r w:rsidRPr="00A65125">
        <w:rPr>
          <w:rFonts w:cs="Times New Roman"/>
          <w:sz w:val="20"/>
          <w:szCs w:val="20"/>
        </w:rPr>
        <w:t xml:space="preserve">However, among these technologies, BCT emerges as a promising solution for addressing the </w:t>
      </w:r>
      <w:r w:rsidR="00470DA6" w:rsidRPr="00A65125">
        <w:rPr>
          <w:rFonts w:cs="Times New Roman"/>
          <w:sz w:val="20"/>
          <w:szCs w:val="20"/>
        </w:rPr>
        <w:t>IOC workflows</w:t>
      </w:r>
      <w:r w:rsidRPr="00A65125">
        <w:rPr>
          <w:rFonts w:cs="Times New Roman"/>
          <w:sz w:val="20"/>
          <w:szCs w:val="20"/>
        </w:rPr>
        <w:t xml:space="preserve"> challenges identified at TLD. Its decentralised and immutable ledger enables real-time data visibility, secure multi-party access, and enhanced audit trails. BCT can facilitate automated reconciliation, smart contract-based SLA enforcement, and secure, traceable communication across agencies </w:t>
      </w:r>
      <w:r w:rsidR="007D6460" w:rsidRPr="00A65125">
        <w:rPr>
          <w:rFonts w:cs="Times New Roman"/>
          <w:sz w:val="20"/>
          <w:szCs w:val="20"/>
        </w:rPr>
        <w:fldChar w:fldCharType="begin" w:fldLock="1"/>
      </w:r>
      <w:r w:rsidR="007D6460" w:rsidRPr="00A65125">
        <w:rPr>
          <w:rFonts w:cs="Times New Roman"/>
          <w:sz w:val="20"/>
          <w:szCs w:val="20"/>
        </w:rPr>
        <w:instrText>ADDIN CSL_CITATION {"citationItems":[{"id":"ITEM-1","itemData":{"DOI":"10.1007/s40171-023-00369-6","ISSN":"09740198","abstract":"The major purpose of this study is to investigate the role of coopetition among supply chains in blockchain adoption leading to sustainability in supply chains. This research uses a three-step process. First, a review of reviews is conducted to search the variables that would positively influence adoption of blockchain in supply chain. In the second step, total interpretive structural modeling (TISM) was utilized to understand the relationships among the enablers. Following the qualitative phase, an empirical study was conducted to test the hypotheses related to the mediating role of coopetition. Review of reviews identified 17 variables that can positively influence blockchain adoption in supply chain. The findings of TISM model revealed the hierarchical relationship among the enablers of blockchain adoption for supply chain management based on their relative importance. The results of the SEM-based study indicated that ‘coopetition’ plays a mediating role between the driver and dependent variables leading to sustainable supply chain. The research offers practical insights to integrate blockchain application in the supply chains leading to better supply chain transparency and ultimately sustainability. The research would support managers to develop suitable strategies to strengthen mechanism to enhance coopetition among competing supply chain to realize the benefits of emerging technologies. The originality of the study lies in the study of variables that influence blockchain adoption in supply chain using a mixed-method approach. Further, the research establishes the critical role of coopetition in achieving the benefits of blockchain adoption.","author":[{"dropping-particle":"","family":"Faisal","given":"Mohd Nishat","non-dropping-particle":"","parse-names":false,"suffix":""},{"dropping-particle":"Bin","family":"Sabir","given":"Lamay","non-dropping-particle":"","parse-names":false,"suffix":""},{"dropping-particle":"","family":"AlNaimi","given":"Maryam Saad","non-dropping-particle":"","parse-names":false,"suffix":""},{"dropping-particle":"","family":"Sharif","given":"Khurrum J.","non-dropping-particle":"","parse-names":false,"suffix":""},{"dropping-particle":"","family":"Uddin","given":"S. M.Fatah","non-dropping-particle":"","parse-names":false,"suffix":""}],"container-title":"Global Journal of Flexible Systems Management","id":"ITEM-1","issue":"1","issued":{"date-parts":[["2024"]]},"page":"117-136","publisher":"Springer India","title":"Critical Role of Coopetition Among Supply Chains for Blockchain Adoption: Review of Reviews and Mixed-Method Analysis","type":"article-journal","volume":"25"},"uris":["http://www.mendeley.com/documents/?uuid=cb12fb80-92e5-4cb2-a568-dab1753b2ff0"]},{"id":"ITEM-2","itemData":{"DOI":"10.4102/ac.v23i1.1097","ISSN":"16841999","abstract":"Orientation: The monopolistic nature of the clearing and settlement industry in South Africa impedes competition and the adoption of new technologies on account of profitability and total market share; there is little incentive to adopt new technologies such as blockchain. Clearing and settlement is currently administrated by shares transactions totally electronic (STRATE) using a centralised database. Blockchain technology is a decentralised advanced database mechanism allowing multiple institutional contributors to the database. Research purpose: This study’s objective was to identify perspectives on the potential role of blockchain technology in the securities clearing and settlement industry in South Africa. Motivation for the study: The emergence and adoption of blockchain technology across industries warrants research on the perceived impact of its adoption in the securities clearing and settement industry. Research design, approach and method: A qualitative research approach using semi-structured interviews was employed to collect data among stakeholders in the securities value chain in South Africa. Using social media, participants were identified through a combination of purposive and snowball sampling. Data were analysed using thematic data analysis with the aid of Atlas.ti software. Main findings: The study found that stakeholders are of the view that blockchain technology has the potential to improve settlement speed, increase automation of the process, increase efficiency, remove human error, remove the single point of failure, increase market size, create a more secure database, improve auditability, increase transparency, improve current infrastructure, eliminate intermediaries, and reduce the cost to users in the South African context. Practical/managerial implications and contribution/value-add: The contribution to practice is illustrated by two alternatives: the adoption of blockchain technology through the formation of a consortium, or a private network.","author":[{"dropping-particle":"","family":"Dowelani","given":"Musimuni","non-dropping-particle":"","parse-names":false,"suffix":""},{"dropping-particle":"","family":"Okoro","given":"Chioma","non-dropping-particle":"","parse-names":false,"suffix":""},{"dropping-particle":"","family":"Olaleye","given":"Abel","non-dropping-particle":"","parse-names":false,"suffix":""}],"container-title":"Acta Commercii - Independent Research Journal in the Management Sciences","id":"ITEM-2","issue":"1","issued":{"date-parts":[["2023"]]},"page":"1-12","title":"Blockchain technology in the clearing and settlement industry in South Africa","type":"article-journal","volume":"23"},"uris":["http://www.mendeley.com/documents/?uuid=e87db8de-b68b-4cb0-8178-3c128460a1a4"]}],"mendeley":{"formattedCitation":"(Dowelani et al. 2023; Faisal et al. 2024)","plainTextFormattedCitation":"(Dowelani et al. 2023; Faisal et al. 2024)","previouslyFormattedCitation":"(Dowelani et al. 2023; Faisal et al. 2024)"},"properties":{"noteIndex":0},"schema":"https://github.com/citation-style-language/schema/raw/master/csl-citation.json"}</w:instrText>
      </w:r>
      <w:r w:rsidR="007D6460" w:rsidRPr="00A65125">
        <w:rPr>
          <w:rFonts w:cs="Times New Roman"/>
          <w:sz w:val="20"/>
          <w:szCs w:val="20"/>
        </w:rPr>
        <w:fldChar w:fldCharType="separate"/>
      </w:r>
      <w:r w:rsidR="007D6460" w:rsidRPr="00A65125">
        <w:rPr>
          <w:rFonts w:cs="Times New Roman"/>
          <w:noProof/>
          <w:sz w:val="20"/>
          <w:szCs w:val="20"/>
        </w:rPr>
        <w:t>(Dowelani et al. 2023; Faisal et al. 2024)</w:t>
      </w:r>
      <w:r w:rsidR="007D6460" w:rsidRPr="00A65125">
        <w:rPr>
          <w:rFonts w:cs="Times New Roman"/>
          <w:sz w:val="20"/>
          <w:szCs w:val="20"/>
        </w:rPr>
        <w:fldChar w:fldCharType="end"/>
      </w:r>
      <w:r w:rsidR="007D6460" w:rsidRPr="00A65125">
        <w:rPr>
          <w:rFonts w:cs="Times New Roman"/>
          <w:sz w:val="20"/>
          <w:szCs w:val="20"/>
        </w:rPr>
        <w:t>.</w:t>
      </w:r>
      <w:r w:rsidRPr="00A65125">
        <w:rPr>
          <w:rFonts w:cs="Times New Roman"/>
          <w:sz w:val="20"/>
          <w:szCs w:val="20"/>
        </w:rPr>
        <w:t xml:space="preserve"> Prior study demonstrates BCT’s effectiveness in automating settlement processes and improving coordination in logistics and banking sectors </w:t>
      </w:r>
      <w:r w:rsidR="007D6460" w:rsidRPr="00A65125">
        <w:rPr>
          <w:rFonts w:cs="Times New Roman"/>
          <w:sz w:val="20"/>
          <w:szCs w:val="20"/>
        </w:rPr>
        <w:fldChar w:fldCharType="begin" w:fldLock="1"/>
      </w:r>
      <w:r w:rsidR="007D6460" w:rsidRPr="00A65125">
        <w:rPr>
          <w:rFonts w:cs="Times New Roman"/>
          <w:sz w:val="20"/>
          <w:szCs w:val="20"/>
        </w:rPr>
        <w:instrText>ADDIN CSL_CITATION {"citationItems":[{"id":"ITEM-1","itemData":{"DOI":"10.1108/JGOSS-04-2020-0018","ISSN":"23985364","abstract":"Purpose: The purpose of this study is to develop a framework for a freight consolidation company to adopt blockchain for the shipping community. Our research critically examine the challenges faced by a global shipping company that offer freight consolidation businesses and explore the use of Blockchain technology to enhance the competitiveness and sustainability of freight booking operations. Design/methodology/approach: This paper is a case study, ECU Worldwide, with focus on transforming their operations using blockchain technology for the freight booking industry. As the case is explorative in nature, the research aim to unearth the complex blockchain adoption phenomenon in the industry as the technology is very nascent at present. The research is primarily grounded on Technology Acceptance Model (TAM) theory. Findings: The research finds that blockchain technology supports solving many issues and inefficiencies of global shipping operations but there are some barriers that they need to overcome. The research provides a framework and recommendations for global company to consider when considering Blockchain technology for implementation. Our research finding shows that smart contracts can be set up at critical points along with the shipment route namely the storage, customs, carrier, transporters and consignee stage to ensure greater security and transparency. Research limitations/implications: The research provides recommendations to key stakeholders involved in freight forwarding segment of logistics industry while adopting blockchain technology. Apart from the methodological limitation of the research, the research is limited to Singapore in terms of geographical coverage. Practical implications: The drivers and barriers identified in the study can give practitioners insight of using blockchain for the industry. The proposed framework can assist companies in the shipping industry to prepare themselves to adopt blockchain for the community. Originality/value: This case study is the first of its kind to examine the use of blockchain to explore the adoption in logistics Industry in Singapore and perhaps worldwide.","author":[{"dropping-particle":"","family":"Tan","given":"Wee Kwan","non-dropping-particle":"","parse-names":false,"suffix":""},{"dropping-particle":"","family":"Sundarakani","given":"Balan","non-dropping-particle":"","parse-names":false,"suffix":""}],"container-title":"Journal of Global Operations and Strategic Sourcing","id":"ITEM-1","issue":"1","issued":{"date-parts":[["2021"]]},"page":"202-223","publisher-place":"Malaysia","title":"Assessing Blockchain Technology application for freight booking business: a case study from Technology Acceptance Model perspective","type":"article-journal","volume":"14"},"uris":["http://www.mendeley.com/documents/?uuid=778fccd2-b7d7-42ee-8a78-77f2872ab83f"]},{"id":"ITEM-2","itemData":{"DOI":"10.1108/INMR-05-2020-0060","ISSN":"25158961","abstract":"Purpose: The study aim is to evaluate the contribution of Blockchain technology (Cryptobanking) using expected operating model (EOM) to address the pain points in reconciliation at middle and back-office operational levels in assessing the significance of this technology on return on investment. Design/methodology/approach: A structured questionnaire was designed to collect primary data using a stratified sampling method from 120 respondents working in leading Investment banks operating in the geographical locality of urban Bangalore. Demographic variables, accounting variables, data reporting variables, approach variables, variables of EOM were considered to validate the hypothesis with the help of statistical tools, namely ANOVA, and Multiple Stepwise Regression Analysis. Findings: The results obtained confirm that there is significant difference in reconciliation with implementation of an innovative business process. Financial analysis is the highest predictor of ROI when integrated with technology as the adapted Blockchain innovation in reconciliation is the most influencing factor in enhancing, improving ROI playing a pivotal role in the Investment banks. Originality/value: Blockchain technology (Cryptobanking) facilitates in transforming the reconciliation process of these banks with improved operational efficiency. Blockchain and settlement platforms offer inter-organization solutions facilitating in the reconciliation of various transactions in real-time through a trust-based network in the form of digital settlements with better consortiums.","author":[{"dropping-particle":"","family":"Vedapradha","given":"R.","non-dropping-particle":"","parse-names":false,"suffix":""},{"dropping-particle":"","family":"Ravi","given":"Hariharan","non-dropping-particle":"","parse-names":false,"suffix":""}],"container-title":"Innovation and Management Review","id":"ITEM-2","issue":"1","issued":{"date-parts":[["2023"]]},"page":"17-27","publisher-place":"India","title":"Blockchain: an EOM approach to reconciliation in banking","type":"article-journal","volume":"20"},"uris":["http://www.mendeley.com/documents/?uuid=c0f57f7a-8065-4b31-ac55-ad661baec26f"]},{"id":"ITEM-3","itemData":{"DOI":"10.1080/10864415.2024.2332051","ISSN":"1086-4415","abstract":"Organizations today are shifting toward collaborative forms of value creation and rely on digital technologies to operate interorganizational processes. This has led blockchain technology to gain considerable momentum, given its ability to foster collaboration among multiple actors. Nevertheless, despite its benefits, building a blockchain-based platform requires integrating heterogeneous needs and adapting to decentralized governance structures. This research investigates the successful deployment of a blockchain-based solution for interbank collaboration. Our empirical analysis focuses on the Spunta Banca DLT Project, initiated in 2017 to automate the interbank reconciliation processes in Italy, through the deployment of a permissioned blockchain-based solution. A qualitative analysis of interview data collected from project participants was conducted to gain insights on the process to build a blockchain-based platform for interbank collaboration. The findings of our exploratory case study reveal that successful deployment hinges on a sequential legitimacy-building process, encompassing pragmatic, normative, and cognitive legitimacy. © 2024 The Author(s). Published with license by Taylor &amp; Francis Group, LLC.","author":[{"dropping-particle":"","family":"Spahiu","given":"Esli","non-dropping-particle":"","parse-names":false,"suffix":""},{"dropping-particle":"","family":"Spagnoletti","given":"Paolo","non-dropping-particle":"","parse-names":false,"suffix":""},{"dropping-particle":"","family":"Sposito","given":"Augusto","non-dropping-particle":"","parse-names":false,"suffix":""}],"container-title":"International Journal of Electronic Commerce","id":"ITEM-3","issue":"2","issued":{"date-parts":[["2024","4","2"]]},"note":"Cited by: 0; All Open Access, Hybrid Gold Open Access","page":"269-291","publisher":"Routledge","title":"Building a Blockchain-Based Platform for Interbank Collaboration","type":"article-journal","volume":"28"},"uris":["http://www.mendeley.com/documents/?uuid=8c779613-b2cd-46be-a507-59533f45c28f"]}],"mendeley":{"formattedCitation":"(Spahiu et al. 2024; Tan &amp; Sundarakani 2021; Vedapradha &amp; Ravi 2023)","plainTextFormattedCitation":"(Spahiu et al. 2024; Tan &amp; Sundarakani 2021; Vedapradha &amp; Ravi 2023)","previouslyFormattedCitation":"(Spahiu et al. 2024; Tan &amp; Sundarakani 2021; Vedapradha &amp; Ravi 2023)"},"properties":{"noteIndex":0},"schema":"https://github.com/citation-style-language/schema/raw/master/csl-citation.json"}</w:instrText>
      </w:r>
      <w:r w:rsidR="007D6460" w:rsidRPr="00A65125">
        <w:rPr>
          <w:rFonts w:cs="Times New Roman"/>
          <w:sz w:val="20"/>
          <w:szCs w:val="20"/>
        </w:rPr>
        <w:fldChar w:fldCharType="separate"/>
      </w:r>
      <w:r w:rsidR="007D6460" w:rsidRPr="00A65125">
        <w:rPr>
          <w:rFonts w:cs="Times New Roman"/>
          <w:noProof/>
          <w:sz w:val="20"/>
          <w:szCs w:val="20"/>
        </w:rPr>
        <w:t>(Spahiu et al. 2024; Tan &amp; Sundarakani 2021; Vedapradha &amp; Ravi 2023)</w:t>
      </w:r>
      <w:r w:rsidR="007D6460" w:rsidRPr="00A65125">
        <w:rPr>
          <w:rFonts w:cs="Times New Roman"/>
          <w:sz w:val="20"/>
          <w:szCs w:val="20"/>
        </w:rPr>
        <w:fldChar w:fldCharType="end"/>
      </w:r>
      <w:r w:rsidR="00495028" w:rsidRPr="00A65125">
        <w:rPr>
          <w:rFonts w:cs="Times New Roman"/>
          <w:sz w:val="20"/>
          <w:szCs w:val="20"/>
        </w:rPr>
        <w:t xml:space="preserve"> </w:t>
      </w:r>
      <w:r w:rsidRPr="00A65125">
        <w:rPr>
          <w:rFonts w:cs="Times New Roman"/>
          <w:sz w:val="20"/>
          <w:szCs w:val="20"/>
        </w:rPr>
        <w:t xml:space="preserve">both comparable to the public sector e-payment context. Moreover, in Malaysia, the </w:t>
      </w:r>
      <w:r w:rsidR="007D6460" w:rsidRPr="00A65125">
        <w:rPr>
          <w:rFonts w:cs="Times New Roman"/>
          <w:sz w:val="20"/>
          <w:szCs w:val="20"/>
        </w:rPr>
        <w:fldChar w:fldCharType="begin" w:fldLock="1"/>
      </w:r>
      <w:r w:rsidR="00F63CFC" w:rsidRPr="00A65125">
        <w:rPr>
          <w:rFonts w:cs="Times New Roman"/>
          <w:sz w:val="20"/>
          <w:szCs w:val="20"/>
        </w:rPr>
        <w:instrText>ADDIN CSL_CITATION {"citationItems":[{"id":"ITEM-1","itemData":{"author":[{"dropping-particle":"","family":"Ministry of Science Innovation and Technology","given":"","non-dropping-particle":"","parse-names":false,"suffix":""}],"id":"ITEM-1","issued":{"date-parts":[["2021"]]},"number-of-pages":"1-46","title":"National Blockchain Roadmap 2021-2025","type":"report"},"uris":["http://www.mendeley.com/documents/?uuid=69f312f3-88b8-46ae-a4ae-c05848206dc2"]}],"mendeley":{"formattedCitation":"(Ministry of Science Innovation and Technology 2021)","manualFormatting":"Ministry of Science Innovation and Technology (2021)","plainTextFormattedCitation":"(Ministry of Science Innovation and Technology 2021)","previouslyFormattedCitation":"(Ministry of Science Innovation and Technology 2021)"},"properties":{"noteIndex":0},"schema":"https://github.com/citation-style-language/schema/raw/master/csl-citation.json"}</w:instrText>
      </w:r>
      <w:r w:rsidR="007D6460" w:rsidRPr="00A65125">
        <w:rPr>
          <w:rFonts w:cs="Times New Roman"/>
          <w:sz w:val="20"/>
          <w:szCs w:val="20"/>
        </w:rPr>
        <w:fldChar w:fldCharType="separate"/>
      </w:r>
      <w:r w:rsidR="007D6460" w:rsidRPr="00A65125">
        <w:rPr>
          <w:rFonts w:cs="Times New Roman"/>
          <w:noProof/>
          <w:sz w:val="20"/>
          <w:szCs w:val="20"/>
        </w:rPr>
        <w:t>Ministry of Science Innovation and Technology (2021)</w:t>
      </w:r>
      <w:r w:rsidR="007D6460" w:rsidRPr="00A65125">
        <w:rPr>
          <w:rFonts w:cs="Times New Roman"/>
          <w:sz w:val="20"/>
          <w:szCs w:val="20"/>
        </w:rPr>
        <w:fldChar w:fldCharType="end"/>
      </w:r>
      <w:r w:rsidR="007D6460" w:rsidRPr="00A65125">
        <w:rPr>
          <w:rFonts w:cs="Times New Roman"/>
          <w:sz w:val="20"/>
          <w:szCs w:val="20"/>
        </w:rPr>
        <w:t xml:space="preserve"> in the </w:t>
      </w:r>
      <w:r w:rsidRPr="00A65125">
        <w:rPr>
          <w:rFonts w:cs="Times New Roman"/>
          <w:sz w:val="20"/>
          <w:szCs w:val="20"/>
        </w:rPr>
        <w:t xml:space="preserve">National Blockchain Roadmap (2021–2025) underscores the BCT’s potential in improving public sector governance, enhancing transparency, reducing fraud, and improving service delivery </w:t>
      </w:r>
      <w:r w:rsidR="007D6460" w:rsidRPr="00A65125">
        <w:rPr>
          <w:rFonts w:cs="Times New Roman"/>
          <w:sz w:val="20"/>
          <w:szCs w:val="20"/>
        </w:rPr>
        <w:fldChar w:fldCharType="begin" w:fldLock="1"/>
      </w:r>
      <w:r w:rsidR="007D6460" w:rsidRPr="00A65125">
        <w:rPr>
          <w:rFonts w:cs="Times New Roman"/>
          <w:sz w:val="20"/>
          <w:szCs w:val="20"/>
        </w:rPr>
        <w:instrText>ADDIN CSL_CITATION {"citationItems":[{"id":"ITEM-1","itemData":{"DOI":"10.51594/farj.v6i6.1246","abstract":"This review paper examines the integration of blockchain technology into supply chain accounting, highlighting its potential to revolutionize transparency and efficiency in the field. Through a detailed analysis, the paper discusses blockchain's fundamental principles, including decentralization, immutability, and transparency, and their applicability to overcoming current challenges in supply chain accounting. It explores the theoretical underpinnings supporting blockchain's adoption, practical implications for businesses, and the operational changes required. Despite promising prospects, the paper identifies significant research gaps and calls for empirical studies to validate blockchain's benefits further. It concludes by reflecting on the technology's future implications, emphasizing the need for continuous innovation and stakeholder collaboration to fully realize blockchain's potential in enhancing supply chain accounting practices.","author":[{"dropping-particle":"","family":"Ibiyemi","given":"Motunrayo Oluremi","non-dropping-particle":"","parse-names":false,"suffix":""},{"dropping-particle":"","family":"Olutimehin","given":"David Olanrewaju","non-dropping-particle":"","parse-names":false,"suffix":""}],"container-title":"Finance &amp; Accounting Research Journal","id":"ITEM-1","issue":"6","issued":{"date-parts":[["2024"]]},"page":"1124-1133","title":"Blockchain in supply chain accounting : Enhancing transparency and efficiency","type":"article-journal","volume":"6"},"uris":["http://www.mendeley.com/documents/?uuid=335499b5-3968-4a32-9862-6fca7c20c59b"]}],"mendeley":{"formattedCitation":"(Ibiyemi &amp; Olutimehin 2024)","plainTextFormattedCitation":"(Ibiyemi &amp; Olutimehin 2024)","previouslyFormattedCitation":"(Ibiyemi &amp; Olutimehin 2024)"},"properties":{"noteIndex":0},"schema":"https://github.com/citation-style-language/schema/raw/master/csl-citation.json"}</w:instrText>
      </w:r>
      <w:r w:rsidR="007D6460" w:rsidRPr="00A65125">
        <w:rPr>
          <w:rFonts w:cs="Times New Roman"/>
          <w:sz w:val="20"/>
          <w:szCs w:val="20"/>
        </w:rPr>
        <w:fldChar w:fldCharType="separate"/>
      </w:r>
      <w:r w:rsidR="007D6460" w:rsidRPr="00A65125">
        <w:rPr>
          <w:rFonts w:cs="Times New Roman"/>
          <w:noProof/>
          <w:sz w:val="20"/>
          <w:szCs w:val="20"/>
        </w:rPr>
        <w:t>(Ibiyemi &amp; Olutimehin 2024)</w:t>
      </w:r>
      <w:r w:rsidR="007D6460" w:rsidRPr="00A65125">
        <w:rPr>
          <w:rFonts w:cs="Times New Roman"/>
          <w:sz w:val="20"/>
          <w:szCs w:val="20"/>
        </w:rPr>
        <w:fldChar w:fldCharType="end"/>
      </w:r>
      <w:r w:rsidRPr="00A65125">
        <w:rPr>
          <w:rFonts w:cs="Times New Roman"/>
          <w:sz w:val="20"/>
          <w:szCs w:val="20"/>
        </w:rPr>
        <w:t>. Recently, the government affirmed the strategic direction toward BCT integration, particularly in mission-critical areas such as financial oversight.</w:t>
      </w:r>
      <w:r w:rsidR="007D6460" w:rsidRPr="00A65125">
        <w:rPr>
          <w:rFonts w:cs="Times New Roman"/>
          <w:sz w:val="20"/>
          <w:szCs w:val="20"/>
        </w:rPr>
        <w:t xml:space="preserve"> </w:t>
      </w:r>
      <w:r w:rsidRPr="00A65125">
        <w:rPr>
          <w:rFonts w:cs="Times New Roman"/>
          <w:sz w:val="20"/>
          <w:szCs w:val="20"/>
        </w:rPr>
        <w:t xml:space="preserve">In conclusion, AI, Big Data, and BCT technologies present viable pathways to overcome the coordination, control, and transparency issues observed in TLD’s </w:t>
      </w:r>
      <w:r w:rsidR="00470DA6" w:rsidRPr="00A65125">
        <w:rPr>
          <w:rFonts w:cs="Times New Roman"/>
          <w:sz w:val="20"/>
          <w:szCs w:val="20"/>
        </w:rPr>
        <w:t>IOC workflows</w:t>
      </w:r>
      <w:r w:rsidRPr="00A65125">
        <w:rPr>
          <w:rFonts w:cs="Times New Roman"/>
          <w:sz w:val="20"/>
          <w:szCs w:val="20"/>
        </w:rPr>
        <w:t xml:space="preserve">. Future implementation efforts should prioritise piloting blockchain-enabled frameworks tailored to the </w:t>
      </w:r>
      <w:r w:rsidR="00470DA6" w:rsidRPr="00A65125">
        <w:rPr>
          <w:rFonts w:cs="Times New Roman"/>
          <w:sz w:val="20"/>
          <w:szCs w:val="20"/>
        </w:rPr>
        <w:t>IOC workflows</w:t>
      </w:r>
      <w:r w:rsidRPr="00A65125">
        <w:rPr>
          <w:rFonts w:cs="Times New Roman"/>
          <w:sz w:val="20"/>
          <w:szCs w:val="20"/>
        </w:rPr>
        <w:t xml:space="preserve"> and specific reconciliation and SLA challenges within Malaysia’s public sector finance ecosystem.</w:t>
      </w:r>
    </w:p>
    <w:p w14:paraId="57D49D24" w14:textId="77777777" w:rsidR="00653907" w:rsidRPr="00A65125" w:rsidRDefault="00653907" w:rsidP="00A65125">
      <w:pPr>
        <w:rPr>
          <w:sz w:val="20"/>
          <w:szCs w:val="20"/>
          <w:lang w:val="en-MY" w:eastAsia="en-US"/>
        </w:rPr>
      </w:pPr>
    </w:p>
    <w:p w14:paraId="54EB3637" w14:textId="7B77810B" w:rsidR="00777F85" w:rsidRPr="00A65125" w:rsidRDefault="007D6460" w:rsidP="005764C7">
      <w:pPr>
        <w:pStyle w:val="Heading2"/>
      </w:pPr>
      <w:r w:rsidRPr="00A65125">
        <w:t>EMERGING THEME</w:t>
      </w:r>
    </w:p>
    <w:p w14:paraId="18BD5F7F" w14:textId="77777777" w:rsidR="000357AC" w:rsidRPr="00A65125" w:rsidRDefault="000357AC" w:rsidP="00A65125">
      <w:pPr>
        <w:rPr>
          <w:sz w:val="20"/>
          <w:szCs w:val="20"/>
          <w:lang w:val="en-MY" w:eastAsia="en-US"/>
        </w:rPr>
      </w:pPr>
    </w:p>
    <w:p w14:paraId="23CF3004" w14:textId="233CED3B" w:rsidR="003F157D" w:rsidRPr="00A65125" w:rsidRDefault="003F157D" w:rsidP="00A65125">
      <w:pPr>
        <w:pStyle w:val="BodyText1"/>
        <w:ind w:firstLine="0"/>
        <w:rPr>
          <w:rFonts w:cs="Times New Roman"/>
          <w:sz w:val="20"/>
          <w:szCs w:val="20"/>
        </w:rPr>
      </w:pPr>
      <w:r w:rsidRPr="00A65125">
        <w:rPr>
          <w:rFonts w:cs="Times New Roman"/>
          <w:sz w:val="20"/>
          <w:szCs w:val="20"/>
        </w:rPr>
        <w:t>As part of the central theme, this study also identifies four emerging themes</w:t>
      </w:r>
      <w:r w:rsidR="00495028" w:rsidRPr="00A65125">
        <w:rPr>
          <w:rFonts w:cs="Times New Roman"/>
          <w:sz w:val="20"/>
          <w:szCs w:val="20"/>
        </w:rPr>
        <w:t xml:space="preserve"> such as </w:t>
      </w:r>
      <w:r w:rsidRPr="00A65125">
        <w:rPr>
          <w:rFonts w:cs="Times New Roman"/>
          <w:sz w:val="20"/>
          <w:szCs w:val="20"/>
        </w:rPr>
        <w:t>Brain Drain, Own Effort, Personal Traits, and Want to Be Appreciated</w:t>
      </w:r>
      <w:r w:rsidR="00495028" w:rsidRPr="00A65125">
        <w:rPr>
          <w:rFonts w:cs="Times New Roman"/>
          <w:sz w:val="20"/>
          <w:szCs w:val="20"/>
        </w:rPr>
        <w:t xml:space="preserve"> </w:t>
      </w:r>
      <w:r w:rsidRPr="00A65125">
        <w:rPr>
          <w:rFonts w:cs="Times New Roman"/>
          <w:sz w:val="20"/>
          <w:szCs w:val="20"/>
        </w:rPr>
        <w:t xml:space="preserve">highlighting critical human and organisational factors beyond the technical challenges. Brain Drain signals the risk of institutional knowledge loss due to staff turnover. Own Effort reflects reliance on individual initiative to address workflow gaps, while Personal Traits, such as resilience and adaptability, are essential for navigating systemic inefficiencies. Want to Be Appreciated underscores the role of recognition in sustaining motivation. These findings align with studies emphasising the importance of retention </w:t>
      </w:r>
      <w:r w:rsidRPr="00A65125">
        <w:rPr>
          <w:rFonts w:cs="Times New Roman"/>
          <w:sz w:val="20"/>
          <w:szCs w:val="20"/>
        </w:rPr>
        <w:fldChar w:fldCharType="begin" w:fldLock="1"/>
      </w:r>
      <w:r w:rsidRPr="00A65125">
        <w:rPr>
          <w:rFonts w:cs="Times New Roman"/>
          <w:sz w:val="20"/>
          <w:szCs w:val="20"/>
        </w:rPr>
        <w:instrText>ADDIN CSL_CITATION {"citationItems":[{"id":"ITEM-1","itemData":{"DOI":"10.3390/jtaer16060135","ISSN":"0718-1876","abstract":"Indonesia’s e-commerce development, with growth forecast of up to USD 300 billion by 2020, encourages many e-commerce companies to create new value in their products/services. Opportunities for e-commerce start-up collaboration programs increase the opportunities for e-commerce to grow. In e-commerce, decision-making for collaborations tends to be intuitive, centralized, and does not use strategic management tools. This study aims to identify critical factors as the main consideration in collaborative decision-making between e-commerce companies and partners. The study was conducted by developing a questionnaire for decision-makers in e-commerce collaborations. The study used the TOE framework, AHP, and TOPSIS methods. As part of the research’s object, the payment method was chosen for an e-commerce company collaborative program. Based on the criteria identified against the existing framework, there are 11 critical factors. The top three criteria are (1) networks and cooperation, (2) management commitment, and (3) knowledge and expertise in digital business. Based on the TOE framework, the main priority is the provision of e-wallet payment methods, which can be done by adding service providers. While research is limited as to the factors’ priority, future studies are suggested to select other collaborative programs or develop a collaborative strategy framework.","author":[{"dropping-particle":"","family":"Nurcahyo","given":"Rahmat","non-dropping-particle":"","parse-names":false,"suffix":""},{"dropping-particle":"","family":"Putra","given":"Prawira Adi","non-dropping-particle":"","parse-names":false,"suffix":""}],"container-title":"Journal of Theoretical and Applied Electronic Commerce Research","id":"ITEM-1","issue":"6","issued":{"date-parts":[["2021","9","18"]]},"page":"2458-2469","title":"Critical Factors in Indonesia’s E-Commerce Collaboration","type":"article-journal","volume":"16"},"uris":["http://www.mendeley.com/documents/?uuid=22588591-2889-4d75-9195-fca34510af72"]}],"mendeley":{"formattedCitation":"(Nurcahyo &amp; Putra 2021)","plainTextFormattedCitation":"(Nurcahyo &amp; Putra 2021)","previouslyFormattedCitation":"(Nurcahyo &amp; Putra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(Nurcahyo &amp; Putra 2021)</w:t>
      </w:r>
      <w:r w:rsidRPr="00A65125">
        <w:rPr>
          <w:rFonts w:cs="Times New Roman"/>
          <w:sz w:val="20"/>
          <w:szCs w:val="20"/>
        </w:rPr>
        <w:fldChar w:fldCharType="end"/>
      </w:r>
      <w:r w:rsidRPr="00A65125">
        <w:rPr>
          <w:rFonts w:cs="Times New Roman"/>
          <w:sz w:val="20"/>
          <w:szCs w:val="20"/>
        </w:rPr>
        <w:t xml:space="preserve">, personal agency </w:t>
      </w:r>
      <w:r w:rsidRPr="00A65125">
        <w:rPr>
          <w:rFonts w:cs="Times New Roman"/>
          <w:sz w:val="20"/>
          <w:szCs w:val="20"/>
        </w:rPr>
        <w:fldChar w:fldCharType="begin" w:fldLock="1"/>
      </w:r>
      <w:r w:rsidRPr="00A65125">
        <w:rPr>
          <w:rFonts w:cs="Times New Roman"/>
          <w:sz w:val="20"/>
          <w:szCs w:val="20"/>
        </w:rPr>
        <w:instrText>ADDIN CSL_CITATION {"citationItems":[{"id":"ITEM-1","itemData":{"DOI":"10.5465/AMBPP.2021.14553abstract","ISSN":"0065-0668","abstract":"Contemporary businesses increasingly adopt algorithmic technologies to facilitate inter-organisational coordination. One example of this trend is a blockchain-based smart contracting, also known as smart contracting, which autonomously executes actions when encoded conditions are satisfied. While an emerging body of literature provides some evidence of positive associations between smart contracting and operational performance reflected in the reduction of transaction costs and improvement of transaction efficiency, research has yet to explore how these novel, technology-based governance mechanisms can affect relational resources, mainly social capital, often required to produce innovation performance. Therefore, by adopting the social capital lens, this study investigated the social and performance implications of smart contracting. Adopting a mixed-methods strategy, data collection included collecting insights from field experts, using the Delphi method, followed by semi-structured interviews with executives of firms that either use this technology or facilitate its implementation. The findings revealed that smart contracting directly affects the formation and structure of inter-organisational social capital, which can subsequently contribute to innovation performance. We also developed an evidence-based model that critically integrates factors influencing the relationship between social capital and innovation performance. Interestingly, system trust, as trust in technology, is found to be the key contextual factor, driving most aspects of inter-organisational collaborations. The study advances our understanding of how inter-organisational relationships can evolve in the smart contracting settings.","author":[{"dropping-particle":"","family":"Koghut","given":"Maksym","non-dropping-particle":"","parse-names":false,"suffix":""},{"dropping-particle":"","family":"Al-Tabbaa","given":"Omar","non-dropping-particle":"","parse-names":false,"suffix":""},{"dropping-particle":"","family":"Lee","given":"Soo Hee","non-dropping-particle":"","parse-names":false,"suffix":""},{"dropping-particle":"","family":"Meyer","given":"Martin","non-dropping-particle":"","parse-names":false,"suffix":""}],"container-title":"Academy of Management Proceedings","id":"ITEM-1","issue":"1","issued":{"date-parts":[["2021","8"]]},"page":"14553","title":"A Blockchain-based inter-organisational relationships: Social and innovation implications","type":"article-journal","volume":"2021"},"uris":["http://www.mendeley.com/documents/?uuid=9ceeef23-a43c-484b-8668-9eefa642a4c3"]}],"mendeley":{"formattedCitation":"(Koghut et al. 2021)","plainTextFormattedCitation":"(Koghut et al. 2021)","previouslyFormattedCitation":"(Koghut et al.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(Koghut et al. 2021)</w:t>
      </w:r>
      <w:r w:rsidRPr="00A65125">
        <w:rPr>
          <w:rFonts w:cs="Times New Roman"/>
          <w:sz w:val="20"/>
          <w:szCs w:val="20"/>
        </w:rPr>
        <w:fldChar w:fldCharType="end"/>
      </w:r>
      <w:r w:rsidRPr="00A65125">
        <w:rPr>
          <w:rFonts w:cs="Times New Roman"/>
          <w:sz w:val="20"/>
          <w:szCs w:val="20"/>
        </w:rPr>
        <w:t xml:space="preserve">, and employee engagement </w:t>
      </w:r>
      <w:r w:rsidRPr="00A65125">
        <w:rPr>
          <w:rFonts w:cs="Times New Roman"/>
          <w:sz w:val="20"/>
          <w:szCs w:val="20"/>
        </w:rPr>
        <w:fldChar w:fldCharType="begin" w:fldLock="1"/>
      </w:r>
      <w:r w:rsidRPr="00A65125">
        <w:rPr>
          <w:rFonts w:cs="Times New Roman"/>
          <w:sz w:val="20"/>
          <w:szCs w:val="20"/>
        </w:rPr>
        <w:instrText>ADDIN CSL_CITATION {"citationItems":[{"id":"ITEM-1","itemData":{"DOI":"10.24191/jeeir.v9i2.13617","ISSN":"2289-2559","abstract":"Against the backdrop of greater smartphone and internet penetration across the emerging markets, electronic wallet (e-wallet) has emerged as a reliable and well-known digital payment method. The main purpose of this paper is to review the growing volume of studies on e-wallet adoption in this region. E-wallet is widely used worldwide, but it has yet to become mainstream in developing countries, including Malaysia. Hence, scholars have conducted numerous studies on e-wallet use, but there seems to be a lack of consensus on the predictors influencing its adoption. This study examines these publications to analyze the potential research gaps, offer a multi-stakeholder eco-system framework and make recommendations for future research. We retrieved scholarly articles on E-Wallet adoption published from 2016-2021 through the Google Scholar and Scopus database. After the screening process in which some papers were excluded, 77 previous studies were reviewed regarding the methodology, findings and adaptation of theories/models. Considering that a large portion of the studies are grounded based on the technology acceptance framework and typically involved drivers and enablers, we call for a distinct approach that draws in other factors into the equation. For instance, future research may divulge the inhibitors to E-wallet adoption and incorporate the external environment and consumer psychological factors as potential predictors.","author":[{"dropping-particle":"","family":"Ramli","given":"Faten Aisyah Ahmad","non-dropping-particle":"","parse-names":false,"suffix":""},{"dropping-particle":"","family":"Hamzah","given":"Muhammad Iskandar","non-dropping-particle":"","parse-names":false,"suffix":""}],"container-title":"Journal of Emerging Economies and Islamic Research","id":"ITEM-1","issue":"2","issued":{"date-parts":[["2021","5","31"]]},"page":"1","title":"Mobile payment and e-wallet adoption in emerging economies: A systematic literature review","type":"article-journal","volume":"9"},"uris":["http://www.mendeley.com/documents/?uuid=96b425d6-8b58-4581-bf74-316dfc1b4533"]}],"mendeley":{"formattedCitation":"(Ramli &amp; Hamzah 2021)","plainTextFormattedCitation":"(Ramli &amp; Hamzah 2021)","previouslyFormattedCitation":"(Ramli &amp; Hamzah 2021)"},"properties":{"noteIndex":0},"schema":"https://github.com/citation-style-language/schema/raw/master/csl-citation.json"}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(Ramli &amp; Hamzah 2021)</w:t>
      </w:r>
      <w:r w:rsidRPr="00A65125">
        <w:rPr>
          <w:rFonts w:cs="Times New Roman"/>
          <w:sz w:val="20"/>
          <w:szCs w:val="20"/>
        </w:rPr>
        <w:fldChar w:fldCharType="end"/>
      </w:r>
      <w:r w:rsidRPr="00A65125">
        <w:rPr>
          <w:rFonts w:cs="Times New Roman"/>
          <w:sz w:val="20"/>
          <w:szCs w:val="20"/>
        </w:rPr>
        <w:t xml:space="preserve">. They suggest practical interventions such as strengthening retention strategies, fostering a culture of recognition, and enhancing soft skills training to support the </w:t>
      </w:r>
      <w:r w:rsidR="00470DA6" w:rsidRPr="00A65125">
        <w:rPr>
          <w:rFonts w:cs="Times New Roman"/>
          <w:sz w:val="20"/>
          <w:szCs w:val="20"/>
        </w:rPr>
        <w:t>IOC workflows</w:t>
      </w:r>
      <w:r w:rsidRPr="00A65125">
        <w:rPr>
          <w:rFonts w:cs="Times New Roman"/>
          <w:sz w:val="20"/>
          <w:szCs w:val="20"/>
        </w:rPr>
        <w:t xml:space="preserve">. Overall, these human-centric insights deepen understanding of the socio-organisational dynamics within the public sector domain and reinforce the need to balance system reforms with workforce empowerment </w:t>
      </w:r>
      <w:r w:rsidRPr="00A65125">
        <w:rPr>
          <w:rFonts w:cs="Times New Roman"/>
          <w:sz w:val="20"/>
          <w:szCs w:val="20"/>
        </w:rPr>
        <w:fldChar w:fldCharType="begin" w:fldLock="1"/>
      </w:r>
      <w:r w:rsidRPr="00A65125">
        <w:rPr>
          <w:rFonts w:cs="Times New Roman"/>
          <w:sz w:val="20"/>
          <w:szCs w:val="20"/>
        </w:rPr>
        <w:instrText>ADDIN CSL_CITATION {"citationItems":[{"id":"ITEM-1","itemData":{"DOI":"10.1016/j.jik.2020.10.002","ISSN":"2444569X","abstract":"The purpose of this study is to explore the role of social capital and collaborative knowledge creation in achieving e-business proactiveness in responding to the COVID-19 crisis. An online survey was used to collect data from industries that had to continue working during the crisis, such as the pharmaceutical and cleaning materials sectors. The sample consisted of 198 managers. The findings show that social capital and collaborative knowledge creation have a significant role in achieving e-business proactiveness in responding to the pandemic. The results also show the positive impact of collaborative knowledge creation and e-business proactiveness on organizational agility during the crisis. The present study opens broad horizons for the exploration of emerging themes in information technology studies, including the role of collaborative knowledge creation and e-business proactiveness and their impact on organizational agility in responding to global pandemics. An understanding of the pivotal impact of social capital and collaborative knowledge creation on e-business proactiveness provides managers with valuable insights into managing the pressures of pandemics.","author":[{"dropping-particle":"","family":"Al-Omoush","given":"Khaled Saleh","non-dropping-particle":"","parse-names":false,"suffix":""},{"dropping-particle":"","family":"Simón-Moya","given":"Virginia","non-dropping-particle":"","parse-names":false,"suffix":""},{"dropping-particle":"","family":"Sendra-García","given":"Javier","non-dropping-particle":"","parse-names":false,"suffix":""}],"container-title":"Journal of Innovation &amp; Knowledge","id":"ITEM-1","issue":"4","issued":{"date-parts":[["2020","10"]]},"page":"279-288","title":"The impact of social capital and collaborative knowledge creation on e-business proactiveness and organizational agility in responding to the COVID-19 crisis","type":"article-journal","volume":"5"},"uris":["http://www.mendeley.com/documents/?uuid=e2b81057-4f27-4cf4-857c-3b9ce3721a53"]},{"id":"ITEM-2","itemData":{"DOI":"10.37745/ejbir.2013/vol11n474104","ISSN":"20534019","abstract":"ABSTRACT: In today's fast-paced and ever-changing world, innovative technologies' rapid emergence and integration profoundly impact organisational strategies, the industry landscape, and overall economic and societal development. This article explores the adoption of specific emerging digital technologies (Artificial Intelligence (AI), Industry 4.0( I4.0 ), and the Internet of Things (IoT). It proposes a comprehensive framework to enhance firm innovation performance in organisations. A deep understanding of the future commercial utilisation of these technologies is crucial for informed decision-making. Acknowledging the interconnected nature of emerging technologies, this research emphasises the importance of collaboration among various stakeholders such as businesses, academic institutions, research organisations, regulatory bodies, and government agencies. This collaborative effort forms a unique and interdependent ecosystem essential for effectively applying, adapting, and improving emerging digital technologies. This study highlights perspective and limitations, particularly in emerging economies, by investigating the determinants that impact their implementation, mainly focusing on emerging economies. A robust framework is developed to address the research objectives by combining existing technology models, including the Diffusion of Innovation Technology-Organisation-Environment and Technology Acceptance Model. A quantitative research survey targeted managers and above in large enterprises and multinationals within the Middle East, Africa, and Asia manufacturing industries. The collected responses (n=153) were analysed using Structural Equation Modelling and Chi-Square methods. The findings of this study emphasise the advantages of the collaborative adoption of emerging digital technologies in improving firm performance. By bridging the gaps in integrating multiple emerging technologies within the innovation ecosystem, organisations can enhance their innovation capabilities and leverage them for sustainable competitive advantage. This comprehensive framework provides valuable insights and practical guidance for organisations seeking to navigate the complex landscape of emerging digital technologies and maximise their innovation potential.","author":[{"dropping-particle":"","family":"Shonubi","given":"Ololade","non-dropping-particle":"","parse-names":false,"suffix":""}],"container-title":"European Journal of Business and Innovation Research","id":"ITEM-2","issue":"4","issued":{"date-parts":[["2023","4","30"]]},"page":"74-104","title":"The Impact of Innovation Adoption of Emerging Digital Technologies within a collaborative ecosystem on Firm Innovation Performance- Focus on Emerging Economies (Middle East, Africa, and Asia)","type":"article-journal","volume":"11"},"uris":["http://www.mendeley.com/documents/?uuid=d6d16f8d-a20d-4de2-912d-84a8451ce43c"]}],"mendeley":{"formattedCitation":"(Al-Omoush et al. 2020; Shonubi 2023)","plainTextFormattedCitation":"(Al-Omoush et al. 2020; Shonubi 2023)","previouslyFormattedCitation":"(Al-Omoush et al. 2020; Shonubi 2023)"},"properties":{"noteIndex":0},"schema":"https://github.com/citation-style-language/schema/raw/master/csl-citation.json"}</w:instrText>
      </w:r>
      <w:r w:rsidRPr="00A65125">
        <w:rPr>
          <w:rFonts w:cs="Times New Roman"/>
          <w:sz w:val="20"/>
          <w:szCs w:val="20"/>
        </w:rPr>
        <w:fldChar w:fldCharType="separate"/>
      </w:r>
      <w:r w:rsidRPr="00A65125">
        <w:rPr>
          <w:rFonts w:cs="Times New Roman"/>
          <w:noProof/>
          <w:sz w:val="20"/>
          <w:szCs w:val="20"/>
        </w:rPr>
        <w:t>(Al-Omoush et al. 2020; Shonubi 2023)</w:t>
      </w:r>
      <w:r w:rsidRPr="00A65125">
        <w:rPr>
          <w:rFonts w:cs="Times New Roman"/>
          <w:sz w:val="20"/>
          <w:szCs w:val="20"/>
        </w:rPr>
        <w:fldChar w:fldCharType="end"/>
      </w:r>
      <w:r w:rsidRPr="00A65125">
        <w:rPr>
          <w:rFonts w:cs="Times New Roman"/>
          <w:sz w:val="20"/>
          <w:szCs w:val="20"/>
        </w:rPr>
        <w:t>.</w:t>
      </w:r>
    </w:p>
    <w:p w14:paraId="50241D32" w14:textId="77777777" w:rsidR="003F157D" w:rsidRPr="00A65125" w:rsidRDefault="003F157D" w:rsidP="00A65125">
      <w:pPr>
        <w:rPr>
          <w:sz w:val="20"/>
          <w:szCs w:val="20"/>
          <w:lang w:val="en-MY" w:eastAsia="en-US"/>
        </w:rPr>
      </w:pPr>
    </w:p>
    <w:p w14:paraId="326638DD" w14:textId="0E0AB44B" w:rsidR="00A77D28" w:rsidRPr="00A65125" w:rsidRDefault="00766F13" w:rsidP="00A65125">
      <w:pPr>
        <w:pStyle w:val="Heading1"/>
        <w:rPr>
          <w:rFonts w:cs="Times New Roman"/>
          <w:sz w:val="20"/>
          <w:szCs w:val="20"/>
        </w:rPr>
      </w:pPr>
      <w:r w:rsidRPr="00A65125">
        <w:rPr>
          <w:rFonts w:cs="Times New Roman"/>
          <w:sz w:val="20"/>
          <w:szCs w:val="20"/>
        </w:rPr>
        <w:t xml:space="preserve">CONCLUSION </w:t>
      </w:r>
    </w:p>
    <w:p w14:paraId="1B323B36" w14:textId="77777777" w:rsidR="00A77D28" w:rsidRPr="00A65125" w:rsidRDefault="00A77D28" w:rsidP="00A65125">
      <w:pPr>
        <w:rPr>
          <w:sz w:val="20"/>
          <w:szCs w:val="20"/>
          <w:lang w:val="en-MY" w:eastAsia="en-US"/>
        </w:rPr>
      </w:pPr>
    </w:p>
    <w:p w14:paraId="6F392A7E" w14:textId="6A07141A" w:rsidR="00495028" w:rsidRPr="00A65125" w:rsidRDefault="00F63CFC" w:rsidP="00A65125">
      <w:pPr>
        <w:pStyle w:val="BodyText1"/>
        <w:ind w:firstLine="0"/>
        <w:rPr>
          <w:rFonts w:cs="Times New Roman"/>
          <w:sz w:val="20"/>
          <w:szCs w:val="20"/>
        </w:rPr>
      </w:pPr>
      <w:r w:rsidRPr="00A65125">
        <w:rPr>
          <w:rFonts w:cs="Times New Roman"/>
          <w:sz w:val="20"/>
          <w:szCs w:val="20"/>
        </w:rPr>
        <w:t xml:space="preserve">This study explored the </w:t>
      </w:r>
      <w:r w:rsidR="00470DA6" w:rsidRPr="00A65125">
        <w:rPr>
          <w:rFonts w:cs="Times New Roman"/>
          <w:sz w:val="20"/>
          <w:szCs w:val="20"/>
        </w:rPr>
        <w:t>IOC workflows</w:t>
      </w:r>
      <w:r w:rsidRPr="00A65125">
        <w:rPr>
          <w:rFonts w:cs="Times New Roman"/>
          <w:sz w:val="20"/>
          <w:szCs w:val="20"/>
        </w:rPr>
        <w:t xml:space="preserve"> in the e-payment process at the TLD, identifying four core themes: non-integrated operations, operational deficiencies, risk of SLA discrepancies, and communication challenges. These themes acknowledge systemic issues in collaboration, trust, control, and information exchange across TLD with the acquiring bank and the accounting office. In addition to these core findings, the study identified four emerging human-centric themes</w:t>
      </w:r>
      <w:r w:rsidR="009B63D6" w:rsidRPr="00A65125">
        <w:rPr>
          <w:rFonts w:cs="Times New Roman"/>
          <w:sz w:val="20"/>
          <w:szCs w:val="20"/>
        </w:rPr>
        <w:t xml:space="preserve"> such as </w:t>
      </w:r>
      <w:r w:rsidRPr="00A65125">
        <w:rPr>
          <w:rFonts w:cs="Times New Roman"/>
          <w:sz w:val="20"/>
          <w:szCs w:val="20"/>
        </w:rPr>
        <w:t>Brain Drain, Own Effort, Personal Traits, and Want to Be Appreciated</w:t>
      </w:r>
      <w:r w:rsidR="009B63D6" w:rsidRPr="00A65125">
        <w:rPr>
          <w:rFonts w:cs="Times New Roman"/>
          <w:sz w:val="20"/>
          <w:szCs w:val="20"/>
        </w:rPr>
        <w:t xml:space="preserve"> that </w:t>
      </w:r>
      <w:r w:rsidRPr="00A65125">
        <w:rPr>
          <w:rFonts w:cs="Times New Roman"/>
          <w:sz w:val="20"/>
          <w:szCs w:val="20"/>
        </w:rPr>
        <w:t>reflecting the socio-organisational dimensions influencing workflow performance and resilience.</w:t>
      </w:r>
    </w:p>
    <w:p w14:paraId="390EAAF5" w14:textId="42736D39" w:rsidR="00495028" w:rsidRPr="00A65125" w:rsidRDefault="00F63CFC" w:rsidP="00A65125">
      <w:pPr>
        <w:pStyle w:val="BodyText1"/>
        <w:rPr>
          <w:rFonts w:cs="Times New Roman"/>
          <w:sz w:val="20"/>
          <w:szCs w:val="20"/>
        </w:rPr>
      </w:pPr>
      <w:r w:rsidRPr="00A65125">
        <w:rPr>
          <w:rFonts w:cs="Times New Roman"/>
          <w:color w:val="EE0000"/>
          <w:sz w:val="20"/>
          <w:szCs w:val="20"/>
        </w:rPr>
        <w:t xml:space="preserve">In terms of theoretical view, this study extends the interorganisational collaboration framework proposed by </w:t>
      </w:r>
      <w:r w:rsidRPr="00A65125">
        <w:rPr>
          <w:rFonts w:cs="Times New Roman"/>
          <w:color w:val="EE0000"/>
          <w:sz w:val="20"/>
          <w:szCs w:val="20"/>
        </w:rPr>
        <w:fldChar w:fldCharType="begin" w:fldLock="1"/>
      </w:r>
      <w:r w:rsidR="001F54BC" w:rsidRPr="00A65125">
        <w:rPr>
          <w:rFonts w:cs="Times New Roman"/>
          <w:color w:val="EE0000"/>
          <w:sz w:val="20"/>
          <w:szCs w:val="20"/>
        </w:rPr>
        <w:instrText>ADDIN CSL_CITATION {"citationItems":[{"id":"ITEM-1","itemData":{"DOI":"10.2308/HORIZONS-19-147","ISSN":"1558-7975","abstract":"Blockchain technology is increasingly emerging as an important organizational phenomenon, especially for collaboration across firm boundaries. Over the past three decades, accounting scholars have shown significant interest in management accounting and control mechanisms that are used by actors to sustain inter-organizational relationships. We outline fundamental technical features and limitations of permissioned blockchain technology and analytically propose blockchain as an empirical concept with implications for management accounting practices that underpin inter-organizational collaboration, trust, control, and information exchange. Particular focus of the analysis is on the interplay between the technical capabilities of blockchain technology and inter-organizational management control procedures. Based on this analysis, we develop a series of propositions that theorize how these procedures affect the way in which blockchain is enacted in IORs, and how they are affected by blockchain in turn. The paper concludes with a research agenda for accounting scholars and offers directions for further research.","author":[{"dropping-particle":"","family":"Kostić","given":"Nikola","non-dropping-particle":"","parse-names":false,"suffix":""},{"dropping-particle":"","family":"Sedej","given":"Tomaz","non-dropping-particle":"","parse-names":false,"suffix":""}],"container-title":"Accounting Horizons","id":"ITEM-1","issue":"2","issued":{"date-parts":[["2022","6","1"]]},"page":"123-141","title":"Blockchain Technology, Inter-Organizational Relationships, and Management Accounting: A Synthesis and a Research Agenda","type":"article-journal","volume":"36"},"uris":["http://www.mendeley.com/documents/?uuid=6f39ff4b-9161-4c9b-9e25-8f0f8cbabd96"]}],"mendeley":{"formattedCitation":"(Kostić &amp; Sedej 2022)","manualFormatting":"Kostić and Sedej (2022)","plainTextFormattedCitation":"(Kostić &amp; Sedej 2022)","previouslyFormattedCitation":"(Kostić &amp; Sedej 2022)"},"properties":{"noteIndex":0},"schema":"https://github.com/citation-style-language/schema/raw/master/csl-citation.json"}</w:instrText>
      </w:r>
      <w:r w:rsidRPr="00A65125">
        <w:rPr>
          <w:rFonts w:cs="Times New Roman"/>
          <w:color w:val="EE0000"/>
          <w:sz w:val="20"/>
          <w:szCs w:val="20"/>
        </w:rPr>
        <w:fldChar w:fldCharType="separate"/>
      </w:r>
      <w:r w:rsidRPr="00A65125">
        <w:rPr>
          <w:rFonts w:cs="Times New Roman"/>
          <w:noProof/>
          <w:color w:val="EE0000"/>
          <w:sz w:val="20"/>
          <w:szCs w:val="20"/>
        </w:rPr>
        <w:t>Kostić and Sedej (2022)</w:t>
      </w:r>
      <w:r w:rsidRPr="00A65125">
        <w:rPr>
          <w:rFonts w:cs="Times New Roman"/>
          <w:color w:val="EE0000"/>
          <w:sz w:val="20"/>
          <w:szCs w:val="20"/>
        </w:rPr>
        <w:fldChar w:fldCharType="end"/>
      </w:r>
      <w:r w:rsidRPr="00A65125">
        <w:rPr>
          <w:rFonts w:cs="Times New Roman"/>
          <w:color w:val="EE0000"/>
          <w:sz w:val="20"/>
          <w:szCs w:val="20"/>
        </w:rPr>
        <w:t xml:space="preserve">, emphasising collaboration, trust, control, and information exchange as foundational dimensions. While their model focuses primarily on structural and systemic coordination mechanisms, this study introduces human attributes as a fifth, cross-cutting dimension that shapes and sustains </w:t>
      </w:r>
      <w:r w:rsidR="00470DA6" w:rsidRPr="00A65125">
        <w:rPr>
          <w:rFonts w:cs="Times New Roman"/>
          <w:color w:val="EE0000"/>
          <w:sz w:val="20"/>
          <w:szCs w:val="20"/>
        </w:rPr>
        <w:t>IOC workflows</w:t>
      </w:r>
      <w:r w:rsidRPr="00A65125">
        <w:rPr>
          <w:rFonts w:cs="Times New Roman"/>
          <w:color w:val="EE0000"/>
          <w:sz w:val="20"/>
          <w:szCs w:val="20"/>
        </w:rPr>
        <w:t>. The findings demonstrate that individual agency, recognition, adaptability, and institutional memory are critical enablers</w:t>
      </w:r>
      <w:r w:rsidR="00495028" w:rsidRPr="00A65125">
        <w:rPr>
          <w:rFonts w:cs="Times New Roman"/>
          <w:color w:val="EE0000"/>
          <w:sz w:val="20"/>
          <w:szCs w:val="20"/>
        </w:rPr>
        <w:t xml:space="preserve"> </w:t>
      </w:r>
      <w:r w:rsidRPr="00A65125">
        <w:rPr>
          <w:rFonts w:cs="Times New Roman"/>
          <w:color w:val="EE0000"/>
          <w:sz w:val="20"/>
          <w:szCs w:val="20"/>
        </w:rPr>
        <w:t>or inhibitors</w:t>
      </w:r>
      <w:r w:rsidR="009B63D6" w:rsidRPr="00A65125">
        <w:rPr>
          <w:rFonts w:cs="Times New Roman"/>
          <w:color w:val="EE0000"/>
          <w:sz w:val="20"/>
          <w:szCs w:val="20"/>
        </w:rPr>
        <w:t xml:space="preserve"> for</w:t>
      </w:r>
      <w:r w:rsidRPr="00A65125">
        <w:rPr>
          <w:rFonts w:cs="Times New Roman"/>
          <w:color w:val="EE0000"/>
          <w:sz w:val="20"/>
          <w:szCs w:val="20"/>
        </w:rPr>
        <w:t xml:space="preserve"> effective interorganisational collaboration in public sector workflows. This human-centric perspective enhances the conceptualisation of </w:t>
      </w:r>
      <w:r w:rsidR="00470DA6" w:rsidRPr="00A65125">
        <w:rPr>
          <w:rFonts w:cs="Times New Roman"/>
          <w:color w:val="EE0000"/>
          <w:sz w:val="20"/>
          <w:szCs w:val="20"/>
        </w:rPr>
        <w:t>IOC workflows</w:t>
      </w:r>
      <w:r w:rsidRPr="00A65125">
        <w:rPr>
          <w:rFonts w:cs="Times New Roman"/>
          <w:color w:val="EE0000"/>
          <w:sz w:val="20"/>
          <w:szCs w:val="20"/>
        </w:rPr>
        <w:t xml:space="preserve"> by framing it not only as a technical or organisational process but also as a socially embedded practice reliant on workforce dynamics. </w:t>
      </w:r>
      <w:r w:rsidR="008D0FD5" w:rsidRPr="00A65125">
        <w:rPr>
          <w:rFonts w:cs="Times New Roman"/>
          <w:color w:val="EE0000"/>
          <w:sz w:val="20"/>
          <w:szCs w:val="20"/>
        </w:rPr>
        <w:t>Practically</w:t>
      </w:r>
      <w:r w:rsidRPr="00A65125">
        <w:rPr>
          <w:rFonts w:cs="Times New Roman"/>
          <w:color w:val="EE0000"/>
          <w:sz w:val="20"/>
          <w:szCs w:val="20"/>
        </w:rPr>
        <w:t xml:space="preserve">, this study </w:t>
      </w:r>
      <w:r w:rsidR="008D0FD5" w:rsidRPr="00A65125">
        <w:rPr>
          <w:rFonts w:cs="Times New Roman"/>
          <w:color w:val="EE0000"/>
          <w:sz w:val="20"/>
          <w:szCs w:val="20"/>
        </w:rPr>
        <w:t>contribut</w:t>
      </w:r>
      <w:r w:rsidRPr="00A65125">
        <w:rPr>
          <w:rFonts w:cs="Times New Roman"/>
          <w:color w:val="EE0000"/>
          <w:sz w:val="20"/>
          <w:szCs w:val="20"/>
        </w:rPr>
        <w:t xml:space="preserve">es actionable insights for public sector agencies. It highlights the urgent need for system integration, real-time reconciliation tools, and structured communication platforms to address inefficiencies in </w:t>
      </w:r>
      <w:r w:rsidR="00470DA6" w:rsidRPr="00A65125">
        <w:rPr>
          <w:rFonts w:cs="Times New Roman"/>
          <w:color w:val="EE0000"/>
          <w:sz w:val="20"/>
          <w:szCs w:val="20"/>
        </w:rPr>
        <w:t>IOC workflows</w:t>
      </w:r>
      <w:r w:rsidRPr="00A65125">
        <w:rPr>
          <w:rFonts w:cs="Times New Roman"/>
          <w:color w:val="EE0000"/>
          <w:sz w:val="20"/>
          <w:szCs w:val="20"/>
        </w:rPr>
        <w:t xml:space="preserve">. Moreover, it underscores the value of investing in staffing, recognition systems, and capacity-building programmes to mitigate brain drain, foster trust, and enhance collaboration. Embedding these strategies </w:t>
      </w:r>
      <w:r w:rsidRPr="00A65125">
        <w:rPr>
          <w:rFonts w:cs="Times New Roman"/>
          <w:color w:val="EE0000"/>
          <w:sz w:val="20"/>
          <w:szCs w:val="20"/>
        </w:rPr>
        <w:lastRenderedPageBreak/>
        <w:t>into policy and operational frameworks can significantly improve the reliability, transparency, and accountability of e-payment processes</w:t>
      </w:r>
      <w:r w:rsidRPr="00A65125">
        <w:rPr>
          <w:rFonts w:cs="Times New Roman"/>
          <w:sz w:val="20"/>
          <w:szCs w:val="20"/>
        </w:rPr>
        <w:t>.</w:t>
      </w:r>
    </w:p>
    <w:p w14:paraId="16605BE2" w14:textId="390A9368" w:rsidR="005865AF" w:rsidRPr="00A65125" w:rsidRDefault="00AD000E" w:rsidP="00A65125">
      <w:pPr>
        <w:pStyle w:val="BodyText1"/>
        <w:rPr>
          <w:rFonts w:cs="Times New Roman"/>
          <w:sz w:val="20"/>
          <w:szCs w:val="20"/>
        </w:rPr>
      </w:pPr>
      <w:r w:rsidRPr="00A65125">
        <w:rPr>
          <w:rFonts w:cs="Times New Roman"/>
          <w:sz w:val="20"/>
          <w:szCs w:val="20"/>
        </w:rPr>
        <w:t xml:space="preserve">However, the study is limited by its single-case design, focusing exclusively on the TLD. While the case offers depth and context-specific insight, the findings may not be fully generalisable across all public sector agencies. Institutional culture, system maturity, and stakeholder dynamics may vary significantly across departments. Therefore, the conclusions drawn here should be tested and validated through comparative studies in other public organisations. Therefore, future studies should focus on assessing the suitability and scalability of digital technologies such as Blockchain Technology, Artificial Intelligence, and Big Data analytics to strengthen </w:t>
      </w:r>
      <w:r w:rsidR="00470DA6" w:rsidRPr="00A65125">
        <w:rPr>
          <w:rFonts w:cs="Times New Roman"/>
          <w:sz w:val="20"/>
          <w:szCs w:val="20"/>
        </w:rPr>
        <w:t>IOC workflows</w:t>
      </w:r>
      <w:r w:rsidRPr="00A65125">
        <w:rPr>
          <w:rFonts w:cs="Times New Roman"/>
          <w:sz w:val="20"/>
          <w:szCs w:val="20"/>
        </w:rPr>
        <w:t>. Comparative evaluations across agencies and sectors can uncover best practices and adaptability thresholds for these tools. Moreover, studies examining the integration of human</w:t>
      </w:r>
      <w:r w:rsidR="008752C6" w:rsidRPr="00A65125">
        <w:rPr>
          <w:rFonts w:cs="Times New Roman"/>
          <w:sz w:val="20"/>
          <w:szCs w:val="20"/>
        </w:rPr>
        <w:t xml:space="preserve"> attributes </w:t>
      </w:r>
      <w:r w:rsidRPr="00A65125">
        <w:rPr>
          <w:rFonts w:cs="Times New Roman"/>
          <w:sz w:val="20"/>
          <w:szCs w:val="20"/>
        </w:rPr>
        <w:t xml:space="preserve">design principles into public sector digital transformation initiatives will enrich the evolving discourse on collaborative governance. In overall, this study advances theory and practice by revealing the complex interplay between structural systems and human agency in shaping </w:t>
      </w:r>
      <w:r w:rsidR="00470DA6" w:rsidRPr="00A65125">
        <w:rPr>
          <w:rFonts w:cs="Times New Roman"/>
          <w:sz w:val="20"/>
          <w:szCs w:val="20"/>
        </w:rPr>
        <w:t>IOC workflows</w:t>
      </w:r>
      <w:r w:rsidRPr="00A65125">
        <w:rPr>
          <w:rFonts w:cs="Times New Roman"/>
          <w:sz w:val="20"/>
          <w:szCs w:val="20"/>
        </w:rPr>
        <w:t xml:space="preserve"> within Malaysia’s public sector. Framing collaboration as both a technical and human process opens new pathways for understanding and improving the design of inter-agency operations. The findings signal a strategic imperative for public institutions to adopt integrated, intelligent technologies while concurrently nurturing the human capital that sustains them.</w:t>
      </w:r>
    </w:p>
    <w:p w14:paraId="53931AB6" w14:textId="045B9165" w:rsidR="00A90B2A" w:rsidRPr="00A65125" w:rsidRDefault="00A90B2A" w:rsidP="00A65125">
      <w:pPr>
        <w:pStyle w:val="BodyText1"/>
        <w:ind w:firstLine="0"/>
        <w:rPr>
          <w:rFonts w:cs="Times New Roman"/>
          <w:sz w:val="20"/>
          <w:szCs w:val="20"/>
        </w:rPr>
      </w:pPr>
    </w:p>
    <w:p w14:paraId="3DB24F09" w14:textId="77777777" w:rsidR="00AD000E" w:rsidRPr="00A65125" w:rsidRDefault="00AD000E" w:rsidP="00A65125">
      <w:pPr>
        <w:pStyle w:val="BodyText1"/>
        <w:ind w:firstLine="0"/>
        <w:rPr>
          <w:rFonts w:cs="Times New Roman"/>
          <w:sz w:val="20"/>
          <w:szCs w:val="20"/>
        </w:rPr>
      </w:pPr>
    </w:p>
    <w:p w14:paraId="0B697D2E" w14:textId="61DC08C5" w:rsidR="006D2A02" w:rsidRPr="00A65125" w:rsidRDefault="007241B3" w:rsidP="00A65125">
      <w:pPr>
        <w:pStyle w:val="Heading1"/>
        <w:rPr>
          <w:rFonts w:cs="Times New Roman"/>
          <w:b/>
          <w:sz w:val="20"/>
          <w:szCs w:val="20"/>
        </w:rPr>
      </w:pPr>
      <w:r w:rsidRPr="00A65125">
        <w:rPr>
          <w:rFonts w:cs="Times New Roman"/>
          <w:sz w:val="20"/>
          <w:szCs w:val="20"/>
        </w:rPr>
        <w:t>REFERENCES</w:t>
      </w:r>
    </w:p>
    <w:p w14:paraId="0CEF0CC9" w14:textId="77777777" w:rsidR="00695253" w:rsidRPr="00A65125" w:rsidRDefault="00695253" w:rsidP="00A65125">
      <w:pPr>
        <w:rPr>
          <w:sz w:val="20"/>
          <w:szCs w:val="20"/>
        </w:rPr>
      </w:pPr>
    </w:p>
    <w:p w14:paraId="1026C92C" w14:textId="77777777" w:rsidR="00F36751" w:rsidRPr="00A65125" w:rsidRDefault="00F36751" w:rsidP="00A65125">
      <w:pPr>
        <w:pStyle w:val="Reference"/>
        <w:spacing w:after="0"/>
        <w:rPr>
          <w:sz w:val="20"/>
          <w:szCs w:val="20"/>
        </w:rPr>
      </w:pPr>
      <w:r w:rsidRPr="00A65125">
        <w:rPr>
          <w:sz w:val="20"/>
          <w:szCs w:val="20"/>
        </w:rPr>
        <w:t xml:space="preserve">Adomako, S. &amp; Nguyen, N.P.  2023. Digitalization, inter-organizational collaboration, and technology transfer. </w:t>
      </w:r>
      <w:r w:rsidRPr="0049395D">
        <w:rPr>
          <w:i/>
          <w:sz w:val="20"/>
          <w:szCs w:val="20"/>
        </w:rPr>
        <w:t>Journal of Technology Transfer</w:t>
      </w:r>
      <w:r w:rsidRPr="00A65125">
        <w:rPr>
          <w:sz w:val="20"/>
          <w:szCs w:val="20"/>
        </w:rPr>
        <w:t xml:space="preserve"> 49(4): 1176–1202.</w:t>
      </w:r>
    </w:p>
    <w:p w14:paraId="3B005D46" w14:textId="77777777" w:rsidR="00F36751" w:rsidRPr="00A65125" w:rsidRDefault="00F36751" w:rsidP="00A65125">
      <w:pPr>
        <w:pStyle w:val="Reference"/>
        <w:spacing w:after="0"/>
        <w:rPr>
          <w:sz w:val="20"/>
          <w:szCs w:val="20"/>
        </w:rPr>
      </w:pPr>
      <w:proofErr w:type="spellStart"/>
      <w:r w:rsidRPr="00A65125">
        <w:rPr>
          <w:sz w:val="20"/>
          <w:szCs w:val="20"/>
        </w:rPr>
        <w:t>Adu</w:t>
      </w:r>
      <w:proofErr w:type="spellEnd"/>
      <w:r w:rsidRPr="00A65125">
        <w:rPr>
          <w:sz w:val="20"/>
          <w:szCs w:val="20"/>
        </w:rPr>
        <w:t xml:space="preserve">, P. &amp; Miles, D.A.  2024. </w:t>
      </w:r>
      <w:r w:rsidRPr="00842C53">
        <w:rPr>
          <w:i/>
          <w:sz w:val="20"/>
          <w:szCs w:val="20"/>
        </w:rPr>
        <w:t>Dissertation Research Methods. Dissertation Research Methods</w:t>
      </w:r>
      <w:r w:rsidRPr="00A65125">
        <w:rPr>
          <w:sz w:val="20"/>
          <w:szCs w:val="20"/>
        </w:rPr>
        <w:t>. London: Routledge.</w:t>
      </w:r>
    </w:p>
    <w:p w14:paraId="180728CB" w14:textId="77777777" w:rsidR="00F36751" w:rsidRPr="00A65125" w:rsidRDefault="00F36751" w:rsidP="00A65125">
      <w:pPr>
        <w:pStyle w:val="Reference"/>
        <w:spacing w:after="0"/>
        <w:rPr>
          <w:sz w:val="20"/>
          <w:szCs w:val="20"/>
        </w:rPr>
      </w:pPr>
      <w:proofErr w:type="spellStart"/>
      <w:r w:rsidRPr="00A65125">
        <w:rPr>
          <w:sz w:val="20"/>
          <w:szCs w:val="20"/>
        </w:rPr>
        <w:t>Aldaas</w:t>
      </w:r>
      <w:proofErr w:type="spellEnd"/>
      <w:r w:rsidRPr="00A65125">
        <w:rPr>
          <w:sz w:val="20"/>
          <w:szCs w:val="20"/>
        </w:rPr>
        <w:t xml:space="preserve">, A.  2021. A study on electronic payments and economic growth: Global evidences. </w:t>
      </w:r>
      <w:r w:rsidRPr="00842C53">
        <w:rPr>
          <w:i/>
          <w:sz w:val="20"/>
          <w:szCs w:val="20"/>
        </w:rPr>
        <w:t>Accounting</w:t>
      </w:r>
      <w:r w:rsidRPr="00A65125">
        <w:rPr>
          <w:sz w:val="20"/>
          <w:szCs w:val="20"/>
        </w:rPr>
        <w:t xml:space="preserve"> 7(2): 409–414.</w:t>
      </w:r>
    </w:p>
    <w:p w14:paraId="65B4C20B" w14:textId="77777777" w:rsidR="00F36751" w:rsidRPr="00A65125" w:rsidRDefault="00F36751" w:rsidP="00A65125">
      <w:pPr>
        <w:pStyle w:val="Reference"/>
        <w:spacing w:after="0"/>
        <w:rPr>
          <w:sz w:val="20"/>
          <w:szCs w:val="20"/>
        </w:rPr>
      </w:pPr>
      <w:r w:rsidRPr="00A65125">
        <w:rPr>
          <w:sz w:val="20"/>
          <w:szCs w:val="20"/>
        </w:rPr>
        <w:t>Al-</w:t>
      </w:r>
      <w:proofErr w:type="spellStart"/>
      <w:r w:rsidRPr="00A65125">
        <w:rPr>
          <w:sz w:val="20"/>
          <w:szCs w:val="20"/>
        </w:rPr>
        <w:t>Omoush</w:t>
      </w:r>
      <w:proofErr w:type="spellEnd"/>
      <w:r w:rsidRPr="00A65125">
        <w:rPr>
          <w:sz w:val="20"/>
          <w:szCs w:val="20"/>
        </w:rPr>
        <w:t xml:space="preserve">, K.S., Simón-Moya, V. &amp; Sendra-García, J.  2020. The impact of social capital and collaborative knowledge creation on e-business proactiveness and organizational agility in responding to the COVID-19 crisis. </w:t>
      </w:r>
      <w:r w:rsidRPr="00842C53">
        <w:rPr>
          <w:i/>
          <w:sz w:val="20"/>
          <w:szCs w:val="20"/>
        </w:rPr>
        <w:t>Journal of Innovation &amp; Knowledge</w:t>
      </w:r>
      <w:r w:rsidRPr="00A65125">
        <w:rPr>
          <w:sz w:val="20"/>
          <w:szCs w:val="20"/>
        </w:rPr>
        <w:t xml:space="preserve"> 5(4): 279–288.</w:t>
      </w:r>
    </w:p>
    <w:p w14:paraId="62851914" w14:textId="030872EB" w:rsidR="00F36751" w:rsidRPr="00A65125" w:rsidRDefault="00F36751" w:rsidP="00A65125">
      <w:pPr>
        <w:pStyle w:val="Reference"/>
        <w:spacing w:after="0"/>
        <w:rPr>
          <w:sz w:val="20"/>
          <w:szCs w:val="20"/>
        </w:rPr>
      </w:pPr>
      <w:r w:rsidRPr="00A65125">
        <w:rPr>
          <w:sz w:val="20"/>
          <w:szCs w:val="20"/>
        </w:rPr>
        <w:t xml:space="preserve">Anderson, S.W. &amp; Dekker, H.C.  2014. The </w:t>
      </w:r>
      <w:r w:rsidR="00E473DA" w:rsidRPr="00A65125">
        <w:rPr>
          <w:sz w:val="20"/>
          <w:szCs w:val="20"/>
        </w:rPr>
        <w:t>role of management controls in transforming firm boundaries and sustaining hybrid organizational forms</w:t>
      </w:r>
      <w:r w:rsidRPr="00A65125">
        <w:rPr>
          <w:sz w:val="20"/>
          <w:szCs w:val="20"/>
        </w:rPr>
        <w:t xml:space="preserve">. </w:t>
      </w:r>
      <w:r w:rsidRPr="00E473DA">
        <w:rPr>
          <w:i/>
          <w:sz w:val="20"/>
          <w:szCs w:val="20"/>
        </w:rPr>
        <w:t xml:space="preserve">Foundations and Trends® in </w:t>
      </w:r>
      <w:r w:rsidR="00E473DA">
        <w:rPr>
          <w:i/>
          <w:sz w:val="20"/>
          <w:szCs w:val="20"/>
        </w:rPr>
        <w:t>A</w:t>
      </w:r>
      <w:r w:rsidRPr="00E473DA">
        <w:rPr>
          <w:i/>
          <w:sz w:val="20"/>
          <w:szCs w:val="20"/>
        </w:rPr>
        <w:t>ccounting</w:t>
      </w:r>
      <w:r w:rsidRPr="00A65125">
        <w:rPr>
          <w:sz w:val="20"/>
          <w:szCs w:val="20"/>
        </w:rPr>
        <w:t xml:space="preserve"> 8(2): 75–141.</w:t>
      </w:r>
    </w:p>
    <w:p w14:paraId="2720027D" w14:textId="69DC97A6" w:rsidR="00F36751" w:rsidRPr="00A65125" w:rsidRDefault="00F36751" w:rsidP="00A65125">
      <w:pPr>
        <w:pStyle w:val="Reference"/>
        <w:spacing w:after="0"/>
        <w:rPr>
          <w:sz w:val="20"/>
          <w:szCs w:val="20"/>
        </w:rPr>
      </w:pPr>
      <w:proofErr w:type="spellStart"/>
      <w:r w:rsidRPr="00A65125">
        <w:rPr>
          <w:sz w:val="20"/>
          <w:szCs w:val="20"/>
        </w:rPr>
        <w:t>Atiyah</w:t>
      </w:r>
      <w:proofErr w:type="spellEnd"/>
      <w:r w:rsidRPr="00A65125">
        <w:rPr>
          <w:sz w:val="20"/>
          <w:szCs w:val="20"/>
        </w:rPr>
        <w:t xml:space="preserve">, G.A., Abdul </w:t>
      </w:r>
      <w:proofErr w:type="spellStart"/>
      <w:r w:rsidRPr="00A65125">
        <w:rPr>
          <w:sz w:val="20"/>
          <w:szCs w:val="20"/>
        </w:rPr>
        <w:t>Manap</w:t>
      </w:r>
      <w:proofErr w:type="spellEnd"/>
      <w:r w:rsidRPr="00A65125">
        <w:rPr>
          <w:sz w:val="20"/>
          <w:szCs w:val="20"/>
        </w:rPr>
        <w:t xml:space="preserve">, N. &amp; Abd Aziz, S.N.  2023. Legitimacy of </w:t>
      </w:r>
      <w:r w:rsidR="0034018D" w:rsidRPr="00A65125">
        <w:rPr>
          <w:sz w:val="20"/>
          <w:szCs w:val="20"/>
        </w:rPr>
        <w:t>smart contracts written in encrypted code on blockchain technology under current contract la</w:t>
      </w:r>
      <w:r w:rsidRPr="00A65125">
        <w:rPr>
          <w:sz w:val="20"/>
          <w:szCs w:val="20"/>
        </w:rPr>
        <w:t xml:space="preserve">w: A </w:t>
      </w:r>
      <w:r w:rsidR="0034018D" w:rsidRPr="00A65125">
        <w:rPr>
          <w:sz w:val="20"/>
          <w:szCs w:val="20"/>
        </w:rPr>
        <w:t>comparative study</w:t>
      </w:r>
      <w:r w:rsidRPr="00A65125">
        <w:rPr>
          <w:sz w:val="20"/>
          <w:szCs w:val="20"/>
        </w:rPr>
        <w:t xml:space="preserve">. </w:t>
      </w:r>
      <w:r w:rsidRPr="0034018D">
        <w:rPr>
          <w:i/>
          <w:sz w:val="20"/>
          <w:szCs w:val="20"/>
        </w:rPr>
        <w:t>Intellectual Discourse</w:t>
      </w:r>
      <w:r w:rsidRPr="00A65125">
        <w:rPr>
          <w:sz w:val="20"/>
          <w:szCs w:val="20"/>
        </w:rPr>
        <w:t xml:space="preserve"> 31(2): 421–444.</w:t>
      </w:r>
    </w:p>
    <w:p w14:paraId="120C304F" w14:textId="61625235" w:rsidR="00F36751" w:rsidRPr="00A65125" w:rsidRDefault="00F36751" w:rsidP="00A65125">
      <w:pPr>
        <w:pStyle w:val="Reference"/>
        <w:spacing w:after="0"/>
        <w:rPr>
          <w:sz w:val="20"/>
          <w:szCs w:val="20"/>
        </w:rPr>
      </w:pPr>
      <w:r w:rsidRPr="00A65125">
        <w:rPr>
          <w:sz w:val="20"/>
          <w:szCs w:val="20"/>
        </w:rPr>
        <w:t xml:space="preserve">Bailey, D.E., Faraj, S., Hinds, P.J., Leonardi, P.M. &amp; von Krogh, G.  2022. We </w:t>
      </w:r>
      <w:r w:rsidR="0034018D" w:rsidRPr="00A65125">
        <w:rPr>
          <w:sz w:val="20"/>
          <w:szCs w:val="20"/>
        </w:rPr>
        <w:t xml:space="preserve">are all theorists of technology now: </w:t>
      </w:r>
      <w:r w:rsidR="0034018D">
        <w:rPr>
          <w:sz w:val="20"/>
          <w:szCs w:val="20"/>
        </w:rPr>
        <w:t>A</w:t>
      </w:r>
      <w:r w:rsidR="0034018D" w:rsidRPr="00A65125">
        <w:rPr>
          <w:sz w:val="20"/>
          <w:szCs w:val="20"/>
        </w:rPr>
        <w:t xml:space="preserve"> relational perspective on emerging technology and organizing</w:t>
      </w:r>
      <w:r w:rsidRPr="00A65125">
        <w:rPr>
          <w:sz w:val="20"/>
          <w:szCs w:val="20"/>
        </w:rPr>
        <w:t xml:space="preserve">. </w:t>
      </w:r>
      <w:r w:rsidRPr="0034018D">
        <w:rPr>
          <w:i/>
          <w:sz w:val="20"/>
          <w:szCs w:val="20"/>
        </w:rPr>
        <w:t>Organization Science</w:t>
      </w:r>
      <w:r w:rsidRPr="00A65125">
        <w:rPr>
          <w:sz w:val="20"/>
          <w:szCs w:val="20"/>
        </w:rPr>
        <w:t xml:space="preserve"> 33(1): 1–18.</w:t>
      </w:r>
    </w:p>
    <w:p w14:paraId="78A5F155" w14:textId="35150298" w:rsidR="00F36751" w:rsidRPr="006F4797" w:rsidRDefault="00F36751" w:rsidP="00A65125">
      <w:pPr>
        <w:pStyle w:val="Reference"/>
        <w:spacing w:after="0"/>
        <w:rPr>
          <w:sz w:val="20"/>
          <w:szCs w:val="20"/>
        </w:rPr>
      </w:pPr>
      <w:r w:rsidRPr="00A65125">
        <w:rPr>
          <w:sz w:val="20"/>
          <w:szCs w:val="20"/>
        </w:rPr>
        <w:t xml:space="preserve">Banerjee, S.S. &amp; </w:t>
      </w:r>
      <w:proofErr w:type="spellStart"/>
      <w:r w:rsidRPr="00A65125">
        <w:rPr>
          <w:sz w:val="20"/>
          <w:szCs w:val="20"/>
        </w:rPr>
        <w:t>Chandani</w:t>
      </w:r>
      <w:proofErr w:type="spellEnd"/>
      <w:r w:rsidRPr="00A65125">
        <w:rPr>
          <w:sz w:val="20"/>
          <w:szCs w:val="20"/>
        </w:rPr>
        <w:t xml:space="preserve">, A.  2022. Challenges of blockchain application in the financial sector: </w:t>
      </w:r>
      <w:r w:rsidR="006F4797">
        <w:rPr>
          <w:sz w:val="20"/>
          <w:szCs w:val="20"/>
        </w:rPr>
        <w:t>A</w:t>
      </w:r>
      <w:r w:rsidRPr="00A65125">
        <w:rPr>
          <w:sz w:val="20"/>
          <w:szCs w:val="20"/>
        </w:rPr>
        <w:t xml:space="preserve"> qualitative study. </w:t>
      </w:r>
      <w:r w:rsidRPr="006F4797">
        <w:rPr>
          <w:i/>
          <w:sz w:val="20"/>
          <w:szCs w:val="20"/>
        </w:rPr>
        <w:t>Journal of Economic and Administrative Sciences</w:t>
      </w:r>
      <w:r w:rsidR="006F4797">
        <w:rPr>
          <w:i/>
          <w:sz w:val="20"/>
          <w:szCs w:val="20"/>
        </w:rPr>
        <w:t xml:space="preserve"> </w:t>
      </w:r>
      <w:r w:rsidR="006F4797" w:rsidRPr="006F4797">
        <w:rPr>
          <w:sz w:val="20"/>
          <w:szCs w:val="20"/>
        </w:rPr>
        <w:t>41(2): 658-679.</w:t>
      </w:r>
    </w:p>
    <w:p w14:paraId="11283148" w14:textId="77777777" w:rsidR="00F36751" w:rsidRPr="00A65125" w:rsidRDefault="00F36751" w:rsidP="00A65125">
      <w:pPr>
        <w:pStyle w:val="Reference"/>
        <w:spacing w:after="0"/>
        <w:rPr>
          <w:sz w:val="20"/>
          <w:szCs w:val="20"/>
        </w:rPr>
      </w:pPr>
      <w:r w:rsidRPr="00A65125">
        <w:rPr>
          <w:sz w:val="20"/>
          <w:szCs w:val="20"/>
        </w:rPr>
        <w:t xml:space="preserve">Braun, V. &amp; Clarke, V.  2006. Using thematic analysis in psychology. </w:t>
      </w:r>
      <w:r w:rsidRPr="006F4797">
        <w:rPr>
          <w:i/>
          <w:sz w:val="20"/>
          <w:szCs w:val="20"/>
        </w:rPr>
        <w:t>Qualitative Research in Psychology</w:t>
      </w:r>
      <w:r w:rsidRPr="00A65125">
        <w:rPr>
          <w:sz w:val="20"/>
          <w:szCs w:val="20"/>
        </w:rPr>
        <w:t xml:space="preserve"> 3(2): 77–101.</w:t>
      </w:r>
    </w:p>
    <w:p w14:paraId="4DF7641B" w14:textId="6A437A1C" w:rsidR="00F36751" w:rsidRPr="00A65125" w:rsidRDefault="00F36751" w:rsidP="00A65125">
      <w:pPr>
        <w:pStyle w:val="Reference"/>
        <w:spacing w:after="0"/>
        <w:rPr>
          <w:sz w:val="20"/>
          <w:szCs w:val="20"/>
        </w:rPr>
      </w:pPr>
      <w:r w:rsidRPr="00A65125">
        <w:rPr>
          <w:sz w:val="20"/>
          <w:szCs w:val="20"/>
        </w:rPr>
        <w:t xml:space="preserve">Brinkmann, S. &amp; Kvale, S.  2014. </w:t>
      </w:r>
      <w:r w:rsidRPr="006F4797">
        <w:rPr>
          <w:i/>
          <w:sz w:val="20"/>
          <w:szCs w:val="20"/>
        </w:rPr>
        <w:t>Interviews</w:t>
      </w:r>
      <w:r w:rsidR="006F4797" w:rsidRPr="006F4797">
        <w:rPr>
          <w:i/>
          <w:sz w:val="20"/>
          <w:szCs w:val="20"/>
        </w:rPr>
        <w:t xml:space="preserve">: </w:t>
      </w:r>
      <w:r w:rsidRPr="006F4797">
        <w:rPr>
          <w:i/>
          <w:sz w:val="20"/>
          <w:szCs w:val="20"/>
        </w:rPr>
        <w:t xml:space="preserve">Learning </w:t>
      </w:r>
      <w:r w:rsidR="006F4797">
        <w:rPr>
          <w:i/>
          <w:sz w:val="20"/>
          <w:szCs w:val="20"/>
        </w:rPr>
        <w:t>t</w:t>
      </w:r>
      <w:r w:rsidR="006F4797" w:rsidRPr="006F4797">
        <w:rPr>
          <w:i/>
          <w:sz w:val="20"/>
          <w:szCs w:val="20"/>
        </w:rPr>
        <w:t xml:space="preserve">he Craft </w:t>
      </w:r>
      <w:r w:rsidR="006F4797">
        <w:rPr>
          <w:i/>
          <w:sz w:val="20"/>
          <w:szCs w:val="20"/>
        </w:rPr>
        <w:t>o</w:t>
      </w:r>
      <w:r w:rsidR="006F4797" w:rsidRPr="006F4797">
        <w:rPr>
          <w:i/>
          <w:sz w:val="20"/>
          <w:szCs w:val="20"/>
        </w:rPr>
        <w:t>f Qualitative Research Interviewing</w:t>
      </w:r>
      <w:r w:rsidRPr="00A65125">
        <w:rPr>
          <w:sz w:val="20"/>
          <w:szCs w:val="20"/>
        </w:rPr>
        <w:t>. 3rd Ed. SAGE Publications, Inc.</w:t>
      </w:r>
    </w:p>
    <w:p w14:paraId="26C84E8E" w14:textId="1526F78D" w:rsidR="00F36751" w:rsidRPr="000D0405" w:rsidRDefault="00F36751" w:rsidP="00A65125">
      <w:pPr>
        <w:pStyle w:val="Reference"/>
        <w:spacing w:after="0"/>
        <w:rPr>
          <w:sz w:val="20"/>
          <w:szCs w:val="20"/>
        </w:rPr>
      </w:pPr>
      <w:r w:rsidRPr="00A65125">
        <w:rPr>
          <w:sz w:val="20"/>
          <w:szCs w:val="20"/>
        </w:rPr>
        <w:t xml:space="preserve">Business Today.  2021. National 4IR Policy: Quick Facts. </w:t>
      </w:r>
      <w:hyperlink w:history="1">
        <w:r w:rsidR="006F4797" w:rsidRPr="000D0405">
          <w:rPr>
            <w:rStyle w:val="Hyperlink"/>
            <w:sz w:val="20"/>
            <w:szCs w:val="20"/>
            <w:u w:val="none"/>
          </w:rPr>
          <w:t>https://www. Businesstoday.com.my/2021/07/04/</w:t>
        </w:r>
        <w:proofErr w:type="spellStart"/>
        <w:r w:rsidR="006F4797" w:rsidRPr="000D0405">
          <w:rPr>
            <w:rStyle w:val="Hyperlink"/>
            <w:sz w:val="20"/>
            <w:szCs w:val="20"/>
            <w:u w:val="none"/>
          </w:rPr>
          <w:t>nati</w:t>
        </w:r>
        <w:proofErr w:type="spellEnd"/>
        <w:r w:rsidR="006F4797" w:rsidRPr="000D0405">
          <w:rPr>
            <w:rStyle w:val="Hyperlink"/>
            <w:sz w:val="20"/>
            <w:szCs w:val="20"/>
            <w:u w:val="none"/>
          </w:rPr>
          <w:t xml:space="preserve"> onal-4ir-policy-quick-facts/</w:t>
        </w:r>
      </w:hyperlink>
    </w:p>
    <w:p w14:paraId="6D7A62E4" w14:textId="77777777" w:rsidR="00F36751" w:rsidRPr="00A65125" w:rsidRDefault="00F36751" w:rsidP="00A65125">
      <w:pPr>
        <w:pStyle w:val="Reference"/>
        <w:spacing w:after="0"/>
        <w:rPr>
          <w:sz w:val="20"/>
          <w:szCs w:val="20"/>
        </w:rPr>
      </w:pPr>
      <w:proofErr w:type="spellStart"/>
      <w:r w:rsidRPr="00A65125">
        <w:rPr>
          <w:sz w:val="20"/>
          <w:szCs w:val="20"/>
        </w:rPr>
        <w:t>Caglio</w:t>
      </w:r>
      <w:proofErr w:type="spellEnd"/>
      <w:r w:rsidRPr="00A65125">
        <w:rPr>
          <w:sz w:val="20"/>
          <w:szCs w:val="20"/>
        </w:rPr>
        <w:t xml:space="preserve">, A. &amp; </w:t>
      </w:r>
      <w:proofErr w:type="spellStart"/>
      <w:r w:rsidRPr="00A65125">
        <w:rPr>
          <w:sz w:val="20"/>
          <w:szCs w:val="20"/>
        </w:rPr>
        <w:t>Ditillo</w:t>
      </w:r>
      <w:proofErr w:type="spellEnd"/>
      <w:r w:rsidRPr="00A65125">
        <w:rPr>
          <w:sz w:val="20"/>
          <w:szCs w:val="20"/>
        </w:rPr>
        <w:t xml:space="preserve">, A.  2012. Opening the black box of management accounting information exchanges in buyer–supplier relationships. </w:t>
      </w:r>
      <w:r w:rsidRPr="006F4797">
        <w:rPr>
          <w:i/>
          <w:sz w:val="20"/>
          <w:szCs w:val="20"/>
        </w:rPr>
        <w:t>Management Accounting Research</w:t>
      </w:r>
      <w:r w:rsidRPr="00A65125">
        <w:rPr>
          <w:sz w:val="20"/>
          <w:szCs w:val="20"/>
        </w:rPr>
        <w:t xml:space="preserve"> 23(2): 61–78.</w:t>
      </w:r>
    </w:p>
    <w:p w14:paraId="0B30C5B5" w14:textId="77777777" w:rsidR="00F36751" w:rsidRPr="00A65125" w:rsidRDefault="00F36751" w:rsidP="00A65125">
      <w:pPr>
        <w:pStyle w:val="Reference"/>
        <w:spacing w:after="0"/>
        <w:rPr>
          <w:sz w:val="20"/>
          <w:szCs w:val="20"/>
        </w:rPr>
      </w:pPr>
      <w:proofErr w:type="spellStart"/>
      <w:r w:rsidRPr="00A65125">
        <w:rPr>
          <w:sz w:val="20"/>
          <w:szCs w:val="20"/>
        </w:rPr>
        <w:t>Centobelli</w:t>
      </w:r>
      <w:proofErr w:type="spellEnd"/>
      <w:r w:rsidRPr="00A65125">
        <w:rPr>
          <w:sz w:val="20"/>
          <w:szCs w:val="20"/>
        </w:rPr>
        <w:t xml:space="preserve">, P., </w:t>
      </w:r>
      <w:proofErr w:type="spellStart"/>
      <w:r w:rsidRPr="00A65125">
        <w:rPr>
          <w:sz w:val="20"/>
          <w:szCs w:val="20"/>
        </w:rPr>
        <w:t>Cerchione</w:t>
      </w:r>
      <w:proofErr w:type="spellEnd"/>
      <w:r w:rsidRPr="00A65125">
        <w:rPr>
          <w:sz w:val="20"/>
          <w:szCs w:val="20"/>
        </w:rPr>
        <w:t xml:space="preserve">, R., Del Vecchio, P., Oropallo, E. &amp; Secundo, G.  2022. Blockchain technology design in accounting: Game changer to tackle fraud or technological fairy tale? </w:t>
      </w:r>
      <w:r w:rsidRPr="006F4797">
        <w:rPr>
          <w:i/>
          <w:sz w:val="20"/>
          <w:szCs w:val="20"/>
        </w:rPr>
        <w:t>Accounting, Auditing and Accountability Journal</w:t>
      </w:r>
      <w:r w:rsidRPr="00A65125">
        <w:rPr>
          <w:sz w:val="20"/>
          <w:szCs w:val="20"/>
        </w:rPr>
        <w:t xml:space="preserve"> 35(7): 1566–1597.</w:t>
      </w:r>
    </w:p>
    <w:p w14:paraId="691D7469" w14:textId="6E86BB28" w:rsidR="00F36751" w:rsidRDefault="00F36751" w:rsidP="00A65125">
      <w:pPr>
        <w:pStyle w:val="Reference"/>
        <w:spacing w:after="0"/>
        <w:rPr>
          <w:sz w:val="20"/>
          <w:szCs w:val="20"/>
        </w:rPr>
      </w:pPr>
      <w:r w:rsidRPr="00A65125">
        <w:rPr>
          <w:sz w:val="20"/>
          <w:szCs w:val="20"/>
        </w:rPr>
        <w:t xml:space="preserve">Central Bank of Malaysia.  2024. BNM Payment Statistic (T2 Report). Report No.  </w:t>
      </w:r>
      <w:hyperlink r:id="rId11" w:history="1">
        <w:r w:rsidR="006F4797" w:rsidRPr="00BA439E">
          <w:rPr>
            <w:rStyle w:val="Hyperlink"/>
            <w:sz w:val="20"/>
            <w:szCs w:val="20"/>
          </w:rPr>
          <w:t>https://www.bnm.gov.my/pa yment-statistics</w:t>
        </w:r>
      </w:hyperlink>
      <w:r w:rsidRPr="00A65125">
        <w:rPr>
          <w:sz w:val="20"/>
          <w:szCs w:val="20"/>
        </w:rPr>
        <w:t>.</w:t>
      </w:r>
    </w:p>
    <w:p w14:paraId="2A07E12C" w14:textId="41D99B16" w:rsidR="00F36751" w:rsidRPr="00A65125" w:rsidRDefault="00F36751" w:rsidP="00A65125">
      <w:pPr>
        <w:pStyle w:val="Reference"/>
        <w:spacing w:after="0"/>
        <w:rPr>
          <w:sz w:val="20"/>
          <w:szCs w:val="20"/>
        </w:rPr>
      </w:pPr>
      <w:proofErr w:type="spellStart"/>
      <w:r w:rsidRPr="00A65125">
        <w:rPr>
          <w:sz w:val="20"/>
          <w:szCs w:val="20"/>
        </w:rPr>
        <w:t>Cepa</w:t>
      </w:r>
      <w:proofErr w:type="spellEnd"/>
      <w:r w:rsidRPr="00A65125">
        <w:rPr>
          <w:sz w:val="20"/>
          <w:szCs w:val="20"/>
        </w:rPr>
        <w:t xml:space="preserve">, K. &amp; Schildt, H.  2019. Technological </w:t>
      </w:r>
      <w:r w:rsidR="00714545" w:rsidRPr="00A65125">
        <w:rPr>
          <w:sz w:val="20"/>
          <w:szCs w:val="20"/>
        </w:rPr>
        <w:t>embeddedness of inter-organizational collaboration processes</w:t>
      </w:r>
      <w:r w:rsidRPr="00A65125">
        <w:rPr>
          <w:sz w:val="20"/>
          <w:szCs w:val="20"/>
        </w:rPr>
        <w:t xml:space="preserve">. In </w:t>
      </w:r>
      <w:r w:rsidR="006F4797" w:rsidRPr="006F4797">
        <w:rPr>
          <w:i/>
          <w:sz w:val="20"/>
          <w:szCs w:val="20"/>
        </w:rPr>
        <w:t>Managing Inter-Organizational Collaborations: Process Views</w:t>
      </w:r>
      <w:r w:rsidRPr="00A65125">
        <w:rPr>
          <w:sz w:val="20"/>
          <w:szCs w:val="20"/>
        </w:rPr>
        <w:t>. pp. 91–115.</w:t>
      </w:r>
    </w:p>
    <w:p w14:paraId="0B562696" w14:textId="77777777" w:rsidR="00F36751" w:rsidRPr="00A65125" w:rsidRDefault="00F36751" w:rsidP="00A65125">
      <w:pPr>
        <w:pStyle w:val="Reference"/>
        <w:spacing w:after="0"/>
        <w:rPr>
          <w:sz w:val="20"/>
          <w:szCs w:val="20"/>
        </w:rPr>
      </w:pPr>
      <w:r w:rsidRPr="00A65125">
        <w:rPr>
          <w:sz w:val="20"/>
          <w:szCs w:val="20"/>
        </w:rPr>
        <w:t xml:space="preserve">Creswell, J.W.  2014. </w:t>
      </w:r>
      <w:r w:rsidRPr="00714545">
        <w:rPr>
          <w:i/>
          <w:sz w:val="20"/>
          <w:szCs w:val="20"/>
        </w:rPr>
        <w:t>Research Design Qualitative, Quantitative and Mixed Methods Approaches</w:t>
      </w:r>
      <w:r w:rsidRPr="00A65125">
        <w:rPr>
          <w:sz w:val="20"/>
          <w:szCs w:val="20"/>
        </w:rPr>
        <w:t>. 4th Edition. SAGE Publications, Inc.</w:t>
      </w:r>
    </w:p>
    <w:p w14:paraId="0312F48E" w14:textId="77777777" w:rsidR="00F36751" w:rsidRPr="00A65125" w:rsidRDefault="00F36751" w:rsidP="00A65125">
      <w:pPr>
        <w:pStyle w:val="Reference"/>
        <w:spacing w:after="0"/>
        <w:rPr>
          <w:sz w:val="20"/>
          <w:szCs w:val="20"/>
        </w:rPr>
      </w:pPr>
      <w:r w:rsidRPr="00A65125">
        <w:rPr>
          <w:sz w:val="20"/>
          <w:szCs w:val="20"/>
        </w:rPr>
        <w:t xml:space="preserve">Creswell, J.W. &amp; Creswell, J.D.  2018. </w:t>
      </w:r>
      <w:r w:rsidRPr="00714545">
        <w:rPr>
          <w:i/>
          <w:sz w:val="20"/>
          <w:szCs w:val="20"/>
        </w:rPr>
        <w:t>Research Design Qualitative, Quantitative, and Mixed Methods Approaches.</w:t>
      </w:r>
      <w:r w:rsidRPr="00A65125">
        <w:rPr>
          <w:sz w:val="20"/>
          <w:szCs w:val="20"/>
        </w:rPr>
        <w:t xml:space="preserve"> 5th Edition. SAGE Publications, Inc.</w:t>
      </w:r>
    </w:p>
    <w:p w14:paraId="093C9793" w14:textId="7EA2B7D9" w:rsidR="00F36751" w:rsidRPr="00A65125" w:rsidRDefault="00F36751" w:rsidP="00A65125">
      <w:pPr>
        <w:pStyle w:val="Reference"/>
        <w:spacing w:after="0"/>
        <w:rPr>
          <w:sz w:val="20"/>
          <w:szCs w:val="20"/>
        </w:rPr>
      </w:pPr>
      <w:r w:rsidRPr="00A65125">
        <w:rPr>
          <w:sz w:val="20"/>
          <w:szCs w:val="20"/>
        </w:rPr>
        <w:t xml:space="preserve">Das, T.K. &amp; Teng, B.-S.  1998. Between </w:t>
      </w:r>
      <w:r w:rsidR="00714545" w:rsidRPr="00A65125">
        <w:rPr>
          <w:sz w:val="20"/>
          <w:szCs w:val="20"/>
        </w:rPr>
        <w:t xml:space="preserve">trust and control: </w:t>
      </w:r>
      <w:r w:rsidR="0004187D">
        <w:rPr>
          <w:sz w:val="20"/>
          <w:szCs w:val="20"/>
        </w:rPr>
        <w:t>D</w:t>
      </w:r>
      <w:r w:rsidR="00714545" w:rsidRPr="00A65125">
        <w:rPr>
          <w:sz w:val="20"/>
          <w:szCs w:val="20"/>
        </w:rPr>
        <w:t>eveloping confidence in partner cooperation in alliances.</w:t>
      </w:r>
      <w:r w:rsidRPr="00A65125">
        <w:rPr>
          <w:sz w:val="20"/>
          <w:szCs w:val="20"/>
        </w:rPr>
        <w:t xml:space="preserve"> </w:t>
      </w:r>
      <w:r w:rsidRPr="00714545">
        <w:rPr>
          <w:i/>
          <w:sz w:val="20"/>
          <w:szCs w:val="20"/>
        </w:rPr>
        <w:t>The Academy of Management Review</w:t>
      </w:r>
      <w:r w:rsidRPr="00A65125">
        <w:rPr>
          <w:sz w:val="20"/>
          <w:szCs w:val="20"/>
        </w:rPr>
        <w:t xml:space="preserve"> 23(3): 491</w:t>
      </w:r>
      <w:r w:rsidR="0004187D">
        <w:rPr>
          <w:sz w:val="20"/>
          <w:szCs w:val="20"/>
        </w:rPr>
        <w:t>-512.</w:t>
      </w:r>
    </w:p>
    <w:p w14:paraId="748F876B" w14:textId="64FF61E6" w:rsidR="00F36751" w:rsidRPr="00A65125" w:rsidRDefault="00F36751" w:rsidP="00A65125">
      <w:pPr>
        <w:pStyle w:val="Reference"/>
        <w:spacing w:after="0"/>
        <w:rPr>
          <w:sz w:val="20"/>
          <w:szCs w:val="20"/>
        </w:rPr>
      </w:pPr>
      <w:r w:rsidRPr="00A65125">
        <w:rPr>
          <w:sz w:val="20"/>
          <w:szCs w:val="20"/>
        </w:rPr>
        <w:t xml:space="preserve">Dekker, H.C.  2004. Control of inter-organizational relationships: </w:t>
      </w:r>
      <w:r w:rsidR="008A5DAC">
        <w:rPr>
          <w:sz w:val="20"/>
          <w:szCs w:val="20"/>
        </w:rPr>
        <w:t>E</w:t>
      </w:r>
      <w:r w:rsidRPr="00A65125">
        <w:rPr>
          <w:sz w:val="20"/>
          <w:szCs w:val="20"/>
        </w:rPr>
        <w:t xml:space="preserve">vidence on appropriation concerns and </w:t>
      </w:r>
      <w:r w:rsidRPr="00A65125">
        <w:rPr>
          <w:sz w:val="20"/>
          <w:szCs w:val="20"/>
        </w:rPr>
        <w:lastRenderedPageBreak/>
        <w:t xml:space="preserve">coordination requirements. </w:t>
      </w:r>
      <w:r w:rsidRPr="008A5DAC">
        <w:rPr>
          <w:i/>
          <w:sz w:val="20"/>
          <w:szCs w:val="20"/>
        </w:rPr>
        <w:t>Accounting, Organizations and Society</w:t>
      </w:r>
      <w:r w:rsidRPr="00A65125">
        <w:rPr>
          <w:sz w:val="20"/>
          <w:szCs w:val="20"/>
        </w:rPr>
        <w:t xml:space="preserve"> 29(1): 27–49.</w:t>
      </w:r>
    </w:p>
    <w:p w14:paraId="414AFA5D" w14:textId="73D06AC7" w:rsidR="00F36751" w:rsidRPr="00A65125" w:rsidRDefault="00F36751" w:rsidP="00A65125">
      <w:pPr>
        <w:pStyle w:val="Reference"/>
        <w:spacing w:after="0"/>
        <w:rPr>
          <w:sz w:val="20"/>
          <w:szCs w:val="20"/>
        </w:rPr>
      </w:pPr>
      <w:r w:rsidRPr="00A65125">
        <w:rPr>
          <w:sz w:val="20"/>
          <w:szCs w:val="20"/>
        </w:rPr>
        <w:t xml:space="preserve">Dixit, P., </w:t>
      </w:r>
      <w:proofErr w:type="spellStart"/>
      <w:r w:rsidRPr="00A65125">
        <w:rPr>
          <w:sz w:val="20"/>
          <w:szCs w:val="20"/>
        </w:rPr>
        <w:t>Harwani</w:t>
      </w:r>
      <w:proofErr w:type="spellEnd"/>
      <w:r w:rsidRPr="00A65125">
        <w:rPr>
          <w:sz w:val="20"/>
          <w:szCs w:val="20"/>
        </w:rPr>
        <w:t xml:space="preserve">, H., Kachhi, P., </w:t>
      </w:r>
      <w:proofErr w:type="spellStart"/>
      <w:r w:rsidRPr="00A65125">
        <w:rPr>
          <w:sz w:val="20"/>
          <w:szCs w:val="20"/>
        </w:rPr>
        <w:t>Amarsela</w:t>
      </w:r>
      <w:proofErr w:type="spellEnd"/>
      <w:r w:rsidRPr="00A65125">
        <w:rPr>
          <w:sz w:val="20"/>
          <w:szCs w:val="20"/>
        </w:rPr>
        <w:t xml:space="preserve">, R., Patel, K. &amp; Patel, M.J.  2024. Incorporating </w:t>
      </w:r>
      <w:r w:rsidR="008A5DAC" w:rsidRPr="00A65125">
        <w:rPr>
          <w:sz w:val="20"/>
          <w:szCs w:val="20"/>
        </w:rPr>
        <w:t>triple entry accounting as an audit tool—enhancing modern accounting systems</w:t>
      </w:r>
      <w:r w:rsidRPr="00A65125">
        <w:rPr>
          <w:sz w:val="20"/>
          <w:szCs w:val="20"/>
        </w:rPr>
        <w:t xml:space="preserve">. </w:t>
      </w:r>
      <w:r w:rsidRPr="008A5DAC">
        <w:rPr>
          <w:i/>
          <w:sz w:val="20"/>
          <w:szCs w:val="20"/>
        </w:rPr>
        <w:t>Journal of Informatics Education and Research</w:t>
      </w:r>
      <w:r w:rsidRPr="00A65125">
        <w:rPr>
          <w:sz w:val="20"/>
          <w:szCs w:val="20"/>
        </w:rPr>
        <w:t xml:space="preserve"> 4(2): 1362–1372.</w:t>
      </w:r>
    </w:p>
    <w:p w14:paraId="74739F11" w14:textId="77777777" w:rsidR="00F36751" w:rsidRPr="00A65125" w:rsidRDefault="00F36751" w:rsidP="00A65125">
      <w:pPr>
        <w:pStyle w:val="Reference"/>
        <w:spacing w:after="0"/>
        <w:rPr>
          <w:sz w:val="20"/>
          <w:szCs w:val="20"/>
        </w:rPr>
      </w:pPr>
      <w:proofErr w:type="spellStart"/>
      <w:r w:rsidRPr="00A65125">
        <w:rPr>
          <w:sz w:val="20"/>
          <w:szCs w:val="20"/>
        </w:rPr>
        <w:t>Dowelani</w:t>
      </w:r>
      <w:proofErr w:type="spellEnd"/>
      <w:r w:rsidRPr="00A65125">
        <w:rPr>
          <w:sz w:val="20"/>
          <w:szCs w:val="20"/>
        </w:rPr>
        <w:t xml:space="preserve">, M., Okoro, C. &amp; Olaleye, A.  2023. Blockchain technology in the clearing and settlement industry in South Africa. </w:t>
      </w:r>
      <w:r w:rsidRPr="00F504A8">
        <w:rPr>
          <w:i/>
          <w:sz w:val="20"/>
          <w:szCs w:val="20"/>
        </w:rPr>
        <w:t xml:space="preserve">Acta </w:t>
      </w:r>
      <w:proofErr w:type="spellStart"/>
      <w:r w:rsidRPr="00F504A8">
        <w:rPr>
          <w:i/>
          <w:sz w:val="20"/>
          <w:szCs w:val="20"/>
        </w:rPr>
        <w:t>Commercii</w:t>
      </w:r>
      <w:proofErr w:type="spellEnd"/>
      <w:r w:rsidRPr="00F504A8">
        <w:rPr>
          <w:i/>
          <w:sz w:val="20"/>
          <w:szCs w:val="20"/>
        </w:rPr>
        <w:t xml:space="preserve"> - Independent Research Journal in the Management Sciences</w:t>
      </w:r>
      <w:r w:rsidRPr="00A65125">
        <w:rPr>
          <w:sz w:val="20"/>
          <w:szCs w:val="20"/>
        </w:rPr>
        <w:t xml:space="preserve"> 23(1): 1–12.</w:t>
      </w:r>
    </w:p>
    <w:p w14:paraId="12AA54DA" w14:textId="303F916E" w:rsidR="00F36751" w:rsidRPr="00A65125" w:rsidRDefault="00F36751" w:rsidP="00A65125">
      <w:pPr>
        <w:pStyle w:val="Reference"/>
        <w:spacing w:after="0"/>
        <w:rPr>
          <w:sz w:val="20"/>
          <w:szCs w:val="20"/>
        </w:rPr>
      </w:pPr>
      <w:r w:rsidRPr="00A65125">
        <w:rPr>
          <w:sz w:val="20"/>
          <w:szCs w:val="20"/>
        </w:rPr>
        <w:t xml:space="preserve">Economic Planning Unit.  2021. Malaysia Digital Economy Blueprint. Report No.  Economic Planning Unit, Prime Minister’s Department. </w:t>
      </w:r>
      <w:hyperlink r:id="rId12" w:history="1">
        <w:r w:rsidR="00F504A8" w:rsidRPr="00BA439E">
          <w:rPr>
            <w:rStyle w:val="Hyperlink"/>
            <w:sz w:val="20"/>
            <w:szCs w:val="20"/>
          </w:rPr>
          <w:t>https://www.epu.gov.my/sites/default/files/2021-02/malaysia-digital-economy-blueprint.pdf</w:t>
        </w:r>
      </w:hyperlink>
      <w:r w:rsidRPr="00A65125">
        <w:rPr>
          <w:sz w:val="20"/>
          <w:szCs w:val="20"/>
        </w:rPr>
        <w:t>.</w:t>
      </w:r>
    </w:p>
    <w:p w14:paraId="2B85E479" w14:textId="4BB5632F" w:rsidR="00F36751" w:rsidRPr="00A65125" w:rsidRDefault="00F36751" w:rsidP="00A65125">
      <w:pPr>
        <w:pStyle w:val="Reference"/>
        <w:spacing w:after="0"/>
        <w:rPr>
          <w:sz w:val="20"/>
          <w:szCs w:val="20"/>
        </w:rPr>
      </w:pPr>
      <w:r w:rsidRPr="00A65125">
        <w:rPr>
          <w:sz w:val="20"/>
          <w:szCs w:val="20"/>
        </w:rPr>
        <w:t xml:space="preserve">Elsa, J. &amp; Halil, H.  2024. </w:t>
      </w:r>
      <w:r w:rsidRPr="00F504A8">
        <w:rPr>
          <w:i/>
          <w:sz w:val="20"/>
          <w:szCs w:val="20"/>
        </w:rPr>
        <w:t xml:space="preserve">Digital Transformation in Finance: </w:t>
      </w:r>
      <w:r w:rsidR="00F504A8" w:rsidRPr="00F504A8">
        <w:rPr>
          <w:i/>
          <w:sz w:val="20"/>
          <w:szCs w:val="20"/>
        </w:rPr>
        <w:t>T</w:t>
      </w:r>
      <w:r w:rsidRPr="00F504A8">
        <w:rPr>
          <w:i/>
          <w:sz w:val="20"/>
          <w:szCs w:val="20"/>
        </w:rPr>
        <w:t>he Role of Accounting Technology</w:t>
      </w:r>
      <w:r w:rsidRPr="00A65125">
        <w:rPr>
          <w:sz w:val="20"/>
          <w:szCs w:val="20"/>
        </w:rPr>
        <w:t xml:space="preserve">. </w:t>
      </w:r>
      <w:proofErr w:type="spellStart"/>
      <w:r w:rsidRPr="00A65125">
        <w:rPr>
          <w:sz w:val="20"/>
          <w:szCs w:val="20"/>
        </w:rPr>
        <w:t>EasyChair</w:t>
      </w:r>
      <w:proofErr w:type="spellEnd"/>
      <w:r w:rsidRPr="00A65125">
        <w:rPr>
          <w:sz w:val="20"/>
          <w:szCs w:val="20"/>
        </w:rPr>
        <w:t xml:space="preserve"> Preprint 12112.</w:t>
      </w:r>
    </w:p>
    <w:p w14:paraId="4A9AAF0D" w14:textId="77777777" w:rsidR="00F36751" w:rsidRPr="00A65125" w:rsidRDefault="00F36751" w:rsidP="00A65125">
      <w:pPr>
        <w:pStyle w:val="Reference"/>
        <w:spacing w:after="0"/>
        <w:rPr>
          <w:sz w:val="20"/>
          <w:szCs w:val="20"/>
        </w:rPr>
      </w:pPr>
      <w:r w:rsidRPr="00A65125">
        <w:rPr>
          <w:sz w:val="20"/>
          <w:szCs w:val="20"/>
        </w:rPr>
        <w:t xml:space="preserve">Engel, R., Fernandez, P., Ruiz-Cortes, A., Megahed, A. &amp; Ojeda-Perez, J.  2022. SLA-aware operational efficiency in AI-enabled service chains: challenges ahead. </w:t>
      </w:r>
      <w:r w:rsidRPr="00F504A8">
        <w:rPr>
          <w:i/>
          <w:sz w:val="20"/>
          <w:szCs w:val="20"/>
        </w:rPr>
        <w:t>Information Systems and E-Business Management</w:t>
      </w:r>
      <w:r w:rsidRPr="00A65125">
        <w:rPr>
          <w:sz w:val="20"/>
          <w:szCs w:val="20"/>
        </w:rPr>
        <w:t xml:space="preserve"> 20(1): 199–221.</w:t>
      </w:r>
    </w:p>
    <w:p w14:paraId="2B3A6F4C" w14:textId="4AA12E56" w:rsidR="00F36751" w:rsidRPr="00A65125" w:rsidRDefault="00F36751" w:rsidP="00A65125">
      <w:pPr>
        <w:pStyle w:val="Reference"/>
        <w:spacing w:after="0"/>
        <w:rPr>
          <w:sz w:val="20"/>
          <w:szCs w:val="20"/>
        </w:rPr>
      </w:pPr>
      <w:r w:rsidRPr="00A65125">
        <w:rPr>
          <w:sz w:val="20"/>
          <w:szCs w:val="20"/>
        </w:rPr>
        <w:t xml:space="preserve">Faisal, M.N., Sabir, L. Bin, </w:t>
      </w:r>
      <w:proofErr w:type="spellStart"/>
      <w:r w:rsidRPr="00A65125">
        <w:rPr>
          <w:sz w:val="20"/>
          <w:szCs w:val="20"/>
        </w:rPr>
        <w:t>AlNaimi</w:t>
      </w:r>
      <w:proofErr w:type="spellEnd"/>
      <w:r w:rsidRPr="00A65125">
        <w:rPr>
          <w:sz w:val="20"/>
          <w:szCs w:val="20"/>
        </w:rPr>
        <w:t xml:space="preserve">, M.S., Sharif, K.J. &amp; Uddin, S.M.F.  2024. Critical </w:t>
      </w:r>
      <w:r w:rsidR="005C0EAC" w:rsidRPr="00A65125">
        <w:rPr>
          <w:sz w:val="20"/>
          <w:szCs w:val="20"/>
        </w:rPr>
        <w:t xml:space="preserve">role of coopetition among supply chains for blockchain adoption: </w:t>
      </w:r>
      <w:r w:rsidR="005C0EAC">
        <w:rPr>
          <w:sz w:val="20"/>
          <w:szCs w:val="20"/>
        </w:rPr>
        <w:t>R</w:t>
      </w:r>
      <w:r w:rsidR="005C0EAC" w:rsidRPr="00A65125">
        <w:rPr>
          <w:sz w:val="20"/>
          <w:szCs w:val="20"/>
        </w:rPr>
        <w:t>eview of reviews and mixed-method analysis</w:t>
      </w:r>
      <w:r w:rsidRPr="00A65125">
        <w:rPr>
          <w:sz w:val="20"/>
          <w:szCs w:val="20"/>
        </w:rPr>
        <w:t xml:space="preserve">. </w:t>
      </w:r>
      <w:r w:rsidRPr="005C0EAC">
        <w:rPr>
          <w:i/>
          <w:sz w:val="20"/>
          <w:szCs w:val="20"/>
        </w:rPr>
        <w:t>Global Journal of Flexible Systems Management</w:t>
      </w:r>
      <w:r w:rsidRPr="00A65125">
        <w:rPr>
          <w:sz w:val="20"/>
          <w:szCs w:val="20"/>
        </w:rPr>
        <w:t xml:space="preserve"> 25(1): 117–136.</w:t>
      </w:r>
    </w:p>
    <w:p w14:paraId="7BCC8DD3" w14:textId="3D319FE7" w:rsidR="00F36751" w:rsidRPr="00A65125" w:rsidRDefault="00F36751" w:rsidP="00A65125">
      <w:pPr>
        <w:pStyle w:val="Reference"/>
        <w:spacing w:after="0"/>
        <w:rPr>
          <w:sz w:val="20"/>
          <w:szCs w:val="20"/>
        </w:rPr>
      </w:pPr>
      <w:r w:rsidRPr="00A65125">
        <w:rPr>
          <w:sz w:val="20"/>
          <w:szCs w:val="20"/>
        </w:rPr>
        <w:t xml:space="preserve">Fong, D., Han, F., Liu, L., Qu, J. &amp; Shek, A.  2021, November. Seven technologies shaping the future of fintech. McKinsey Analysis November. McKinsey &amp; Company. </w:t>
      </w:r>
      <w:hyperlink r:id="rId13" w:history="1">
        <w:r w:rsidR="005C0EAC" w:rsidRPr="00BA439E">
          <w:rPr>
            <w:rStyle w:val="Hyperlink"/>
            <w:sz w:val="20"/>
            <w:szCs w:val="20"/>
          </w:rPr>
          <w:t>https://www.mckinsey.com/cn/~/media/m ckinsey/locations/asia/greater%20china/our%20insights/seven%20technologies%20shaping%20the%20future%20of%20fintech/seven-fintech-trends.pdf</w:t>
        </w:r>
      </w:hyperlink>
    </w:p>
    <w:p w14:paraId="7169C1F9" w14:textId="012BB3CF" w:rsidR="00F36751" w:rsidRPr="00A65125" w:rsidRDefault="00F36751" w:rsidP="00A65125">
      <w:pPr>
        <w:pStyle w:val="Reference"/>
        <w:spacing w:after="0"/>
        <w:rPr>
          <w:sz w:val="20"/>
          <w:szCs w:val="20"/>
        </w:rPr>
      </w:pPr>
      <w:proofErr w:type="spellStart"/>
      <w:r w:rsidRPr="00A65125">
        <w:rPr>
          <w:sz w:val="20"/>
          <w:szCs w:val="20"/>
        </w:rPr>
        <w:t>Ganeshu</w:t>
      </w:r>
      <w:proofErr w:type="spellEnd"/>
      <w:r w:rsidRPr="00A65125">
        <w:rPr>
          <w:sz w:val="20"/>
          <w:szCs w:val="20"/>
        </w:rPr>
        <w:t xml:space="preserve">, P., Fernando, T., Therrien, M.-C. &amp; </w:t>
      </w:r>
      <w:proofErr w:type="spellStart"/>
      <w:r w:rsidRPr="00A65125">
        <w:rPr>
          <w:sz w:val="20"/>
          <w:szCs w:val="20"/>
        </w:rPr>
        <w:t>Keraminiyage</w:t>
      </w:r>
      <w:proofErr w:type="spellEnd"/>
      <w:r w:rsidRPr="00A65125">
        <w:rPr>
          <w:sz w:val="20"/>
          <w:szCs w:val="20"/>
        </w:rPr>
        <w:t>, K.  2024. Inter-</w:t>
      </w:r>
      <w:r w:rsidR="005C0EAC" w:rsidRPr="00A65125">
        <w:rPr>
          <w:sz w:val="20"/>
          <w:szCs w:val="20"/>
        </w:rPr>
        <w:t>organisational collaboration structures and features to facilitate stakeholder collaboration</w:t>
      </w:r>
      <w:r w:rsidRPr="00A65125">
        <w:rPr>
          <w:sz w:val="20"/>
          <w:szCs w:val="20"/>
        </w:rPr>
        <w:t xml:space="preserve">. </w:t>
      </w:r>
      <w:r w:rsidRPr="005C0EAC">
        <w:rPr>
          <w:i/>
          <w:sz w:val="20"/>
          <w:szCs w:val="20"/>
        </w:rPr>
        <w:t>Administrative Sciences</w:t>
      </w:r>
      <w:r w:rsidRPr="00A65125">
        <w:rPr>
          <w:sz w:val="20"/>
          <w:szCs w:val="20"/>
        </w:rPr>
        <w:t xml:space="preserve"> 14(2): </w:t>
      </w:r>
      <w:r w:rsidR="00504FCE">
        <w:rPr>
          <w:sz w:val="20"/>
          <w:szCs w:val="20"/>
        </w:rPr>
        <w:t>1-16.</w:t>
      </w:r>
    </w:p>
    <w:p w14:paraId="01436413" w14:textId="77777777" w:rsidR="00F36751" w:rsidRPr="00A65125" w:rsidRDefault="00F36751" w:rsidP="00A65125">
      <w:pPr>
        <w:pStyle w:val="Reference"/>
        <w:spacing w:after="0"/>
        <w:rPr>
          <w:sz w:val="20"/>
          <w:szCs w:val="20"/>
        </w:rPr>
      </w:pPr>
      <w:r w:rsidRPr="00A65125">
        <w:rPr>
          <w:sz w:val="20"/>
          <w:szCs w:val="20"/>
        </w:rPr>
        <w:t xml:space="preserve">Gaur, N.  2020. Blockchain challenges in adoption. </w:t>
      </w:r>
      <w:r w:rsidRPr="00277517">
        <w:rPr>
          <w:i/>
          <w:sz w:val="20"/>
          <w:szCs w:val="20"/>
        </w:rPr>
        <w:t>Managerial Finance</w:t>
      </w:r>
      <w:r w:rsidRPr="00A65125">
        <w:rPr>
          <w:sz w:val="20"/>
          <w:szCs w:val="20"/>
        </w:rPr>
        <w:t xml:space="preserve"> 46(6): 849–858.</w:t>
      </w:r>
    </w:p>
    <w:p w14:paraId="1162CEB3" w14:textId="6610176D" w:rsidR="00F36751" w:rsidRPr="00A65125" w:rsidRDefault="00F36751" w:rsidP="00A65125">
      <w:pPr>
        <w:pStyle w:val="Reference"/>
        <w:spacing w:after="0"/>
        <w:rPr>
          <w:sz w:val="20"/>
          <w:szCs w:val="20"/>
        </w:rPr>
      </w:pPr>
      <w:r w:rsidRPr="00A65125">
        <w:rPr>
          <w:sz w:val="20"/>
          <w:szCs w:val="20"/>
        </w:rPr>
        <w:t xml:space="preserve">Gomaa, A.A., Gomaa, M.I., Boumediene, S.L. &amp; Farag, M.S.  2023. The </w:t>
      </w:r>
      <w:r w:rsidR="00277517" w:rsidRPr="00A65125">
        <w:rPr>
          <w:sz w:val="20"/>
          <w:szCs w:val="20"/>
        </w:rPr>
        <w:t xml:space="preserve">creation of one truth: </w:t>
      </w:r>
      <w:r w:rsidR="00277517">
        <w:rPr>
          <w:sz w:val="20"/>
          <w:szCs w:val="20"/>
        </w:rPr>
        <w:t>S</w:t>
      </w:r>
      <w:r w:rsidR="00277517" w:rsidRPr="00A65125">
        <w:rPr>
          <w:sz w:val="20"/>
          <w:szCs w:val="20"/>
        </w:rPr>
        <w:t>ingle-ledger entries for multiple stakeholders using blockchain technology to address the reconciliation problem</w:t>
      </w:r>
      <w:r w:rsidRPr="00A65125">
        <w:rPr>
          <w:sz w:val="20"/>
          <w:szCs w:val="20"/>
        </w:rPr>
        <w:t xml:space="preserve">. </w:t>
      </w:r>
      <w:r w:rsidRPr="00277517">
        <w:rPr>
          <w:i/>
          <w:sz w:val="20"/>
          <w:szCs w:val="20"/>
        </w:rPr>
        <w:t>Journal of Emerging Technologies in Accounting</w:t>
      </w:r>
      <w:r w:rsidRPr="00A65125">
        <w:rPr>
          <w:sz w:val="20"/>
          <w:szCs w:val="20"/>
        </w:rPr>
        <w:t xml:space="preserve"> 20(1): 59–75.</w:t>
      </w:r>
    </w:p>
    <w:p w14:paraId="16A0596F" w14:textId="6DBBB1C1" w:rsidR="00F36751" w:rsidRPr="00A65125" w:rsidRDefault="00F36751" w:rsidP="00A65125">
      <w:pPr>
        <w:pStyle w:val="Reference"/>
        <w:spacing w:after="0"/>
        <w:rPr>
          <w:sz w:val="20"/>
          <w:szCs w:val="20"/>
        </w:rPr>
      </w:pPr>
      <w:r w:rsidRPr="00A65125">
        <w:rPr>
          <w:sz w:val="20"/>
          <w:szCs w:val="20"/>
        </w:rPr>
        <w:t xml:space="preserve">Guest, G., Bunce, A. &amp; Johnson, L.  2006. How </w:t>
      </w:r>
      <w:r w:rsidR="00277517" w:rsidRPr="00A65125">
        <w:rPr>
          <w:sz w:val="20"/>
          <w:szCs w:val="20"/>
        </w:rPr>
        <w:t xml:space="preserve">many interviews are enough? </w:t>
      </w:r>
      <w:r w:rsidR="00277517">
        <w:rPr>
          <w:sz w:val="20"/>
          <w:szCs w:val="20"/>
        </w:rPr>
        <w:t>A</w:t>
      </w:r>
      <w:r w:rsidR="00277517" w:rsidRPr="00A65125">
        <w:rPr>
          <w:sz w:val="20"/>
          <w:szCs w:val="20"/>
        </w:rPr>
        <w:t>n experiment with data saturation and variabili</w:t>
      </w:r>
      <w:r w:rsidRPr="00A65125">
        <w:rPr>
          <w:sz w:val="20"/>
          <w:szCs w:val="20"/>
        </w:rPr>
        <w:t xml:space="preserve">ty. </w:t>
      </w:r>
      <w:r w:rsidRPr="00277517">
        <w:rPr>
          <w:i/>
          <w:sz w:val="20"/>
          <w:szCs w:val="20"/>
        </w:rPr>
        <w:t>Field Method</w:t>
      </w:r>
      <w:r w:rsidRPr="00A65125">
        <w:rPr>
          <w:sz w:val="20"/>
          <w:szCs w:val="20"/>
        </w:rPr>
        <w:t>s 18(1): 59–82.</w:t>
      </w:r>
    </w:p>
    <w:p w14:paraId="2093C357" w14:textId="5E589AF0" w:rsidR="00F36751" w:rsidRPr="00A65125" w:rsidRDefault="00F36751" w:rsidP="00A65125">
      <w:pPr>
        <w:pStyle w:val="Reference"/>
        <w:spacing w:after="0"/>
        <w:rPr>
          <w:sz w:val="20"/>
          <w:szCs w:val="20"/>
        </w:rPr>
      </w:pPr>
      <w:r w:rsidRPr="00A65125">
        <w:rPr>
          <w:sz w:val="20"/>
          <w:szCs w:val="20"/>
        </w:rPr>
        <w:t xml:space="preserve">Gulati, R., </w:t>
      </w:r>
      <w:proofErr w:type="spellStart"/>
      <w:r w:rsidRPr="00A65125">
        <w:rPr>
          <w:sz w:val="20"/>
          <w:szCs w:val="20"/>
        </w:rPr>
        <w:t>Wohlgezogen</w:t>
      </w:r>
      <w:proofErr w:type="spellEnd"/>
      <w:r w:rsidRPr="00A65125">
        <w:rPr>
          <w:sz w:val="20"/>
          <w:szCs w:val="20"/>
        </w:rPr>
        <w:t xml:space="preserve">, F. &amp; Zhelyazkov, P.  2012. The </w:t>
      </w:r>
      <w:r w:rsidR="00277517" w:rsidRPr="00A65125">
        <w:rPr>
          <w:sz w:val="20"/>
          <w:szCs w:val="20"/>
        </w:rPr>
        <w:t xml:space="preserve">two facets of collaboration: </w:t>
      </w:r>
      <w:r w:rsidR="00277517">
        <w:rPr>
          <w:sz w:val="20"/>
          <w:szCs w:val="20"/>
        </w:rPr>
        <w:t>C</w:t>
      </w:r>
      <w:r w:rsidR="00277517" w:rsidRPr="00A65125">
        <w:rPr>
          <w:sz w:val="20"/>
          <w:szCs w:val="20"/>
        </w:rPr>
        <w:t xml:space="preserve">ooperation and coordination in strategic alliances. </w:t>
      </w:r>
      <w:r w:rsidRPr="00277517">
        <w:rPr>
          <w:i/>
          <w:sz w:val="20"/>
          <w:szCs w:val="20"/>
        </w:rPr>
        <w:t>Academy of Management Annals</w:t>
      </w:r>
      <w:r w:rsidRPr="00A65125">
        <w:rPr>
          <w:sz w:val="20"/>
          <w:szCs w:val="20"/>
        </w:rPr>
        <w:t xml:space="preserve"> 6(1): 531–583.</w:t>
      </w:r>
    </w:p>
    <w:p w14:paraId="5FB9B1CA" w14:textId="77777777" w:rsidR="00F36751" w:rsidRPr="00A65125" w:rsidRDefault="00F36751" w:rsidP="00A65125">
      <w:pPr>
        <w:pStyle w:val="Reference"/>
        <w:spacing w:after="0"/>
        <w:rPr>
          <w:sz w:val="20"/>
          <w:szCs w:val="20"/>
        </w:rPr>
      </w:pPr>
      <w:proofErr w:type="spellStart"/>
      <w:r w:rsidRPr="00A65125">
        <w:rPr>
          <w:sz w:val="20"/>
          <w:szCs w:val="20"/>
        </w:rPr>
        <w:t>Handoko</w:t>
      </w:r>
      <w:proofErr w:type="spellEnd"/>
      <w:r w:rsidRPr="00A65125">
        <w:rPr>
          <w:sz w:val="20"/>
          <w:szCs w:val="20"/>
        </w:rPr>
        <w:t xml:space="preserve">, B.L. &amp; </w:t>
      </w:r>
      <w:proofErr w:type="spellStart"/>
      <w:r w:rsidRPr="00A65125">
        <w:rPr>
          <w:sz w:val="20"/>
          <w:szCs w:val="20"/>
        </w:rPr>
        <w:t>Lantu</w:t>
      </w:r>
      <w:proofErr w:type="spellEnd"/>
      <w:r w:rsidRPr="00A65125">
        <w:rPr>
          <w:sz w:val="20"/>
          <w:szCs w:val="20"/>
        </w:rPr>
        <w:t xml:space="preserve">, J.E.  2021. UTAUT 2 model for predicting auditor’s blockchain technology adoption. </w:t>
      </w:r>
      <w:r w:rsidRPr="00062A92">
        <w:rPr>
          <w:i/>
          <w:sz w:val="20"/>
          <w:szCs w:val="20"/>
        </w:rPr>
        <w:t>ACM International Conference Proceeding Series</w:t>
      </w:r>
      <w:r w:rsidRPr="00A65125">
        <w:rPr>
          <w:sz w:val="20"/>
          <w:szCs w:val="20"/>
        </w:rPr>
        <w:t xml:space="preserve"> 82–89.</w:t>
      </w:r>
    </w:p>
    <w:p w14:paraId="71E67805" w14:textId="77777777" w:rsidR="00F36751" w:rsidRPr="00A65125" w:rsidRDefault="00F36751" w:rsidP="00A65125">
      <w:pPr>
        <w:pStyle w:val="Reference"/>
        <w:spacing w:after="0"/>
        <w:rPr>
          <w:sz w:val="20"/>
          <w:szCs w:val="20"/>
        </w:rPr>
      </w:pPr>
      <w:proofErr w:type="spellStart"/>
      <w:r w:rsidRPr="00A65125">
        <w:rPr>
          <w:sz w:val="20"/>
          <w:szCs w:val="20"/>
        </w:rPr>
        <w:t>Harakeh</w:t>
      </w:r>
      <w:proofErr w:type="spellEnd"/>
      <w:r w:rsidRPr="00A65125">
        <w:rPr>
          <w:sz w:val="20"/>
          <w:szCs w:val="20"/>
        </w:rPr>
        <w:t xml:space="preserve">, M., Diri, M. El, </w:t>
      </w:r>
      <w:proofErr w:type="spellStart"/>
      <w:r w:rsidRPr="00A65125">
        <w:rPr>
          <w:sz w:val="20"/>
          <w:szCs w:val="20"/>
        </w:rPr>
        <w:t>Lambrinoudakis</w:t>
      </w:r>
      <w:proofErr w:type="spellEnd"/>
      <w:r w:rsidRPr="00A65125">
        <w:rPr>
          <w:sz w:val="20"/>
          <w:szCs w:val="20"/>
        </w:rPr>
        <w:t xml:space="preserve">, C. &amp; </w:t>
      </w:r>
      <w:proofErr w:type="spellStart"/>
      <w:r w:rsidRPr="00A65125">
        <w:rPr>
          <w:sz w:val="20"/>
          <w:szCs w:val="20"/>
        </w:rPr>
        <w:t>Tsileponis</w:t>
      </w:r>
      <w:proofErr w:type="spellEnd"/>
      <w:r w:rsidRPr="00A65125">
        <w:rPr>
          <w:sz w:val="20"/>
          <w:szCs w:val="20"/>
        </w:rPr>
        <w:t xml:space="preserve">, N.  2024. The impact of blockchain adoption on corporate investment efficiency. </w:t>
      </w:r>
      <w:r w:rsidRPr="00603E24">
        <w:rPr>
          <w:i/>
          <w:sz w:val="20"/>
          <w:szCs w:val="20"/>
        </w:rPr>
        <w:t>Economics Letters</w:t>
      </w:r>
      <w:r w:rsidRPr="00A65125">
        <w:rPr>
          <w:sz w:val="20"/>
          <w:szCs w:val="20"/>
        </w:rPr>
        <w:t xml:space="preserve"> 236(November 2023): 0–3.</w:t>
      </w:r>
    </w:p>
    <w:p w14:paraId="3197540C" w14:textId="51DDD5AA" w:rsidR="00F36751" w:rsidRPr="00A65125" w:rsidRDefault="00F36751" w:rsidP="00A65125">
      <w:pPr>
        <w:pStyle w:val="Reference"/>
        <w:spacing w:after="0"/>
        <w:rPr>
          <w:sz w:val="20"/>
          <w:szCs w:val="20"/>
        </w:rPr>
      </w:pPr>
      <w:proofErr w:type="spellStart"/>
      <w:r w:rsidRPr="00A65125">
        <w:rPr>
          <w:sz w:val="20"/>
          <w:szCs w:val="20"/>
        </w:rPr>
        <w:t>Heiselberg</w:t>
      </w:r>
      <w:proofErr w:type="spellEnd"/>
      <w:r w:rsidRPr="00A65125">
        <w:rPr>
          <w:sz w:val="20"/>
          <w:szCs w:val="20"/>
        </w:rPr>
        <w:t xml:space="preserve">, L. &amp; </w:t>
      </w:r>
      <w:proofErr w:type="spellStart"/>
      <w:r w:rsidRPr="00A65125">
        <w:rPr>
          <w:sz w:val="20"/>
          <w:szCs w:val="20"/>
        </w:rPr>
        <w:t>Stępińska</w:t>
      </w:r>
      <w:proofErr w:type="spellEnd"/>
      <w:r w:rsidRPr="00A65125">
        <w:rPr>
          <w:sz w:val="20"/>
          <w:szCs w:val="20"/>
        </w:rPr>
        <w:t xml:space="preserve">, A.  2023. Transforming </w:t>
      </w:r>
      <w:r w:rsidR="00603E24" w:rsidRPr="00A65125">
        <w:rPr>
          <w:sz w:val="20"/>
          <w:szCs w:val="20"/>
        </w:rPr>
        <w:t>qualitative interviewing techniques for video conferencing platforms.</w:t>
      </w:r>
      <w:r w:rsidRPr="00A65125">
        <w:rPr>
          <w:sz w:val="20"/>
          <w:szCs w:val="20"/>
        </w:rPr>
        <w:t xml:space="preserve"> </w:t>
      </w:r>
      <w:r w:rsidRPr="00603E24">
        <w:rPr>
          <w:i/>
          <w:sz w:val="20"/>
          <w:szCs w:val="20"/>
        </w:rPr>
        <w:t>Digital Journalism</w:t>
      </w:r>
      <w:r w:rsidRPr="00A65125">
        <w:rPr>
          <w:sz w:val="20"/>
          <w:szCs w:val="20"/>
        </w:rPr>
        <w:t xml:space="preserve"> 11(7): 1353–1364.</w:t>
      </w:r>
    </w:p>
    <w:p w14:paraId="1580307F" w14:textId="2536DF48" w:rsidR="00F36751" w:rsidRPr="00A65125" w:rsidRDefault="00F36751" w:rsidP="00A65125">
      <w:pPr>
        <w:pStyle w:val="Reference"/>
        <w:spacing w:after="0"/>
        <w:rPr>
          <w:sz w:val="20"/>
          <w:szCs w:val="20"/>
        </w:rPr>
      </w:pPr>
      <w:proofErr w:type="spellStart"/>
      <w:r w:rsidRPr="00A65125">
        <w:rPr>
          <w:sz w:val="20"/>
          <w:szCs w:val="20"/>
        </w:rPr>
        <w:t>Hubenova</w:t>
      </w:r>
      <w:proofErr w:type="spellEnd"/>
      <w:r w:rsidRPr="00A65125">
        <w:rPr>
          <w:sz w:val="20"/>
          <w:szCs w:val="20"/>
        </w:rPr>
        <w:t xml:space="preserve">, T., Lindeque, J.P. &amp; Peter, M.K.  2024. Explaining the non-adoption of blockchain technology in global value chains: a micro-foundational perspective. </w:t>
      </w:r>
      <w:r w:rsidRPr="00603E24">
        <w:rPr>
          <w:i/>
          <w:sz w:val="20"/>
          <w:szCs w:val="20"/>
        </w:rPr>
        <w:t>Journal of Industrial and Business Economics</w:t>
      </w:r>
      <w:r w:rsidR="00603E24">
        <w:rPr>
          <w:sz w:val="20"/>
          <w:szCs w:val="20"/>
        </w:rPr>
        <w:t xml:space="preserve"> </w:t>
      </w:r>
      <w:r w:rsidRPr="00A65125">
        <w:rPr>
          <w:sz w:val="20"/>
          <w:szCs w:val="20"/>
        </w:rPr>
        <w:t>5</w:t>
      </w:r>
      <w:r w:rsidR="00603E24">
        <w:rPr>
          <w:sz w:val="20"/>
          <w:szCs w:val="20"/>
        </w:rPr>
        <w:t>1: 397-429.</w:t>
      </w:r>
    </w:p>
    <w:p w14:paraId="71D12D55" w14:textId="77777777" w:rsidR="00F36751" w:rsidRPr="00A65125" w:rsidRDefault="00F36751" w:rsidP="00A65125">
      <w:pPr>
        <w:pStyle w:val="Reference"/>
        <w:spacing w:after="0"/>
        <w:rPr>
          <w:sz w:val="20"/>
          <w:szCs w:val="20"/>
        </w:rPr>
      </w:pPr>
      <w:proofErr w:type="spellStart"/>
      <w:r w:rsidRPr="00A65125">
        <w:rPr>
          <w:sz w:val="20"/>
          <w:szCs w:val="20"/>
        </w:rPr>
        <w:t>Ibiyemi</w:t>
      </w:r>
      <w:proofErr w:type="spellEnd"/>
      <w:r w:rsidRPr="00A65125">
        <w:rPr>
          <w:sz w:val="20"/>
          <w:szCs w:val="20"/>
        </w:rPr>
        <w:t xml:space="preserve">, M.O. &amp; </w:t>
      </w:r>
      <w:proofErr w:type="spellStart"/>
      <w:r w:rsidRPr="00A65125">
        <w:rPr>
          <w:sz w:val="20"/>
          <w:szCs w:val="20"/>
        </w:rPr>
        <w:t>Olutimehin</w:t>
      </w:r>
      <w:proofErr w:type="spellEnd"/>
      <w:r w:rsidRPr="00A65125">
        <w:rPr>
          <w:sz w:val="20"/>
          <w:szCs w:val="20"/>
        </w:rPr>
        <w:t xml:space="preserve">, D.O.  2024. Blockchain in supply chain accounting: Enhancing transparency and efficiency. </w:t>
      </w:r>
      <w:r w:rsidRPr="00195AEB">
        <w:rPr>
          <w:i/>
          <w:sz w:val="20"/>
          <w:szCs w:val="20"/>
        </w:rPr>
        <w:t>Finance &amp; Accounting Research Journal</w:t>
      </w:r>
      <w:r w:rsidRPr="00A65125">
        <w:rPr>
          <w:sz w:val="20"/>
          <w:szCs w:val="20"/>
        </w:rPr>
        <w:t xml:space="preserve"> 6(6): 1124–1133.</w:t>
      </w:r>
    </w:p>
    <w:p w14:paraId="00C514BD" w14:textId="77777777" w:rsidR="00F36751" w:rsidRPr="00A65125" w:rsidRDefault="00F36751" w:rsidP="00A65125">
      <w:pPr>
        <w:pStyle w:val="Reference"/>
        <w:spacing w:after="0"/>
        <w:rPr>
          <w:sz w:val="20"/>
          <w:szCs w:val="20"/>
        </w:rPr>
      </w:pPr>
      <w:proofErr w:type="spellStart"/>
      <w:r w:rsidRPr="00A65125">
        <w:rPr>
          <w:sz w:val="20"/>
          <w:szCs w:val="20"/>
        </w:rPr>
        <w:t>Jabatan</w:t>
      </w:r>
      <w:proofErr w:type="spellEnd"/>
      <w:r w:rsidRPr="00A65125">
        <w:rPr>
          <w:sz w:val="20"/>
          <w:szCs w:val="20"/>
        </w:rPr>
        <w:t xml:space="preserve"> Audit Negara Malaysia.  2022. </w:t>
      </w:r>
      <w:proofErr w:type="spellStart"/>
      <w:r w:rsidRPr="00A65125">
        <w:rPr>
          <w:sz w:val="20"/>
          <w:szCs w:val="20"/>
        </w:rPr>
        <w:t>Laporan</w:t>
      </w:r>
      <w:proofErr w:type="spellEnd"/>
      <w:r w:rsidRPr="00A65125">
        <w:rPr>
          <w:sz w:val="20"/>
          <w:szCs w:val="20"/>
        </w:rPr>
        <w:t xml:space="preserve"> </w:t>
      </w:r>
      <w:proofErr w:type="spellStart"/>
      <w:r w:rsidRPr="00A65125">
        <w:rPr>
          <w:sz w:val="20"/>
          <w:szCs w:val="20"/>
        </w:rPr>
        <w:t>Ketua</w:t>
      </w:r>
      <w:proofErr w:type="spellEnd"/>
      <w:r w:rsidRPr="00A65125">
        <w:rPr>
          <w:sz w:val="20"/>
          <w:szCs w:val="20"/>
        </w:rPr>
        <w:t xml:space="preserve"> Audit Negara 2021 Siri 1 - </w:t>
      </w:r>
      <w:proofErr w:type="spellStart"/>
      <w:r w:rsidRPr="00A65125">
        <w:rPr>
          <w:sz w:val="20"/>
          <w:szCs w:val="20"/>
        </w:rPr>
        <w:t>Aktiviti</w:t>
      </w:r>
      <w:proofErr w:type="spellEnd"/>
      <w:r w:rsidRPr="00A65125">
        <w:rPr>
          <w:sz w:val="20"/>
          <w:szCs w:val="20"/>
        </w:rPr>
        <w:t xml:space="preserve"> Kementerian/</w:t>
      </w:r>
      <w:proofErr w:type="spellStart"/>
      <w:r w:rsidRPr="00A65125">
        <w:rPr>
          <w:sz w:val="20"/>
          <w:szCs w:val="20"/>
        </w:rPr>
        <w:t>Jabatan</w:t>
      </w:r>
      <w:proofErr w:type="spellEnd"/>
      <w:r w:rsidRPr="00A65125">
        <w:rPr>
          <w:sz w:val="20"/>
          <w:szCs w:val="20"/>
        </w:rPr>
        <w:t xml:space="preserve"> Kerajaan Persekutuan Dan Badan-Badan </w:t>
      </w:r>
      <w:proofErr w:type="spellStart"/>
      <w:r w:rsidRPr="00A65125">
        <w:rPr>
          <w:sz w:val="20"/>
          <w:szCs w:val="20"/>
        </w:rPr>
        <w:t>Berkanun</w:t>
      </w:r>
      <w:proofErr w:type="spellEnd"/>
      <w:r w:rsidRPr="00A65125">
        <w:rPr>
          <w:sz w:val="20"/>
          <w:szCs w:val="20"/>
        </w:rPr>
        <w:t xml:space="preserve"> Persekutuan. Report No. </w:t>
      </w:r>
      <w:proofErr w:type="spellStart"/>
      <w:r w:rsidRPr="00A65125">
        <w:rPr>
          <w:sz w:val="20"/>
          <w:szCs w:val="20"/>
        </w:rPr>
        <w:t>Percetakan</w:t>
      </w:r>
      <w:proofErr w:type="spellEnd"/>
      <w:r w:rsidRPr="00A65125">
        <w:rPr>
          <w:sz w:val="20"/>
          <w:szCs w:val="20"/>
        </w:rPr>
        <w:t xml:space="preserve"> </w:t>
      </w:r>
      <w:proofErr w:type="spellStart"/>
      <w:r w:rsidRPr="00A65125">
        <w:rPr>
          <w:sz w:val="20"/>
          <w:szCs w:val="20"/>
        </w:rPr>
        <w:t>Nasional</w:t>
      </w:r>
      <w:proofErr w:type="spellEnd"/>
      <w:r w:rsidRPr="00A65125">
        <w:rPr>
          <w:sz w:val="20"/>
          <w:szCs w:val="20"/>
        </w:rPr>
        <w:t xml:space="preserve"> Malaysia </w:t>
      </w:r>
      <w:proofErr w:type="spellStart"/>
      <w:r w:rsidRPr="00A65125">
        <w:rPr>
          <w:sz w:val="20"/>
          <w:szCs w:val="20"/>
        </w:rPr>
        <w:t>Berhad</w:t>
      </w:r>
      <w:proofErr w:type="spellEnd"/>
      <w:r w:rsidRPr="00A65125">
        <w:rPr>
          <w:sz w:val="20"/>
          <w:szCs w:val="20"/>
        </w:rPr>
        <w:t xml:space="preserve">. </w:t>
      </w:r>
      <w:hyperlink r:id="rId14" w:history="1">
        <w:r w:rsidRPr="00A65125">
          <w:rPr>
            <w:rStyle w:val="Hyperlink"/>
            <w:sz w:val="20"/>
            <w:szCs w:val="20"/>
          </w:rPr>
          <w:t>https://www.audit.gov.my</w:t>
        </w:r>
      </w:hyperlink>
      <w:r w:rsidRPr="00A65125">
        <w:rPr>
          <w:sz w:val="20"/>
          <w:szCs w:val="20"/>
        </w:rPr>
        <w:t>.</w:t>
      </w:r>
    </w:p>
    <w:p w14:paraId="23B937B5" w14:textId="0629EB7C" w:rsidR="00F36751" w:rsidRPr="00A65125" w:rsidRDefault="00F36751" w:rsidP="00A65125">
      <w:pPr>
        <w:pStyle w:val="Reference"/>
        <w:spacing w:after="0"/>
        <w:rPr>
          <w:sz w:val="20"/>
          <w:szCs w:val="20"/>
        </w:rPr>
      </w:pPr>
      <w:r w:rsidRPr="00A65125">
        <w:rPr>
          <w:sz w:val="20"/>
          <w:szCs w:val="20"/>
        </w:rPr>
        <w:t xml:space="preserve">Jovanovic, M., Kostić, N., Sebastian, I.M. &amp; Sedej, T.  2022. Managing a blockchain-based platform ecosystem for industry-wide adoption: The case of </w:t>
      </w:r>
      <w:proofErr w:type="spellStart"/>
      <w:r w:rsidRPr="00A65125">
        <w:rPr>
          <w:sz w:val="20"/>
          <w:szCs w:val="20"/>
        </w:rPr>
        <w:t>TradeLens</w:t>
      </w:r>
      <w:proofErr w:type="spellEnd"/>
      <w:r w:rsidRPr="00A65125">
        <w:rPr>
          <w:sz w:val="20"/>
          <w:szCs w:val="20"/>
        </w:rPr>
        <w:t xml:space="preserve">. </w:t>
      </w:r>
      <w:r w:rsidRPr="00EB3519">
        <w:rPr>
          <w:i/>
          <w:sz w:val="20"/>
          <w:szCs w:val="20"/>
        </w:rPr>
        <w:t>Technological Forecasting and Social Change</w:t>
      </w:r>
      <w:r w:rsidRPr="00A65125">
        <w:rPr>
          <w:sz w:val="20"/>
          <w:szCs w:val="20"/>
        </w:rPr>
        <w:t xml:space="preserve"> 184</w:t>
      </w:r>
      <w:r w:rsidR="00EB3519">
        <w:rPr>
          <w:sz w:val="20"/>
          <w:szCs w:val="20"/>
        </w:rPr>
        <w:t>.</w:t>
      </w:r>
    </w:p>
    <w:p w14:paraId="139AD234" w14:textId="3B70B081" w:rsidR="00F36751" w:rsidRPr="00A65125" w:rsidRDefault="00F36751" w:rsidP="00A65125">
      <w:pPr>
        <w:pStyle w:val="Reference"/>
        <w:spacing w:after="0"/>
        <w:rPr>
          <w:sz w:val="20"/>
          <w:szCs w:val="20"/>
        </w:rPr>
      </w:pPr>
      <w:r w:rsidRPr="00A65125">
        <w:rPr>
          <w:sz w:val="20"/>
          <w:szCs w:val="20"/>
        </w:rPr>
        <w:t xml:space="preserve">Judi, S.S. &amp; </w:t>
      </w:r>
      <w:proofErr w:type="spellStart"/>
      <w:r w:rsidRPr="00A65125">
        <w:rPr>
          <w:sz w:val="20"/>
          <w:szCs w:val="20"/>
        </w:rPr>
        <w:t>Mustaffa</w:t>
      </w:r>
      <w:proofErr w:type="spellEnd"/>
      <w:r w:rsidRPr="00A65125">
        <w:rPr>
          <w:sz w:val="20"/>
          <w:szCs w:val="20"/>
        </w:rPr>
        <w:t xml:space="preserve">, N.E.  2023. Development of a </w:t>
      </w:r>
      <w:r w:rsidR="00EB3519" w:rsidRPr="00A65125">
        <w:rPr>
          <w:sz w:val="20"/>
          <w:szCs w:val="20"/>
        </w:rPr>
        <w:t>proactive preventive late payment and underpayment solution model for the construction industry.</w:t>
      </w:r>
      <w:r w:rsidRPr="00A65125">
        <w:rPr>
          <w:sz w:val="20"/>
          <w:szCs w:val="20"/>
        </w:rPr>
        <w:t xml:space="preserve"> </w:t>
      </w:r>
      <w:r w:rsidRPr="00EB3519">
        <w:rPr>
          <w:i/>
          <w:sz w:val="20"/>
          <w:szCs w:val="20"/>
        </w:rPr>
        <w:t>Journal of Legal Affairs and Dispute Resolution in Engineering and Construction</w:t>
      </w:r>
      <w:r w:rsidRPr="00A65125">
        <w:rPr>
          <w:sz w:val="20"/>
          <w:szCs w:val="20"/>
        </w:rPr>
        <w:t xml:space="preserve"> 15(2): 1–12.</w:t>
      </w:r>
    </w:p>
    <w:p w14:paraId="357EE3C1" w14:textId="77777777" w:rsidR="00F36751" w:rsidRPr="00A65125" w:rsidRDefault="00F36751" w:rsidP="00A65125">
      <w:pPr>
        <w:pStyle w:val="Reference"/>
        <w:spacing w:after="0"/>
        <w:rPr>
          <w:sz w:val="20"/>
          <w:szCs w:val="20"/>
        </w:rPr>
      </w:pPr>
      <w:r w:rsidRPr="00A65125">
        <w:rPr>
          <w:sz w:val="20"/>
          <w:szCs w:val="20"/>
        </w:rPr>
        <w:t xml:space="preserve">Kang, K., Liu, X., Jiang, Y., Lee, K.K.H., Wan, S.K.W., Huang, G.Q. &amp; Zhong, R.Y.  2022. Blockchain opportunities for construction industry in Hong Kong: a case study of RISC and site diary. </w:t>
      </w:r>
      <w:r w:rsidRPr="00EB3519">
        <w:rPr>
          <w:i/>
          <w:sz w:val="20"/>
          <w:szCs w:val="20"/>
        </w:rPr>
        <w:t>Construction Innovation</w:t>
      </w:r>
      <w:r w:rsidRPr="00A65125">
        <w:rPr>
          <w:sz w:val="20"/>
          <w:szCs w:val="20"/>
        </w:rPr>
        <w:t xml:space="preserve"> 23(2): 443–466.</w:t>
      </w:r>
    </w:p>
    <w:p w14:paraId="5FF4308D" w14:textId="6E4AC070" w:rsidR="00F36751" w:rsidRPr="00A65125" w:rsidRDefault="00F36751" w:rsidP="00A65125">
      <w:pPr>
        <w:pStyle w:val="Reference"/>
        <w:spacing w:after="0"/>
        <w:rPr>
          <w:sz w:val="20"/>
          <w:szCs w:val="20"/>
        </w:rPr>
      </w:pPr>
      <w:proofErr w:type="spellStart"/>
      <w:r w:rsidRPr="00A65125">
        <w:rPr>
          <w:sz w:val="20"/>
          <w:szCs w:val="20"/>
        </w:rPr>
        <w:t>Karajovic</w:t>
      </w:r>
      <w:proofErr w:type="spellEnd"/>
      <w:r w:rsidRPr="00A65125">
        <w:rPr>
          <w:sz w:val="20"/>
          <w:szCs w:val="20"/>
        </w:rPr>
        <w:t xml:space="preserve">, M., Kim, H.M. &amp; Laskowski, M.  2019. Thinking </w:t>
      </w:r>
      <w:r w:rsidR="00E930A5" w:rsidRPr="00A65125">
        <w:rPr>
          <w:sz w:val="20"/>
          <w:szCs w:val="20"/>
        </w:rPr>
        <w:t xml:space="preserve">outside the block: </w:t>
      </w:r>
      <w:r w:rsidR="00E930A5">
        <w:rPr>
          <w:sz w:val="20"/>
          <w:szCs w:val="20"/>
        </w:rPr>
        <w:t>P</w:t>
      </w:r>
      <w:r w:rsidR="00E930A5" w:rsidRPr="00A65125">
        <w:rPr>
          <w:sz w:val="20"/>
          <w:szCs w:val="20"/>
        </w:rPr>
        <w:t>rojected phases of blockchain integration in the accounting indus</w:t>
      </w:r>
      <w:r w:rsidRPr="00A65125">
        <w:rPr>
          <w:sz w:val="20"/>
          <w:szCs w:val="20"/>
        </w:rPr>
        <w:t xml:space="preserve">try. </w:t>
      </w:r>
      <w:r w:rsidRPr="00E930A5">
        <w:rPr>
          <w:i/>
          <w:sz w:val="20"/>
          <w:szCs w:val="20"/>
        </w:rPr>
        <w:t>Australian Accounting Review</w:t>
      </w:r>
      <w:r w:rsidRPr="00A65125">
        <w:rPr>
          <w:sz w:val="20"/>
          <w:szCs w:val="20"/>
        </w:rPr>
        <w:t xml:space="preserve"> 29(2): 319–330.</w:t>
      </w:r>
    </w:p>
    <w:p w14:paraId="35F773AE" w14:textId="65B1CC26" w:rsidR="00F36751" w:rsidRPr="00A65125" w:rsidRDefault="00F36751" w:rsidP="00A65125">
      <w:pPr>
        <w:pStyle w:val="Reference"/>
        <w:spacing w:after="0"/>
        <w:rPr>
          <w:sz w:val="20"/>
          <w:szCs w:val="20"/>
        </w:rPr>
      </w:pPr>
      <w:proofErr w:type="spellStart"/>
      <w:r w:rsidRPr="00A65125">
        <w:rPr>
          <w:sz w:val="20"/>
          <w:szCs w:val="20"/>
        </w:rPr>
        <w:t>Koghut</w:t>
      </w:r>
      <w:proofErr w:type="spellEnd"/>
      <w:r w:rsidRPr="00A65125">
        <w:rPr>
          <w:sz w:val="20"/>
          <w:szCs w:val="20"/>
        </w:rPr>
        <w:t xml:space="preserve">, M., Al-Tabbaa, O., Lee, S.H. &amp; Meyer, M.  2021. A Blockchain-based inter-organisational relationships: </w:t>
      </w:r>
      <w:r w:rsidRPr="00E930A5">
        <w:rPr>
          <w:i/>
          <w:sz w:val="20"/>
          <w:szCs w:val="20"/>
        </w:rPr>
        <w:t>Social and innovation implications. Academy of Management Proceedings</w:t>
      </w:r>
      <w:r w:rsidRPr="00A65125">
        <w:rPr>
          <w:sz w:val="20"/>
          <w:szCs w:val="20"/>
        </w:rPr>
        <w:t xml:space="preserve"> 2021(1)</w:t>
      </w:r>
      <w:r w:rsidR="00E930A5">
        <w:rPr>
          <w:sz w:val="20"/>
          <w:szCs w:val="20"/>
        </w:rPr>
        <w:t>.</w:t>
      </w:r>
    </w:p>
    <w:p w14:paraId="711DA79C" w14:textId="5532797B" w:rsidR="00F36751" w:rsidRPr="00A65125" w:rsidRDefault="00F36751" w:rsidP="00A65125">
      <w:pPr>
        <w:pStyle w:val="Reference"/>
        <w:spacing w:after="0"/>
        <w:rPr>
          <w:sz w:val="20"/>
          <w:szCs w:val="20"/>
        </w:rPr>
      </w:pPr>
      <w:proofErr w:type="spellStart"/>
      <w:r w:rsidRPr="00A65125">
        <w:rPr>
          <w:sz w:val="20"/>
          <w:szCs w:val="20"/>
        </w:rPr>
        <w:t>Kostić</w:t>
      </w:r>
      <w:proofErr w:type="spellEnd"/>
      <w:r w:rsidRPr="00A65125">
        <w:rPr>
          <w:sz w:val="20"/>
          <w:szCs w:val="20"/>
        </w:rPr>
        <w:t xml:space="preserve">, N. &amp; Sedej, T.  2022. Blockchain </w:t>
      </w:r>
      <w:r w:rsidR="00E930A5" w:rsidRPr="00A65125">
        <w:rPr>
          <w:sz w:val="20"/>
          <w:szCs w:val="20"/>
        </w:rPr>
        <w:t xml:space="preserve">technology, inter-organizational relationships, and management accounting: </w:t>
      </w:r>
      <w:r w:rsidR="00E930A5">
        <w:rPr>
          <w:sz w:val="20"/>
          <w:szCs w:val="20"/>
        </w:rPr>
        <w:t>A</w:t>
      </w:r>
      <w:r w:rsidR="00E930A5" w:rsidRPr="00A65125">
        <w:rPr>
          <w:sz w:val="20"/>
          <w:szCs w:val="20"/>
        </w:rPr>
        <w:t xml:space="preserve"> synthesis and a research agenda</w:t>
      </w:r>
      <w:r w:rsidRPr="00A65125">
        <w:rPr>
          <w:sz w:val="20"/>
          <w:szCs w:val="20"/>
        </w:rPr>
        <w:t xml:space="preserve">. </w:t>
      </w:r>
      <w:r w:rsidRPr="00E930A5">
        <w:rPr>
          <w:i/>
          <w:sz w:val="20"/>
          <w:szCs w:val="20"/>
        </w:rPr>
        <w:t>Accounting Horizons</w:t>
      </w:r>
      <w:r w:rsidRPr="00A65125">
        <w:rPr>
          <w:sz w:val="20"/>
          <w:szCs w:val="20"/>
        </w:rPr>
        <w:t xml:space="preserve"> 36(2): 123–141.</w:t>
      </w:r>
    </w:p>
    <w:p w14:paraId="19B3FDDE" w14:textId="60E8AFBA" w:rsidR="00F36751" w:rsidRPr="00A65125" w:rsidRDefault="00F36751" w:rsidP="00A65125">
      <w:pPr>
        <w:pStyle w:val="Reference"/>
        <w:spacing w:after="0"/>
        <w:rPr>
          <w:sz w:val="20"/>
          <w:szCs w:val="20"/>
        </w:rPr>
      </w:pPr>
      <w:r w:rsidRPr="00A65125">
        <w:rPr>
          <w:sz w:val="20"/>
          <w:szCs w:val="20"/>
        </w:rPr>
        <w:t xml:space="preserve">Kowalski, M., Lee, Z.W.Y. &amp; Chan, T.K.H.  2021. Blockchain technology and trust relationships in trade finance. </w:t>
      </w:r>
      <w:r w:rsidRPr="00CF0E2B">
        <w:rPr>
          <w:i/>
          <w:sz w:val="20"/>
          <w:szCs w:val="20"/>
        </w:rPr>
        <w:lastRenderedPageBreak/>
        <w:t>Technological Forecasting and Social Change</w:t>
      </w:r>
      <w:r w:rsidRPr="00A65125">
        <w:rPr>
          <w:sz w:val="20"/>
          <w:szCs w:val="20"/>
        </w:rPr>
        <w:t xml:space="preserve"> 166</w:t>
      </w:r>
      <w:r w:rsidR="00CF0E2B">
        <w:rPr>
          <w:sz w:val="20"/>
          <w:szCs w:val="20"/>
        </w:rPr>
        <w:t>.</w:t>
      </w:r>
    </w:p>
    <w:p w14:paraId="291EDA3C" w14:textId="706D423F" w:rsidR="00F36751" w:rsidRPr="00A65125" w:rsidRDefault="00F36751" w:rsidP="00A65125">
      <w:pPr>
        <w:pStyle w:val="Reference"/>
        <w:spacing w:after="0"/>
        <w:rPr>
          <w:sz w:val="20"/>
          <w:szCs w:val="20"/>
        </w:rPr>
      </w:pPr>
      <w:proofErr w:type="spellStart"/>
      <w:r w:rsidRPr="00A65125">
        <w:rPr>
          <w:sz w:val="20"/>
          <w:szCs w:val="20"/>
        </w:rPr>
        <w:t>Kshetri</w:t>
      </w:r>
      <w:proofErr w:type="spellEnd"/>
      <w:r w:rsidRPr="00A65125">
        <w:rPr>
          <w:sz w:val="20"/>
          <w:szCs w:val="20"/>
        </w:rPr>
        <w:t xml:space="preserve">, N.  2023. Blockchain’s </w:t>
      </w:r>
      <w:r w:rsidR="00CF0E2B" w:rsidRPr="00A65125">
        <w:rPr>
          <w:sz w:val="20"/>
          <w:szCs w:val="20"/>
        </w:rPr>
        <w:t>role in enhancing quality and safety and promoting sustainability in the food and beverage industry</w:t>
      </w:r>
      <w:r w:rsidRPr="00A65125">
        <w:rPr>
          <w:sz w:val="20"/>
          <w:szCs w:val="20"/>
        </w:rPr>
        <w:t xml:space="preserve">. </w:t>
      </w:r>
      <w:r w:rsidRPr="00CF0E2B">
        <w:rPr>
          <w:i/>
          <w:sz w:val="20"/>
          <w:szCs w:val="20"/>
        </w:rPr>
        <w:t>Sustainability</w:t>
      </w:r>
      <w:r w:rsidRPr="00A65125">
        <w:rPr>
          <w:sz w:val="20"/>
          <w:szCs w:val="20"/>
        </w:rPr>
        <w:t xml:space="preserve"> 15(23)</w:t>
      </w:r>
      <w:r w:rsidR="00CF0E2B">
        <w:rPr>
          <w:sz w:val="20"/>
          <w:szCs w:val="20"/>
        </w:rPr>
        <w:t>: 1-23.</w:t>
      </w:r>
    </w:p>
    <w:p w14:paraId="1FA6E632" w14:textId="77777777" w:rsidR="00F36751" w:rsidRPr="00A65125" w:rsidRDefault="00F36751" w:rsidP="00A65125">
      <w:pPr>
        <w:pStyle w:val="Reference"/>
        <w:spacing w:after="0"/>
        <w:rPr>
          <w:sz w:val="20"/>
          <w:szCs w:val="20"/>
        </w:rPr>
      </w:pPr>
      <w:r w:rsidRPr="00A65125">
        <w:rPr>
          <w:sz w:val="20"/>
          <w:szCs w:val="20"/>
        </w:rPr>
        <w:t xml:space="preserve">Kumar, S. &amp; Kumar, N.  2021. Conceptual service level agreement mechanism to minimize the SLA violation with SLA negotiation process in cloud computing environment. </w:t>
      </w:r>
      <w:r w:rsidRPr="00CF0E2B">
        <w:rPr>
          <w:i/>
          <w:sz w:val="20"/>
          <w:szCs w:val="20"/>
        </w:rPr>
        <w:t>Baghdad Science Journal</w:t>
      </w:r>
      <w:r w:rsidRPr="00A65125">
        <w:rPr>
          <w:sz w:val="20"/>
          <w:szCs w:val="20"/>
        </w:rPr>
        <w:t xml:space="preserve"> 18(2): 1020–1029.</w:t>
      </w:r>
    </w:p>
    <w:p w14:paraId="60D9E10E" w14:textId="747D434E" w:rsidR="00F36751" w:rsidRPr="00A65125" w:rsidRDefault="00F36751" w:rsidP="00A65125">
      <w:pPr>
        <w:pStyle w:val="Reference"/>
        <w:spacing w:after="0"/>
        <w:rPr>
          <w:sz w:val="20"/>
          <w:szCs w:val="20"/>
        </w:rPr>
      </w:pPr>
      <w:proofErr w:type="spellStart"/>
      <w:r w:rsidRPr="00A65125">
        <w:rPr>
          <w:sz w:val="20"/>
          <w:szCs w:val="20"/>
        </w:rPr>
        <w:t>Lazo</w:t>
      </w:r>
      <w:proofErr w:type="spellEnd"/>
      <w:r w:rsidRPr="00A65125">
        <w:rPr>
          <w:sz w:val="20"/>
          <w:szCs w:val="20"/>
        </w:rPr>
        <w:t xml:space="preserve">, E. &amp; Casu, O.  2017. Towards a new transformation of </w:t>
      </w:r>
      <w:proofErr w:type="spellStart"/>
      <w:r w:rsidRPr="00A65125">
        <w:rPr>
          <w:sz w:val="20"/>
          <w:szCs w:val="20"/>
        </w:rPr>
        <w:t>epayments</w:t>
      </w:r>
      <w:proofErr w:type="spellEnd"/>
      <w:r w:rsidRPr="00A65125">
        <w:rPr>
          <w:sz w:val="20"/>
          <w:szCs w:val="20"/>
        </w:rPr>
        <w:t xml:space="preserve"> paradigm: </w:t>
      </w:r>
      <w:r w:rsidR="00CF0E2B">
        <w:rPr>
          <w:sz w:val="20"/>
          <w:szCs w:val="20"/>
        </w:rPr>
        <w:t>A</w:t>
      </w:r>
      <w:r w:rsidRPr="00A65125">
        <w:rPr>
          <w:sz w:val="20"/>
          <w:szCs w:val="20"/>
        </w:rPr>
        <w:t xml:space="preserve"> case study on Moldovan public services. </w:t>
      </w:r>
      <w:r w:rsidRPr="00CF0E2B">
        <w:rPr>
          <w:i/>
          <w:sz w:val="20"/>
          <w:szCs w:val="20"/>
        </w:rPr>
        <w:t>KTH Industrial Engineering and Management</w:t>
      </w:r>
      <w:r w:rsidRPr="00A65125">
        <w:rPr>
          <w:sz w:val="20"/>
          <w:szCs w:val="20"/>
        </w:rPr>
        <w:t xml:space="preserve"> 1–48.</w:t>
      </w:r>
    </w:p>
    <w:p w14:paraId="219BCE93" w14:textId="4C853CE9" w:rsidR="00F36751" w:rsidRPr="00A65125" w:rsidRDefault="00F36751" w:rsidP="00A65125">
      <w:pPr>
        <w:pStyle w:val="Reference"/>
        <w:spacing w:after="0"/>
        <w:rPr>
          <w:sz w:val="20"/>
          <w:szCs w:val="20"/>
        </w:rPr>
      </w:pPr>
      <w:proofErr w:type="spellStart"/>
      <w:r w:rsidRPr="00A65125">
        <w:rPr>
          <w:sz w:val="20"/>
          <w:szCs w:val="20"/>
        </w:rPr>
        <w:t>Malterud</w:t>
      </w:r>
      <w:proofErr w:type="spellEnd"/>
      <w:r w:rsidRPr="00A65125">
        <w:rPr>
          <w:sz w:val="20"/>
          <w:szCs w:val="20"/>
        </w:rPr>
        <w:t xml:space="preserve">, K., Siersma, V.D. &amp; Guassora, A.D.  2016. </w:t>
      </w:r>
      <w:r w:rsidR="00CF0E2B">
        <w:rPr>
          <w:sz w:val="20"/>
          <w:szCs w:val="20"/>
        </w:rPr>
        <w:t>S</w:t>
      </w:r>
      <w:r w:rsidR="00CF0E2B" w:rsidRPr="00A65125">
        <w:rPr>
          <w:sz w:val="20"/>
          <w:szCs w:val="20"/>
        </w:rPr>
        <w:t>ample size in qualitative interview studies</w:t>
      </w:r>
      <w:r w:rsidRPr="00A65125">
        <w:rPr>
          <w:sz w:val="20"/>
          <w:szCs w:val="20"/>
        </w:rPr>
        <w:t xml:space="preserve">. </w:t>
      </w:r>
      <w:r w:rsidRPr="00CF0E2B">
        <w:rPr>
          <w:i/>
          <w:sz w:val="20"/>
          <w:szCs w:val="20"/>
        </w:rPr>
        <w:t>Qualitative Health Research</w:t>
      </w:r>
      <w:r w:rsidRPr="00A65125">
        <w:rPr>
          <w:sz w:val="20"/>
          <w:szCs w:val="20"/>
        </w:rPr>
        <w:t xml:space="preserve"> 26(13): 1753–1760.</w:t>
      </w:r>
    </w:p>
    <w:p w14:paraId="715093DF" w14:textId="0CF3C657" w:rsidR="00F36751" w:rsidRPr="00A65125" w:rsidRDefault="00F36751" w:rsidP="00A65125">
      <w:pPr>
        <w:pStyle w:val="Reference"/>
        <w:spacing w:after="0"/>
        <w:rPr>
          <w:sz w:val="20"/>
          <w:szCs w:val="20"/>
        </w:rPr>
      </w:pPr>
      <w:r w:rsidRPr="00A65125">
        <w:rPr>
          <w:sz w:val="20"/>
          <w:szCs w:val="20"/>
        </w:rPr>
        <w:t>Md Rashid, N.I. &amp; Abdul Razak, F.  2023. E-</w:t>
      </w:r>
      <w:r w:rsidR="00CF0E2B" w:rsidRPr="00A65125">
        <w:rPr>
          <w:sz w:val="20"/>
          <w:szCs w:val="20"/>
        </w:rPr>
        <w:t xml:space="preserve">commerce: </w:t>
      </w:r>
      <w:r w:rsidR="00CF0E2B">
        <w:rPr>
          <w:sz w:val="20"/>
          <w:szCs w:val="20"/>
        </w:rPr>
        <w:t>C</w:t>
      </w:r>
      <w:r w:rsidR="00CF0E2B" w:rsidRPr="00A65125">
        <w:rPr>
          <w:sz w:val="20"/>
          <w:szCs w:val="20"/>
        </w:rPr>
        <w:t>ontract and transaction</w:t>
      </w:r>
      <w:r w:rsidRPr="00CF0E2B">
        <w:rPr>
          <w:i/>
          <w:sz w:val="20"/>
          <w:szCs w:val="20"/>
        </w:rPr>
        <w:t>. International Journal of Law, Government and Communication</w:t>
      </w:r>
      <w:r w:rsidRPr="00A65125">
        <w:rPr>
          <w:sz w:val="20"/>
          <w:szCs w:val="20"/>
        </w:rPr>
        <w:t xml:space="preserve"> 8(31): 89–96.</w:t>
      </w:r>
    </w:p>
    <w:p w14:paraId="3B45D43D" w14:textId="77777777" w:rsidR="00F36751" w:rsidRPr="00A65125" w:rsidRDefault="00F36751" w:rsidP="00A65125">
      <w:pPr>
        <w:pStyle w:val="Reference"/>
        <w:spacing w:after="0"/>
        <w:rPr>
          <w:sz w:val="20"/>
          <w:szCs w:val="20"/>
        </w:rPr>
      </w:pPr>
      <w:r w:rsidRPr="00A65125">
        <w:rPr>
          <w:sz w:val="20"/>
          <w:szCs w:val="20"/>
        </w:rPr>
        <w:t>Merriam, S.B.  2013</w:t>
      </w:r>
      <w:r w:rsidRPr="00CF0E2B">
        <w:rPr>
          <w:i/>
          <w:sz w:val="20"/>
          <w:szCs w:val="20"/>
        </w:rPr>
        <w:t>. Qualitative Research A Guide to Design and Implementation</w:t>
      </w:r>
      <w:r w:rsidRPr="00A65125">
        <w:rPr>
          <w:sz w:val="20"/>
          <w:szCs w:val="20"/>
        </w:rPr>
        <w:t>. John Wiley &amp; Sons, Inc. 2nd Edition. John Wiley &amp; Sons, Inc.</w:t>
      </w:r>
    </w:p>
    <w:p w14:paraId="00EBF651" w14:textId="1B288411" w:rsidR="00F36751" w:rsidRPr="009100D3" w:rsidRDefault="00F36751" w:rsidP="00A65125">
      <w:pPr>
        <w:pStyle w:val="Reference"/>
        <w:spacing w:after="0"/>
        <w:rPr>
          <w:sz w:val="20"/>
          <w:szCs w:val="20"/>
        </w:rPr>
      </w:pPr>
      <w:r w:rsidRPr="00A65125">
        <w:rPr>
          <w:sz w:val="20"/>
          <w:szCs w:val="20"/>
        </w:rPr>
        <w:t xml:space="preserve">Ministry of Science Innovation and Technology.  2021. National Blockchain Roadmap 2021-2025. Report No.  </w:t>
      </w:r>
      <w:hyperlink r:id="rId15" w:history="1">
        <w:r w:rsidR="009100D3" w:rsidRPr="00BA439E">
          <w:rPr>
            <w:rStyle w:val="Hyperlink"/>
            <w:sz w:val="20"/>
            <w:szCs w:val="20"/>
          </w:rPr>
          <w:t>https://www.mosti.gov.my/wp-content/uploads/2022/08/National-Blockchain-Roadmap-2021-2025.pdf</w:t>
        </w:r>
      </w:hyperlink>
      <w:r w:rsidRPr="009100D3">
        <w:rPr>
          <w:sz w:val="20"/>
          <w:szCs w:val="20"/>
        </w:rPr>
        <w:t>.</w:t>
      </w:r>
    </w:p>
    <w:p w14:paraId="77551FD8" w14:textId="77777777" w:rsidR="00F36751" w:rsidRPr="00A65125" w:rsidRDefault="00F36751" w:rsidP="00A65125">
      <w:pPr>
        <w:pStyle w:val="Reference"/>
        <w:spacing w:after="0"/>
        <w:rPr>
          <w:sz w:val="20"/>
          <w:szCs w:val="20"/>
        </w:rPr>
      </w:pPr>
      <w:r w:rsidRPr="00A65125">
        <w:rPr>
          <w:sz w:val="20"/>
          <w:szCs w:val="20"/>
        </w:rPr>
        <w:t xml:space="preserve">Morrow, S.L.  2005. Quality and trustworthiness in qualitative research in </w:t>
      </w:r>
      <w:proofErr w:type="spellStart"/>
      <w:r w:rsidRPr="00A65125">
        <w:rPr>
          <w:sz w:val="20"/>
          <w:szCs w:val="20"/>
        </w:rPr>
        <w:t>counseling</w:t>
      </w:r>
      <w:proofErr w:type="spellEnd"/>
      <w:r w:rsidRPr="00A65125">
        <w:rPr>
          <w:sz w:val="20"/>
          <w:szCs w:val="20"/>
        </w:rPr>
        <w:t xml:space="preserve"> psychology. </w:t>
      </w:r>
      <w:r w:rsidRPr="009100D3">
        <w:rPr>
          <w:i/>
          <w:sz w:val="20"/>
          <w:szCs w:val="20"/>
        </w:rPr>
        <w:t xml:space="preserve">Journal of </w:t>
      </w:r>
      <w:proofErr w:type="spellStart"/>
      <w:r w:rsidRPr="009100D3">
        <w:rPr>
          <w:i/>
          <w:sz w:val="20"/>
          <w:szCs w:val="20"/>
        </w:rPr>
        <w:t>Counseling</w:t>
      </w:r>
      <w:proofErr w:type="spellEnd"/>
      <w:r w:rsidRPr="009100D3">
        <w:rPr>
          <w:i/>
          <w:sz w:val="20"/>
          <w:szCs w:val="20"/>
        </w:rPr>
        <w:t xml:space="preserve"> Psychology</w:t>
      </w:r>
      <w:r w:rsidRPr="00A65125">
        <w:rPr>
          <w:sz w:val="20"/>
          <w:szCs w:val="20"/>
        </w:rPr>
        <w:t xml:space="preserve"> 52(2): 250–260.</w:t>
      </w:r>
    </w:p>
    <w:p w14:paraId="17B397EF" w14:textId="4C611220" w:rsidR="00F36751" w:rsidRPr="00A65125" w:rsidRDefault="00F36751" w:rsidP="00A65125">
      <w:pPr>
        <w:pStyle w:val="Reference"/>
        <w:spacing w:after="0"/>
        <w:rPr>
          <w:sz w:val="20"/>
          <w:szCs w:val="20"/>
        </w:rPr>
      </w:pPr>
      <w:r w:rsidRPr="00A65125">
        <w:rPr>
          <w:sz w:val="20"/>
          <w:szCs w:val="20"/>
        </w:rPr>
        <w:t xml:space="preserve">Muller, M., </w:t>
      </w:r>
      <w:proofErr w:type="spellStart"/>
      <w:r w:rsidRPr="00A65125">
        <w:rPr>
          <w:sz w:val="20"/>
          <w:szCs w:val="20"/>
        </w:rPr>
        <w:t>Ostern</w:t>
      </w:r>
      <w:proofErr w:type="spellEnd"/>
      <w:r w:rsidRPr="00A65125">
        <w:rPr>
          <w:sz w:val="20"/>
          <w:szCs w:val="20"/>
        </w:rPr>
        <w:t xml:space="preserve">, N., </w:t>
      </w:r>
      <w:proofErr w:type="spellStart"/>
      <w:r w:rsidRPr="00A65125">
        <w:rPr>
          <w:sz w:val="20"/>
          <w:szCs w:val="20"/>
        </w:rPr>
        <w:t>Koljada</w:t>
      </w:r>
      <w:proofErr w:type="spellEnd"/>
      <w:r w:rsidRPr="00A65125">
        <w:rPr>
          <w:sz w:val="20"/>
          <w:szCs w:val="20"/>
        </w:rPr>
        <w:t xml:space="preserve">, D., Grunert, K., Rosemann, M. &amp; Kupper, A.  2021. Trust </w:t>
      </w:r>
      <w:r w:rsidR="00E9438E" w:rsidRPr="00A65125">
        <w:rPr>
          <w:sz w:val="20"/>
          <w:szCs w:val="20"/>
        </w:rPr>
        <w:t xml:space="preserve">mining: </w:t>
      </w:r>
      <w:proofErr w:type="spellStart"/>
      <w:r w:rsidR="00E9438E">
        <w:rPr>
          <w:sz w:val="20"/>
          <w:szCs w:val="20"/>
        </w:rPr>
        <w:t>A</w:t>
      </w:r>
      <w:r w:rsidR="00E9438E" w:rsidRPr="00A65125">
        <w:rPr>
          <w:sz w:val="20"/>
          <w:szCs w:val="20"/>
        </w:rPr>
        <w:t>nalyzing</w:t>
      </w:r>
      <w:proofErr w:type="spellEnd"/>
      <w:r w:rsidR="00E9438E" w:rsidRPr="00A65125">
        <w:rPr>
          <w:sz w:val="20"/>
          <w:szCs w:val="20"/>
        </w:rPr>
        <w:t xml:space="preserve"> trust in collaborative business processes. </w:t>
      </w:r>
      <w:r w:rsidRPr="00E9438E">
        <w:rPr>
          <w:i/>
          <w:sz w:val="20"/>
          <w:szCs w:val="20"/>
        </w:rPr>
        <w:t>IEEE Access</w:t>
      </w:r>
      <w:r w:rsidRPr="00A65125">
        <w:rPr>
          <w:sz w:val="20"/>
          <w:szCs w:val="20"/>
        </w:rPr>
        <w:t xml:space="preserve"> 9: 65044–65065.</w:t>
      </w:r>
    </w:p>
    <w:p w14:paraId="5FD87195" w14:textId="077813CA" w:rsidR="00F36751" w:rsidRPr="00A65125" w:rsidRDefault="00F36751" w:rsidP="00A65125">
      <w:pPr>
        <w:pStyle w:val="Reference"/>
        <w:spacing w:after="0"/>
        <w:rPr>
          <w:sz w:val="20"/>
          <w:szCs w:val="20"/>
        </w:rPr>
      </w:pPr>
      <w:r w:rsidRPr="00A65125">
        <w:rPr>
          <w:sz w:val="20"/>
          <w:szCs w:val="20"/>
        </w:rPr>
        <w:t xml:space="preserve">Nguyen, T.-V., Lê, L.-S., Shah, S.A., Hameed, S. &amp; Draheim, D.  2023. </w:t>
      </w:r>
      <w:proofErr w:type="spellStart"/>
      <w:r w:rsidRPr="00A65125">
        <w:rPr>
          <w:sz w:val="20"/>
          <w:szCs w:val="20"/>
        </w:rPr>
        <w:t>PenChain</w:t>
      </w:r>
      <w:proofErr w:type="spellEnd"/>
      <w:r w:rsidRPr="00A65125">
        <w:rPr>
          <w:sz w:val="20"/>
          <w:szCs w:val="20"/>
        </w:rPr>
        <w:t xml:space="preserve">: A </w:t>
      </w:r>
      <w:r w:rsidR="00E9438E" w:rsidRPr="00A65125">
        <w:rPr>
          <w:sz w:val="20"/>
          <w:szCs w:val="20"/>
        </w:rPr>
        <w:t>blockchain-based platform for penalty-aware service provisioning</w:t>
      </w:r>
      <w:r w:rsidRPr="00A65125">
        <w:rPr>
          <w:sz w:val="20"/>
          <w:szCs w:val="20"/>
        </w:rPr>
        <w:t xml:space="preserve">. </w:t>
      </w:r>
      <w:r w:rsidRPr="00E9438E">
        <w:rPr>
          <w:i/>
          <w:sz w:val="20"/>
          <w:szCs w:val="20"/>
        </w:rPr>
        <w:t>IEEE Access</w:t>
      </w:r>
      <w:r w:rsidRPr="00A65125">
        <w:rPr>
          <w:sz w:val="20"/>
          <w:szCs w:val="20"/>
        </w:rPr>
        <w:t xml:space="preserve"> 12</w:t>
      </w:r>
      <w:r w:rsidR="00E9438E">
        <w:rPr>
          <w:sz w:val="20"/>
          <w:szCs w:val="20"/>
        </w:rPr>
        <w:t xml:space="preserve">: </w:t>
      </w:r>
      <w:r w:rsidRPr="00A65125">
        <w:rPr>
          <w:sz w:val="20"/>
          <w:szCs w:val="20"/>
        </w:rPr>
        <w:t>1–1.</w:t>
      </w:r>
    </w:p>
    <w:p w14:paraId="0D8A3F18" w14:textId="28B0F557" w:rsidR="00F36751" w:rsidRPr="00A65125" w:rsidRDefault="00F36751" w:rsidP="00A65125">
      <w:pPr>
        <w:pStyle w:val="Reference"/>
        <w:spacing w:after="0"/>
        <w:rPr>
          <w:sz w:val="20"/>
          <w:szCs w:val="20"/>
        </w:rPr>
      </w:pPr>
      <w:proofErr w:type="spellStart"/>
      <w:r w:rsidRPr="00A65125">
        <w:rPr>
          <w:sz w:val="20"/>
          <w:szCs w:val="20"/>
        </w:rPr>
        <w:t>Nurcahyo</w:t>
      </w:r>
      <w:proofErr w:type="spellEnd"/>
      <w:r w:rsidRPr="00A65125">
        <w:rPr>
          <w:sz w:val="20"/>
          <w:szCs w:val="20"/>
        </w:rPr>
        <w:t xml:space="preserve">, R. &amp; Putra, P.A.  2021. Critical </w:t>
      </w:r>
      <w:r w:rsidR="00000358" w:rsidRPr="00A65125">
        <w:rPr>
          <w:sz w:val="20"/>
          <w:szCs w:val="20"/>
        </w:rPr>
        <w:t xml:space="preserve">factors in </w:t>
      </w:r>
      <w:proofErr w:type="spellStart"/>
      <w:r w:rsidR="00000358" w:rsidRPr="00A65125">
        <w:rPr>
          <w:sz w:val="20"/>
          <w:szCs w:val="20"/>
        </w:rPr>
        <w:t>indonesia’s</w:t>
      </w:r>
      <w:proofErr w:type="spellEnd"/>
      <w:r w:rsidR="00000358" w:rsidRPr="00A65125">
        <w:rPr>
          <w:sz w:val="20"/>
          <w:szCs w:val="20"/>
        </w:rPr>
        <w:t xml:space="preserve"> e-commerce collaboration</w:t>
      </w:r>
      <w:r w:rsidRPr="00A65125">
        <w:rPr>
          <w:sz w:val="20"/>
          <w:szCs w:val="20"/>
        </w:rPr>
        <w:t xml:space="preserve">. </w:t>
      </w:r>
      <w:r w:rsidRPr="00000358">
        <w:rPr>
          <w:i/>
          <w:sz w:val="20"/>
          <w:szCs w:val="20"/>
        </w:rPr>
        <w:t>Journal of Theoretical and Applied Electronic Commerce Research</w:t>
      </w:r>
      <w:r w:rsidRPr="00A65125">
        <w:rPr>
          <w:sz w:val="20"/>
          <w:szCs w:val="20"/>
        </w:rPr>
        <w:t xml:space="preserve"> 16(6): 2458–2469.</w:t>
      </w:r>
    </w:p>
    <w:p w14:paraId="0BA326A8" w14:textId="49F8380E" w:rsidR="00F36751" w:rsidRPr="00A65125" w:rsidRDefault="00F36751" w:rsidP="00A65125">
      <w:pPr>
        <w:pStyle w:val="Reference"/>
        <w:spacing w:after="0"/>
        <w:rPr>
          <w:sz w:val="20"/>
          <w:szCs w:val="20"/>
        </w:rPr>
      </w:pPr>
      <w:proofErr w:type="spellStart"/>
      <w:r w:rsidRPr="00A65125">
        <w:rPr>
          <w:sz w:val="20"/>
          <w:szCs w:val="20"/>
        </w:rPr>
        <w:t>Onyshchenko</w:t>
      </w:r>
      <w:proofErr w:type="spellEnd"/>
      <w:r w:rsidRPr="00A65125">
        <w:rPr>
          <w:sz w:val="20"/>
          <w:szCs w:val="20"/>
        </w:rPr>
        <w:t xml:space="preserve">, O., Shevchuk, K., Shara, Y., Koval, N. &amp; Demchuk, O.  2022. Industry 4.0 and accounting: directions, challenges, opportunities. </w:t>
      </w:r>
      <w:r w:rsidRPr="00000358">
        <w:rPr>
          <w:i/>
          <w:sz w:val="20"/>
          <w:szCs w:val="20"/>
        </w:rPr>
        <w:t>Independent Journal of Management &amp; Production</w:t>
      </w:r>
      <w:r w:rsidRPr="00A65125">
        <w:rPr>
          <w:sz w:val="20"/>
          <w:szCs w:val="20"/>
        </w:rPr>
        <w:t xml:space="preserve"> 13(3): 161</w:t>
      </w:r>
      <w:r w:rsidR="00000358">
        <w:rPr>
          <w:sz w:val="20"/>
          <w:szCs w:val="20"/>
        </w:rPr>
        <w:t>-</w:t>
      </w:r>
      <w:r w:rsidRPr="00A65125">
        <w:rPr>
          <w:sz w:val="20"/>
          <w:szCs w:val="20"/>
        </w:rPr>
        <w:t>195.</w:t>
      </w:r>
    </w:p>
    <w:p w14:paraId="0D0EB195" w14:textId="503DAE90" w:rsidR="00F36751" w:rsidRPr="00A65125" w:rsidRDefault="00F36751" w:rsidP="00A65125">
      <w:pPr>
        <w:pStyle w:val="Reference"/>
        <w:spacing w:after="0"/>
        <w:rPr>
          <w:sz w:val="20"/>
          <w:szCs w:val="20"/>
        </w:rPr>
      </w:pPr>
      <w:r w:rsidRPr="00A65125">
        <w:rPr>
          <w:sz w:val="20"/>
          <w:szCs w:val="20"/>
        </w:rPr>
        <w:t xml:space="preserve">Patton, M.Q.  2002. </w:t>
      </w:r>
      <w:r w:rsidRPr="00000358">
        <w:rPr>
          <w:i/>
          <w:sz w:val="20"/>
          <w:szCs w:val="20"/>
        </w:rPr>
        <w:t xml:space="preserve">Qualitative </w:t>
      </w:r>
      <w:r w:rsidR="00000358" w:rsidRPr="00000358">
        <w:rPr>
          <w:i/>
          <w:sz w:val="20"/>
          <w:szCs w:val="20"/>
        </w:rPr>
        <w:t xml:space="preserve">Research </w:t>
      </w:r>
      <w:r w:rsidR="00000358">
        <w:rPr>
          <w:i/>
          <w:sz w:val="20"/>
          <w:szCs w:val="20"/>
        </w:rPr>
        <w:t>a</w:t>
      </w:r>
      <w:r w:rsidR="00000358" w:rsidRPr="00000358">
        <w:rPr>
          <w:i/>
          <w:sz w:val="20"/>
          <w:szCs w:val="20"/>
        </w:rPr>
        <w:t>nd Evaluation Methods</w:t>
      </w:r>
      <w:r w:rsidRPr="00A65125">
        <w:rPr>
          <w:sz w:val="20"/>
          <w:szCs w:val="20"/>
        </w:rPr>
        <w:t>. (3rd ed.). SAGE Publications.</w:t>
      </w:r>
    </w:p>
    <w:p w14:paraId="07BF5D9A" w14:textId="77777777" w:rsidR="00F36751" w:rsidRPr="00A65125" w:rsidRDefault="00F36751" w:rsidP="00A65125">
      <w:pPr>
        <w:pStyle w:val="Reference"/>
        <w:spacing w:after="0"/>
        <w:rPr>
          <w:sz w:val="20"/>
          <w:szCs w:val="20"/>
        </w:rPr>
      </w:pPr>
      <w:proofErr w:type="spellStart"/>
      <w:r w:rsidRPr="00A65125">
        <w:rPr>
          <w:sz w:val="20"/>
          <w:szCs w:val="20"/>
        </w:rPr>
        <w:t>Prewett</w:t>
      </w:r>
      <w:proofErr w:type="spellEnd"/>
      <w:r w:rsidRPr="00A65125">
        <w:rPr>
          <w:sz w:val="20"/>
          <w:szCs w:val="20"/>
        </w:rPr>
        <w:t xml:space="preserve">, K.W., Prescott, G.L. &amp; Phillips, K.  2020. Blockchain adoption is inevitable—Barriers and risks remain. </w:t>
      </w:r>
      <w:r w:rsidRPr="00000358">
        <w:rPr>
          <w:i/>
          <w:sz w:val="20"/>
          <w:szCs w:val="20"/>
        </w:rPr>
        <w:t>Journal of Corporate Accounting and Finance</w:t>
      </w:r>
      <w:r w:rsidRPr="00A65125">
        <w:rPr>
          <w:sz w:val="20"/>
          <w:szCs w:val="20"/>
        </w:rPr>
        <w:t xml:space="preserve"> 31(2): 21–28.</w:t>
      </w:r>
    </w:p>
    <w:p w14:paraId="53768076" w14:textId="15811241" w:rsidR="00F36751" w:rsidRPr="00A65125" w:rsidRDefault="00F36751" w:rsidP="00A65125">
      <w:pPr>
        <w:pStyle w:val="Reference"/>
        <w:spacing w:after="0"/>
        <w:rPr>
          <w:sz w:val="20"/>
          <w:szCs w:val="20"/>
        </w:rPr>
      </w:pPr>
      <w:r w:rsidRPr="00A65125">
        <w:rPr>
          <w:sz w:val="20"/>
          <w:szCs w:val="20"/>
        </w:rPr>
        <w:t xml:space="preserve">Ramli, F.A.A. &amp; Hamzah, M.I.  2021. Mobile payment and e-wallet adoption in emerging economies: A systematic literature review. </w:t>
      </w:r>
      <w:r w:rsidRPr="00000358">
        <w:rPr>
          <w:i/>
          <w:sz w:val="20"/>
          <w:szCs w:val="20"/>
        </w:rPr>
        <w:t>Journal of Emerging Economies and Islamic Research</w:t>
      </w:r>
      <w:r w:rsidRPr="00A65125">
        <w:rPr>
          <w:sz w:val="20"/>
          <w:szCs w:val="20"/>
        </w:rPr>
        <w:t xml:space="preserve"> 9(2): 1</w:t>
      </w:r>
      <w:r w:rsidR="00000358">
        <w:rPr>
          <w:sz w:val="20"/>
          <w:szCs w:val="20"/>
        </w:rPr>
        <w:t>-39.</w:t>
      </w:r>
    </w:p>
    <w:p w14:paraId="042B0C75" w14:textId="78830303" w:rsidR="00F36751" w:rsidRPr="00A65125" w:rsidRDefault="00F36751" w:rsidP="00A65125">
      <w:pPr>
        <w:pStyle w:val="Reference"/>
        <w:spacing w:after="0"/>
        <w:rPr>
          <w:sz w:val="20"/>
          <w:szCs w:val="20"/>
        </w:rPr>
      </w:pPr>
      <w:proofErr w:type="spellStart"/>
      <w:r w:rsidRPr="00A65125">
        <w:rPr>
          <w:sz w:val="20"/>
          <w:szCs w:val="20"/>
        </w:rPr>
        <w:t>Reindersma</w:t>
      </w:r>
      <w:proofErr w:type="spellEnd"/>
      <w:r w:rsidRPr="00A65125">
        <w:rPr>
          <w:sz w:val="20"/>
          <w:szCs w:val="20"/>
        </w:rPr>
        <w:t xml:space="preserve">, T., </w:t>
      </w:r>
      <w:proofErr w:type="spellStart"/>
      <w:r w:rsidRPr="00A65125">
        <w:rPr>
          <w:sz w:val="20"/>
          <w:szCs w:val="20"/>
        </w:rPr>
        <w:t>Fabbricotti</w:t>
      </w:r>
      <w:proofErr w:type="spellEnd"/>
      <w:r w:rsidRPr="00A65125">
        <w:rPr>
          <w:sz w:val="20"/>
          <w:szCs w:val="20"/>
        </w:rPr>
        <w:t xml:space="preserve">, I., Ahaus, K. &amp; </w:t>
      </w:r>
      <w:proofErr w:type="spellStart"/>
      <w:r w:rsidRPr="00A65125">
        <w:rPr>
          <w:sz w:val="20"/>
          <w:szCs w:val="20"/>
        </w:rPr>
        <w:t>Sülz</w:t>
      </w:r>
      <w:proofErr w:type="spellEnd"/>
      <w:r w:rsidRPr="00A65125">
        <w:rPr>
          <w:sz w:val="20"/>
          <w:szCs w:val="20"/>
        </w:rPr>
        <w:t xml:space="preserve">, S.  2022. Integrated </w:t>
      </w:r>
      <w:r w:rsidR="00000358" w:rsidRPr="00A65125">
        <w:rPr>
          <w:sz w:val="20"/>
          <w:szCs w:val="20"/>
        </w:rPr>
        <w:t xml:space="preserve">payment, fragmented realities? </w:t>
      </w:r>
      <w:r w:rsidR="00000358">
        <w:rPr>
          <w:sz w:val="20"/>
          <w:szCs w:val="20"/>
        </w:rPr>
        <w:t>A</w:t>
      </w:r>
      <w:r w:rsidR="00000358" w:rsidRPr="00A65125">
        <w:rPr>
          <w:sz w:val="20"/>
          <w:szCs w:val="20"/>
        </w:rPr>
        <w:t xml:space="preserve"> discourse analysis of integrated payment in the</w:t>
      </w:r>
      <w:r w:rsidRPr="00A65125">
        <w:rPr>
          <w:sz w:val="20"/>
          <w:szCs w:val="20"/>
        </w:rPr>
        <w:t xml:space="preserve"> Netherlands. </w:t>
      </w:r>
      <w:r w:rsidRPr="00000358">
        <w:rPr>
          <w:i/>
          <w:sz w:val="20"/>
          <w:szCs w:val="20"/>
        </w:rPr>
        <w:t>International Journal of Environmental Research and Public Health</w:t>
      </w:r>
      <w:r w:rsidRPr="00A65125">
        <w:rPr>
          <w:sz w:val="20"/>
          <w:szCs w:val="20"/>
        </w:rPr>
        <w:t xml:space="preserve"> 19(14)</w:t>
      </w:r>
      <w:r w:rsidR="00C01A1C">
        <w:rPr>
          <w:sz w:val="20"/>
          <w:szCs w:val="20"/>
        </w:rPr>
        <w:t>.</w:t>
      </w:r>
    </w:p>
    <w:p w14:paraId="028992F7" w14:textId="1F818F21" w:rsidR="00F36751" w:rsidRPr="00A65125" w:rsidRDefault="00F36751" w:rsidP="00A65125">
      <w:pPr>
        <w:pStyle w:val="Reference"/>
        <w:spacing w:after="0"/>
        <w:rPr>
          <w:sz w:val="20"/>
          <w:szCs w:val="20"/>
        </w:rPr>
      </w:pPr>
      <w:proofErr w:type="spellStart"/>
      <w:r w:rsidRPr="00A65125">
        <w:rPr>
          <w:sz w:val="20"/>
          <w:szCs w:val="20"/>
        </w:rPr>
        <w:t>Rijanto</w:t>
      </w:r>
      <w:proofErr w:type="spellEnd"/>
      <w:r w:rsidRPr="00A65125">
        <w:rPr>
          <w:sz w:val="20"/>
          <w:szCs w:val="20"/>
        </w:rPr>
        <w:t xml:space="preserve">, A.  2021. Blockchain </w:t>
      </w:r>
      <w:r w:rsidR="00C01A1C" w:rsidRPr="00A65125">
        <w:rPr>
          <w:sz w:val="20"/>
          <w:szCs w:val="20"/>
        </w:rPr>
        <w:t>technology adoption in supply chain finance</w:t>
      </w:r>
      <w:r w:rsidRPr="00A65125">
        <w:rPr>
          <w:sz w:val="20"/>
          <w:szCs w:val="20"/>
        </w:rPr>
        <w:t xml:space="preserve">. </w:t>
      </w:r>
      <w:r w:rsidR="00C01A1C" w:rsidRPr="00C01A1C">
        <w:rPr>
          <w:i/>
          <w:sz w:val="20"/>
          <w:szCs w:val="20"/>
        </w:rPr>
        <w:t>Journal of Theoretical and Applied Electronic Commerce Research</w:t>
      </w:r>
      <w:r w:rsidR="00C01A1C">
        <w:rPr>
          <w:sz w:val="20"/>
          <w:szCs w:val="20"/>
        </w:rPr>
        <w:t xml:space="preserve"> </w:t>
      </w:r>
      <w:r w:rsidRPr="00A65125">
        <w:rPr>
          <w:sz w:val="20"/>
          <w:szCs w:val="20"/>
        </w:rPr>
        <w:t>16: 3078–3098.</w:t>
      </w:r>
    </w:p>
    <w:p w14:paraId="72D7B284" w14:textId="51997C4A" w:rsidR="00F36751" w:rsidRPr="00A65125" w:rsidRDefault="00F36751" w:rsidP="00A65125">
      <w:pPr>
        <w:pStyle w:val="Reference"/>
        <w:spacing w:after="0"/>
        <w:rPr>
          <w:sz w:val="20"/>
          <w:szCs w:val="20"/>
        </w:rPr>
      </w:pPr>
      <w:r w:rsidRPr="00A65125">
        <w:rPr>
          <w:sz w:val="20"/>
          <w:szCs w:val="20"/>
        </w:rPr>
        <w:t xml:space="preserve">Ring, P.S. &amp; van de Ven, A.H.  1994. Developmental </w:t>
      </w:r>
      <w:r w:rsidR="0082192F" w:rsidRPr="00A65125">
        <w:rPr>
          <w:sz w:val="20"/>
          <w:szCs w:val="20"/>
        </w:rPr>
        <w:t>processes of cooperative interorganizational relationships</w:t>
      </w:r>
      <w:r w:rsidRPr="00A65125">
        <w:rPr>
          <w:sz w:val="20"/>
          <w:szCs w:val="20"/>
        </w:rPr>
        <w:t xml:space="preserve">. </w:t>
      </w:r>
      <w:r w:rsidRPr="0082192F">
        <w:rPr>
          <w:i/>
          <w:sz w:val="20"/>
          <w:szCs w:val="20"/>
        </w:rPr>
        <w:t>The Academy of Management Review</w:t>
      </w:r>
      <w:r w:rsidRPr="00A65125">
        <w:rPr>
          <w:sz w:val="20"/>
          <w:szCs w:val="20"/>
        </w:rPr>
        <w:t xml:space="preserve"> 19(1): 90</w:t>
      </w:r>
      <w:r w:rsidR="0082192F">
        <w:rPr>
          <w:sz w:val="20"/>
          <w:szCs w:val="20"/>
        </w:rPr>
        <w:t>-118.</w:t>
      </w:r>
    </w:p>
    <w:p w14:paraId="57E87946" w14:textId="77777777" w:rsidR="00F36751" w:rsidRPr="00A65125" w:rsidRDefault="00F36751" w:rsidP="00A65125">
      <w:pPr>
        <w:pStyle w:val="Reference"/>
        <w:spacing w:after="0"/>
        <w:rPr>
          <w:sz w:val="20"/>
          <w:szCs w:val="20"/>
        </w:rPr>
      </w:pPr>
      <w:proofErr w:type="spellStart"/>
      <w:r w:rsidRPr="00A65125">
        <w:rPr>
          <w:sz w:val="20"/>
          <w:szCs w:val="20"/>
        </w:rPr>
        <w:t>Saarijärvi</w:t>
      </w:r>
      <w:proofErr w:type="spellEnd"/>
      <w:r w:rsidRPr="00A65125">
        <w:rPr>
          <w:sz w:val="20"/>
          <w:szCs w:val="20"/>
        </w:rPr>
        <w:t xml:space="preserve">, M. &amp; Bratt, E.-L.  2021. When face-to-face interviews are not possible: tips and tricks for video, telephone, online chat, and email interviews in qualitative research. </w:t>
      </w:r>
      <w:r w:rsidRPr="0082192F">
        <w:rPr>
          <w:i/>
          <w:sz w:val="20"/>
          <w:szCs w:val="20"/>
        </w:rPr>
        <w:t>European Journal of Cardiovascular Nursing</w:t>
      </w:r>
      <w:r w:rsidRPr="00A65125">
        <w:rPr>
          <w:sz w:val="20"/>
          <w:szCs w:val="20"/>
        </w:rPr>
        <w:t xml:space="preserve"> 20(4): 392–396.</w:t>
      </w:r>
    </w:p>
    <w:p w14:paraId="0C816500" w14:textId="3DE5676D" w:rsidR="00F36751" w:rsidRPr="00A65125" w:rsidRDefault="00F36751" w:rsidP="00A65125">
      <w:pPr>
        <w:pStyle w:val="Reference"/>
        <w:spacing w:after="0"/>
        <w:rPr>
          <w:sz w:val="20"/>
          <w:szCs w:val="20"/>
        </w:rPr>
      </w:pPr>
      <w:proofErr w:type="spellStart"/>
      <w:r w:rsidRPr="00A65125">
        <w:rPr>
          <w:sz w:val="20"/>
          <w:szCs w:val="20"/>
        </w:rPr>
        <w:t>Sandner</w:t>
      </w:r>
      <w:proofErr w:type="spellEnd"/>
      <w:r w:rsidRPr="00A65125">
        <w:rPr>
          <w:sz w:val="20"/>
          <w:szCs w:val="20"/>
        </w:rPr>
        <w:t xml:space="preserve">, P., Lange, A. &amp; </w:t>
      </w:r>
      <w:proofErr w:type="spellStart"/>
      <w:r w:rsidRPr="00A65125">
        <w:rPr>
          <w:sz w:val="20"/>
          <w:szCs w:val="20"/>
        </w:rPr>
        <w:t>Schulden</w:t>
      </w:r>
      <w:proofErr w:type="spellEnd"/>
      <w:r w:rsidRPr="00A65125">
        <w:rPr>
          <w:sz w:val="20"/>
          <w:szCs w:val="20"/>
        </w:rPr>
        <w:t xml:space="preserve">, P.  2020. The </w:t>
      </w:r>
      <w:r w:rsidR="00C90D7B">
        <w:rPr>
          <w:sz w:val="20"/>
          <w:szCs w:val="20"/>
        </w:rPr>
        <w:t>r</w:t>
      </w:r>
      <w:r w:rsidRPr="00A65125">
        <w:rPr>
          <w:sz w:val="20"/>
          <w:szCs w:val="20"/>
        </w:rPr>
        <w:t xml:space="preserve">ole of the CFO of an </w:t>
      </w:r>
      <w:r w:rsidR="0082192F" w:rsidRPr="00A65125">
        <w:rPr>
          <w:sz w:val="20"/>
          <w:szCs w:val="20"/>
        </w:rPr>
        <w:t>industrial company</w:t>
      </w:r>
      <w:r w:rsidRPr="00A65125">
        <w:rPr>
          <w:sz w:val="20"/>
          <w:szCs w:val="20"/>
        </w:rPr>
        <w:t xml:space="preserve">: An </w:t>
      </w:r>
      <w:r w:rsidR="0082192F">
        <w:rPr>
          <w:sz w:val="20"/>
          <w:szCs w:val="20"/>
        </w:rPr>
        <w:t>a</w:t>
      </w:r>
      <w:r w:rsidRPr="00A65125">
        <w:rPr>
          <w:sz w:val="20"/>
          <w:szCs w:val="20"/>
        </w:rPr>
        <w:t xml:space="preserve">nalysis of the </w:t>
      </w:r>
      <w:r w:rsidR="0082192F" w:rsidRPr="0082192F">
        <w:rPr>
          <w:sz w:val="20"/>
          <w:szCs w:val="20"/>
        </w:rPr>
        <w:t>impact of blockchain technology</w:t>
      </w:r>
      <w:r w:rsidRPr="00A65125">
        <w:rPr>
          <w:sz w:val="20"/>
          <w:szCs w:val="20"/>
        </w:rPr>
        <w:t xml:space="preserve">. </w:t>
      </w:r>
      <w:r w:rsidRPr="0082192F">
        <w:rPr>
          <w:i/>
          <w:sz w:val="20"/>
          <w:szCs w:val="20"/>
        </w:rPr>
        <w:t>Future Internet</w:t>
      </w:r>
      <w:r w:rsidRPr="00A65125">
        <w:rPr>
          <w:sz w:val="20"/>
          <w:szCs w:val="20"/>
        </w:rPr>
        <w:t xml:space="preserve"> 12(8): 1</w:t>
      </w:r>
      <w:r w:rsidR="0082192F">
        <w:rPr>
          <w:sz w:val="20"/>
          <w:szCs w:val="20"/>
        </w:rPr>
        <w:t>-16.</w:t>
      </w:r>
    </w:p>
    <w:p w14:paraId="5B0C5A0F" w14:textId="18001631" w:rsidR="00F36751" w:rsidRPr="00A65125" w:rsidRDefault="00F36751" w:rsidP="00A65125">
      <w:pPr>
        <w:pStyle w:val="Reference"/>
        <w:spacing w:after="0"/>
        <w:rPr>
          <w:sz w:val="20"/>
          <w:szCs w:val="20"/>
        </w:rPr>
      </w:pPr>
      <w:proofErr w:type="spellStart"/>
      <w:r w:rsidRPr="00A65125">
        <w:rPr>
          <w:sz w:val="20"/>
          <w:szCs w:val="20"/>
        </w:rPr>
        <w:t>Shivaraj</w:t>
      </w:r>
      <w:proofErr w:type="spellEnd"/>
      <w:r w:rsidRPr="00A65125">
        <w:rPr>
          <w:sz w:val="20"/>
          <w:szCs w:val="20"/>
        </w:rPr>
        <w:t xml:space="preserve">, G.  2024. Optimizing </w:t>
      </w:r>
      <w:r w:rsidR="00C90D7B" w:rsidRPr="00A65125">
        <w:rPr>
          <w:sz w:val="20"/>
          <w:szCs w:val="20"/>
        </w:rPr>
        <w:t>rebate management in supply chain operations</w:t>
      </w:r>
      <w:r w:rsidRPr="00A65125">
        <w:rPr>
          <w:sz w:val="20"/>
          <w:szCs w:val="20"/>
        </w:rPr>
        <w:t xml:space="preserve">. </w:t>
      </w:r>
      <w:r w:rsidRPr="00C90D7B">
        <w:rPr>
          <w:i/>
          <w:sz w:val="20"/>
          <w:szCs w:val="20"/>
        </w:rPr>
        <w:t>International Journal of Advanced Research in Engineering and Technology</w:t>
      </w:r>
      <w:r w:rsidRPr="00A65125">
        <w:rPr>
          <w:sz w:val="20"/>
          <w:szCs w:val="20"/>
        </w:rPr>
        <w:t xml:space="preserve"> 15(3): 110–118.</w:t>
      </w:r>
    </w:p>
    <w:p w14:paraId="03E7DFF9" w14:textId="64BFD273" w:rsidR="00F36751" w:rsidRPr="00A65125" w:rsidRDefault="00F36751" w:rsidP="00A65125">
      <w:pPr>
        <w:pStyle w:val="Reference"/>
        <w:spacing w:after="0"/>
        <w:rPr>
          <w:sz w:val="20"/>
          <w:szCs w:val="20"/>
        </w:rPr>
      </w:pPr>
      <w:proofErr w:type="spellStart"/>
      <w:r w:rsidRPr="00A65125">
        <w:rPr>
          <w:sz w:val="20"/>
          <w:szCs w:val="20"/>
        </w:rPr>
        <w:t>Shonubi</w:t>
      </w:r>
      <w:proofErr w:type="spellEnd"/>
      <w:r w:rsidRPr="00A65125">
        <w:rPr>
          <w:sz w:val="20"/>
          <w:szCs w:val="20"/>
        </w:rPr>
        <w:t xml:space="preserve">, O.  2023. The </w:t>
      </w:r>
      <w:r w:rsidR="00D372B8" w:rsidRPr="00A65125">
        <w:rPr>
          <w:sz w:val="20"/>
          <w:szCs w:val="20"/>
        </w:rPr>
        <w:t xml:space="preserve">impact of innovation adoption of emerging digital technologies within a collaborative ecosystem on firm innovation performance- focus on emerging economies </w:t>
      </w:r>
      <w:r w:rsidRPr="00A65125">
        <w:rPr>
          <w:sz w:val="20"/>
          <w:szCs w:val="20"/>
        </w:rPr>
        <w:t xml:space="preserve">(Middle East, Africa, and Asia). </w:t>
      </w:r>
      <w:r w:rsidRPr="00D372B8">
        <w:rPr>
          <w:i/>
          <w:sz w:val="20"/>
          <w:szCs w:val="20"/>
        </w:rPr>
        <w:t>European Journal of Business and Innovation Research</w:t>
      </w:r>
      <w:r w:rsidRPr="00A65125">
        <w:rPr>
          <w:sz w:val="20"/>
          <w:szCs w:val="20"/>
        </w:rPr>
        <w:t xml:space="preserve"> 11(4): 74–104.</w:t>
      </w:r>
    </w:p>
    <w:p w14:paraId="718803DC" w14:textId="1734BA6C" w:rsidR="00F36751" w:rsidRPr="00A65125" w:rsidRDefault="00F36751" w:rsidP="00A65125">
      <w:pPr>
        <w:pStyle w:val="Reference"/>
        <w:spacing w:after="0"/>
        <w:rPr>
          <w:sz w:val="20"/>
          <w:szCs w:val="20"/>
        </w:rPr>
      </w:pPr>
      <w:proofErr w:type="spellStart"/>
      <w:r w:rsidRPr="00A65125">
        <w:rPr>
          <w:sz w:val="20"/>
          <w:szCs w:val="20"/>
        </w:rPr>
        <w:t>Spahiu</w:t>
      </w:r>
      <w:proofErr w:type="spellEnd"/>
      <w:r w:rsidRPr="00A65125">
        <w:rPr>
          <w:sz w:val="20"/>
          <w:szCs w:val="20"/>
        </w:rPr>
        <w:t xml:space="preserve">, E., Spagnoletti, P. &amp; Sposito, A.  2024. Building a </w:t>
      </w:r>
      <w:r w:rsidR="0005719D" w:rsidRPr="00A65125">
        <w:rPr>
          <w:sz w:val="20"/>
          <w:szCs w:val="20"/>
        </w:rPr>
        <w:t>blockchain-based platform for interbank collaboration.</w:t>
      </w:r>
      <w:r w:rsidRPr="00A65125">
        <w:rPr>
          <w:sz w:val="20"/>
          <w:szCs w:val="20"/>
        </w:rPr>
        <w:t xml:space="preserve"> </w:t>
      </w:r>
      <w:r w:rsidRPr="0005719D">
        <w:rPr>
          <w:i/>
          <w:sz w:val="20"/>
          <w:szCs w:val="20"/>
        </w:rPr>
        <w:t>International Journal of Electronic Commerce</w:t>
      </w:r>
      <w:r w:rsidRPr="00A65125">
        <w:rPr>
          <w:sz w:val="20"/>
          <w:szCs w:val="20"/>
        </w:rPr>
        <w:t xml:space="preserve"> 28(2): 269–291.</w:t>
      </w:r>
    </w:p>
    <w:p w14:paraId="0A08F5CD" w14:textId="77777777" w:rsidR="00F36751" w:rsidRPr="00C728E9" w:rsidRDefault="00F36751" w:rsidP="00A65125">
      <w:pPr>
        <w:pStyle w:val="Reference"/>
        <w:spacing w:after="0"/>
        <w:rPr>
          <w:sz w:val="20"/>
          <w:szCs w:val="20"/>
        </w:rPr>
      </w:pPr>
      <w:r w:rsidRPr="00A65125">
        <w:rPr>
          <w:sz w:val="20"/>
          <w:szCs w:val="20"/>
        </w:rPr>
        <w:t xml:space="preserve">Surat </w:t>
      </w:r>
      <w:proofErr w:type="spellStart"/>
      <w:r w:rsidRPr="00A65125">
        <w:rPr>
          <w:sz w:val="20"/>
          <w:szCs w:val="20"/>
        </w:rPr>
        <w:t>Pekeliling</w:t>
      </w:r>
      <w:proofErr w:type="spellEnd"/>
      <w:r w:rsidRPr="00A65125">
        <w:rPr>
          <w:sz w:val="20"/>
          <w:szCs w:val="20"/>
        </w:rPr>
        <w:t xml:space="preserve"> </w:t>
      </w:r>
      <w:proofErr w:type="spellStart"/>
      <w:r w:rsidRPr="00A65125">
        <w:rPr>
          <w:sz w:val="20"/>
          <w:szCs w:val="20"/>
        </w:rPr>
        <w:t>Akauntan</w:t>
      </w:r>
      <w:proofErr w:type="spellEnd"/>
      <w:r w:rsidRPr="00A65125">
        <w:rPr>
          <w:sz w:val="20"/>
          <w:szCs w:val="20"/>
        </w:rPr>
        <w:t xml:space="preserve"> Negara Malaysia (SPANM) Bil. 3 </w:t>
      </w:r>
      <w:proofErr w:type="spellStart"/>
      <w:r w:rsidRPr="00A65125">
        <w:rPr>
          <w:sz w:val="20"/>
          <w:szCs w:val="20"/>
        </w:rPr>
        <w:t>Tahun</w:t>
      </w:r>
      <w:proofErr w:type="spellEnd"/>
      <w:r w:rsidRPr="00A65125">
        <w:rPr>
          <w:sz w:val="20"/>
          <w:szCs w:val="20"/>
        </w:rPr>
        <w:t xml:space="preserve"> 2019 - </w:t>
      </w:r>
      <w:proofErr w:type="spellStart"/>
      <w:r w:rsidRPr="00A65125">
        <w:rPr>
          <w:sz w:val="20"/>
          <w:szCs w:val="20"/>
        </w:rPr>
        <w:t>Tatacara</w:t>
      </w:r>
      <w:proofErr w:type="spellEnd"/>
      <w:r w:rsidRPr="00A65125">
        <w:rPr>
          <w:sz w:val="20"/>
          <w:szCs w:val="20"/>
        </w:rPr>
        <w:t xml:space="preserve"> </w:t>
      </w:r>
      <w:proofErr w:type="spellStart"/>
      <w:r w:rsidRPr="00A65125">
        <w:rPr>
          <w:sz w:val="20"/>
          <w:szCs w:val="20"/>
        </w:rPr>
        <w:t>Pengurusan</w:t>
      </w:r>
      <w:proofErr w:type="spellEnd"/>
      <w:r w:rsidRPr="00A65125">
        <w:rPr>
          <w:sz w:val="20"/>
          <w:szCs w:val="20"/>
        </w:rPr>
        <w:t xml:space="preserve"> </w:t>
      </w:r>
      <w:proofErr w:type="spellStart"/>
      <w:r w:rsidRPr="00A65125">
        <w:rPr>
          <w:sz w:val="20"/>
          <w:szCs w:val="20"/>
        </w:rPr>
        <w:t>Terimaan</w:t>
      </w:r>
      <w:proofErr w:type="spellEnd"/>
      <w:r w:rsidRPr="00A65125">
        <w:rPr>
          <w:sz w:val="20"/>
          <w:szCs w:val="20"/>
        </w:rPr>
        <w:t xml:space="preserve">. </w:t>
      </w:r>
      <w:hyperlink r:id="rId16" w:history="1">
        <w:r w:rsidRPr="00C728E9">
          <w:rPr>
            <w:rStyle w:val="Hyperlink"/>
            <w:sz w:val="20"/>
            <w:szCs w:val="20"/>
            <w:u w:val="none"/>
          </w:rPr>
          <w:t>https://www.anm.gov.my/pekeliling/surat-pekeliling-akauntan-negara-malaysia</w:t>
        </w:r>
      </w:hyperlink>
    </w:p>
    <w:p w14:paraId="14CA7C16" w14:textId="2A3D980A" w:rsidR="00F36751" w:rsidRPr="00A65125" w:rsidRDefault="00F36751" w:rsidP="00A65125">
      <w:pPr>
        <w:pStyle w:val="Reference"/>
        <w:spacing w:after="0"/>
        <w:rPr>
          <w:sz w:val="20"/>
          <w:szCs w:val="20"/>
        </w:rPr>
      </w:pPr>
      <w:r w:rsidRPr="00A65125">
        <w:rPr>
          <w:sz w:val="20"/>
          <w:szCs w:val="20"/>
        </w:rPr>
        <w:t xml:space="preserve">Tan, W.K. &amp; </w:t>
      </w:r>
      <w:proofErr w:type="spellStart"/>
      <w:r w:rsidRPr="00A65125">
        <w:rPr>
          <w:sz w:val="20"/>
          <w:szCs w:val="20"/>
        </w:rPr>
        <w:t>Sundarakani</w:t>
      </w:r>
      <w:proofErr w:type="spellEnd"/>
      <w:r w:rsidRPr="00A65125">
        <w:rPr>
          <w:sz w:val="20"/>
          <w:szCs w:val="20"/>
        </w:rPr>
        <w:t xml:space="preserve">, B.  2021. Assessing </w:t>
      </w:r>
      <w:r w:rsidR="0005719D" w:rsidRPr="00A65125">
        <w:rPr>
          <w:sz w:val="20"/>
          <w:szCs w:val="20"/>
        </w:rPr>
        <w:t>blockchain technology application for freight booking business: a case study from technology acceptance model perspective</w:t>
      </w:r>
      <w:r w:rsidRPr="00A65125">
        <w:rPr>
          <w:sz w:val="20"/>
          <w:szCs w:val="20"/>
        </w:rPr>
        <w:t xml:space="preserve">. </w:t>
      </w:r>
      <w:r w:rsidRPr="0005719D">
        <w:rPr>
          <w:i/>
          <w:sz w:val="20"/>
          <w:szCs w:val="20"/>
        </w:rPr>
        <w:t>Journal of Global Operations and Strategic Sourcing</w:t>
      </w:r>
      <w:r w:rsidRPr="00A65125">
        <w:rPr>
          <w:sz w:val="20"/>
          <w:szCs w:val="20"/>
        </w:rPr>
        <w:t xml:space="preserve"> 14(1): 202–223.</w:t>
      </w:r>
    </w:p>
    <w:p w14:paraId="37071DD4" w14:textId="015FAD69" w:rsidR="00F36751" w:rsidRPr="00A65125" w:rsidRDefault="00F36751" w:rsidP="00A65125">
      <w:pPr>
        <w:pStyle w:val="Reference"/>
        <w:spacing w:after="0"/>
        <w:rPr>
          <w:sz w:val="20"/>
          <w:szCs w:val="20"/>
        </w:rPr>
      </w:pPr>
      <w:r w:rsidRPr="00A65125">
        <w:rPr>
          <w:sz w:val="20"/>
          <w:szCs w:val="20"/>
        </w:rPr>
        <w:t xml:space="preserve">The Star. Cash is no longer king for payments in Malaysia. 2023, The Star, 5 July. </w:t>
      </w:r>
      <w:hyperlink w:history="1">
        <w:r w:rsidR="00173B7B" w:rsidRPr="00BA439E">
          <w:rPr>
            <w:rStyle w:val="Hyperlink"/>
            <w:sz w:val="20"/>
            <w:szCs w:val="20"/>
          </w:rPr>
          <w:t>https://www.thesta r.com.my/ news/nation/2023/07/05/cash-is-no-longer-king-for-payments-in-malaysia</w:t>
        </w:r>
      </w:hyperlink>
    </w:p>
    <w:p w14:paraId="27100C95" w14:textId="77777777" w:rsidR="00F36751" w:rsidRPr="00A65125" w:rsidRDefault="00F36751" w:rsidP="00A65125">
      <w:pPr>
        <w:pStyle w:val="Reference"/>
        <w:spacing w:after="0"/>
        <w:rPr>
          <w:sz w:val="20"/>
          <w:szCs w:val="20"/>
        </w:rPr>
      </w:pPr>
      <w:r w:rsidRPr="00A65125">
        <w:rPr>
          <w:sz w:val="20"/>
          <w:szCs w:val="20"/>
        </w:rPr>
        <w:t xml:space="preserve">Tsai, W.T., Luo, Y., Deng, E., Zhao, J., Ding, X., Li, J. &amp; Yuan, B.  2020. Blockchain systems for trade clearing. </w:t>
      </w:r>
      <w:r w:rsidRPr="00173B7B">
        <w:rPr>
          <w:i/>
          <w:sz w:val="20"/>
          <w:szCs w:val="20"/>
        </w:rPr>
        <w:t>Journal of Risk Finance</w:t>
      </w:r>
      <w:r w:rsidRPr="00A65125">
        <w:rPr>
          <w:sz w:val="20"/>
          <w:szCs w:val="20"/>
        </w:rPr>
        <w:t xml:space="preserve"> 21(5): 469–492.</w:t>
      </w:r>
    </w:p>
    <w:p w14:paraId="2DBF7D4E" w14:textId="64225555" w:rsidR="00F36751" w:rsidRPr="00A65125" w:rsidRDefault="00F36751" w:rsidP="00A65125">
      <w:pPr>
        <w:pStyle w:val="Reference"/>
        <w:spacing w:after="0"/>
        <w:rPr>
          <w:sz w:val="20"/>
          <w:szCs w:val="20"/>
        </w:rPr>
      </w:pPr>
      <w:proofErr w:type="spellStart"/>
      <w:r w:rsidRPr="00A65125">
        <w:rPr>
          <w:sz w:val="20"/>
          <w:szCs w:val="20"/>
        </w:rPr>
        <w:t>Ubani</w:t>
      </w:r>
      <w:proofErr w:type="spellEnd"/>
      <w:r w:rsidRPr="00A65125">
        <w:rPr>
          <w:sz w:val="20"/>
          <w:szCs w:val="20"/>
        </w:rPr>
        <w:t xml:space="preserve">, R.C. &amp; </w:t>
      </w:r>
      <w:proofErr w:type="spellStart"/>
      <w:r w:rsidRPr="00A65125">
        <w:rPr>
          <w:sz w:val="20"/>
          <w:szCs w:val="20"/>
        </w:rPr>
        <w:t>Emenike</w:t>
      </w:r>
      <w:proofErr w:type="spellEnd"/>
      <w:r w:rsidRPr="00A65125">
        <w:rPr>
          <w:sz w:val="20"/>
          <w:szCs w:val="20"/>
        </w:rPr>
        <w:t xml:space="preserve">, A.  2023. The </w:t>
      </w:r>
      <w:r w:rsidR="00593B5B" w:rsidRPr="00A65125">
        <w:rPr>
          <w:sz w:val="20"/>
          <w:szCs w:val="20"/>
        </w:rPr>
        <w:t xml:space="preserve">impact of service level agreement </w:t>
      </w:r>
      <w:r w:rsidRPr="00A65125">
        <w:rPr>
          <w:sz w:val="20"/>
          <w:szCs w:val="20"/>
        </w:rPr>
        <w:t xml:space="preserve">(SLA) on </w:t>
      </w:r>
      <w:r w:rsidR="00593B5B" w:rsidRPr="00A65125">
        <w:rPr>
          <w:sz w:val="20"/>
          <w:szCs w:val="20"/>
        </w:rPr>
        <w:t xml:space="preserve">the performance of </w:t>
      </w:r>
      <w:r w:rsidR="00593B5B" w:rsidRPr="00A65125">
        <w:rPr>
          <w:sz w:val="20"/>
          <w:szCs w:val="20"/>
        </w:rPr>
        <w:lastRenderedPageBreak/>
        <w:t xml:space="preserve">transmission company </w:t>
      </w:r>
      <w:r w:rsidRPr="00A65125">
        <w:rPr>
          <w:sz w:val="20"/>
          <w:szCs w:val="20"/>
        </w:rPr>
        <w:t xml:space="preserve">of Nigeria (TCN) Abuja. </w:t>
      </w:r>
      <w:r w:rsidRPr="00593B5B">
        <w:rPr>
          <w:i/>
          <w:sz w:val="20"/>
          <w:szCs w:val="20"/>
        </w:rPr>
        <w:t>European Journal of Marketing and Management Sciences</w:t>
      </w:r>
      <w:r w:rsidRPr="00A65125">
        <w:rPr>
          <w:sz w:val="20"/>
          <w:szCs w:val="20"/>
        </w:rPr>
        <w:t xml:space="preserve"> 6(6): 21–43.</w:t>
      </w:r>
    </w:p>
    <w:p w14:paraId="2636F6A0" w14:textId="77777777" w:rsidR="00F36751" w:rsidRPr="00A65125" w:rsidRDefault="00F36751" w:rsidP="00AC7FCB">
      <w:pPr>
        <w:pStyle w:val="Reference"/>
        <w:spacing w:after="0"/>
        <w:rPr>
          <w:sz w:val="20"/>
          <w:szCs w:val="20"/>
        </w:rPr>
      </w:pPr>
      <w:r w:rsidRPr="00A65125">
        <w:rPr>
          <w:sz w:val="20"/>
          <w:szCs w:val="20"/>
        </w:rPr>
        <w:t xml:space="preserve">Upadhyay, A., Ayodele, J.O., Kumar, A. &amp; Garza-Reyes, J.A.  2021. A review of challenges and opportunities of blockchain adoption for operational excellence in the UK automotive industry. </w:t>
      </w:r>
      <w:r w:rsidRPr="005E1831">
        <w:rPr>
          <w:i/>
          <w:sz w:val="20"/>
          <w:szCs w:val="20"/>
        </w:rPr>
        <w:t>Journal of Global Operations and Strategic Sourcing</w:t>
      </w:r>
      <w:r w:rsidRPr="00A65125">
        <w:rPr>
          <w:sz w:val="20"/>
          <w:szCs w:val="20"/>
        </w:rPr>
        <w:t xml:space="preserve"> 14(1): 7–60.</w:t>
      </w:r>
    </w:p>
    <w:p w14:paraId="25A01113" w14:textId="050B2373" w:rsidR="00F36751" w:rsidRPr="00A65125" w:rsidRDefault="00F36751" w:rsidP="00AC7FCB">
      <w:pPr>
        <w:widowControl w:val="0"/>
        <w:autoSpaceDE w:val="0"/>
        <w:autoSpaceDN w:val="0"/>
        <w:adjustRightInd w:val="0"/>
        <w:ind w:left="480" w:hanging="480"/>
        <w:jc w:val="both"/>
        <w:rPr>
          <w:sz w:val="20"/>
          <w:szCs w:val="20"/>
        </w:rPr>
      </w:pPr>
      <w:r w:rsidRPr="00A65125">
        <w:rPr>
          <w:sz w:val="20"/>
          <w:szCs w:val="20"/>
        </w:rPr>
        <w:t xml:space="preserve">Upadhyay, K., Dantu, R., He, Y., </w:t>
      </w:r>
      <w:proofErr w:type="spellStart"/>
      <w:r w:rsidRPr="00A65125">
        <w:rPr>
          <w:sz w:val="20"/>
          <w:szCs w:val="20"/>
        </w:rPr>
        <w:t>Badruddoja</w:t>
      </w:r>
      <w:proofErr w:type="spellEnd"/>
      <w:r w:rsidRPr="00A65125">
        <w:rPr>
          <w:sz w:val="20"/>
          <w:szCs w:val="20"/>
        </w:rPr>
        <w:t xml:space="preserve">, S. &amp; Salau, A.  2021. Can’t </w:t>
      </w:r>
      <w:r w:rsidR="00AC7FCB">
        <w:rPr>
          <w:sz w:val="20"/>
          <w:szCs w:val="20"/>
        </w:rPr>
        <w:t>u</w:t>
      </w:r>
      <w:r w:rsidRPr="00A65125">
        <w:rPr>
          <w:sz w:val="20"/>
          <w:szCs w:val="20"/>
        </w:rPr>
        <w:t xml:space="preserve">nderstand SLA? Use the </w:t>
      </w:r>
      <w:r w:rsidR="00AC7FCB" w:rsidRPr="00A65125">
        <w:rPr>
          <w:sz w:val="20"/>
          <w:szCs w:val="20"/>
        </w:rPr>
        <w:t>smart contra</w:t>
      </w:r>
      <w:r w:rsidRPr="00A65125">
        <w:rPr>
          <w:sz w:val="20"/>
          <w:szCs w:val="20"/>
        </w:rPr>
        <w:t xml:space="preserve">ct. </w:t>
      </w:r>
      <w:r w:rsidRPr="00AC7FCB">
        <w:rPr>
          <w:i/>
          <w:sz w:val="20"/>
          <w:szCs w:val="20"/>
        </w:rPr>
        <w:t>Proceedings - 2021 3rd IEEE International Conference on Trust, Privacy and Security in Intelligent Systems and Applications</w:t>
      </w:r>
      <w:r w:rsidR="006A2F0C">
        <w:rPr>
          <w:i/>
          <w:sz w:val="20"/>
          <w:szCs w:val="20"/>
        </w:rPr>
        <w:t>.</w:t>
      </w:r>
      <w:r w:rsidRPr="00A65125">
        <w:rPr>
          <w:sz w:val="20"/>
          <w:szCs w:val="20"/>
        </w:rPr>
        <w:t xml:space="preserve"> TPS-ISA 2021 129–136. </w:t>
      </w:r>
    </w:p>
    <w:p w14:paraId="08BBBB2E" w14:textId="77777777" w:rsidR="00F36751" w:rsidRPr="00A65125" w:rsidRDefault="00F36751" w:rsidP="00AC7FCB">
      <w:pPr>
        <w:pStyle w:val="Reference"/>
        <w:spacing w:after="0"/>
        <w:rPr>
          <w:sz w:val="20"/>
          <w:szCs w:val="20"/>
        </w:rPr>
      </w:pPr>
      <w:proofErr w:type="spellStart"/>
      <w:r w:rsidRPr="00A65125">
        <w:rPr>
          <w:sz w:val="20"/>
          <w:szCs w:val="20"/>
        </w:rPr>
        <w:t>Vedapradha</w:t>
      </w:r>
      <w:proofErr w:type="spellEnd"/>
      <w:r w:rsidRPr="00A65125">
        <w:rPr>
          <w:sz w:val="20"/>
          <w:szCs w:val="20"/>
        </w:rPr>
        <w:t xml:space="preserve">, R. &amp; Ravi, H.  2023. Blockchain: an EOM approach to reconciliation in banking. </w:t>
      </w:r>
      <w:r w:rsidRPr="006A2F0C">
        <w:rPr>
          <w:i/>
          <w:sz w:val="20"/>
          <w:szCs w:val="20"/>
        </w:rPr>
        <w:t>Innovation and Management Review</w:t>
      </w:r>
      <w:r w:rsidRPr="00A65125">
        <w:rPr>
          <w:sz w:val="20"/>
          <w:szCs w:val="20"/>
        </w:rPr>
        <w:t xml:space="preserve"> 20(1): 17–27.</w:t>
      </w:r>
    </w:p>
    <w:p w14:paraId="25088CCF" w14:textId="77777777" w:rsidR="00F36751" w:rsidRPr="00A65125" w:rsidRDefault="00F36751" w:rsidP="00AC7FCB">
      <w:pPr>
        <w:pStyle w:val="Reference"/>
        <w:spacing w:after="0"/>
        <w:rPr>
          <w:sz w:val="20"/>
          <w:szCs w:val="20"/>
        </w:rPr>
      </w:pPr>
      <w:r w:rsidRPr="00A65125">
        <w:rPr>
          <w:sz w:val="20"/>
          <w:szCs w:val="20"/>
        </w:rPr>
        <w:t xml:space="preserve">Yaseen, S.G.  2023. Guest editorial: Digital accounting, financial technology and data analytics. </w:t>
      </w:r>
      <w:r w:rsidRPr="00165174">
        <w:rPr>
          <w:i/>
          <w:sz w:val="20"/>
          <w:szCs w:val="20"/>
        </w:rPr>
        <w:t>Journal of Financial Reporting and Accounting</w:t>
      </w:r>
      <w:r w:rsidRPr="00A65125">
        <w:rPr>
          <w:sz w:val="20"/>
          <w:szCs w:val="20"/>
        </w:rPr>
        <w:t xml:space="preserve"> 21(1): 1–4.</w:t>
      </w:r>
    </w:p>
    <w:p w14:paraId="540EA469" w14:textId="77777777" w:rsidR="00F36751" w:rsidRPr="00A65125" w:rsidRDefault="00F36751" w:rsidP="00AC7FCB">
      <w:pPr>
        <w:pStyle w:val="Reference"/>
        <w:spacing w:after="0"/>
        <w:rPr>
          <w:sz w:val="20"/>
          <w:szCs w:val="20"/>
        </w:rPr>
      </w:pPr>
      <w:r w:rsidRPr="00A65125">
        <w:rPr>
          <w:sz w:val="20"/>
          <w:szCs w:val="20"/>
        </w:rPr>
        <w:t xml:space="preserve">Yin, R.K.  2016. </w:t>
      </w:r>
      <w:r w:rsidRPr="004545BF">
        <w:rPr>
          <w:i/>
          <w:sz w:val="20"/>
          <w:szCs w:val="20"/>
        </w:rPr>
        <w:t>Qualitative Research from Start to Finish. The Guilford Press.</w:t>
      </w:r>
      <w:r w:rsidRPr="00A65125">
        <w:rPr>
          <w:sz w:val="20"/>
          <w:szCs w:val="20"/>
        </w:rPr>
        <w:t xml:space="preserve"> Second Edi. The Guilford Press.</w:t>
      </w:r>
    </w:p>
    <w:p w14:paraId="50C6275C" w14:textId="77777777" w:rsidR="00F36751" w:rsidRPr="00A65125" w:rsidRDefault="00F36751" w:rsidP="00AC7FCB">
      <w:pPr>
        <w:pStyle w:val="Reference"/>
        <w:spacing w:after="0"/>
        <w:rPr>
          <w:sz w:val="20"/>
          <w:szCs w:val="20"/>
        </w:rPr>
      </w:pPr>
      <w:r w:rsidRPr="00A65125">
        <w:rPr>
          <w:sz w:val="20"/>
          <w:szCs w:val="20"/>
        </w:rPr>
        <w:t xml:space="preserve">Yin, R.K.  2018. </w:t>
      </w:r>
      <w:r w:rsidRPr="00F56C76">
        <w:rPr>
          <w:i/>
          <w:sz w:val="20"/>
          <w:szCs w:val="20"/>
        </w:rPr>
        <w:t>Case study research and applications: Design and methods</w:t>
      </w:r>
      <w:r w:rsidRPr="00A65125">
        <w:rPr>
          <w:sz w:val="20"/>
          <w:szCs w:val="20"/>
        </w:rPr>
        <w:t>. SAGE Publications, Inc. SAGE Publications, Inc.</w:t>
      </w:r>
    </w:p>
    <w:p w14:paraId="5CE0DEBE" w14:textId="77777777" w:rsidR="00F36751" w:rsidRPr="00A65125" w:rsidRDefault="00F36751" w:rsidP="00AC7FCB">
      <w:pPr>
        <w:pStyle w:val="Reference"/>
        <w:spacing w:after="0"/>
        <w:rPr>
          <w:sz w:val="20"/>
          <w:szCs w:val="20"/>
        </w:rPr>
      </w:pPr>
      <w:proofErr w:type="spellStart"/>
      <w:r w:rsidRPr="00A65125">
        <w:rPr>
          <w:sz w:val="20"/>
          <w:szCs w:val="20"/>
        </w:rPr>
        <w:t>Zairul</w:t>
      </w:r>
      <w:proofErr w:type="spellEnd"/>
      <w:r w:rsidRPr="00A65125">
        <w:rPr>
          <w:sz w:val="20"/>
          <w:szCs w:val="20"/>
        </w:rPr>
        <w:t xml:space="preserve">, M.  2023. </w:t>
      </w:r>
      <w:proofErr w:type="spellStart"/>
      <w:r w:rsidRPr="00F56C76">
        <w:rPr>
          <w:i/>
          <w:sz w:val="20"/>
          <w:szCs w:val="20"/>
        </w:rPr>
        <w:t>Memahami</w:t>
      </w:r>
      <w:proofErr w:type="spellEnd"/>
      <w:r w:rsidRPr="00F56C76">
        <w:rPr>
          <w:i/>
          <w:sz w:val="20"/>
          <w:szCs w:val="20"/>
        </w:rPr>
        <w:t xml:space="preserve"> </w:t>
      </w:r>
      <w:proofErr w:type="spellStart"/>
      <w:r w:rsidRPr="00F56C76">
        <w:rPr>
          <w:i/>
          <w:sz w:val="20"/>
          <w:szCs w:val="20"/>
        </w:rPr>
        <w:t>Asas</w:t>
      </w:r>
      <w:proofErr w:type="spellEnd"/>
      <w:r w:rsidRPr="00F56C76">
        <w:rPr>
          <w:i/>
          <w:sz w:val="20"/>
          <w:szCs w:val="20"/>
        </w:rPr>
        <w:t xml:space="preserve"> </w:t>
      </w:r>
      <w:proofErr w:type="spellStart"/>
      <w:r w:rsidRPr="00F56C76">
        <w:rPr>
          <w:i/>
          <w:sz w:val="20"/>
          <w:szCs w:val="20"/>
        </w:rPr>
        <w:t>Penyelidikan</w:t>
      </w:r>
      <w:proofErr w:type="spellEnd"/>
      <w:r w:rsidRPr="00F56C76">
        <w:rPr>
          <w:i/>
          <w:sz w:val="20"/>
          <w:szCs w:val="20"/>
        </w:rPr>
        <w:t xml:space="preserve"> </w:t>
      </w:r>
      <w:proofErr w:type="spellStart"/>
      <w:r w:rsidRPr="00F56C76">
        <w:rPr>
          <w:i/>
          <w:sz w:val="20"/>
          <w:szCs w:val="20"/>
        </w:rPr>
        <w:t>Kualitatif</w:t>
      </w:r>
      <w:proofErr w:type="spellEnd"/>
      <w:r w:rsidRPr="00F56C76">
        <w:rPr>
          <w:i/>
          <w:sz w:val="20"/>
          <w:szCs w:val="20"/>
        </w:rPr>
        <w:t xml:space="preserve"> dan </w:t>
      </w:r>
      <w:proofErr w:type="spellStart"/>
      <w:r w:rsidRPr="00F56C76">
        <w:rPr>
          <w:i/>
          <w:sz w:val="20"/>
          <w:szCs w:val="20"/>
        </w:rPr>
        <w:t>Analisis</w:t>
      </w:r>
      <w:proofErr w:type="spellEnd"/>
      <w:r w:rsidRPr="00F56C76">
        <w:rPr>
          <w:i/>
          <w:sz w:val="20"/>
          <w:szCs w:val="20"/>
        </w:rPr>
        <w:t xml:space="preserve"> </w:t>
      </w:r>
      <w:proofErr w:type="spellStart"/>
      <w:r w:rsidRPr="00F56C76">
        <w:rPr>
          <w:i/>
          <w:sz w:val="20"/>
          <w:szCs w:val="20"/>
        </w:rPr>
        <w:t>Tematik</w:t>
      </w:r>
      <w:proofErr w:type="spellEnd"/>
      <w:r w:rsidRPr="00F56C76">
        <w:rPr>
          <w:i/>
          <w:sz w:val="20"/>
          <w:szCs w:val="20"/>
        </w:rPr>
        <w:t xml:space="preserve"> </w:t>
      </w:r>
      <w:proofErr w:type="spellStart"/>
      <w:r w:rsidRPr="00F56C76">
        <w:rPr>
          <w:i/>
          <w:sz w:val="20"/>
          <w:szCs w:val="20"/>
        </w:rPr>
        <w:t>dengan</w:t>
      </w:r>
      <w:proofErr w:type="spellEnd"/>
      <w:r w:rsidRPr="00F56C76">
        <w:rPr>
          <w:i/>
          <w:sz w:val="20"/>
          <w:szCs w:val="20"/>
        </w:rPr>
        <w:t xml:space="preserve"> </w:t>
      </w:r>
      <w:proofErr w:type="spellStart"/>
      <w:r w:rsidRPr="00F56C76">
        <w:rPr>
          <w:i/>
          <w:sz w:val="20"/>
          <w:szCs w:val="20"/>
        </w:rPr>
        <w:t>Atlas.ti</w:t>
      </w:r>
      <w:proofErr w:type="spellEnd"/>
      <w:r w:rsidRPr="00F56C76">
        <w:rPr>
          <w:i/>
          <w:sz w:val="20"/>
          <w:szCs w:val="20"/>
        </w:rPr>
        <w:t xml:space="preserve"> 23</w:t>
      </w:r>
      <w:r w:rsidRPr="00A65125">
        <w:rPr>
          <w:sz w:val="20"/>
          <w:szCs w:val="20"/>
        </w:rPr>
        <w:t xml:space="preserve">. </w:t>
      </w:r>
      <w:proofErr w:type="spellStart"/>
      <w:r w:rsidRPr="00A65125">
        <w:rPr>
          <w:sz w:val="20"/>
          <w:szCs w:val="20"/>
        </w:rPr>
        <w:t>Universiti</w:t>
      </w:r>
      <w:proofErr w:type="spellEnd"/>
      <w:r w:rsidRPr="00A65125">
        <w:rPr>
          <w:sz w:val="20"/>
          <w:szCs w:val="20"/>
        </w:rPr>
        <w:t xml:space="preserve"> Pendidikan Sultan Idris.</w:t>
      </w:r>
    </w:p>
    <w:p w14:paraId="39CE1590" w14:textId="1E226802" w:rsidR="00F36751" w:rsidRPr="00A65125" w:rsidRDefault="00F36751" w:rsidP="00AC7FCB">
      <w:pPr>
        <w:pStyle w:val="Reference"/>
        <w:spacing w:after="0"/>
        <w:rPr>
          <w:sz w:val="20"/>
          <w:szCs w:val="20"/>
        </w:rPr>
      </w:pPr>
      <w:proofErr w:type="spellStart"/>
      <w:r w:rsidRPr="00A65125">
        <w:rPr>
          <w:sz w:val="20"/>
          <w:szCs w:val="20"/>
        </w:rPr>
        <w:t>Zairul</w:t>
      </w:r>
      <w:proofErr w:type="spellEnd"/>
      <w:r w:rsidRPr="00A65125">
        <w:rPr>
          <w:sz w:val="20"/>
          <w:szCs w:val="20"/>
        </w:rPr>
        <w:t xml:space="preserve">, M.  2025. Enhancing </w:t>
      </w:r>
      <w:r w:rsidR="008625D5" w:rsidRPr="00A65125">
        <w:rPr>
          <w:sz w:val="20"/>
          <w:szCs w:val="20"/>
        </w:rPr>
        <w:t xml:space="preserve">qualitative research with thematic analysis matrix </w:t>
      </w:r>
      <w:r w:rsidRPr="00A65125">
        <w:rPr>
          <w:sz w:val="20"/>
          <w:szCs w:val="20"/>
        </w:rPr>
        <w:t xml:space="preserve">(TAM): A </w:t>
      </w:r>
      <w:r w:rsidR="008625D5" w:rsidRPr="00A65125">
        <w:rPr>
          <w:sz w:val="20"/>
          <w:szCs w:val="20"/>
        </w:rPr>
        <w:t>systematic approach to thematic analysis in architectural research</w:t>
      </w:r>
      <w:r w:rsidRPr="00A65125">
        <w:rPr>
          <w:sz w:val="20"/>
          <w:szCs w:val="20"/>
        </w:rPr>
        <w:t xml:space="preserve">. </w:t>
      </w:r>
      <w:r w:rsidRPr="008625D5">
        <w:rPr>
          <w:i/>
          <w:sz w:val="20"/>
          <w:szCs w:val="20"/>
        </w:rPr>
        <w:t>ALAM CIPTA International Journal of Sustainable Tropical Design &amp; Practice</w:t>
      </w:r>
      <w:r w:rsidRPr="00A65125">
        <w:rPr>
          <w:sz w:val="20"/>
          <w:szCs w:val="20"/>
        </w:rPr>
        <w:t xml:space="preserve"> 18(1): 1–17.</w:t>
      </w:r>
    </w:p>
    <w:p w14:paraId="7BB30270" w14:textId="77777777" w:rsidR="007738CC" w:rsidRPr="00A65125" w:rsidRDefault="007738CC" w:rsidP="00A65125">
      <w:pPr>
        <w:rPr>
          <w:sz w:val="20"/>
          <w:szCs w:val="20"/>
          <w:lang w:val="en-MY" w:eastAsia="en-US"/>
        </w:rPr>
      </w:pPr>
    </w:p>
    <w:p w14:paraId="5637E1C2" w14:textId="13D1668C" w:rsidR="006B1B7B" w:rsidRPr="00A65125" w:rsidRDefault="006B1B7B" w:rsidP="00A65125">
      <w:pPr>
        <w:rPr>
          <w:sz w:val="20"/>
          <w:szCs w:val="20"/>
          <w:lang w:val="en-MY" w:eastAsia="en-US"/>
        </w:rPr>
      </w:pPr>
      <w:proofErr w:type="spellStart"/>
      <w:r w:rsidRPr="00A65125">
        <w:rPr>
          <w:sz w:val="20"/>
          <w:szCs w:val="20"/>
          <w:lang w:val="en-MY" w:eastAsia="en-US"/>
        </w:rPr>
        <w:t>Khairil</w:t>
      </w:r>
      <w:proofErr w:type="spellEnd"/>
      <w:r w:rsidRPr="00A65125">
        <w:rPr>
          <w:sz w:val="20"/>
          <w:szCs w:val="20"/>
          <w:lang w:val="en-MY" w:eastAsia="en-US"/>
        </w:rPr>
        <w:t xml:space="preserve"> Faizal </w:t>
      </w:r>
      <w:proofErr w:type="spellStart"/>
      <w:r w:rsidRPr="00A65125">
        <w:rPr>
          <w:sz w:val="20"/>
          <w:szCs w:val="20"/>
          <w:lang w:val="en-MY" w:eastAsia="en-US"/>
        </w:rPr>
        <w:t>Khairi</w:t>
      </w:r>
      <w:proofErr w:type="spellEnd"/>
    </w:p>
    <w:p w14:paraId="38DCBCCC" w14:textId="77777777" w:rsidR="006B1B7B" w:rsidRPr="00A65125" w:rsidRDefault="006B1B7B" w:rsidP="00A65125">
      <w:pPr>
        <w:rPr>
          <w:sz w:val="20"/>
          <w:szCs w:val="20"/>
          <w:lang w:val="en-MY" w:eastAsia="en-US"/>
        </w:rPr>
      </w:pPr>
      <w:r w:rsidRPr="00A65125">
        <w:rPr>
          <w:sz w:val="20"/>
          <w:szCs w:val="20"/>
          <w:lang w:val="en-MY" w:eastAsia="en-US"/>
        </w:rPr>
        <w:t xml:space="preserve">Faculty of Economics and </w:t>
      </w:r>
      <w:proofErr w:type="spellStart"/>
      <w:r w:rsidRPr="00A65125">
        <w:rPr>
          <w:sz w:val="20"/>
          <w:szCs w:val="20"/>
          <w:lang w:val="en-MY" w:eastAsia="en-US"/>
        </w:rPr>
        <w:t>Muamalat</w:t>
      </w:r>
      <w:proofErr w:type="spellEnd"/>
      <w:r w:rsidRPr="00A65125">
        <w:rPr>
          <w:sz w:val="20"/>
          <w:szCs w:val="20"/>
          <w:lang w:val="en-MY" w:eastAsia="en-US"/>
        </w:rPr>
        <w:t xml:space="preserve"> </w:t>
      </w:r>
    </w:p>
    <w:p w14:paraId="784D1B1D" w14:textId="77777777" w:rsidR="0081360F" w:rsidRPr="0081360F" w:rsidRDefault="0081360F" w:rsidP="0081360F">
      <w:pPr>
        <w:rPr>
          <w:sz w:val="20"/>
          <w:szCs w:val="20"/>
          <w:lang w:val="en-MY" w:eastAsia="en-US"/>
        </w:rPr>
      </w:pPr>
      <w:proofErr w:type="spellStart"/>
      <w:r w:rsidRPr="0081360F">
        <w:rPr>
          <w:sz w:val="20"/>
          <w:szCs w:val="20"/>
          <w:lang w:val="en-MY" w:eastAsia="en-US"/>
        </w:rPr>
        <w:t>Universiti</w:t>
      </w:r>
      <w:proofErr w:type="spellEnd"/>
      <w:r w:rsidRPr="0081360F">
        <w:rPr>
          <w:sz w:val="20"/>
          <w:szCs w:val="20"/>
          <w:lang w:val="en-MY" w:eastAsia="en-US"/>
        </w:rPr>
        <w:t xml:space="preserve"> </w:t>
      </w:r>
      <w:proofErr w:type="spellStart"/>
      <w:r w:rsidRPr="0081360F">
        <w:rPr>
          <w:sz w:val="20"/>
          <w:szCs w:val="20"/>
          <w:lang w:val="en-MY" w:eastAsia="en-US"/>
        </w:rPr>
        <w:t>Sains</w:t>
      </w:r>
      <w:proofErr w:type="spellEnd"/>
      <w:r w:rsidRPr="0081360F">
        <w:rPr>
          <w:sz w:val="20"/>
          <w:szCs w:val="20"/>
          <w:lang w:val="en-MY" w:eastAsia="en-US"/>
        </w:rPr>
        <w:t xml:space="preserve"> Islam Malaysia</w:t>
      </w:r>
    </w:p>
    <w:p w14:paraId="41161D9F" w14:textId="77777777" w:rsidR="0081360F" w:rsidRPr="0081360F" w:rsidRDefault="0081360F" w:rsidP="0081360F">
      <w:pPr>
        <w:rPr>
          <w:sz w:val="20"/>
          <w:szCs w:val="20"/>
          <w:lang w:val="en-MY" w:eastAsia="en-US"/>
        </w:rPr>
      </w:pPr>
      <w:r w:rsidRPr="0081360F">
        <w:rPr>
          <w:sz w:val="20"/>
          <w:szCs w:val="20"/>
          <w:lang w:val="en-MY" w:eastAsia="en-US"/>
        </w:rPr>
        <w:t xml:space="preserve">Bandar </w:t>
      </w:r>
      <w:proofErr w:type="spellStart"/>
      <w:r w:rsidRPr="0081360F">
        <w:rPr>
          <w:sz w:val="20"/>
          <w:szCs w:val="20"/>
          <w:lang w:val="en-MY" w:eastAsia="en-US"/>
        </w:rPr>
        <w:t>Baru</w:t>
      </w:r>
      <w:proofErr w:type="spellEnd"/>
      <w:r w:rsidRPr="0081360F">
        <w:rPr>
          <w:sz w:val="20"/>
          <w:szCs w:val="20"/>
          <w:lang w:val="en-MY" w:eastAsia="en-US"/>
        </w:rPr>
        <w:t xml:space="preserve"> Nilai</w:t>
      </w:r>
    </w:p>
    <w:p w14:paraId="4C08D60B" w14:textId="73912E87" w:rsidR="006B1B7B" w:rsidRPr="00A65125" w:rsidRDefault="0081360F" w:rsidP="0081360F">
      <w:pPr>
        <w:rPr>
          <w:sz w:val="20"/>
          <w:szCs w:val="20"/>
          <w:lang w:val="en-MY" w:eastAsia="en-US"/>
        </w:rPr>
      </w:pPr>
      <w:r w:rsidRPr="0081360F">
        <w:rPr>
          <w:sz w:val="20"/>
          <w:szCs w:val="20"/>
          <w:lang w:val="en-MY" w:eastAsia="en-US"/>
        </w:rPr>
        <w:t xml:space="preserve">71800, Nilai, Negeri Sembilan, </w:t>
      </w:r>
      <w:r>
        <w:rPr>
          <w:sz w:val="20"/>
          <w:szCs w:val="20"/>
          <w:lang w:val="en-MY" w:eastAsia="en-US"/>
        </w:rPr>
        <w:t>MALAYSIA</w:t>
      </w:r>
      <w:r w:rsidR="006B1B7B" w:rsidRPr="00A65125">
        <w:rPr>
          <w:sz w:val="20"/>
          <w:szCs w:val="20"/>
          <w:lang w:val="en-MY" w:eastAsia="en-US"/>
        </w:rPr>
        <w:t xml:space="preserve"> </w:t>
      </w:r>
    </w:p>
    <w:p w14:paraId="0A0846E8" w14:textId="77777777" w:rsidR="006B1B7B" w:rsidRPr="00A65125" w:rsidRDefault="006B1B7B" w:rsidP="00A65125">
      <w:pPr>
        <w:rPr>
          <w:sz w:val="20"/>
          <w:szCs w:val="20"/>
          <w:lang w:val="en-MY" w:eastAsia="en-US"/>
        </w:rPr>
      </w:pPr>
      <w:r w:rsidRPr="00A65125">
        <w:rPr>
          <w:sz w:val="20"/>
          <w:szCs w:val="20"/>
          <w:lang w:val="en-MY" w:eastAsia="en-US"/>
        </w:rPr>
        <w:t xml:space="preserve">E-mail: </w:t>
      </w:r>
      <w:hyperlink r:id="rId17" w:history="1">
        <w:r w:rsidRPr="00A65125">
          <w:rPr>
            <w:rStyle w:val="Hyperlink"/>
            <w:sz w:val="20"/>
            <w:szCs w:val="20"/>
            <w:lang w:val="en-MY" w:eastAsia="en-US"/>
          </w:rPr>
          <w:t>khairil@usim.edu.my</w:t>
        </w:r>
      </w:hyperlink>
      <w:r w:rsidRPr="00A65125">
        <w:rPr>
          <w:sz w:val="20"/>
          <w:szCs w:val="20"/>
          <w:lang w:val="en-MY" w:eastAsia="en-US"/>
        </w:rPr>
        <w:t xml:space="preserve"> </w:t>
      </w:r>
    </w:p>
    <w:p w14:paraId="0BDD6FEB" w14:textId="77777777" w:rsidR="00695253" w:rsidRPr="00A65125" w:rsidRDefault="00695253" w:rsidP="00A65125">
      <w:pPr>
        <w:pStyle w:val="Reference"/>
        <w:spacing w:after="0"/>
        <w:ind w:left="0" w:firstLine="0"/>
        <w:rPr>
          <w:sz w:val="20"/>
          <w:szCs w:val="20"/>
        </w:rPr>
      </w:pPr>
    </w:p>
    <w:p w14:paraId="3BE624AB" w14:textId="6EF17BA5" w:rsidR="006B1B7B" w:rsidRPr="00A65125" w:rsidRDefault="006B1B7B" w:rsidP="00A65125">
      <w:pPr>
        <w:pStyle w:val="Reference"/>
        <w:spacing w:after="0"/>
        <w:rPr>
          <w:sz w:val="20"/>
          <w:szCs w:val="20"/>
        </w:rPr>
      </w:pPr>
      <w:proofErr w:type="spellStart"/>
      <w:r w:rsidRPr="00A65125">
        <w:rPr>
          <w:sz w:val="20"/>
          <w:szCs w:val="20"/>
        </w:rPr>
        <w:t>Naharudin</w:t>
      </w:r>
      <w:proofErr w:type="spellEnd"/>
      <w:r w:rsidRPr="00A65125">
        <w:rPr>
          <w:sz w:val="20"/>
          <w:szCs w:val="20"/>
        </w:rPr>
        <w:t xml:space="preserve"> bin </w:t>
      </w:r>
      <w:proofErr w:type="spellStart"/>
      <w:r w:rsidRPr="00A65125">
        <w:rPr>
          <w:sz w:val="20"/>
          <w:szCs w:val="20"/>
        </w:rPr>
        <w:t>Saadan</w:t>
      </w:r>
      <w:proofErr w:type="spellEnd"/>
      <w:r w:rsidR="00746558">
        <w:rPr>
          <w:sz w:val="20"/>
          <w:szCs w:val="20"/>
        </w:rPr>
        <w:t>*</w:t>
      </w:r>
    </w:p>
    <w:p w14:paraId="62035FB5" w14:textId="084BD18B" w:rsidR="006B1B7B" w:rsidRPr="00A65125" w:rsidRDefault="006B1B7B" w:rsidP="00A65125">
      <w:pPr>
        <w:pStyle w:val="Reference"/>
        <w:spacing w:after="0"/>
        <w:rPr>
          <w:sz w:val="20"/>
          <w:szCs w:val="20"/>
        </w:rPr>
      </w:pPr>
      <w:r w:rsidRPr="00A65125">
        <w:rPr>
          <w:sz w:val="20"/>
          <w:szCs w:val="20"/>
        </w:rPr>
        <w:t>Accountant General Department of Malaysia</w:t>
      </w:r>
    </w:p>
    <w:p w14:paraId="72F06E26" w14:textId="4F586D56" w:rsidR="006B1B7B" w:rsidRPr="00A65125" w:rsidRDefault="006B1B7B" w:rsidP="00A65125">
      <w:pPr>
        <w:pStyle w:val="Reference"/>
        <w:spacing w:after="0"/>
        <w:rPr>
          <w:sz w:val="20"/>
          <w:szCs w:val="20"/>
        </w:rPr>
      </w:pPr>
      <w:proofErr w:type="spellStart"/>
      <w:r w:rsidRPr="00A65125">
        <w:rPr>
          <w:sz w:val="20"/>
          <w:szCs w:val="20"/>
        </w:rPr>
        <w:t>Presint</w:t>
      </w:r>
      <w:proofErr w:type="spellEnd"/>
      <w:r w:rsidRPr="00A65125">
        <w:rPr>
          <w:sz w:val="20"/>
          <w:szCs w:val="20"/>
        </w:rPr>
        <w:t xml:space="preserve"> 2, </w:t>
      </w:r>
      <w:proofErr w:type="spellStart"/>
      <w:r w:rsidRPr="00A65125">
        <w:rPr>
          <w:sz w:val="20"/>
          <w:szCs w:val="20"/>
        </w:rPr>
        <w:t>Kompleks</w:t>
      </w:r>
      <w:proofErr w:type="spellEnd"/>
      <w:r w:rsidRPr="00A65125">
        <w:rPr>
          <w:sz w:val="20"/>
          <w:szCs w:val="20"/>
        </w:rPr>
        <w:t xml:space="preserve"> Kementerian </w:t>
      </w:r>
      <w:proofErr w:type="spellStart"/>
      <w:r w:rsidRPr="00A65125">
        <w:rPr>
          <w:sz w:val="20"/>
          <w:szCs w:val="20"/>
        </w:rPr>
        <w:t>Kewangan</w:t>
      </w:r>
      <w:proofErr w:type="spellEnd"/>
    </w:p>
    <w:p w14:paraId="2E2A4C1F" w14:textId="7926F993" w:rsidR="006B1B7B" w:rsidRPr="00A65125" w:rsidRDefault="006B1B7B" w:rsidP="00A65125">
      <w:pPr>
        <w:pStyle w:val="Reference"/>
        <w:spacing w:after="0"/>
        <w:rPr>
          <w:sz w:val="20"/>
          <w:szCs w:val="20"/>
        </w:rPr>
      </w:pPr>
      <w:r w:rsidRPr="00A65125">
        <w:rPr>
          <w:sz w:val="20"/>
          <w:szCs w:val="20"/>
        </w:rPr>
        <w:t>62594 WP Putrajaya, MALAYSIA</w:t>
      </w:r>
    </w:p>
    <w:p w14:paraId="5536A4FD" w14:textId="5A1155D1" w:rsidR="006B1B7B" w:rsidRPr="00A65125" w:rsidRDefault="006B1B7B" w:rsidP="00A65125">
      <w:pPr>
        <w:pStyle w:val="Reference"/>
        <w:spacing w:after="0"/>
        <w:rPr>
          <w:sz w:val="20"/>
          <w:szCs w:val="20"/>
        </w:rPr>
      </w:pPr>
      <w:r w:rsidRPr="00A65125">
        <w:rPr>
          <w:sz w:val="20"/>
          <w:szCs w:val="20"/>
        </w:rPr>
        <w:t xml:space="preserve">E-mail: </w:t>
      </w:r>
      <w:hyperlink r:id="rId18" w:history="1">
        <w:r w:rsidRPr="00A65125">
          <w:rPr>
            <w:rStyle w:val="Hyperlink"/>
            <w:sz w:val="20"/>
            <w:szCs w:val="20"/>
          </w:rPr>
          <w:t>nahar.saadan@anm.gov.my</w:t>
        </w:r>
      </w:hyperlink>
      <w:r w:rsidRPr="00A65125">
        <w:rPr>
          <w:sz w:val="20"/>
          <w:szCs w:val="20"/>
        </w:rPr>
        <w:t xml:space="preserve"> </w:t>
      </w:r>
    </w:p>
    <w:p w14:paraId="6CF7277F" w14:textId="77777777" w:rsidR="009A4BE0" w:rsidRPr="00A65125" w:rsidRDefault="009A4BE0" w:rsidP="00A65125">
      <w:pPr>
        <w:rPr>
          <w:sz w:val="20"/>
          <w:szCs w:val="20"/>
          <w:lang w:val="en-MY" w:eastAsia="en-US"/>
        </w:rPr>
      </w:pPr>
    </w:p>
    <w:p w14:paraId="7AA1E783" w14:textId="5772DF8E" w:rsidR="00CA216C" w:rsidRPr="00A65125" w:rsidRDefault="006B1B7B" w:rsidP="00A65125">
      <w:pPr>
        <w:rPr>
          <w:sz w:val="20"/>
          <w:szCs w:val="20"/>
          <w:lang w:val="en-MY" w:eastAsia="en-US"/>
        </w:rPr>
      </w:pPr>
      <w:r w:rsidRPr="00A65125">
        <w:rPr>
          <w:sz w:val="20"/>
          <w:szCs w:val="20"/>
          <w:lang w:val="en-MY" w:eastAsia="en-US"/>
        </w:rPr>
        <w:t>(*) Corresponding Autho</w:t>
      </w:r>
      <w:r w:rsidR="00CA216C" w:rsidRPr="00A65125">
        <w:rPr>
          <w:sz w:val="20"/>
          <w:szCs w:val="20"/>
          <w:lang w:val="en-MY" w:eastAsia="en-US"/>
        </w:rPr>
        <w:t xml:space="preserve">r </w:t>
      </w:r>
    </w:p>
    <w:p w14:paraId="74731D7F" w14:textId="77777777" w:rsidR="00CA216C" w:rsidRPr="00A65125" w:rsidRDefault="00CA216C" w:rsidP="00A65125">
      <w:pPr>
        <w:rPr>
          <w:sz w:val="20"/>
          <w:szCs w:val="20"/>
          <w:lang w:val="en-MY" w:eastAsia="en-US"/>
        </w:rPr>
      </w:pPr>
    </w:p>
    <w:p w14:paraId="396D5571" w14:textId="4410C9D2" w:rsidR="00CA216C" w:rsidRPr="00A65125" w:rsidRDefault="00CA216C" w:rsidP="00A65125">
      <w:pPr>
        <w:rPr>
          <w:sz w:val="20"/>
          <w:szCs w:val="20"/>
          <w:lang w:val="en-MY" w:eastAsia="en-US"/>
        </w:rPr>
        <w:sectPr w:rsidR="00CA216C" w:rsidRPr="00A65125" w:rsidSect="003016BA">
          <w:footerReference w:type="default" r:id="rId19"/>
          <w:headerReference w:type="first" r:id="rId20"/>
          <w:pgSz w:w="11906" w:h="16838"/>
          <w:pgMar w:top="1440" w:right="1440" w:bottom="1440" w:left="1440" w:header="709" w:footer="709" w:gutter="0"/>
          <w:cols w:space="720"/>
        </w:sectPr>
      </w:pPr>
    </w:p>
    <w:p w14:paraId="5CEFC400" w14:textId="709132A8" w:rsidR="002C2DBB" w:rsidRPr="00A65125" w:rsidRDefault="006B0078" w:rsidP="00A65125">
      <w:pPr>
        <w:pStyle w:val="Heading1"/>
        <w:ind w:right="-926"/>
        <w:jc w:val="right"/>
        <w:rPr>
          <w:rFonts w:cs="Times New Roman"/>
          <w:sz w:val="20"/>
          <w:szCs w:val="20"/>
        </w:rPr>
      </w:pPr>
      <w:r w:rsidRPr="00A65125">
        <w:rPr>
          <w:rFonts w:cs="Times New Roman"/>
          <w:sz w:val="20"/>
          <w:szCs w:val="20"/>
        </w:rPr>
        <w:lastRenderedPageBreak/>
        <w:t>APPENDIX 1</w:t>
      </w:r>
    </w:p>
    <w:p w14:paraId="721AFC3D" w14:textId="00313670" w:rsidR="00AE4042" w:rsidRPr="00A7159A" w:rsidRDefault="00AE4042" w:rsidP="00A65125">
      <w:pPr>
        <w:pStyle w:val="NoSpacing"/>
        <w:jc w:val="center"/>
        <w:rPr>
          <w:sz w:val="16"/>
          <w:szCs w:val="16"/>
        </w:rPr>
      </w:pPr>
      <w:r w:rsidRPr="00A7159A">
        <w:rPr>
          <w:sz w:val="16"/>
          <w:szCs w:val="16"/>
        </w:rPr>
        <w:t xml:space="preserve">TABLE </w:t>
      </w:r>
      <w:r w:rsidR="00B45B8B" w:rsidRPr="00A7159A">
        <w:rPr>
          <w:sz w:val="16"/>
          <w:szCs w:val="16"/>
        </w:rPr>
        <w:fldChar w:fldCharType="begin"/>
      </w:r>
      <w:r w:rsidR="00B45B8B" w:rsidRPr="00A7159A">
        <w:rPr>
          <w:sz w:val="16"/>
          <w:szCs w:val="16"/>
        </w:rPr>
        <w:instrText xml:space="preserve"> SEQ Table \* ARABIC </w:instrText>
      </w:r>
      <w:r w:rsidR="00B45B8B" w:rsidRPr="00A7159A">
        <w:rPr>
          <w:sz w:val="16"/>
          <w:szCs w:val="16"/>
        </w:rPr>
        <w:fldChar w:fldCharType="separate"/>
      </w:r>
      <w:r w:rsidR="003B740A" w:rsidRPr="00A7159A">
        <w:rPr>
          <w:noProof/>
          <w:sz w:val="16"/>
          <w:szCs w:val="16"/>
        </w:rPr>
        <w:t>3</w:t>
      </w:r>
      <w:r w:rsidR="00B45B8B" w:rsidRPr="00A7159A">
        <w:rPr>
          <w:noProof/>
          <w:sz w:val="16"/>
          <w:szCs w:val="16"/>
        </w:rPr>
        <w:fldChar w:fldCharType="end"/>
      </w:r>
      <w:r w:rsidR="00A7159A">
        <w:rPr>
          <w:sz w:val="16"/>
          <w:szCs w:val="16"/>
        </w:rPr>
        <w:t>.</w:t>
      </w:r>
      <w:r w:rsidRPr="00A7159A">
        <w:rPr>
          <w:sz w:val="16"/>
          <w:szCs w:val="16"/>
        </w:rPr>
        <w:t xml:space="preserve"> Thematic </w:t>
      </w:r>
      <w:r w:rsidR="00513D3D" w:rsidRPr="00A7159A">
        <w:rPr>
          <w:sz w:val="16"/>
          <w:szCs w:val="16"/>
        </w:rPr>
        <w:t xml:space="preserve">analysis matrix </w:t>
      </w:r>
      <w:r w:rsidRPr="00A7159A">
        <w:rPr>
          <w:sz w:val="16"/>
          <w:szCs w:val="16"/>
        </w:rPr>
        <w:t>(TAM)</w:t>
      </w:r>
    </w:p>
    <w:tbl>
      <w:tblPr>
        <w:tblStyle w:val="TableGrid"/>
        <w:tblW w:w="15451" w:type="dxa"/>
        <w:tblInd w:w="-572" w:type="dxa"/>
        <w:tblLook w:val="04A0" w:firstRow="1" w:lastRow="0" w:firstColumn="1" w:lastColumn="0" w:noHBand="0" w:noVBand="1"/>
      </w:tblPr>
      <w:tblGrid>
        <w:gridCol w:w="15451"/>
      </w:tblGrid>
      <w:tr w:rsidR="00AE4042" w:rsidRPr="00A7159A" w14:paraId="372CE5E5" w14:textId="77777777" w:rsidTr="00B45B8B">
        <w:trPr>
          <w:trHeight w:val="723"/>
        </w:trPr>
        <w:tc>
          <w:tcPr>
            <w:tcW w:w="154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4BA6DA" w14:textId="77777777" w:rsidR="00AE4042" w:rsidRPr="00A7159A" w:rsidRDefault="00AE4042" w:rsidP="00A65125">
            <w:pPr>
              <w:pStyle w:val="NoSpacing"/>
              <w:numPr>
                <w:ilvl w:val="0"/>
                <w:numId w:val="4"/>
              </w:numPr>
              <w:ind w:left="313" w:hanging="313"/>
              <w:rPr>
                <w:rFonts w:ascii="Times New Roman" w:hAnsi="Times New Roman" w:cs="Times New Roman"/>
                <w:bCs/>
                <w:sz w:val="16"/>
                <w:szCs w:val="16"/>
              </w:rPr>
            </w:pPr>
            <w:r w:rsidRPr="00A7159A">
              <w:rPr>
                <w:rFonts w:ascii="Times New Roman" w:hAnsi="Times New Roman" w:cs="Times New Roman"/>
                <w:bCs/>
                <w:sz w:val="16"/>
                <w:szCs w:val="16"/>
              </w:rPr>
              <w:t xml:space="preserve">Main RQ </w:t>
            </w:r>
          </w:p>
          <w:p w14:paraId="414CA1E2" w14:textId="373364AA" w:rsidR="00AE4042" w:rsidRPr="00A7159A" w:rsidRDefault="00AE4042" w:rsidP="00A65125">
            <w:pPr>
              <w:pStyle w:val="NoSpacing"/>
              <w:ind w:left="313"/>
              <w:rPr>
                <w:rFonts w:ascii="Times New Roman" w:hAnsi="Times New Roman" w:cs="Times New Roman"/>
                <w:sz w:val="16"/>
                <w:szCs w:val="16"/>
              </w:rPr>
            </w:pPr>
            <w:r w:rsidRPr="00A7159A">
              <w:rPr>
                <w:rFonts w:ascii="Times New Roman" w:hAnsi="Times New Roman" w:cs="Times New Roman"/>
                <w:sz w:val="16"/>
                <w:szCs w:val="16"/>
              </w:rPr>
              <w:t xml:space="preserve">What are the challenges on </w:t>
            </w:r>
            <w:r w:rsidR="00470DA6" w:rsidRPr="00A7159A">
              <w:rPr>
                <w:rFonts w:ascii="Times New Roman" w:hAnsi="Times New Roman" w:cs="Times New Roman"/>
                <w:sz w:val="16"/>
                <w:szCs w:val="16"/>
              </w:rPr>
              <w:t>IOC workflows</w:t>
            </w:r>
            <w:r w:rsidRPr="00A7159A">
              <w:rPr>
                <w:rFonts w:ascii="Times New Roman" w:hAnsi="Times New Roman" w:cs="Times New Roman"/>
                <w:sz w:val="16"/>
                <w:szCs w:val="16"/>
              </w:rPr>
              <w:t xml:space="preserve"> in e-payment process at TLD?</w:t>
            </w:r>
          </w:p>
          <w:p w14:paraId="33EB26C8" w14:textId="77777777" w:rsidR="00AE4042" w:rsidRPr="00A7159A" w:rsidRDefault="00AE4042" w:rsidP="00A65125">
            <w:pPr>
              <w:pStyle w:val="NoSpacing"/>
              <w:ind w:left="313"/>
              <w:rPr>
                <w:rFonts w:ascii="Times New Roman" w:hAnsi="Times New Roman" w:cs="Times New Roman"/>
                <w:sz w:val="16"/>
                <w:szCs w:val="16"/>
              </w:rPr>
            </w:pPr>
          </w:p>
          <w:p w14:paraId="5F3B8BAA" w14:textId="77777777" w:rsidR="00AE4042" w:rsidRPr="00A7159A" w:rsidRDefault="00AE4042" w:rsidP="00A65125">
            <w:pPr>
              <w:pStyle w:val="NoSpacing"/>
              <w:numPr>
                <w:ilvl w:val="0"/>
                <w:numId w:val="4"/>
              </w:numPr>
              <w:ind w:left="313" w:hanging="313"/>
              <w:rPr>
                <w:rFonts w:ascii="Times New Roman" w:hAnsi="Times New Roman" w:cs="Times New Roman"/>
                <w:bCs/>
                <w:sz w:val="16"/>
                <w:szCs w:val="16"/>
              </w:rPr>
            </w:pPr>
            <w:r w:rsidRPr="00A7159A">
              <w:rPr>
                <w:rFonts w:ascii="Times New Roman" w:hAnsi="Times New Roman" w:cs="Times New Roman"/>
                <w:bCs/>
                <w:sz w:val="16"/>
                <w:szCs w:val="16"/>
              </w:rPr>
              <w:t>Aim of research</w:t>
            </w:r>
          </w:p>
          <w:p w14:paraId="0A69DDC4" w14:textId="0A47E483" w:rsidR="00AE4042" w:rsidRPr="00A7159A" w:rsidRDefault="00AE4042" w:rsidP="00A65125">
            <w:pPr>
              <w:pStyle w:val="NoSpacing"/>
              <w:ind w:left="313"/>
              <w:rPr>
                <w:rFonts w:ascii="Times New Roman" w:hAnsi="Times New Roman" w:cs="Times New Roman"/>
                <w:sz w:val="16"/>
                <w:szCs w:val="16"/>
              </w:rPr>
            </w:pPr>
            <w:r w:rsidRPr="00A7159A">
              <w:rPr>
                <w:rFonts w:ascii="Times New Roman" w:hAnsi="Times New Roman" w:cs="Times New Roman"/>
                <w:sz w:val="16"/>
                <w:szCs w:val="16"/>
              </w:rPr>
              <w:t xml:space="preserve">To explore the challenges within the </w:t>
            </w:r>
            <w:r w:rsidR="00470DA6" w:rsidRPr="00A7159A">
              <w:rPr>
                <w:rFonts w:ascii="Times New Roman" w:hAnsi="Times New Roman" w:cs="Times New Roman"/>
                <w:sz w:val="16"/>
                <w:szCs w:val="16"/>
              </w:rPr>
              <w:t>IOC workflows</w:t>
            </w:r>
            <w:r w:rsidRPr="00A7159A">
              <w:rPr>
                <w:rFonts w:ascii="Times New Roman" w:hAnsi="Times New Roman" w:cs="Times New Roman"/>
                <w:sz w:val="16"/>
                <w:szCs w:val="16"/>
              </w:rPr>
              <w:t xml:space="preserve"> in the e-payment process at TLD</w:t>
            </w:r>
          </w:p>
          <w:p w14:paraId="1A6D55FD" w14:textId="77777777" w:rsidR="00AE4042" w:rsidRPr="00A7159A" w:rsidRDefault="00AE4042" w:rsidP="00A65125">
            <w:pPr>
              <w:pStyle w:val="NoSpacing"/>
              <w:ind w:left="313"/>
              <w:rPr>
                <w:rFonts w:ascii="Times New Roman" w:hAnsi="Times New Roman" w:cs="Times New Roman"/>
                <w:bCs/>
                <w:sz w:val="16"/>
                <w:szCs w:val="16"/>
              </w:rPr>
            </w:pPr>
          </w:p>
          <w:p w14:paraId="6F887DB5" w14:textId="77777777" w:rsidR="00AE4042" w:rsidRPr="00A7159A" w:rsidRDefault="00AE4042" w:rsidP="00A65125">
            <w:pPr>
              <w:pStyle w:val="NoSpacing"/>
              <w:numPr>
                <w:ilvl w:val="0"/>
                <w:numId w:val="4"/>
              </w:numPr>
              <w:ind w:left="313" w:hanging="313"/>
              <w:rPr>
                <w:rFonts w:ascii="Times New Roman" w:hAnsi="Times New Roman" w:cs="Times New Roman"/>
                <w:bCs/>
                <w:sz w:val="16"/>
                <w:szCs w:val="16"/>
              </w:rPr>
            </w:pPr>
            <w:r w:rsidRPr="00A7159A">
              <w:rPr>
                <w:rFonts w:ascii="Times New Roman" w:hAnsi="Times New Roman" w:cs="Times New Roman"/>
                <w:bCs/>
                <w:sz w:val="16"/>
                <w:szCs w:val="16"/>
              </w:rPr>
              <w:t>Research inquiry</w:t>
            </w:r>
          </w:p>
          <w:p w14:paraId="624B8ECD" w14:textId="77777777" w:rsidR="00AE4042" w:rsidRPr="00A7159A" w:rsidRDefault="00AE4042" w:rsidP="00A65125">
            <w:pPr>
              <w:pStyle w:val="NoSpacing"/>
              <w:ind w:left="313"/>
              <w:rPr>
                <w:rFonts w:ascii="Times New Roman" w:hAnsi="Times New Roman" w:cs="Times New Roman"/>
                <w:sz w:val="16"/>
                <w:szCs w:val="16"/>
              </w:rPr>
            </w:pPr>
            <w:r w:rsidRPr="00A7159A">
              <w:rPr>
                <w:rFonts w:ascii="Times New Roman" w:hAnsi="Times New Roman" w:cs="Times New Roman"/>
                <w:sz w:val="16"/>
                <w:szCs w:val="16"/>
              </w:rPr>
              <w:t>Case study</w:t>
            </w:r>
          </w:p>
          <w:p w14:paraId="07B226AB" w14:textId="77777777" w:rsidR="00AE4042" w:rsidRPr="00A7159A" w:rsidRDefault="00AE4042" w:rsidP="00A65125">
            <w:pPr>
              <w:pStyle w:val="NoSpacing"/>
              <w:ind w:left="313"/>
              <w:rPr>
                <w:rFonts w:ascii="Times New Roman" w:hAnsi="Times New Roman" w:cs="Times New Roman"/>
                <w:sz w:val="16"/>
                <w:szCs w:val="16"/>
              </w:rPr>
            </w:pPr>
          </w:p>
          <w:p w14:paraId="58821994" w14:textId="77777777" w:rsidR="00AE4042" w:rsidRPr="00A7159A" w:rsidRDefault="00AE4042" w:rsidP="00A65125">
            <w:pPr>
              <w:pStyle w:val="NoSpacing"/>
              <w:numPr>
                <w:ilvl w:val="0"/>
                <w:numId w:val="4"/>
              </w:numPr>
              <w:ind w:left="313" w:hanging="313"/>
              <w:rPr>
                <w:rFonts w:ascii="Times New Roman" w:hAnsi="Times New Roman" w:cs="Times New Roman"/>
                <w:bCs/>
                <w:sz w:val="16"/>
                <w:szCs w:val="16"/>
              </w:rPr>
            </w:pPr>
            <w:r w:rsidRPr="00A7159A">
              <w:rPr>
                <w:rFonts w:ascii="Times New Roman" w:hAnsi="Times New Roman" w:cs="Times New Roman"/>
                <w:bCs/>
                <w:sz w:val="16"/>
                <w:szCs w:val="16"/>
              </w:rPr>
              <w:t>Respondent</w:t>
            </w:r>
          </w:p>
          <w:p w14:paraId="121C2A18" w14:textId="77777777" w:rsidR="00AE4042" w:rsidRPr="00A7159A" w:rsidRDefault="00AE4042" w:rsidP="00A65125">
            <w:pPr>
              <w:pStyle w:val="NoSpacing"/>
              <w:ind w:firstLine="313"/>
              <w:rPr>
                <w:rFonts w:ascii="Times New Roman" w:hAnsi="Times New Roman" w:cs="Times New Roman"/>
                <w:sz w:val="16"/>
                <w:szCs w:val="16"/>
              </w:rPr>
            </w:pPr>
            <w:r w:rsidRPr="00A7159A">
              <w:rPr>
                <w:rFonts w:ascii="Times New Roman" w:hAnsi="Times New Roman" w:cs="Times New Roman"/>
                <w:sz w:val="16"/>
                <w:szCs w:val="16"/>
              </w:rPr>
              <w:t xml:space="preserve">TLD officers who involves in daily routine work in e-payment process </w:t>
            </w:r>
          </w:p>
          <w:p w14:paraId="5D87A0B3" w14:textId="77777777" w:rsidR="00AE4042" w:rsidRPr="00A7159A" w:rsidRDefault="00AE4042" w:rsidP="00A65125">
            <w:pPr>
              <w:pStyle w:val="NoSpacing"/>
              <w:ind w:firstLine="313"/>
              <w:rPr>
                <w:rFonts w:ascii="Times New Roman" w:hAnsi="Times New Roman" w:cs="Times New Roman"/>
                <w:sz w:val="16"/>
                <w:szCs w:val="16"/>
              </w:rPr>
            </w:pPr>
          </w:p>
        </w:tc>
      </w:tr>
    </w:tbl>
    <w:p w14:paraId="507C4720" w14:textId="77777777" w:rsidR="00AE4042" w:rsidRPr="00A7159A" w:rsidRDefault="00AE4042" w:rsidP="00A65125">
      <w:pPr>
        <w:pStyle w:val="NoSpacing"/>
        <w:rPr>
          <w:sz w:val="16"/>
          <w:szCs w:val="16"/>
        </w:rPr>
      </w:pPr>
    </w:p>
    <w:tbl>
      <w:tblPr>
        <w:tblW w:w="15451" w:type="dxa"/>
        <w:tblInd w:w="-572" w:type="dxa"/>
        <w:tblLook w:val="04A0" w:firstRow="1" w:lastRow="0" w:firstColumn="1" w:lastColumn="0" w:noHBand="0" w:noVBand="1"/>
      </w:tblPr>
      <w:tblGrid>
        <w:gridCol w:w="1388"/>
        <w:gridCol w:w="1634"/>
        <w:gridCol w:w="1509"/>
        <w:gridCol w:w="3199"/>
        <w:gridCol w:w="3752"/>
        <w:gridCol w:w="2268"/>
        <w:gridCol w:w="1701"/>
      </w:tblGrid>
      <w:tr w:rsidR="00AE4042" w:rsidRPr="00A7159A" w14:paraId="0D8F83D4" w14:textId="77777777" w:rsidTr="00513D3D">
        <w:trPr>
          <w:trHeight w:val="280"/>
          <w:tblHeader/>
        </w:trPr>
        <w:tc>
          <w:tcPr>
            <w:tcW w:w="1388" w:type="dxa"/>
            <w:vMerge w:val="restart"/>
            <w:tcBorders>
              <w:top w:val="single" w:sz="4" w:space="0" w:color="auto"/>
              <w:bottom w:val="single" w:sz="4" w:space="0" w:color="auto"/>
            </w:tcBorders>
            <w:shd w:val="clear" w:color="auto" w:fill="auto"/>
            <w:hideMark/>
          </w:tcPr>
          <w:p w14:paraId="4AC174A9" w14:textId="77777777" w:rsidR="00AE4042" w:rsidRPr="00A7159A" w:rsidRDefault="00AE4042" w:rsidP="00A65125">
            <w:pPr>
              <w:jc w:val="center"/>
              <w:rPr>
                <w:bCs/>
                <w:color w:val="000000"/>
                <w:sz w:val="16"/>
                <w:szCs w:val="16"/>
              </w:rPr>
            </w:pPr>
            <w:r w:rsidRPr="00A7159A">
              <w:rPr>
                <w:bCs/>
                <w:color w:val="000000"/>
                <w:sz w:val="16"/>
                <w:szCs w:val="16"/>
                <w:lang w:val="ms-MY"/>
              </w:rPr>
              <w:t>Research Questions</w:t>
            </w:r>
          </w:p>
        </w:tc>
        <w:tc>
          <w:tcPr>
            <w:tcW w:w="1634" w:type="dxa"/>
            <w:vMerge w:val="restart"/>
            <w:tcBorders>
              <w:top w:val="single" w:sz="4" w:space="0" w:color="auto"/>
              <w:bottom w:val="single" w:sz="4" w:space="0" w:color="auto"/>
            </w:tcBorders>
            <w:shd w:val="clear" w:color="auto" w:fill="auto"/>
            <w:hideMark/>
          </w:tcPr>
          <w:p w14:paraId="7AA54FA8" w14:textId="77777777" w:rsidR="00AE4042" w:rsidRPr="00A7159A" w:rsidRDefault="00AE4042" w:rsidP="00A65125">
            <w:pPr>
              <w:jc w:val="center"/>
              <w:rPr>
                <w:bCs/>
                <w:color w:val="000000"/>
                <w:sz w:val="16"/>
                <w:szCs w:val="16"/>
              </w:rPr>
            </w:pPr>
            <w:r w:rsidRPr="00A7159A">
              <w:rPr>
                <w:bCs/>
                <w:color w:val="000000"/>
                <w:sz w:val="16"/>
                <w:szCs w:val="16"/>
                <w:lang w:val="ms-MY"/>
              </w:rPr>
              <w:t>Deductive codes / Theories</w:t>
            </w:r>
          </w:p>
        </w:tc>
        <w:tc>
          <w:tcPr>
            <w:tcW w:w="1509" w:type="dxa"/>
            <w:vMerge w:val="restart"/>
            <w:tcBorders>
              <w:top w:val="single" w:sz="4" w:space="0" w:color="auto"/>
              <w:bottom w:val="single" w:sz="4" w:space="0" w:color="auto"/>
            </w:tcBorders>
            <w:shd w:val="clear" w:color="auto" w:fill="auto"/>
            <w:hideMark/>
          </w:tcPr>
          <w:p w14:paraId="32EDDF30" w14:textId="77777777" w:rsidR="00AE4042" w:rsidRPr="00A7159A" w:rsidRDefault="00AE4042" w:rsidP="00A65125">
            <w:pPr>
              <w:jc w:val="center"/>
              <w:rPr>
                <w:bCs/>
                <w:color w:val="000000"/>
                <w:sz w:val="16"/>
                <w:szCs w:val="16"/>
              </w:rPr>
            </w:pPr>
            <w:r w:rsidRPr="00A7159A">
              <w:rPr>
                <w:bCs/>
                <w:color w:val="000000"/>
                <w:sz w:val="16"/>
                <w:szCs w:val="16"/>
                <w:lang w:val="ms-MY"/>
              </w:rPr>
              <w:t>Strategy of inquiry</w:t>
            </w:r>
          </w:p>
        </w:tc>
        <w:tc>
          <w:tcPr>
            <w:tcW w:w="9219" w:type="dxa"/>
            <w:gridSpan w:val="3"/>
            <w:tcBorders>
              <w:top w:val="single" w:sz="4" w:space="0" w:color="auto"/>
              <w:bottom w:val="single" w:sz="4" w:space="0" w:color="auto"/>
            </w:tcBorders>
            <w:shd w:val="clear" w:color="auto" w:fill="auto"/>
            <w:hideMark/>
          </w:tcPr>
          <w:p w14:paraId="6A97F15A" w14:textId="77777777" w:rsidR="00AE4042" w:rsidRPr="00A7159A" w:rsidRDefault="00AE4042" w:rsidP="00A65125">
            <w:pPr>
              <w:jc w:val="center"/>
              <w:rPr>
                <w:bCs/>
                <w:color w:val="000000"/>
                <w:sz w:val="16"/>
                <w:szCs w:val="16"/>
              </w:rPr>
            </w:pPr>
            <w:r w:rsidRPr="00A7159A">
              <w:rPr>
                <w:bCs/>
                <w:color w:val="000000"/>
                <w:sz w:val="16"/>
                <w:szCs w:val="16"/>
                <w:lang w:val="ms-MY"/>
              </w:rPr>
              <w:t>Inductive codes</w:t>
            </w:r>
          </w:p>
        </w:tc>
        <w:tc>
          <w:tcPr>
            <w:tcW w:w="1701" w:type="dxa"/>
            <w:vMerge w:val="restart"/>
            <w:tcBorders>
              <w:top w:val="single" w:sz="4" w:space="0" w:color="auto"/>
              <w:bottom w:val="single" w:sz="4" w:space="0" w:color="auto"/>
            </w:tcBorders>
            <w:shd w:val="clear" w:color="auto" w:fill="auto"/>
            <w:hideMark/>
          </w:tcPr>
          <w:p w14:paraId="6212FD62" w14:textId="77777777" w:rsidR="00AE4042" w:rsidRPr="00A7159A" w:rsidRDefault="00AE4042" w:rsidP="00A65125">
            <w:pPr>
              <w:jc w:val="center"/>
              <w:rPr>
                <w:bCs/>
                <w:color w:val="000000"/>
                <w:sz w:val="16"/>
                <w:szCs w:val="16"/>
              </w:rPr>
            </w:pPr>
            <w:r w:rsidRPr="00A7159A">
              <w:rPr>
                <w:bCs/>
                <w:color w:val="000000"/>
                <w:sz w:val="16"/>
                <w:szCs w:val="16"/>
                <w:lang w:val="ms-MY"/>
              </w:rPr>
              <w:t>Emerging themes</w:t>
            </w:r>
          </w:p>
        </w:tc>
      </w:tr>
      <w:tr w:rsidR="00AE4042" w:rsidRPr="00A7159A" w14:paraId="0A4A5697" w14:textId="77777777" w:rsidTr="00652822">
        <w:trPr>
          <w:trHeight w:val="280"/>
          <w:tblHeader/>
        </w:trPr>
        <w:tc>
          <w:tcPr>
            <w:tcW w:w="1388" w:type="dxa"/>
            <w:vMerge/>
            <w:tcBorders>
              <w:bottom w:val="single" w:sz="4" w:space="0" w:color="auto"/>
            </w:tcBorders>
            <w:vAlign w:val="center"/>
            <w:hideMark/>
          </w:tcPr>
          <w:p w14:paraId="55C10CB8" w14:textId="77777777" w:rsidR="00AE4042" w:rsidRPr="00A7159A" w:rsidRDefault="00AE4042" w:rsidP="00A65125">
            <w:pPr>
              <w:rPr>
                <w:bCs/>
                <w:color w:val="000000"/>
                <w:sz w:val="16"/>
                <w:szCs w:val="16"/>
              </w:rPr>
            </w:pPr>
          </w:p>
        </w:tc>
        <w:tc>
          <w:tcPr>
            <w:tcW w:w="1634" w:type="dxa"/>
            <w:vMerge/>
            <w:tcBorders>
              <w:bottom w:val="single" w:sz="4" w:space="0" w:color="auto"/>
            </w:tcBorders>
            <w:vAlign w:val="center"/>
            <w:hideMark/>
          </w:tcPr>
          <w:p w14:paraId="6A11CB3A" w14:textId="77777777" w:rsidR="00AE4042" w:rsidRPr="00A7159A" w:rsidRDefault="00AE4042" w:rsidP="00A65125">
            <w:pPr>
              <w:rPr>
                <w:bCs/>
                <w:color w:val="000000"/>
                <w:sz w:val="16"/>
                <w:szCs w:val="16"/>
              </w:rPr>
            </w:pPr>
          </w:p>
        </w:tc>
        <w:tc>
          <w:tcPr>
            <w:tcW w:w="1509" w:type="dxa"/>
            <w:vMerge/>
            <w:tcBorders>
              <w:bottom w:val="single" w:sz="4" w:space="0" w:color="auto"/>
            </w:tcBorders>
            <w:vAlign w:val="center"/>
            <w:hideMark/>
          </w:tcPr>
          <w:p w14:paraId="47AE6ED9" w14:textId="77777777" w:rsidR="00AE4042" w:rsidRPr="00A7159A" w:rsidRDefault="00AE4042" w:rsidP="00A65125">
            <w:pPr>
              <w:rPr>
                <w:bCs/>
                <w:color w:val="000000"/>
                <w:sz w:val="16"/>
                <w:szCs w:val="16"/>
              </w:rPr>
            </w:pPr>
          </w:p>
        </w:tc>
        <w:tc>
          <w:tcPr>
            <w:tcW w:w="3199" w:type="dxa"/>
            <w:tcBorders>
              <w:top w:val="single" w:sz="4" w:space="0" w:color="auto"/>
              <w:bottom w:val="single" w:sz="4" w:space="0" w:color="auto"/>
            </w:tcBorders>
            <w:shd w:val="clear" w:color="auto" w:fill="auto"/>
            <w:hideMark/>
          </w:tcPr>
          <w:p w14:paraId="09DF6190" w14:textId="77777777" w:rsidR="00AE4042" w:rsidRPr="00A7159A" w:rsidRDefault="00AE4042" w:rsidP="00A65125">
            <w:pPr>
              <w:jc w:val="center"/>
              <w:rPr>
                <w:bCs/>
                <w:color w:val="000000"/>
                <w:sz w:val="16"/>
                <w:szCs w:val="16"/>
              </w:rPr>
            </w:pPr>
            <w:r w:rsidRPr="00A7159A">
              <w:rPr>
                <w:bCs/>
                <w:color w:val="000000"/>
                <w:sz w:val="16"/>
                <w:szCs w:val="16"/>
                <w:lang w:val="ms-MY"/>
              </w:rPr>
              <w:t>Coding</w:t>
            </w:r>
          </w:p>
        </w:tc>
        <w:tc>
          <w:tcPr>
            <w:tcW w:w="3752" w:type="dxa"/>
            <w:tcBorders>
              <w:top w:val="single" w:sz="4" w:space="0" w:color="auto"/>
              <w:bottom w:val="single" w:sz="4" w:space="0" w:color="auto"/>
            </w:tcBorders>
            <w:shd w:val="clear" w:color="auto" w:fill="auto"/>
            <w:hideMark/>
          </w:tcPr>
          <w:p w14:paraId="59AE85E9" w14:textId="77777777" w:rsidR="00AE4042" w:rsidRPr="00A7159A" w:rsidRDefault="00AE4042" w:rsidP="00A65125">
            <w:pPr>
              <w:jc w:val="center"/>
              <w:rPr>
                <w:bCs/>
                <w:color w:val="000000"/>
                <w:sz w:val="16"/>
                <w:szCs w:val="16"/>
              </w:rPr>
            </w:pPr>
            <w:r w:rsidRPr="00A7159A">
              <w:rPr>
                <w:bCs/>
                <w:color w:val="000000"/>
                <w:sz w:val="16"/>
                <w:szCs w:val="16"/>
                <w:lang w:val="ms-MY"/>
              </w:rPr>
              <w:t>Category</w:t>
            </w:r>
          </w:p>
        </w:tc>
        <w:tc>
          <w:tcPr>
            <w:tcW w:w="2268" w:type="dxa"/>
            <w:tcBorders>
              <w:top w:val="single" w:sz="4" w:space="0" w:color="auto"/>
              <w:bottom w:val="single" w:sz="4" w:space="0" w:color="auto"/>
            </w:tcBorders>
            <w:shd w:val="clear" w:color="auto" w:fill="auto"/>
            <w:hideMark/>
          </w:tcPr>
          <w:p w14:paraId="1754291E" w14:textId="77777777" w:rsidR="00AE4042" w:rsidRPr="00A7159A" w:rsidRDefault="00AE4042" w:rsidP="00A65125">
            <w:pPr>
              <w:jc w:val="center"/>
              <w:rPr>
                <w:bCs/>
                <w:color w:val="000000"/>
                <w:sz w:val="16"/>
                <w:szCs w:val="16"/>
              </w:rPr>
            </w:pPr>
            <w:r w:rsidRPr="00A7159A">
              <w:rPr>
                <w:bCs/>
                <w:color w:val="000000"/>
                <w:sz w:val="16"/>
                <w:szCs w:val="16"/>
                <w:lang w:val="ms-MY"/>
              </w:rPr>
              <w:t>Theme</w:t>
            </w:r>
          </w:p>
        </w:tc>
        <w:tc>
          <w:tcPr>
            <w:tcW w:w="1701" w:type="dxa"/>
            <w:vMerge/>
            <w:tcBorders>
              <w:top w:val="single" w:sz="4" w:space="0" w:color="auto"/>
              <w:bottom w:val="single" w:sz="4" w:space="0" w:color="auto"/>
            </w:tcBorders>
            <w:vAlign w:val="center"/>
            <w:hideMark/>
          </w:tcPr>
          <w:p w14:paraId="12BA25D7" w14:textId="77777777" w:rsidR="00AE4042" w:rsidRPr="00A7159A" w:rsidRDefault="00AE4042" w:rsidP="00A65125">
            <w:pPr>
              <w:rPr>
                <w:bCs/>
                <w:color w:val="000000"/>
                <w:sz w:val="16"/>
                <w:szCs w:val="16"/>
              </w:rPr>
            </w:pPr>
          </w:p>
        </w:tc>
      </w:tr>
      <w:tr w:rsidR="00AE4042" w:rsidRPr="00A7159A" w14:paraId="66A02FEC" w14:textId="77777777" w:rsidTr="00652822">
        <w:trPr>
          <w:trHeight w:val="280"/>
        </w:trPr>
        <w:tc>
          <w:tcPr>
            <w:tcW w:w="1388" w:type="dxa"/>
            <w:tcBorders>
              <w:top w:val="single" w:sz="4" w:space="0" w:color="auto"/>
              <w:bottom w:val="single" w:sz="4" w:space="0" w:color="auto"/>
            </w:tcBorders>
          </w:tcPr>
          <w:p w14:paraId="60E89C25" w14:textId="0304706E" w:rsidR="00AE4042" w:rsidRPr="00A7159A" w:rsidRDefault="00AE4042" w:rsidP="00A65125">
            <w:pPr>
              <w:rPr>
                <w:color w:val="000000"/>
                <w:sz w:val="16"/>
                <w:szCs w:val="16"/>
              </w:rPr>
            </w:pPr>
            <w:r w:rsidRPr="00A7159A">
              <w:rPr>
                <w:color w:val="000000"/>
                <w:sz w:val="16"/>
                <w:szCs w:val="16"/>
              </w:rPr>
              <w:t xml:space="preserve">What are challenges on </w:t>
            </w:r>
            <w:r w:rsidR="00470DA6" w:rsidRPr="00A7159A">
              <w:rPr>
                <w:color w:val="000000"/>
                <w:sz w:val="16"/>
                <w:szCs w:val="16"/>
              </w:rPr>
              <w:t>IOC workflows</w:t>
            </w:r>
            <w:r w:rsidRPr="00A7159A">
              <w:rPr>
                <w:color w:val="000000"/>
                <w:sz w:val="16"/>
                <w:szCs w:val="16"/>
              </w:rPr>
              <w:t xml:space="preserve"> in e-payment process at TLD?</w:t>
            </w:r>
          </w:p>
        </w:tc>
        <w:tc>
          <w:tcPr>
            <w:tcW w:w="1634" w:type="dxa"/>
            <w:tcBorders>
              <w:top w:val="single" w:sz="4" w:space="0" w:color="auto"/>
              <w:bottom w:val="single" w:sz="4" w:space="0" w:color="auto"/>
            </w:tcBorders>
          </w:tcPr>
          <w:p w14:paraId="553BB8C6" w14:textId="77777777" w:rsidR="00AE4042" w:rsidRPr="00A7159A" w:rsidRDefault="0053297C" w:rsidP="00A65125">
            <w:pPr>
              <w:tabs>
                <w:tab w:val="left" w:pos="100"/>
              </w:tabs>
              <w:rPr>
                <w:color w:val="000000"/>
                <w:sz w:val="16"/>
                <w:szCs w:val="16"/>
              </w:rPr>
            </w:pPr>
            <w:r w:rsidRPr="00A7159A">
              <w:rPr>
                <w:color w:val="000000"/>
                <w:sz w:val="16"/>
                <w:szCs w:val="16"/>
              </w:rPr>
              <w:t>Collaboration</w:t>
            </w:r>
          </w:p>
          <w:p w14:paraId="14B295B0" w14:textId="77777777" w:rsidR="0053297C" w:rsidRPr="00A7159A" w:rsidRDefault="0053297C" w:rsidP="00A65125">
            <w:pPr>
              <w:tabs>
                <w:tab w:val="left" w:pos="100"/>
              </w:tabs>
              <w:rPr>
                <w:color w:val="000000"/>
                <w:sz w:val="16"/>
                <w:szCs w:val="16"/>
              </w:rPr>
            </w:pPr>
          </w:p>
          <w:p w14:paraId="63A162E8" w14:textId="77777777" w:rsidR="0053297C" w:rsidRPr="00A7159A" w:rsidRDefault="0053297C" w:rsidP="00A65125">
            <w:pPr>
              <w:tabs>
                <w:tab w:val="left" w:pos="100"/>
              </w:tabs>
              <w:rPr>
                <w:color w:val="000000"/>
                <w:sz w:val="16"/>
                <w:szCs w:val="16"/>
              </w:rPr>
            </w:pPr>
            <w:r w:rsidRPr="00A7159A">
              <w:rPr>
                <w:color w:val="000000"/>
                <w:sz w:val="16"/>
                <w:szCs w:val="16"/>
              </w:rPr>
              <w:t>Trust</w:t>
            </w:r>
          </w:p>
          <w:p w14:paraId="0BC79915" w14:textId="77777777" w:rsidR="0053297C" w:rsidRPr="00A7159A" w:rsidRDefault="0053297C" w:rsidP="00A65125">
            <w:pPr>
              <w:tabs>
                <w:tab w:val="left" w:pos="100"/>
              </w:tabs>
              <w:rPr>
                <w:color w:val="000000"/>
                <w:sz w:val="16"/>
                <w:szCs w:val="16"/>
              </w:rPr>
            </w:pPr>
          </w:p>
          <w:p w14:paraId="2567305A" w14:textId="77777777" w:rsidR="0053297C" w:rsidRPr="00A7159A" w:rsidRDefault="0053297C" w:rsidP="00A65125">
            <w:pPr>
              <w:tabs>
                <w:tab w:val="left" w:pos="100"/>
              </w:tabs>
              <w:rPr>
                <w:color w:val="000000"/>
                <w:sz w:val="16"/>
                <w:szCs w:val="16"/>
              </w:rPr>
            </w:pPr>
            <w:r w:rsidRPr="00A7159A">
              <w:rPr>
                <w:color w:val="000000"/>
                <w:sz w:val="16"/>
                <w:szCs w:val="16"/>
              </w:rPr>
              <w:t>Control</w:t>
            </w:r>
          </w:p>
          <w:p w14:paraId="348FF99F" w14:textId="77777777" w:rsidR="0053297C" w:rsidRPr="00A7159A" w:rsidRDefault="0053297C" w:rsidP="00A65125">
            <w:pPr>
              <w:tabs>
                <w:tab w:val="left" w:pos="100"/>
              </w:tabs>
              <w:rPr>
                <w:color w:val="000000"/>
                <w:sz w:val="16"/>
                <w:szCs w:val="16"/>
              </w:rPr>
            </w:pPr>
          </w:p>
          <w:p w14:paraId="13AC8A82" w14:textId="0EB991B6" w:rsidR="0053297C" w:rsidRPr="00A7159A" w:rsidRDefault="0053297C" w:rsidP="00A65125">
            <w:pPr>
              <w:tabs>
                <w:tab w:val="left" w:pos="100"/>
              </w:tabs>
              <w:rPr>
                <w:color w:val="000000"/>
                <w:sz w:val="16"/>
                <w:szCs w:val="16"/>
              </w:rPr>
            </w:pPr>
            <w:r w:rsidRPr="00A7159A">
              <w:rPr>
                <w:color w:val="000000"/>
                <w:sz w:val="16"/>
                <w:szCs w:val="16"/>
              </w:rPr>
              <w:t>Information Exchange</w:t>
            </w:r>
          </w:p>
        </w:tc>
        <w:tc>
          <w:tcPr>
            <w:tcW w:w="1509" w:type="dxa"/>
            <w:tcBorders>
              <w:top w:val="single" w:sz="4" w:space="0" w:color="auto"/>
              <w:bottom w:val="single" w:sz="4" w:space="0" w:color="auto"/>
            </w:tcBorders>
          </w:tcPr>
          <w:p w14:paraId="5D4A5532" w14:textId="77777777" w:rsidR="00AE4042" w:rsidRPr="00A7159A" w:rsidRDefault="00AE4042" w:rsidP="00A65125">
            <w:pPr>
              <w:rPr>
                <w:color w:val="000000"/>
                <w:sz w:val="16"/>
                <w:szCs w:val="16"/>
              </w:rPr>
            </w:pPr>
            <w:r w:rsidRPr="00A7159A">
              <w:rPr>
                <w:color w:val="000000"/>
                <w:sz w:val="16"/>
                <w:szCs w:val="16"/>
              </w:rPr>
              <w:t>Face to face interview, online google meet interview by using semi-structured interview questions</w:t>
            </w:r>
          </w:p>
          <w:p w14:paraId="07B3534F" w14:textId="77777777" w:rsidR="00AE4042" w:rsidRPr="00A7159A" w:rsidRDefault="00AE4042" w:rsidP="00A65125">
            <w:pPr>
              <w:rPr>
                <w:color w:val="000000"/>
                <w:sz w:val="16"/>
                <w:szCs w:val="16"/>
              </w:rPr>
            </w:pPr>
          </w:p>
          <w:p w14:paraId="058F9FA5" w14:textId="77777777" w:rsidR="00AE4042" w:rsidRPr="00A7159A" w:rsidRDefault="00AE4042" w:rsidP="00A65125">
            <w:pPr>
              <w:rPr>
                <w:color w:val="000000"/>
                <w:sz w:val="16"/>
                <w:szCs w:val="16"/>
              </w:rPr>
            </w:pPr>
            <w:r w:rsidRPr="00A7159A">
              <w:rPr>
                <w:color w:val="000000"/>
                <w:sz w:val="16"/>
                <w:szCs w:val="16"/>
              </w:rPr>
              <w:t>Secondary document such as operational guidelines, daily-routine reports, and operational process template file</w:t>
            </w:r>
          </w:p>
        </w:tc>
        <w:tc>
          <w:tcPr>
            <w:tcW w:w="3199" w:type="dxa"/>
            <w:tcBorders>
              <w:top w:val="single" w:sz="4" w:space="0" w:color="auto"/>
              <w:bottom w:val="single" w:sz="4" w:space="0" w:color="auto"/>
            </w:tcBorders>
            <w:shd w:val="clear" w:color="auto" w:fill="auto"/>
          </w:tcPr>
          <w:p w14:paraId="71EC3B47" w14:textId="267F19EF" w:rsidR="00AE4042" w:rsidRPr="00A7159A" w:rsidRDefault="00AE4042" w:rsidP="00A65125">
            <w:pPr>
              <w:rPr>
                <w:color w:val="000000"/>
                <w:sz w:val="16"/>
                <w:szCs w:val="16"/>
                <w:lang w:val="ms-MY"/>
              </w:rPr>
            </w:pPr>
            <w:r w:rsidRPr="00A7159A">
              <w:rPr>
                <w:color w:val="000000"/>
                <w:sz w:val="16"/>
                <w:szCs w:val="16"/>
                <w:lang w:val="ms-MY"/>
              </w:rPr>
              <w:t xml:space="preserve">Delay; Fragmentation; Misalignment; Siloes; Data Sharing; Limited Data Access; Process Redundancy; Multiple System; Incompatibility; Integration; Complexity; Management; Non-Finance People; Volume; Human Error; Process Flow; Payment Mode; Payment Channel; Missing; Standardization; Disagreement; Integrity; Reconciliation; Shifting; Verification Burden; Error Propagation; Resource Strain; Delayed Rectification; Discrepancy; Error; Data Inconsistency; Incomplete Records; Unauthorized Alterations; Delayed Data Updates; Lack of Audit Trail; Data Entry Errors; Accountability; Disputes; Enforcement; </w:t>
            </w:r>
            <w:r w:rsidR="008752C6" w:rsidRPr="00A7159A">
              <w:rPr>
                <w:color w:val="000000"/>
                <w:sz w:val="16"/>
                <w:szCs w:val="16"/>
                <w:lang w:val="ms-MY"/>
              </w:rPr>
              <w:t>SLA</w:t>
            </w:r>
            <w:r w:rsidRPr="00A7159A">
              <w:rPr>
                <w:color w:val="000000"/>
                <w:sz w:val="16"/>
                <w:szCs w:val="16"/>
                <w:lang w:val="ms-MY"/>
              </w:rPr>
              <w:t>; Audit Readiness; Non-Compliance Incidents; Monitoring Deficiency; Penalty Enforcement Gap; Lack of Corrective Actions; Contractual Vagueness; Visibility; Tracking; Communication; Limitation; Information Delay; Message Distortion; Platform Fragmentation; Traceability Issues; Dependence on Individuals; Brain Drain; Own Effort; Personal Traits; Want to be Appreciated</w:t>
            </w:r>
          </w:p>
        </w:tc>
        <w:tc>
          <w:tcPr>
            <w:tcW w:w="3752" w:type="dxa"/>
            <w:tcBorders>
              <w:top w:val="single" w:sz="4" w:space="0" w:color="auto"/>
              <w:bottom w:val="single" w:sz="4" w:space="0" w:color="auto"/>
            </w:tcBorders>
            <w:shd w:val="clear" w:color="auto" w:fill="auto"/>
          </w:tcPr>
          <w:p w14:paraId="0EAB17CB" w14:textId="77777777" w:rsidR="00AE4042" w:rsidRPr="00A7159A" w:rsidRDefault="00AE4042" w:rsidP="00A65125">
            <w:pPr>
              <w:rPr>
                <w:bCs/>
                <w:color w:val="000000"/>
                <w:sz w:val="16"/>
                <w:szCs w:val="16"/>
                <w:lang w:val="ms-MY"/>
              </w:rPr>
            </w:pPr>
            <w:r w:rsidRPr="00A7159A">
              <w:rPr>
                <w:bCs/>
                <w:color w:val="000000"/>
                <w:sz w:val="16"/>
                <w:szCs w:val="16"/>
                <w:lang w:val="ms-MY"/>
              </w:rPr>
              <w:t>C1: Siloes IOC operation system</w:t>
            </w:r>
          </w:p>
          <w:p w14:paraId="54BC8A1B" w14:textId="77777777" w:rsidR="00AE4042" w:rsidRPr="00A7159A" w:rsidRDefault="00AE4042" w:rsidP="00A65125">
            <w:pPr>
              <w:rPr>
                <w:color w:val="000000"/>
                <w:sz w:val="16"/>
                <w:szCs w:val="16"/>
                <w:lang w:val="ms-MY"/>
              </w:rPr>
            </w:pPr>
            <w:r w:rsidRPr="00A7159A">
              <w:rPr>
                <w:color w:val="000000"/>
                <w:sz w:val="16"/>
                <w:szCs w:val="16"/>
                <w:lang w:val="ms-MY"/>
              </w:rPr>
              <w:t>(Delay; Fragmentation; Misalignment; Siloes; Data Sharing; Limited Data Access; Process Redundancy; Multiple System)</w:t>
            </w:r>
          </w:p>
          <w:p w14:paraId="600B12F6" w14:textId="77777777" w:rsidR="00AE4042" w:rsidRPr="00A7159A" w:rsidRDefault="00AE4042" w:rsidP="00A65125">
            <w:pPr>
              <w:rPr>
                <w:bCs/>
                <w:color w:val="000000"/>
                <w:sz w:val="16"/>
                <w:szCs w:val="16"/>
                <w:lang w:val="ms-MY"/>
              </w:rPr>
            </w:pPr>
          </w:p>
          <w:p w14:paraId="23E34973" w14:textId="006782A5" w:rsidR="00AE4042" w:rsidRPr="00A7159A" w:rsidRDefault="00AE4042" w:rsidP="00A65125">
            <w:pPr>
              <w:rPr>
                <w:bCs/>
                <w:color w:val="000000"/>
                <w:sz w:val="16"/>
                <w:szCs w:val="16"/>
                <w:lang w:val="ms-MY"/>
              </w:rPr>
            </w:pPr>
            <w:r w:rsidRPr="00A7159A">
              <w:rPr>
                <w:bCs/>
                <w:color w:val="000000"/>
                <w:sz w:val="16"/>
                <w:szCs w:val="16"/>
                <w:lang w:val="ms-MY"/>
              </w:rPr>
              <w:t xml:space="preserve"> C2: Complexity on </w:t>
            </w:r>
            <w:r w:rsidR="00470DA6" w:rsidRPr="00A7159A">
              <w:rPr>
                <w:bCs/>
                <w:color w:val="000000"/>
                <w:sz w:val="16"/>
                <w:szCs w:val="16"/>
                <w:lang w:val="ms-MY"/>
              </w:rPr>
              <w:t>IOC workflows</w:t>
            </w:r>
          </w:p>
          <w:p w14:paraId="618591B3" w14:textId="77777777" w:rsidR="00AE4042" w:rsidRPr="00A7159A" w:rsidRDefault="00AE4042" w:rsidP="00A65125">
            <w:pPr>
              <w:rPr>
                <w:color w:val="000000"/>
                <w:sz w:val="16"/>
                <w:szCs w:val="16"/>
                <w:lang w:val="ms-MY"/>
              </w:rPr>
            </w:pPr>
            <w:r w:rsidRPr="00A7159A">
              <w:rPr>
                <w:color w:val="000000"/>
                <w:sz w:val="16"/>
                <w:szCs w:val="16"/>
                <w:lang w:val="ms-MY"/>
              </w:rPr>
              <w:t>(Incompatibility; Integration; Complexity; Management; Non-Finance People; Volume; Human Error; Process flow; Payment Mode; Payment Channel)</w:t>
            </w:r>
          </w:p>
          <w:p w14:paraId="5C336075" w14:textId="77777777" w:rsidR="00AE4042" w:rsidRPr="00A7159A" w:rsidRDefault="00AE4042" w:rsidP="00A65125">
            <w:pPr>
              <w:rPr>
                <w:bCs/>
                <w:color w:val="000000"/>
                <w:sz w:val="16"/>
                <w:szCs w:val="16"/>
                <w:lang w:val="ms-MY"/>
              </w:rPr>
            </w:pPr>
          </w:p>
          <w:p w14:paraId="3A085FF1" w14:textId="3F311068" w:rsidR="00AE4042" w:rsidRPr="00A7159A" w:rsidRDefault="00AE4042" w:rsidP="00A65125">
            <w:pPr>
              <w:rPr>
                <w:bCs/>
                <w:color w:val="000000"/>
                <w:sz w:val="16"/>
                <w:szCs w:val="16"/>
                <w:lang w:val="ms-MY"/>
              </w:rPr>
            </w:pPr>
            <w:r w:rsidRPr="00A7159A">
              <w:rPr>
                <w:bCs/>
                <w:color w:val="000000"/>
                <w:sz w:val="16"/>
                <w:szCs w:val="16"/>
                <w:lang w:val="ms-MY"/>
              </w:rPr>
              <w:t xml:space="preserve"> C3: Manual and human effort in </w:t>
            </w:r>
            <w:r w:rsidR="00470DA6" w:rsidRPr="00A7159A">
              <w:rPr>
                <w:bCs/>
                <w:color w:val="000000"/>
                <w:sz w:val="16"/>
                <w:szCs w:val="16"/>
                <w:lang w:val="ms-MY"/>
              </w:rPr>
              <w:t>IOC workflows</w:t>
            </w:r>
            <w:r w:rsidRPr="00A7159A">
              <w:rPr>
                <w:bCs/>
                <w:color w:val="000000"/>
                <w:sz w:val="16"/>
                <w:szCs w:val="16"/>
                <w:lang w:val="ms-MY"/>
              </w:rPr>
              <w:t xml:space="preserve"> </w:t>
            </w:r>
          </w:p>
          <w:p w14:paraId="6E55688E" w14:textId="77777777" w:rsidR="00AE4042" w:rsidRPr="00A7159A" w:rsidRDefault="00AE4042" w:rsidP="00A65125">
            <w:pPr>
              <w:rPr>
                <w:color w:val="000000"/>
                <w:sz w:val="16"/>
                <w:szCs w:val="16"/>
                <w:lang w:val="ms-MY"/>
              </w:rPr>
            </w:pPr>
            <w:r w:rsidRPr="00A7159A">
              <w:rPr>
                <w:color w:val="000000"/>
                <w:sz w:val="16"/>
                <w:szCs w:val="16"/>
                <w:lang w:val="ms-MY"/>
              </w:rPr>
              <w:t>(Missing; Standardization; Disagreement; Integrity; Reconciliation; Shifting; Verification Burden; Error Propagation; Resource Strain; Delayed Rectification)</w:t>
            </w:r>
          </w:p>
          <w:p w14:paraId="5D98FEC7" w14:textId="77777777" w:rsidR="00AE4042" w:rsidRPr="00A7159A" w:rsidRDefault="00AE4042" w:rsidP="00A65125">
            <w:pPr>
              <w:rPr>
                <w:bCs/>
                <w:color w:val="000000"/>
                <w:sz w:val="16"/>
                <w:szCs w:val="16"/>
                <w:lang w:val="ms-MY"/>
              </w:rPr>
            </w:pPr>
            <w:r w:rsidRPr="00A7159A">
              <w:rPr>
                <w:bCs/>
                <w:color w:val="000000"/>
                <w:sz w:val="16"/>
                <w:szCs w:val="16"/>
                <w:lang w:val="ms-MY"/>
              </w:rPr>
              <w:t> </w:t>
            </w:r>
          </w:p>
          <w:p w14:paraId="51730769" w14:textId="7581AED3" w:rsidR="00AE4042" w:rsidRPr="00A7159A" w:rsidRDefault="00AE4042" w:rsidP="00A65125">
            <w:pPr>
              <w:rPr>
                <w:bCs/>
                <w:color w:val="000000"/>
                <w:sz w:val="16"/>
                <w:szCs w:val="16"/>
                <w:lang w:val="ms-MY"/>
              </w:rPr>
            </w:pPr>
            <w:r w:rsidRPr="00A7159A">
              <w:rPr>
                <w:bCs/>
                <w:color w:val="000000"/>
                <w:sz w:val="16"/>
                <w:szCs w:val="16"/>
                <w:lang w:val="ms-MY"/>
              </w:rPr>
              <w:t xml:space="preserve">C4: Data Integrity issues on </w:t>
            </w:r>
            <w:r w:rsidR="00470DA6" w:rsidRPr="00A7159A">
              <w:rPr>
                <w:bCs/>
                <w:color w:val="000000"/>
                <w:sz w:val="16"/>
                <w:szCs w:val="16"/>
                <w:lang w:val="ms-MY"/>
              </w:rPr>
              <w:t>IOC workflows</w:t>
            </w:r>
          </w:p>
          <w:p w14:paraId="44F02F4B" w14:textId="77777777" w:rsidR="00AE4042" w:rsidRPr="00A7159A" w:rsidRDefault="00AE4042" w:rsidP="00A65125">
            <w:pPr>
              <w:rPr>
                <w:color w:val="000000"/>
                <w:sz w:val="16"/>
                <w:szCs w:val="16"/>
                <w:lang w:val="ms-MY"/>
              </w:rPr>
            </w:pPr>
            <w:r w:rsidRPr="00A7159A">
              <w:rPr>
                <w:color w:val="000000"/>
                <w:sz w:val="16"/>
                <w:szCs w:val="16"/>
                <w:lang w:val="ms-MY"/>
              </w:rPr>
              <w:t>(Discrepancy; Error; Data Inconsistency; Incomplete Records; Unauthorized Alterations; Delayed Data Updates; Lack of Audit Trail; Data Entry Errors)</w:t>
            </w:r>
          </w:p>
          <w:p w14:paraId="4D533C84" w14:textId="77777777" w:rsidR="00AE4042" w:rsidRPr="00A7159A" w:rsidRDefault="00AE4042" w:rsidP="00A65125">
            <w:pPr>
              <w:rPr>
                <w:color w:val="000000"/>
                <w:sz w:val="16"/>
                <w:szCs w:val="16"/>
                <w:lang w:val="ms-MY"/>
              </w:rPr>
            </w:pPr>
            <w:r w:rsidRPr="00A7159A">
              <w:rPr>
                <w:color w:val="000000"/>
                <w:sz w:val="16"/>
                <w:szCs w:val="16"/>
                <w:lang w:val="ms-MY"/>
              </w:rPr>
              <w:t> </w:t>
            </w:r>
          </w:p>
          <w:p w14:paraId="0D457FDA" w14:textId="6A80B9ED" w:rsidR="00AE4042" w:rsidRPr="00A7159A" w:rsidRDefault="00AE4042" w:rsidP="00A65125">
            <w:pPr>
              <w:rPr>
                <w:bCs/>
                <w:color w:val="000000"/>
                <w:sz w:val="16"/>
                <w:szCs w:val="16"/>
                <w:lang w:val="ms-MY"/>
              </w:rPr>
            </w:pPr>
            <w:r w:rsidRPr="00A7159A">
              <w:rPr>
                <w:bCs/>
                <w:color w:val="000000"/>
                <w:sz w:val="16"/>
                <w:szCs w:val="16"/>
                <w:lang w:val="ms-MY"/>
              </w:rPr>
              <w:t xml:space="preserve">C5: Accountability and compliance on </w:t>
            </w:r>
            <w:r w:rsidR="00470DA6" w:rsidRPr="00A7159A">
              <w:rPr>
                <w:bCs/>
                <w:color w:val="000000"/>
                <w:sz w:val="16"/>
                <w:szCs w:val="16"/>
                <w:lang w:val="ms-MY"/>
              </w:rPr>
              <w:t>IOC workflows</w:t>
            </w:r>
          </w:p>
          <w:p w14:paraId="3E469740" w14:textId="6836521F" w:rsidR="00AE4042" w:rsidRPr="00A7159A" w:rsidRDefault="00AE4042" w:rsidP="00A65125">
            <w:pPr>
              <w:rPr>
                <w:color w:val="000000"/>
                <w:sz w:val="16"/>
                <w:szCs w:val="16"/>
                <w:lang w:val="ms-MY"/>
              </w:rPr>
            </w:pPr>
            <w:r w:rsidRPr="00A7159A">
              <w:rPr>
                <w:bCs/>
                <w:color w:val="000000"/>
                <w:sz w:val="16"/>
                <w:szCs w:val="16"/>
                <w:lang w:val="ms-MY"/>
              </w:rPr>
              <w:t>(</w:t>
            </w:r>
            <w:r w:rsidRPr="00A7159A">
              <w:rPr>
                <w:color w:val="000000"/>
                <w:sz w:val="16"/>
                <w:szCs w:val="16"/>
                <w:lang w:val="ms-MY"/>
              </w:rPr>
              <w:t xml:space="preserve">Accountability; Disputes; Enforcement; </w:t>
            </w:r>
            <w:r w:rsidR="008752C6" w:rsidRPr="00A7159A">
              <w:rPr>
                <w:color w:val="000000"/>
                <w:sz w:val="16"/>
                <w:szCs w:val="16"/>
                <w:lang w:val="ms-MY"/>
              </w:rPr>
              <w:t>SLA</w:t>
            </w:r>
            <w:r w:rsidRPr="00A7159A">
              <w:rPr>
                <w:color w:val="000000"/>
                <w:sz w:val="16"/>
                <w:szCs w:val="16"/>
                <w:lang w:val="ms-MY"/>
              </w:rPr>
              <w:t>; Audit Readiness; Non-Compliance Incidents; Monitoring Deficiency; Penalty Enforcement Gap; Lack of Corrective Actions; Contractual Vagueness)</w:t>
            </w:r>
          </w:p>
          <w:p w14:paraId="35254FE9" w14:textId="77777777" w:rsidR="00AE4042" w:rsidRPr="00A7159A" w:rsidRDefault="00AE4042" w:rsidP="00A65125">
            <w:pPr>
              <w:rPr>
                <w:color w:val="000000"/>
                <w:sz w:val="16"/>
                <w:szCs w:val="16"/>
                <w:lang w:val="ms-MY"/>
              </w:rPr>
            </w:pPr>
            <w:r w:rsidRPr="00A7159A">
              <w:rPr>
                <w:color w:val="000000"/>
                <w:sz w:val="16"/>
                <w:szCs w:val="16"/>
                <w:lang w:val="ms-MY"/>
              </w:rPr>
              <w:t> </w:t>
            </w:r>
          </w:p>
          <w:p w14:paraId="7377796E" w14:textId="77777777" w:rsidR="00AE4042" w:rsidRPr="00A7159A" w:rsidRDefault="00AE4042" w:rsidP="00A65125">
            <w:pPr>
              <w:rPr>
                <w:bCs/>
                <w:color w:val="000000"/>
                <w:sz w:val="16"/>
                <w:szCs w:val="16"/>
                <w:lang w:val="ms-MY"/>
              </w:rPr>
            </w:pPr>
            <w:r w:rsidRPr="00A7159A">
              <w:rPr>
                <w:bCs/>
                <w:color w:val="000000"/>
                <w:sz w:val="16"/>
                <w:szCs w:val="16"/>
                <w:lang w:val="ms-MY"/>
              </w:rPr>
              <w:t>C6: Manual communcation plaftorm</w:t>
            </w:r>
          </w:p>
          <w:p w14:paraId="497A5E5B" w14:textId="77777777" w:rsidR="00AE4042" w:rsidRPr="00A7159A" w:rsidRDefault="00AE4042" w:rsidP="00A65125">
            <w:pPr>
              <w:rPr>
                <w:color w:val="000000"/>
                <w:sz w:val="16"/>
                <w:szCs w:val="16"/>
                <w:lang w:val="ms-MY"/>
              </w:rPr>
            </w:pPr>
            <w:r w:rsidRPr="00A7159A">
              <w:rPr>
                <w:color w:val="000000"/>
                <w:sz w:val="16"/>
                <w:szCs w:val="16"/>
                <w:lang w:val="ms-MY"/>
              </w:rPr>
              <w:t xml:space="preserve">(Visibility; Tracking; Communication; Limitation; Information Delay; Message Distortion; Platform </w:t>
            </w:r>
            <w:r w:rsidRPr="00A7159A">
              <w:rPr>
                <w:color w:val="000000"/>
                <w:sz w:val="16"/>
                <w:szCs w:val="16"/>
                <w:lang w:val="ms-MY"/>
              </w:rPr>
              <w:lastRenderedPageBreak/>
              <w:t>Fragmentation; Traceability Issues; Dependence on Individual)</w:t>
            </w:r>
          </w:p>
        </w:tc>
        <w:tc>
          <w:tcPr>
            <w:tcW w:w="2268" w:type="dxa"/>
            <w:tcBorders>
              <w:top w:val="single" w:sz="4" w:space="0" w:color="auto"/>
              <w:bottom w:val="single" w:sz="4" w:space="0" w:color="auto"/>
            </w:tcBorders>
            <w:shd w:val="clear" w:color="auto" w:fill="auto"/>
          </w:tcPr>
          <w:p w14:paraId="7682AA63" w14:textId="77777777" w:rsidR="00AE4042" w:rsidRPr="00A7159A" w:rsidRDefault="00AE4042" w:rsidP="00A65125">
            <w:pPr>
              <w:rPr>
                <w:bCs/>
                <w:color w:val="000000"/>
                <w:sz w:val="16"/>
                <w:szCs w:val="16"/>
                <w:lang w:val="ms-MY"/>
              </w:rPr>
            </w:pPr>
            <w:r w:rsidRPr="00A7159A">
              <w:rPr>
                <w:bCs/>
                <w:color w:val="000000"/>
                <w:sz w:val="16"/>
                <w:szCs w:val="16"/>
                <w:u w:val="single"/>
                <w:lang w:val="ms-MY"/>
              </w:rPr>
              <w:lastRenderedPageBreak/>
              <w:t>Theme 1</w:t>
            </w:r>
            <w:r w:rsidRPr="00A7159A">
              <w:rPr>
                <w:bCs/>
                <w:color w:val="000000"/>
                <w:sz w:val="16"/>
                <w:szCs w:val="16"/>
                <w:lang w:val="ms-MY"/>
              </w:rPr>
              <w:t xml:space="preserve"> </w:t>
            </w:r>
          </w:p>
          <w:p w14:paraId="0DCF964C" w14:textId="5BE2C892" w:rsidR="00AE4042" w:rsidRPr="00A7159A" w:rsidRDefault="00AE4042" w:rsidP="00A65125">
            <w:pPr>
              <w:rPr>
                <w:color w:val="000000"/>
                <w:sz w:val="16"/>
                <w:szCs w:val="16"/>
                <w:lang w:val="ms-MY"/>
              </w:rPr>
            </w:pPr>
            <w:r w:rsidRPr="00A7159A">
              <w:rPr>
                <w:color w:val="000000"/>
                <w:sz w:val="16"/>
                <w:szCs w:val="16"/>
                <w:lang w:val="ms-MY"/>
              </w:rPr>
              <w:t xml:space="preserve">The challenges of non-integrated operation in </w:t>
            </w:r>
            <w:r w:rsidR="00470DA6" w:rsidRPr="00A7159A">
              <w:rPr>
                <w:color w:val="000000"/>
                <w:sz w:val="16"/>
                <w:szCs w:val="16"/>
                <w:lang w:val="ms-MY"/>
              </w:rPr>
              <w:t>IOC workflows</w:t>
            </w:r>
            <w:r w:rsidRPr="00A7159A">
              <w:rPr>
                <w:color w:val="000000"/>
                <w:sz w:val="16"/>
                <w:szCs w:val="16"/>
                <w:lang w:val="ms-MY"/>
              </w:rPr>
              <w:t xml:space="preserve"> in e-payment process at TLD</w:t>
            </w:r>
          </w:p>
          <w:p w14:paraId="6FC59EAC" w14:textId="77777777" w:rsidR="00AE4042" w:rsidRPr="00A7159A" w:rsidRDefault="00AE4042" w:rsidP="00A65125">
            <w:pPr>
              <w:rPr>
                <w:color w:val="000000"/>
                <w:sz w:val="16"/>
                <w:szCs w:val="16"/>
                <w:lang w:val="ms-MY"/>
              </w:rPr>
            </w:pPr>
          </w:p>
          <w:p w14:paraId="0B652E1D" w14:textId="77777777" w:rsidR="00AE4042" w:rsidRPr="00A7159A" w:rsidRDefault="00AE4042" w:rsidP="00A65125">
            <w:pPr>
              <w:rPr>
                <w:bCs/>
                <w:color w:val="000000"/>
                <w:sz w:val="16"/>
                <w:szCs w:val="16"/>
                <w:u w:val="single"/>
                <w:lang w:val="ms-MY"/>
              </w:rPr>
            </w:pPr>
            <w:r w:rsidRPr="00A7159A">
              <w:rPr>
                <w:bCs/>
                <w:color w:val="000000"/>
                <w:sz w:val="16"/>
                <w:szCs w:val="16"/>
                <w:u w:val="single"/>
                <w:lang w:val="ms-MY"/>
              </w:rPr>
              <w:t xml:space="preserve">Theme 2 </w:t>
            </w:r>
          </w:p>
          <w:p w14:paraId="43A6CB4D" w14:textId="68530C97" w:rsidR="00AE4042" w:rsidRPr="00A7159A" w:rsidRDefault="00AE4042" w:rsidP="00A65125">
            <w:pPr>
              <w:rPr>
                <w:color w:val="000000"/>
                <w:sz w:val="16"/>
                <w:szCs w:val="16"/>
                <w:lang w:val="ms-MY"/>
              </w:rPr>
            </w:pPr>
            <w:r w:rsidRPr="00A7159A">
              <w:rPr>
                <w:color w:val="000000"/>
                <w:sz w:val="16"/>
                <w:szCs w:val="16"/>
                <w:lang w:val="ms-MY"/>
              </w:rPr>
              <w:t xml:space="preserve">The operational deficiency on </w:t>
            </w:r>
            <w:r w:rsidR="00470DA6" w:rsidRPr="00A7159A">
              <w:rPr>
                <w:color w:val="000000"/>
                <w:sz w:val="16"/>
                <w:szCs w:val="16"/>
                <w:lang w:val="ms-MY"/>
              </w:rPr>
              <w:t>IOC workflows</w:t>
            </w:r>
            <w:r w:rsidRPr="00A7159A">
              <w:rPr>
                <w:color w:val="000000"/>
                <w:sz w:val="16"/>
                <w:szCs w:val="16"/>
                <w:lang w:val="ms-MY"/>
              </w:rPr>
              <w:t xml:space="preserve"> in e-payment process at TLD</w:t>
            </w:r>
          </w:p>
          <w:p w14:paraId="70D22EB9" w14:textId="77777777" w:rsidR="00AE4042" w:rsidRPr="00A7159A" w:rsidRDefault="00AE4042" w:rsidP="00A65125">
            <w:pPr>
              <w:rPr>
                <w:color w:val="000000"/>
                <w:sz w:val="16"/>
                <w:szCs w:val="16"/>
                <w:lang w:val="ms-MY"/>
              </w:rPr>
            </w:pPr>
          </w:p>
          <w:p w14:paraId="4A5762AC" w14:textId="77777777" w:rsidR="00AE4042" w:rsidRPr="00A7159A" w:rsidRDefault="00AE4042" w:rsidP="00A65125">
            <w:pPr>
              <w:rPr>
                <w:color w:val="000000"/>
                <w:sz w:val="16"/>
                <w:szCs w:val="16"/>
                <w:u w:val="single"/>
                <w:lang w:val="ms-MY"/>
              </w:rPr>
            </w:pPr>
            <w:r w:rsidRPr="00A7159A">
              <w:rPr>
                <w:bCs/>
                <w:color w:val="000000"/>
                <w:sz w:val="16"/>
                <w:szCs w:val="16"/>
                <w:u w:val="single"/>
                <w:lang w:val="ms-MY"/>
              </w:rPr>
              <w:t>Theme 3</w:t>
            </w:r>
            <w:r w:rsidRPr="00A7159A">
              <w:rPr>
                <w:color w:val="000000"/>
                <w:sz w:val="16"/>
                <w:szCs w:val="16"/>
                <w:u w:val="single"/>
                <w:lang w:val="ms-MY"/>
              </w:rPr>
              <w:t xml:space="preserve"> </w:t>
            </w:r>
          </w:p>
          <w:p w14:paraId="157136E1" w14:textId="282511B3" w:rsidR="00AE4042" w:rsidRPr="00A7159A" w:rsidRDefault="00AE4042" w:rsidP="00A65125">
            <w:pPr>
              <w:rPr>
                <w:color w:val="000000"/>
                <w:sz w:val="16"/>
                <w:szCs w:val="16"/>
                <w:lang w:val="ms-MY"/>
              </w:rPr>
            </w:pPr>
            <w:r w:rsidRPr="00A7159A">
              <w:rPr>
                <w:color w:val="000000"/>
                <w:sz w:val="16"/>
                <w:szCs w:val="16"/>
                <w:lang w:val="ms-MY"/>
              </w:rPr>
              <w:t xml:space="preserve">The risk exposure of </w:t>
            </w:r>
            <w:r w:rsidR="008752C6" w:rsidRPr="00A7159A">
              <w:rPr>
                <w:color w:val="000000"/>
                <w:sz w:val="16"/>
                <w:szCs w:val="16"/>
                <w:lang w:val="ms-MY"/>
              </w:rPr>
              <w:t>SLA</w:t>
            </w:r>
            <w:r w:rsidRPr="00A7159A">
              <w:rPr>
                <w:color w:val="000000"/>
                <w:sz w:val="16"/>
                <w:szCs w:val="16"/>
                <w:lang w:val="ms-MY"/>
              </w:rPr>
              <w:t xml:space="preserve"> discrepancies in  </w:t>
            </w:r>
            <w:r w:rsidR="00470DA6" w:rsidRPr="00A7159A">
              <w:rPr>
                <w:color w:val="000000"/>
                <w:sz w:val="16"/>
                <w:szCs w:val="16"/>
                <w:lang w:val="ms-MY"/>
              </w:rPr>
              <w:t>IOC workflows</w:t>
            </w:r>
            <w:r w:rsidRPr="00A7159A">
              <w:rPr>
                <w:color w:val="000000"/>
                <w:sz w:val="16"/>
                <w:szCs w:val="16"/>
                <w:lang w:val="ms-MY"/>
              </w:rPr>
              <w:t xml:space="preserve"> in e-payment process at TLD</w:t>
            </w:r>
          </w:p>
          <w:p w14:paraId="335319C6" w14:textId="77777777" w:rsidR="00AE4042" w:rsidRPr="00A7159A" w:rsidRDefault="00AE4042" w:rsidP="00A65125">
            <w:pPr>
              <w:rPr>
                <w:color w:val="000000"/>
                <w:sz w:val="16"/>
                <w:szCs w:val="16"/>
                <w:lang w:val="ms-MY"/>
              </w:rPr>
            </w:pPr>
          </w:p>
          <w:p w14:paraId="16109813" w14:textId="77777777" w:rsidR="00AE4042" w:rsidRPr="00A7159A" w:rsidRDefault="00AE4042" w:rsidP="00A65125">
            <w:pPr>
              <w:rPr>
                <w:color w:val="000000"/>
                <w:sz w:val="16"/>
                <w:szCs w:val="16"/>
                <w:u w:val="single"/>
                <w:lang w:val="ms-MY"/>
              </w:rPr>
            </w:pPr>
            <w:r w:rsidRPr="00A7159A">
              <w:rPr>
                <w:bCs/>
                <w:color w:val="000000"/>
                <w:sz w:val="16"/>
                <w:szCs w:val="16"/>
                <w:u w:val="single"/>
                <w:lang w:val="ms-MY"/>
              </w:rPr>
              <w:t>Theme 4</w:t>
            </w:r>
          </w:p>
          <w:p w14:paraId="15A6CDE6" w14:textId="32F72CF3" w:rsidR="00AE4042" w:rsidRPr="00A7159A" w:rsidRDefault="00AE4042" w:rsidP="00A65125">
            <w:pPr>
              <w:rPr>
                <w:bCs/>
                <w:color w:val="000000"/>
                <w:sz w:val="16"/>
                <w:szCs w:val="16"/>
                <w:lang w:val="ms-MY"/>
              </w:rPr>
            </w:pPr>
            <w:r w:rsidRPr="00A7159A">
              <w:rPr>
                <w:color w:val="000000"/>
                <w:sz w:val="16"/>
                <w:szCs w:val="16"/>
                <w:lang w:val="ms-MY"/>
              </w:rPr>
              <w:t xml:space="preserve">The communcation difficulties in </w:t>
            </w:r>
            <w:r w:rsidR="00470DA6" w:rsidRPr="00A7159A">
              <w:rPr>
                <w:color w:val="000000"/>
                <w:sz w:val="16"/>
                <w:szCs w:val="16"/>
                <w:lang w:val="ms-MY"/>
              </w:rPr>
              <w:t>IOC workflows</w:t>
            </w:r>
            <w:r w:rsidRPr="00A7159A">
              <w:rPr>
                <w:color w:val="000000"/>
                <w:sz w:val="16"/>
                <w:szCs w:val="16"/>
                <w:lang w:val="ms-MY"/>
              </w:rPr>
              <w:t xml:space="preserve"> in e-payment process at TLD</w:t>
            </w:r>
          </w:p>
        </w:tc>
        <w:tc>
          <w:tcPr>
            <w:tcW w:w="1701" w:type="dxa"/>
            <w:tcBorders>
              <w:top w:val="single" w:sz="4" w:space="0" w:color="auto"/>
              <w:bottom w:val="single" w:sz="4" w:space="0" w:color="auto"/>
            </w:tcBorders>
          </w:tcPr>
          <w:p w14:paraId="3B359E7D" w14:textId="77777777" w:rsidR="00AE4042" w:rsidRPr="00A7159A" w:rsidRDefault="00AE4042" w:rsidP="00A65125">
            <w:pPr>
              <w:rPr>
                <w:color w:val="000000"/>
                <w:sz w:val="16"/>
                <w:szCs w:val="16"/>
                <w:lang w:val="ms-MY"/>
              </w:rPr>
            </w:pPr>
            <w:r w:rsidRPr="00A7159A">
              <w:rPr>
                <w:color w:val="000000"/>
                <w:sz w:val="16"/>
                <w:szCs w:val="16"/>
                <w:lang w:val="ms-MY"/>
              </w:rPr>
              <w:t>ET1: Brain Drain</w:t>
            </w:r>
          </w:p>
          <w:p w14:paraId="130DE227" w14:textId="77777777" w:rsidR="00AE4042" w:rsidRPr="00A7159A" w:rsidRDefault="00AE4042" w:rsidP="00A65125">
            <w:pPr>
              <w:rPr>
                <w:color w:val="000000"/>
                <w:sz w:val="16"/>
                <w:szCs w:val="16"/>
                <w:lang w:val="ms-MY"/>
              </w:rPr>
            </w:pPr>
            <w:r w:rsidRPr="00A7159A">
              <w:rPr>
                <w:color w:val="000000"/>
                <w:sz w:val="16"/>
                <w:szCs w:val="16"/>
                <w:lang w:val="ms-MY"/>
              </w:rPr>
              <w:t>ET2: Own Effort</w:t>
            </w:r>
          </w:p>
          <w:p w14:paraId="16A9A340" w14:textId="77777777" w:rsidR="00AE4042" w:rsidRPr="00A7159A" w:rsidRDefault="00AE4042" w:rsidP="00A65125">
            <w:pPr>
              <w:rPr>
                <w:color w:val="000000"/>
                <w:sz w:val="16"/>
                <w:szCs w:val="16"/>
                <w:lang w:val="ms-MY"/>
              </w:rPr>
            </w:pPr>
            <w:r w:rsidRPr="00A7159A">
              <w:rPr>
                <w:color w:val="000000"/>
                <w:sz w:val="16"/>
                <w:szCs w:val="16"/>
                <w:lang w:val="ms-MY"/>
              </w:rPr>
              <w:t>ET3: Personal Traits</w:t>
            </w:r>
          </w:p>
          <w:p w14:paraId="04E880C1" w14:textId="77777777" w:rsidR="00AE4042" w:rsidRPr="00A7159A" w:rsidRDefault="00AE4042" w:rsidP="00A65125">
            <w:pPr>
              <w:rPr>
                <w:bCs/>
                <w:color w:val="000000"/>
                <w:sz w:val="16"/>
                <w:szCs w:val="16"/>
              </w:rPr>
            </w:pPr>
            <w:r w:rsidRPr="00A7159A">
              <w:rPr>
                <w:color w:val="000000"/>
                <w:sz w:val="16"/>
                <w:szCs w:val="16"/>
                <w:lang w:val="ms-MY"/>
              </w:rPr>
              <w:t>ET4: Want to be appreciated</w:t>
            </w:r>
          </w:p>
        </w:tc>
      </w:tr>
    </w:tbl>
    <w:p w14:paraId="2A5B5956" w14:textId="77777777" w:rsidR="00AE4042" w:rsidRPr="00A65125" w:rsidRDefault="00AE4042" w:rsidP="00A65125">
      <w:pPr>
        <w:pStyle w:val="TextBody"/>
        <w:spacing w:line="240" w:lineRule="auto"/>
        <w:rPr>
          <w:rFonts w:cs="Times New Roman"/>
          <w:sz w:val="20"/>
          <w:szCs w:val="20"/>
        </w:rPr>
      </w:pPr>
    </w:p>
    <w:p w14:paraId="2CCDE6C6" w14:textId="52849EDE" w:rsidR="00F2398A" w:rsidRPr="00A65125" w:rsidRDefault="00F2398A" w:rsidP="00A65125">
      <w:pPr>
        <w:rPr>
          <w:sz w:val="20"/>
          <w:szCs w:val="20"/>
          <w:lang w:val="en-MY" w:eastAsia="en-US"/>
        </w:rPr>
      </w:pPr>
      <w:r w:rsidRPr="00A65125">
        <w:rPr>
          <w:sz w:val="20"/>
          <w:szCs w:val="20"/>
          <w:lang w:val="en-MY" w:eastAsia="en-US"/>
        </w:rPr>
        <w:br w:type="page"/>
      </w:r>
    </w:p>
    <w:p w14:paraId="0E32D897" w14:textId="77777777" w:rsidR="00143F7A" w:rsidRDefault="00F2398A" w:rsidP="00143F7A">
      <w:pPr>
        <w:pStyle w:val="Heading1"/>
        <w:ind w:right="-926"/>
        <w:rPr>
          <w:rFonts w:cs="Times New Roman"/>
          <w:sz w:val="20"/>
          <w:szCs w:val="20"/>
        </w:rPr>
      </w:pPr>
      <w:r w:rsidRPr="00A65125">
        <w:rPr>
          <w:rFonts w:cs="Times New Roman"/>
          <w:sz w:val="20"/>
          <w:szCs w:val="20"/>
        </w:rPr>
        <w:lastRenderedPageBreak/>
        <w:t>APPENDIX 2</w:t>
      </w:r>
    </w:p>
    <w:p w14:paraId="0BD6558C" w14:textId="77777777" w:rsidR="00143F7A" w:rsidRDefault="00143F7A" w:rsidP="00143F7A">
      <w:pPr>
        <w:pStyle w:val="Heading1"/>
        <w:ind w:right="-926"/>
        <w:rPr>
          <w:bCs/>
          <w:sz w:val="20"/>
          <w:szCs w:val="20"/>
        </w:rPr>
      </w:pPr>
    </w:p>
    <w:p w14:paraId="653BB18A" w14:textId="4FABC5F6" w:rsidR="00F2398A" w:rsidRPr="00143F7A" w:rsidRDefault="00F2398A" w:rsidP="00143F7A">
      <w:pPr>
        <w:pStyle w:val="Heading1"/>
        <w:ind w:right="-926"/>
        <w:rPr>
          <w:rFonts w:cs="Times New Roman"/>
          <w:sz w:val="20"/>
          <w:szCs w:val="20"/>
        </w:rPr>
      </w:pPr>
      <w:r w:rsidRPr="00143F7A">
        <w:rPr>
          <w:bCs/>
          <w:sz w:val="20"/>
          <w:szCs w:val="20"/>
        </w:rPr>
        <w:t>Thematic Analysis Diagram</w:t>
      </w:r>
    </w:p>
    <w:p w14:paraId="08188C00" w14:textId="52867AF7" w:rsidR="00F2398A" w:rsidRPr="00A65125" w:rsidRDefault="00F2398A" w:rsidP="00A65125">
      <w:pPr>
        <w:ind w:hanging="709"/>
        <w:jc w:val="center"/>
        <w:rPr>
          <w:sz w:val="20"/>
          <w:szCs w:val="20"/>
          <w:lang w:val="en-MY" w:eastAsia="en-US"/>
        </w:rPr>
      </w:pPr>
      <w:r w:rsidRPr="00A65125">
        <w:rPr>
          <w:noProof/>
          <w:sz w:val="20"/>
          <w:szCs w:val="20"/>
          <w:lang w:eastAsia="en-US"/>
        </w:rPr>
        <w:drawing>
          <wp:inline distT="0" distB="0" distL="0" distR="0" wp14:anchorId="0C283D49" wp14:editId="12E37E0F">
            <wp:extent cx="9843663" cy="4680641"/>
            <wp:effectExtent l="19050" t="19050" r="24765" b="24765"/>
            <wp:docPr id="6" name="Picture 5">
              <a:hlinkClick xmlns:a="http://schemas.openxmlformats.org/drawingml/2006/main" r:id="rId21"/>
              <a:extLst xmlns:a="http://schemas.openxmlformats.org/drawingml/2006/main">
                <a:ext uri="{FF2B5EF4-FFF2-40B4-BE49-F238E27FC236}">
                  <a16:creationId xmlns:a16="http://schemas.microsoft.com/office/drawing/2014/main" id="{BA3B3E93-9B95-7183-9CD1-6866CA8D2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hlinkClick r:id="rId21"/>
                      <a:extLst>
                        <a:ext uri="{FF2B5EF4-FFF2-40B4-BE49-F238E27FC236}">
                          <a16:creationId xmlns:a16="http://schemas.microsoft.com/office/drawing/2014/main" id="{BA3B3E93-9B95-7183-9CD1-6866CA8D297C}"/>
                        </a:ext>
                      </a:extLst>
                    </pic:cNvPr>
                    <pic:cNvPicPr>
                      <a:picLocks noChangeAspect="1"/>
                    </pic:cNvPicPr>
                  </pic:nvPicPr>
                  <pic:blipFill>
                    <a:blip r:embed="rId22">
                      <a:extLst>
                        <a:ext uri="{BEBA8EAE-BF5A-486C-A8C5-ECC9F3942E4B}">
                          <a14:imgProps xmlns:a14="http://schemas.microsoft.com/office/drawing/2010/main">
                            <a14:imgLayer r:embed="rId23">
                              <a14:imgEffect>
                                <a14:colorTemperature colorTemp="7200"/>
                              </a14:imgEffect>
                            </a14:imgLayer>
                          </a14:imgProps>
                        </a:ext>
                      </a:extLst>
                    </a:blip>
                    <a:stretch>
                      <a:fillRect/>
                    </a:stretch>
                  </pic:blipFill>
                  <pic:spPr>
                    <a:xfrm>
                      <a:off x="0" y="0"/>
                      <a:ext cx="9872296" cy="4694256"/>
                    </a:xfrm>
                    <a:prstGeom prst="rect">
                      <a:avLst/>
                    </a:prstGeom>
                    <a:ln w="6350">
                      <a:solidFill>
                        <a:schemeClr val="bg1">
                          <a:lumMod val="85000"/>
                        </a:schemeClr>
                      </a:solidFill>
                    </a:ln>
                  </pic:spPr>
                </pic:pic>
              </a:graphicData>
            </a:graphic>
          </wp:inline>
        </w:drawing>
      </w:r>
    </w:p>
    <w:sectPr w:rsidR="00F2398A" w:rsidRPr="00A65125" w:rsidSect="00CE6833">
      <w:pgSz w:w="16838" w:h="11906"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8A0EA" w14:textId="77777777" w:rsidR="00122233" w:rsidRDefault="00122233">
      <w:r>
        <w:separator/>
      </w:r>
    </w:p>
  </w:endnote>
  <w:endnote w:type="continuationSeparator" w:id="0">
    <w:p w14:paraId="022E4531" w14:textId="77777777" w:rsidR="00122233" w:rsidRDefault="00122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 w:fontKey="{47B73503-681C-4FB4-8607-FB9C610546A1}"/>
    <w:embedItalic r:id="rId2" w:fontKey="{FDC8F541-88FD-4FE2-829F-EF4478BF4DD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3" w:fontKey="{F01193F4-DDD5-4EE7-AD60-7698770BC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052302"/>
      <w:docPartObj>
        <w:docPartGallery w:val="Page Numbers (Bottom of Page)"/>
        <w:docPartUnique/>
      </w:docPartObj>
    </w:sdtPr>
    <w:sdtEndPr>
      <w:rPr>
        <w:noProof/>
      </w:rPr>
    </w:sdtEndPr>
    <w:sdtContent>
      <w:p w14:paraId="2D3D08B0" w14:textId="53BFA2FA" w:rsidR="0081360F" w:rsidRDefault="008136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43D4C4" w14:textId="77777777" w:rsidR="0081360F" w:rsidRDefault="00813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A9271" w14:textId="77777777" w:rsidR="00122233" w:rsidRDefault="00122233">
      <w:r>
        <w:separator/>
      </w:r>
    </w:p>
  </w:footnote>
  <w:footnote w:type="continuationSeparator" w:id="0">
    <w:p w14:paraId="4D02D689" w14:textId="77777777" w:rsidR="00122233" w:rsidRDefault="00122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34E6E" w14:textId="77777777" w:rsidR="0081360F" w:rsidRDefault="0081360F" w:rsidP="00653907">
    <w:pPr>
      <w:pStyle w:val="Header"/>
      <w:rPr>
        <w:lang w:val="en-MY"/>
      </w:rPr>
    </w:pPr>
    <w:r w:rsidRPr="00512ADE">
      <w:t xml:space="preserve">Asian Journal of Accounting and Governance </w:t>
    </w:r>
    <w:r>
      <w:t xml:space="preserve">(2025) </w:t>
    </w:r>
    <w:r>
      <w:tab/>
    </w:r>
    <w:r w:rsidRPr="00653907">
      <w:rPr>
        <w:lang w:val="en-MY"/>
      </w:rPr>
      <w:t xml:space="preserve">ISSN2180-3838 </w:t>
    </w:r>
  </w:p>
  <w:p w14:paraId="10F4A12A" w14:textId="77777777" w:rsidR="0081360F" w:rsidRDefault="0081360F" w:rsidP="00653907">
    <w:pPr>
      <w:pStyle w:val="Header"/>
      <w:jc w:val="right"/>
      <w:rPr>
        <w:lang w:val="en-MY"/>
      </w:rPr>
    </w:pPr>
    <w:r w:rsidRPr="00653907">
      <w:rPr>
        <w:lang w:val="en-MY"/>
      </w:rPr>
      <w:t>e-ISSN2716-6060</w:t>
    </w:r>
  </w:p>
  <w:p w14:paraId="5947CF98" w14:textId="4CAA0D5B" w:rsidR="0081360F" w:rsidRDefault="0081360F" w:rsidP="00653907">
    <w:pPr>
      <w:pStyle w:val="Header"/>
      <w:jc w:val="center"/>
    </w:pPr>
    <w:r w:rsidRPr="00653907">
      <w:rPr>
        <w:lang w:val="en-MY"/>
      </w:rPr>
      <w:t>(http://dx.doi.org/</w:t>
    </w:r>
    <w:r>
      <w:rPr>
        <w:lang w:val="en-MY"/>
      </w:rPr>
      <w:t>xxxxxxxxxxxxx</w:t>
    </w:r>
    <w:r w:rsidRPr="00653907">
      <w:rPr>
        <w:lang w:val="en-MY"/>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1BA4"/>
    <w:multiLevelType w:val="hybridMultilevel"/>
    <w:tmpl w:val="3AD21C6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AA166B6"/>
    <w:multiLevelType w:val="hybridMultilevel"/>
    <w:tmpl w:val="AEF0B51C"/>
    <w:lvl w:ilvl="0" w:tplc="3D7E61D6">
      <w:start w:val="1"/>
      <w:numFmt w:val="lowerLetter"/>
      <w:lvlText w:val="%1."/>
      <w:lvlJc w:val="left"/>
      <w:pPr>
        <w:ind w:left="390" w:hanging="360"/>
      </w:pPr>
      <w:rPr>
        <w:rFonts w:hint="default"/>
      </w:rPr>
    </w:lvl>
    <w:lvl w:ilvl="1" w:tplc="44090019" w:tentative="1">
      <w:start w:val="1"/>
      <w:numFmt w:val="lowerLetter"/>
      <w:lvlText w:val="%2."/>
      <w:lvlJc w:val="left"/>
      <w:pPr>
        <w:ind w:left="1110" w:hanging="360"/>
      </w:pPr>
    </w:lvl>
    <w:lvl w:ilvl="2" w:tplc="4409001B" w:tentative="1">
      <w:start w:val="1"/>
      <w:numFmt w:val="lowerRoman"/>
      <w:lvlText w:val="%3."/>
      <w:lvlJc w:val="right"/>
      <w:pPr>
        <w:ind w:left="1830" w:hanging="180"/>
      </w:pPr>
    </w:lvl>
    <w:lvl w:ilvl="3" w:tplc="4409000F" w:tentative="1">
      <w:start w:val="1"/>
      <w:numFmt w:val="decimal"/>
      <w:lvlText w:val="%4."/>
      <w:lvlJc w:val="left"/>
      <w:pPr>
        <w:ind w:left="2550" w:hanging="360"/>
      </w:pPr>
    </w:lvl>
    <w:lvl w:ilvl="4" w:tplc="44090019" w:tentative="1">
      <w:start w:val="1"/>
      <w:numFmt w:val="lowerLetter"/>
      <w:lvlText w:val="%5."/>
      <w:lvlJc w:val="left"/>
      <w:pPr>
        <w:ind w:left="3270" w:hanging="360"/>
      </w:pPr>
    </w:lvl>
    <w:lvl w:ilvl="5" w:tplc="4409001B" w:tentative="1">
      <w:start w:val="1"/>
      <w:numFmt w:val="lowerRoman"/>
      <w:lvlText w:val="%6."/>
      <w:lvlJc w:val="right"/>
      <w:pPr>
        <w:ind w:left="3990" w:hanging="180"/>
      </w:pPr>
    </w:lvl>
    <w:lvl w:ilvl="6" w:tplc="4409000F" w:tentative="1">
      <w:start w:val="1"/>
      <w:numFmt w:val="decimal"/>
      <w:lvlText w:val="%7."/>
      <w:lvlJc w:val="left"/>
      <w:pPr>
        <w:ind w:left="4710" w:hanging="360"/>
      </w:pPr>
    </w:lvl>
    <w:lvl w:ilvl="7" w:tplc="44090019" w:tentative="1">
      <w:start w:val="1"/>
      <w:numFmt w:val="lowerLetter"/>
      <w:lvlText w:val="%8."/>
      <w:lvlJc w:val="left"/>
      <w:pPr>
        <w:ind w:left="5430" w:hanging="360"/>
      </w:pPr>
    </w:lvl>
    <w:lvl w:ilvl="8" w:tplc="4409001B" w:tentative="1">
      <w:start w:val="1"/>
      <w:numFmt w:val="lowerRoman"/>
      <w:lvlText w:val="%9."/>
      <w:lvlJc w:val="right"/>
      <w:pPr>
        <w:ind w:left="6150" w:hanging="180"/>
      </w:pPr>
    </w:lvl>
  </w:abstractNum>
  <w:abstractNum w:abstractNumId="2" w15:restartNumberingAfterBreak="0">
    <w:nsid w:val="1131476F"/>
    <w:multiLevelType w:val="hybridMultilevel"/>
    <w:tmpl w:val="2F36A14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DF7093E"/>
    <w:multiLevelType w:val="hybridMultilevel"/>
    <w:tmpl w:val="B344B68A"/>
    <w:lvl w:ilvl="0" w:tplc="798A3F88">
      <w:start w:val="1"/>
      <w:numFmt w:val="lowerLetter"/>
      <w:lvlText w:val="%1."/>
      <w:lvlJc w:val="left"/>
      <w:pPr>
        <w:ind w:left="401" w:hanging="360"/>
      </w:pPr>
      <w:rPr>
        <w:rFonts w:hint="default"/>
      </w:rPr>
    </w:lvl>
    <w:lvl w:ilvl="1" w:tplc="44090019" w:tentative="1">
      <w:start w:val="1"/>
      <w:numFmt w:val="lowerLetter"/>
      <w:lvlText w:val="%2."/>
      <w:lvlJc w:val="left"/>
      <w:pPr>
        <w:ind w:left="1121" w:hanging="360"/>
      </w:pPr>
    </w:lvl>
    <w:lvl w:ilvl="2" w:tplc="4409001B" w:tentative="1">
      <w:start w:val="1"/>
      <w:numFmt w:val="lowerRoman"/>
      <w:lvlText w:val="%3."/>
      <w:lvlJc w:val="right"/>
      <w:pPr>
        <w:ind w:left="1841" w:hanging="180"/>
      </w:pPr>
    </w:lvl>
    <w:lvl w:ilvl="3" w:tplc="4409000F" w:tentative="1">
      <w:start w:val="1"/>
      <w:numFmt w:val="decimal"/>
      <w:lvlText w:val="%4."/>
      <w:lvlJc w:val="left"/>
      <w:pPr>
        <w:ind w:left="2561" w:hanging="360"/>
      </w:pPr>
    </w:lvl>
    <w:lvl w:ilvl="4" w:tplc="44090019" w:tentative="1">
      <w:start w:val="1"/>
      <w:numFmt w:val="lowerLetter"/>
      <w:lvlText w:val="%5."/>
      <w:lvlJc w:val="left"/>
      <w:pPr>
        <w:ind w:left="3281" w:hanging="360"/>
      </w:pPr>
    </w:lvl>
    <w:lvl w:ilvl="5" w:tplc="4409001B" w:tentative="1">
      <w:start w:val="1"/>
      <w:numFmt w:val="lowerRoman"/>
      <w:lvlText w:val="%6."/>
      <w:lvlJc w:val="right"/>
      <w:pPr>
        <w:ind w:left="4001" w:hanging="180"/>
      </w:pPr>
    </w:lvl>
    <w:lvl w:ilvl="6" w:tplc="4409000F" w:tentative="1">
      <w:start w:val="1"/>
      <w:numFmt w:val="decimal"/>
      <w:lvlText w:val="%7."/>
      <w:lvlJc w:val="left"/>
      <w:pPr>
        <w:ind w:left="4721" w:hanging="360"/>
      </w:pPr>
    </w:lvl>
    <w:lvl w:ilvl="7" w:tplc="44090019" w:tentative="1">
      <w:start w:val="1"/>
      <w:numFmt w:val="lowerLetter"/>
      <w:lvlText w:val="%8."/>
      <w:lvlJc w:val="left"/>
      <w:pPr>
        <w:ind w:left="5441" w:hanging="360"/>
      </w:pPr>
    </w:lvl>
    <w:lvl w:ilvl="8" w:tplc="4409001B" w:tentative="1">
      <w:start w:val="1"/>
      <w:numFmt w:val="lowerRoman"/>
      <w:lvlText w:val="%9."/>
      <w:lvlJc w:val="right"/>
      <w:pPr>
        <w:ind w:left="6161" w:hanging="180"/>
      </w:pPr>
    </w:lvl>
  </w:abstractNum>
  <w:abstractNum w:abstractNumId="4" w15:restartNumberingAfterBreak="0">
    <w:nsid w:val="2F1452FB"/>
    <w:multiLevelType w:val="hybridMultilevel"/>
    <w:tmpl w:val="C19AE82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8486DBE"/>
    <w:multiLevelType w:val="hybridMultilevel"/>
    <w:tmpl w:val="9C8E7C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EC013AF"/>
    <w:multiLevelType w:val="hybridMultilevel"/>
    <w:tmpl w:val="D7F6B88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20C06AC"/>
    <w:multiLevelType w:val="hybridMultilevel"/>
    <w:tmpl w:val="C15A18F2"/>
    <w:lvl w:ilvl="0" w:tplc="7D665880">
      <w:start w:val="1"/>
      <w:numFmt w:val="lowerLetter"/>
      <w:lvlText w:val="%1."/>
      <w:lvlJc w:val="left"/>
      <w:pPr>
        <w:ind w:left="460" w:hanging="360"/>
      </w:pPr>
      <w:rPr>
        <w:rFonts w:hint="default"/>
      </w:rPr>
    </w:lvl>
    <w:lvl w:ilvl="1" w:tplc="44090019" w:tentative="1">
      <w:start w:val="1"/>
      <w:numFmt w:val="lowerLetter"/>
      <w:lvlText w:val="%2."/>
      <w:lvlJc w:val="left"/>
      <w:pPr>
        <w:ind w:left="1180" w:hanging="360"/>
      </w:pPr>
    </w:lvl>
    <w:lvl w:ilvl="2" w:tplc="4409001B" w:tentative="1">
      <w:start w:val="1"/>
      <w:numFmt w:val="lowerRoman"/>
      <w:lvlText w:val="%3."/>
      <w:lvlJc w:val="right"/>
      <w:pPr>
        <w:ind w:left="1900" w:hanging="180"/>
      </w:pPr>
    </w:lvl>
    <w:lvl w:ilvl="3" w:tplc="4409000F" w:tentative="1">
      <w:start w:val="1"/>
      <w:numFmt w:val="decimal"/>
      <w:lvlText w:val="%4."/>
      <w:lvlJc w:val="left"/>
      <w:pPr>
        <w:ind w:left="2620" w:hanging="360"/>
      </w:pPr>
    </w:lvl>
    <w:lvl w:ilvl="4" w:tplc="44090019" w:tentative="1">
      <w:start w:val="1"/>
      <w:numFmt w:val="lowerLetter"/>
      <w:lvlText w:val="%5."/>
      <w:lvlJc w:val="left"/>
      <w:pPr>
        <w:ind w:left="3340" w:hanging="360"/>
      </w:pPr>
    </w:lvl>
    <w:lvl w:ilvl="5" w:tplc="4409001B" w:tentative="1">
      <w:start w:val="1"/>
      <w:numFmt w:val="lowerRoman"/>
      <w:lvlText w:val="%6."/>
      <w:lvlJc w:val="right"/>
      <w:pPr>
        <w:ind w:left="4060" w:hanging="180"/>
      </w:pPr>
    </w:lvl>
    <w:lvl w:ilvl="6" w:tplc="4409000F" w:tentative="1">
      <w:start w:val="1"/>
      <w:numFmt w:val="decimal"/>
      <w:lvlText w:val="%7."/>
      <w:lvlJc w:val="left"/>
      <w:pPr>
        <w:ind w:left="4780" w:hanging="360"/>
      </w:pPr>
    </w:lvl>
    <w:lvl w:ilvl="7" w:tplc="44090019" w:tentative="1">
      <w:start w:val="1"/>
      <w:numFmt w:val="lowerLetter"/>
      <w:lvlText w:val="%8."/>
      <w:lvlJc w:val="left"/>
      <w:pPr>
        <w:ind w:left="5500" w:hanging="360"/>
      </w:pPr>
    </w:lvl>
    <w:lvl w:ilvl="8" w:tplc="4409001B" w:tentative="1">
      <w:start w:val="1"/>
      <w:numFmt w:val="lowerRoman"/>
      <w:lvlText w:val="%9."/>
      <w:lvlJc w:val="right"/>
      <w:pPr>
        <w:ind w:left="6220" w:hanging="180"/>
      </w:pPr>
    </w:lvl>
  </w:abstractNum>
  <w:abstractNum w:abstractNumId="8" w15:restartNumberingAfterBreak="0">
    <w:nsid w:val="483D1E65"/>
    <w:multiLevelType w:val="hybridMultilevel"/>
    <w:tmpl w:val="AEEE6DBC"/>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48CE3CEC"/>
    <w:multiLevelType w:val="hybridMultilevel"/>
    <w:tmpl w:val="C00AC05C"/>
    <w:lvl w:ilvl="0" w:tplc="0BDA1EB4">
      <w:start w:val="1"/>
      <w:numFmt w:val="lowerLetter"/>
      <w:lvlText w:val="%1."/>
      <w:lvlJc w:val="left"/>
      <w:pPr>
        <w:ind w:left="720" w:hanging="360"/>
      </w:pPr>
      <w:rPr>
        <w:rFonts w:hint="default"/>
        <w:sz w:val="22"/>
        <w:szCs w:val="1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55030CC3"/>
    <w:multiLevelType w:val="hybridMultilevel"/>
    <w:tmpl w:val="C4104CDA"/>
    <w:lvl w:ilvl="0" w:tplc="D32866D0">
      <w:start w:val="1"/>
      <w:numFmt w:val="lowerLetter"/>
      <w:lvlText w:val="%1."/>
      <w:lvlJc w:val="left"/>
      <w:pPr>
        <w:ind w:left="720" w:hanging="360"/>
      </w:pPr>
      <w:rPr>
        <w:rFonts w:hint="default"/>
        <w:sz w:val="22"/>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554570B2"/>
    <w:multiLevelType w:val="hybridMultilevel"/>
    <w:tmpl w:val="AFCEF5E6"/>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6B7829D3"/>
    <w:multiLevelType w:val="hybridMultilevel"/>
    <w:tmpl w:val="23DE4DA2"/>
    <w:lvl w:ilvl="0" w:tplc="5450189A">
      <w:start w:val="1"/>
      <w:numFmt w:val="lowerLetter"/>
      <w:lvlText w:val="%1."/>
      <w:lvlJc w:val="left"/>
      <w:pPr>
        <w:ind w:left="674" w:hanging="360"/>
      </w:pPr>
      <w:rPr>
        <w:rFonts w:hint="default"/>
      </w:rPr>
    </w:lvl>
    <w:lvl w:ilvl="1" w:tplc="44090019" w:tentative="1">
      <w:start w:val="1"/>
      <w:numFmt w:val="lowerLetter"/>
      <w:lvlText w:val="%2."/>
      <w:lvlJc w:val="left"/>
      <w:pPr>
        <w:ind w:left="1394" w:hanging="360"/>
      </w:pPr>
    </w:lvl>
    <w:lvl w:ilvl="2" w:tplc="4409001B" w:tentative="1">
      <w:start w:val="1"/>
      <w:numFmt w:val="lowerRoman"/>
      <w:lvlText w:val="%3."/>
      <w:lvlJc w:val="right"/>
      <w:pPr>
        <w:ind w:left="2114" w:hanging="180"/>
      </w:pPr>
    </w:lvl>
    <w:lvl w:ilvl="3" w:tplc="4409000F" w:tentative="1">
      <w:start w:val="1"/>
      <w:numFmt w:val="decimal"/>
      <w:lvlText w:val="%4."/>
      <w:lvlJc w:val="left"/>
      <w:pPr>
        <w:ind w:left="2834" w:hanging="360"/>
      </w:pPr>
    </w:lvl>
    <w:lvl w:ilvl="4" w:tplc="44090019" w:tentative="1">
      <w:start w:val="1"/>
      <w:numFmt w:val="lowerLetter"/>
      <w:lvlText w:val="%5."/>
      <w:lvlJc w:val="left"/>
      <w:pPr>
        <w:ind w:left="3554" w:hanging="360"/>
      </w:pPr>
    </w:lvl>
    <w:lvl w:ilvl="5" w:tplc="4409001B" w:tentative="1">
      <w:start w:val="1"/>
      <w:numFmt w:val="lowerRoman"/>
      <w:lvlText w:val="%6."/>
      <w:lvlJc w:val="right"/>
      <w:pPr>
        <w:ind w:left="4274" w:hanging="180"/>
      </w:pPr>
    </w:lvl>
    <w:lvl w:ilvl="6" w:tplc="4409000F" w:tentative="1">
      <w:start w:val="1"/>
      <w:numFmt w:val="decimal"/>
      <w:lvlText w:val="%7."/>
      <w:lvlJc w:val="left"/>
      <w:pPr>
        <w:ind w:left="4994" w:hanging="360"/>
      </w:pPr>
    </w:lvl>
    <w:lvl w:ilvl="7" w:tplc="44090019" w:tentative="1">
      <w:start w:val="1"/>
      <w:numFmt w:val="lowerLetter"/>
      <w:lvlText w:val="%8."/>
      <w:lvlJc w:val="left"/>
      <w:pPr>
        <w:ind w:left="5714" w:hanging="360"/>
      </w:pPr>
    </w:lvl>
    <w:lvl w:ilvl="8" w:tplc="4409001B" w:tentative="1">
      <w:start w:val="1"/>
      <w:numFmt w:val="lowerRoman"/>
      <w:lvlText w:val="%9."/>
      <w:lvlJc w:val="right"/>
      <w:pPr>
        <w:ind w:left="6434" w:hanging="180"/>
      </w:pPr>
    </w:lvl>
  </w:abstractNum>
  <w:abstractNum w:abstractNumId="13" w15:restartNumberingAfterBreak="0">
    <w:nsid w:val="6D3550D3"/>
    <w:multiLevelType w:val="hybridMultilevel"/>
    <w:tmpl w:val="4BD8068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7A514120"/>
    <w:multiLevelType w:val="hybridMultilevel"/>
    <w:tmpl w:val="BA6C56E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7A932BA7"/>
    <w:multiLevelType w:val="hybridMultilevel"/>
    <w:tmpl w:val="63E23184"/>
    <w:lvl w:ilvl="0" w:tplc="B2260698">
      <w:start w:val="2"/>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7F0E07C1"/>
    <w:multiLevelType w:val="hybridMultilevel"/>
    <w:tmpl w:val="99FE3426"/>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1"/>
  </w:num>
  <w:num w:numId="2">
    <w:abstractNumId w:val="8"/>
  </w:num>
  <w:num w:numId="3">
    <w:abstractNumId w:val="15"/>
  </w:num>
  <w:num w:numId="4">
    <w:abstractNumId w:val="5"/>
  </w:num>
  <w:num w:numId="5">
    <w:abstractNumId w:val="4"/>
  </w:num>
  <w:num w:numId="6">
    <w:abstractNumId w:val="7"/>
  </w:num>
  <w:num w:numId="7">
    <w:abstractNumId w:val="6"/>
  </w:num>
  <w:num w:numId="8">
    <w:abstractNumId w:val="3"/>
  </w:num>
  <w:num w:numId="9">
    <w:abstractNumId w:val="9"/>
  </w:num>
  <w:num w:numId="10">
    <w:abstractNumId w:val="10"/>
  </w:num>
  <w:num w:numId="11">
    <w:abstractNumId w:val="1"/>
  </w:num>
  <w:num w:numId="12">
    <w:abstractNumId w:val="12"/>
  </w:num>
  <w:num w:numId="13">
    <w:abstractNumId w:val="2"/>
  </w:num>
  <w:num w:numId="14">
    <w:abstractNumId w:val="16"/>
  </w:num>
  <w:num w:numId="15">
    <w:abstractNumId w:val="13"/>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43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CB8"/>
    <w:rsid w:val="00000358"/>
    <w:rsid w:val="0000167E"/>
    <w:rsid w:val="00002C1F"/>
    <w:rsid w:val="00013DAF"/>
    <w:rsid w:val="00013EF3"/>
    <w:rsid w:val="00015807"/>
    <w:rsid w:val="00020B3B"/>
    <w:rsid w:val="000323CC"/>
    <w:rsid w:val="000357AC"/>
    <w:rsid w:val="0004187D"/>
    <w:rsid w:val="000468D3"/>
    <w:rsid w:val="000535B9"/>
    <w:rsid w:val="0005703D"/>
    <w:rsid w:val="0005719D"/>
    <w:rsid w:val="00062A92"/>
    <w:rsid w:val="0006497C"/>
    <w:rsid w:val="000649DA"/>
    <w:rsid w:val="00086379"/>
    <w:rsid w:val="0009264D"/>
    <w:rsid w:val="00093FD5"/>
    <w:rsid w:val="000A7DA5"/>
    <w:rsid w:val="000B0EC8"/>
    <w:rsid w:val="000C4DF1"/>
    <w:rsid w:val="000D0405"/>
    <w:rsid w:val="000D4493"/>
    <w:rsid w:val="000D4557"/>
    <w:rsid w:val="000D6560"/>
    <w:rsid w:val="000D75F9"/>
    <w:rsid w:val="000D7BB4"/>
    <w:rsid w:val="000E5448"/>
    <w:rsid w:val="000E5460"/>
    <w:rsid w:val="000F6D89"/>
    <w:rsid w:val="00102883"/>
    <w:rsid w:val="0011157D"/>
    <w:rsid w:val="0011545D"/>
    <w:rsid w:val="00117416"/>
    <w:rsid w:val="00122233"/>
    <w:rsid w:val="0012562C"/>
    <w:rsid w:val="001264BF"/>
    <w:rsid w:val="00130687"/>
    <w:rsid w:val="001317F8"/>
    <w:rsid w:val="001368C0"/>
    <w:rsid w:val="00143F7A"/>
    <w:rsid w:val="00156E5D"/>
    <w:rsid w:val="001604A4"/>
    <w:rsid w:val="00161A00"/>
    <w:rsid w:val="0016428E"/>
    <w:rsid w:val="00165174"/>
    <w:rsid w:val="00172EF5"/>
    <w:rsid w:val="00173B7B"/>
    <w:rsid w:val="00174BF2"/>
    <w:rsid w:val="00174D1F"/>
    <w:rsid w:val="00176F3F"/>
    <w:rsid w:val="00180619"/>
    <w:rsid w:val="00180E7D"/>
    <w:rsid w:val="00180FE0"/>
    <w:rsid w:val="0018658C"/>
    <w:rsid w:val="001867BB"/>
    <w:rsid w:val="00193264"/>
    <w:rsid w:val="00194CF4"/>
    <w:rsid w:val="00195AEB"/>
    <w:rsid w:val="001B1F0A"/>
    <w:rsid w:val="001B24E9"/>
    <w:rsid w:val="001C7CD8"/>
    <w:rsid w:val="001D5A42"/>
    <w:rsid w:val="001E1AA6"/>
    <w:rsid w:val="001E4085"/>
    <w:rsid w:val="001E4A41"/>
    <w:rsid w:val="001E5E65"/>
    <w:rsid w:val="001E7104"/>
    <w:rsid w:val="001F54BC"/>
    <w:rsid w:val="001F725A"/>
    <w:rsid w:val="002000CB"/>
    <w:rsid w:val="00206111"/>
    <w:rsid w:val="00207CB8"/>
    <w:rsid w:val="00214D67"/>
    <w:rsid w:val="00216046"/>
    <w:rsid w:val="00232682"/>
    <w:rsid w:val="00250528"/>
    <w:rsid w:val="00252121"/>
    <w:rsid w:val="00254F98"/>
    <w:rsid w:val="00256EBB"/>
    <w:rsid w:val="002639A9"/>
    <w:rsid w:val="00277517"/>
    <w:rsid w:val="002876A7"/>
    <w:rsid w:val="00292A10"/>
    <w:rsid w:val="0029651D"/>
    <w:rsid w:val="002A474C"/>
    <w:rsid w:val="002A59ED"/>
    <w:rsid w:val="002A6D42"/>
    <w:rsid w:val="002A6F14"/>
    <w:rsid w:val="002B0CEC"/>
    <w:rsid w:val="002B6C22"/>
    <w:rsid w:val="002C2DBB"/>
    <w:rsid w:val="002C6735"/>
    <w:rsid w:val="002C6D01"/>
    <w:rsid w:val="002D030D"/>
    <w:rsid w:val="002D5565"/>
    <w:rsid w:val="002D7BA2"/>
    <w:rsid w:val="002E0F3D"/>
    <w:rsid w:val="002E269A"/>
    <w:rsid w:val="002F6D41"/>
    <w:rsid w:val="003016BA"/>
    <w:rsid w:val="003045D3"/>
    <w:rsid w:val="00324868"/>
    <w:rsid w:val="0032698A"/>
    <w:rsid w:val="0034018D"/>
    <w:rsid w:val="003418DA"/>
    <w:rsid w:val="00343689"/>
    <w:rsid w:val="0034424F"/>
    <w:rsid w:val="003600A6"/>
    <w:rsid w:val="00371254"/>
    <w:rsid w:val="0037262C"/>
    <w:rsid w:val="00372C67"/>
    <w:rsid w:val="0037491A"/>
    <w:rsid w:val="00382F41"/>
    <w:rsid w:val="003850E8"/>
    <w:rsid w:val="00391DB1"/>
    <w:rsid w:val="00394F50"/>
    <w:rsid w:val="003967A8"/>
    <w:rsid w:val="003A33DC"/>
    <w:rsid w:val="003B48E9"/>
    <w:rsid w:val="003B740A"/>
    <w:rsid w:val="003C5991"/>
    <w:rsid w:val="003D0CB2"/>
    <w:rsid w:val="003E10AB"/>
    <w:rsid w:val="003E1588"/>
    <w:rsid w:val="003F157D"/>
    <w:rsid w:val="003F60D7"/>
    <w:rsid w:val="00402C2F"/>
    <w:rsid w:val="0041361D"/>
    <w:rsid w:val="00414037"/>
    <w:rsid w:val="00415A3B"/>
    <w:rsid w:val="00427DB0"/>
    <w:rsid w:val="00430266"/>
    <w:rsid w:val="00433470"/>
    <w:rsid w:val="004368B9"/>
    <w:rsid w:val="00437368"/>
    <w:rsid w:val="00440E07"/>
    <w:rsid w:val="004431AF"/>
    <w:rsid w:val="00447CCB"/>
    <w:rsid w:val="00450553"/>
    <w:rsid w:val="004545BF"/>
    <w:rsid w:val="00454DD6"/>
    <w:rsid w:val="00466AC2"/>
    <w:rsid w:val="00470DA6"/>
    <w:rsid w:val="004849C7"/>
    <w:rsid w:val="004936F9"/>
    <w:rsid w:val="0049395D"/>
    <w:rsid w:val="00495028"/>
    <w:rsid w:val="004A37CC"/>
    <w:rsid w:val="004A79B7"/>
    <w:rsid w:val="004B67BD"/>
    <w:rsid w:val="004D317B"/>
    <w:rsid w:val="004D3A67"/>
    <w:rsid w:val="004D573D"/>
    <w:rsid w:val="004D58CF"/>
    <w:rsid w:val="004E0FA0"/>
    <w:rsid w:val="004E3A69"/>
    <w:rsid w:val="004E56F6"/>
    <w:rsid w:val="004E69A7"/>
    <w:rsid w:val="004E6DFF"/>
    <w:rsid w:val="004F47FD"/>
    <w:rsid w:val="004F5106"/>
    <w:rsid w:val="00504FCE"/>
    <w:rsid w:val="00505C89"/>
    <w:rsid w:val="005117BA"/>
    <w:rsid w:val="00512046"/>
    <w:rsid w:val="00513D3D"/>
    <w:rsid w:val="0052792C"/>
    <w:rsid w:val="00530877"/>
    <w:rsid w:val="0053297C"/>
    <w:rsid w:val="00534BA4"/>
    <w:rsid w:val="00542679"/>
    <w:rsid w:val="005437A6"/>
    <w:rsid w:val="00554EAD"/>
    <w:rsid w:val="005574D9"/>
    <w:rsid w:val="005653B1"/>
    <w:rsid w:val="00571DC6"/>
    <w:rsid w:val="005764C7"/>
    <w:rsid w:val="005816B8"/>
    <w:rsid w:val="005865AF"/>
    <w:rsid w:val="00587DDF"/>
    <w:rsid w:val="00591560"/>
    <w:rsid w:val="00593684"/>
    <w:rsid w:val="00593B5B"/>
    <w:rsid w:val="00595A0C"/>
    <w:rsid w:val="005C05C6"/>
    <w:rsid w:val="005C0EAC"/>
    <w:rsid w:val="005C1C40"/>
    <w:rsid w:val="005C413D"/>
    <w:rsid w:val="005C7143"/>
    <w:rsid w:val="005D13CD"/>
    <w:rsid w:val="005D13FA"/>
    <w:rsid w:val="005D5A32"/>
    <w:rsid w:val="005D73E4"/>
    <w:rsid w:val="005E0EF9"/>
    <w:rsid w:val="005E1831"/>
    <w:rsid w:val="005E59CA"/>
    <w:rsid w:val="005E67B1"/>
    <w:rsid w:val="006000FF"/>
    <w:rsid w:val="00603E24"/>
    <w:rsid w:val="0060710D"/>
    <w:rsid w:val="00611D05"/>
    <w:rsid w:val="006150A7"/>
    <w:rsid w:val="006330E9"/>
    <w:rsid w:val="00634ABC"/>
    <w:rsid w:val="00635250"/>
    <w:rsid w:val="0064087F"/>
    <w:rsid w:val="0064298A"/>
    <w:rsid w:val="0064463F"/>
    <w:rsid w:val="00646F06"/>
    <w:rsid w:val="00652822"/>
    <w:rsid w:val="00653896"/>
    <w:rsid w:val="00653907"/>
    <w:rsid w:val="00656832"/>
    <w:rsid w:val="00657ABF"/>
    <w:rsid w:val="00661D87"/>
    <w:rsid w:val="00671A90"/>
    <w:rsid w:val="006731E0"/>
    <w:rsid w:val="00674B72"/>
    <w:rsid w:val="00682B4A"/>
    <w:rsid w:val="00684FAB"/>
    <w:rsid w:val="0068710E"/>
    <w:rsid w:val="00687B3A"/>
    <w:rsid w:val="006914EF"/>
    <w:rsid w:val="00693314"/>
    <w:rsid w:val="00693646"/>
    <w:rsid w:val="00695253"/>
    <w:rsid w:val="006A2F0C"/>
    <w:rsid w:val="006A4265"/>
    <w:rsid w:val="006A523D"/>
    <w:rsid w:val="006A5346"/>
    <w:rsid w:val="006B0078"/>
    <w:rsid w:val="006B1B7B"/>
    <w:rsid w:val="006C6997"/>
    <w:rsid w:val="006D039C"/>
    <w:rsid w:val="006D2A02"/>
    <w:rsid w:val="006E1FB7"/>
    <w:rsid w:val="006F1526"/>
    <w:rsid w:val="006F4797"/>
    <w:rsid w:val="0070755B"/>
    <w:rsid w:val="00707AD2"/>
    <w:rsid w:val="00707D85"/>
    <w:rsid w:val="00714545"/>
    <w:rsid w:val="00715145"/>
    <w:rsid w:val="0071582C"/>
    <w:rsid w:val="00715A38"/>
    <w:rsid w:val="00722915"/>
    <w:rsid w:val="007241B3"/>
    <w:rsid w:val="00725FB3"/>
    <w:rsid w:val="007261E0"/>
    <w:rsid w:val="007261F0"/>
    <w:rsid w:val="00726D3A"/>
    <w:rsid w:val="00731CCA"/>
    <w:rsid w:val="00735415"/>
    <w:rsid w:val="007366EE"/>
    <w:rsid w:val="00746558"/>
    <w:rsid w:val="00753289"/>
    <w:rsid w:val="00766F13"/>
    <w:rsid w:val="007738CC"/>
    <w:rsid w:val="00774386"/>
    <w:rsid w:val="007766FF"/>
    <w:rsid w:val="00776790"/>
    <w:rsid w:val="00777F85"/>
    <w:rsid w:val="00781C80"/>
    <w:rsid w:val="00794223"/>
    <w:rsid w:val="007A4E2C"/>
    <w:rsid w:val="007B7873"/>
    <w:rsid w:val="007C3A8B"/>
    <w:rsid w:val="007C4506"/>
    <w:rsid w:val="007D4296"/>
    <w:rsid w:val="007D6460"/>
    <w:rsid w:val="007E5DE0"/>
    <w:rsid w:val="007F0737"/>
    <w:rsid w:val="007F19D4"/>
    <w:rsid w:val="007F4167"/>
    <w:rsid w:val="00810B7C"/>
    <w:rsid w:val="00812AE1"/>
    <w:rsid w:val="0081360F"/>
    <w:rsid w:val="00814883"/>
    <w:rsid w:val="0082192F"/>
    <w:rsid w:val="00822479"/>
    <w:rsid w:val="00827B6D"/>
    <w:rsid w:val="00834E5C"/>
    <w:rsid w:val="00836AE0"/>
    <w:rsid w:val="00842C53"/>
    <w:rsid w:val="00850F4F"/>
    <w:rsid w:val="00854E34"/>
    <w:rsid w:val="00857782"/>
    <w:rsid w:val="00860115"/>
    <w:rsid w:val="008602B7"/>
    <w:rsid w:val="008625D5"/>
    <w:rsid w:val="008752C6"/>
    <w:rsid w:val="008770D7"/>
    <w:rsid w:val="0088472F"/>
    <w:rsid w:val="00884D89"/>
    <w:rsid w:val="008A1A8C"/>
    <w:rsid w:val="008A248B"/>
    <w:rsid w:val="008A55C7"/>
    <w:rsid w:val="008A5DAC"/>
    <w:rsid w:val="008A7299"/>
    <w:rsid w:val="008B3293"/>
    <w:rsid w:val="008C0885"/>
    <w:rsid w:val="008C1007"/>
    <w:rsid w:val="008D0FD5"/>
    <w:rsid w:val="008D135E"/>
    <w:rsid w:val="008D30EE"/>
    <w:rsid w:val="008D4BA0"/>
    <w:rsid w:val="008D6C61"/>
    <w:rsid w:val="008D72E5"/>
    <w:rsid w:val="008D7B44"/>
    <w:rsid w:val="008E0E24"/>
    <w:rsid w:val="008F0AC6"/>
    <w:rsid w:val="008F328F"/>
    <w:rsid w:val="0090218E"/>
    <w:rsid w:val="009100D3"/>
    <w:rsid w:val="00916969"/>
    <w:rsid w:val="00927E77"/>
    <w:rsid w:val="00930F79"/>
    <w:rsid w:val="0093203D"/>
    <w:rsid w:val="0094154A"/>
    <w:rsid w:val="00941BCE"/>
    <w:rsid w:val="009445F3"/>
    <w:rsid w:val="0094521A"/>
    <w:rsid w:val="00956CD1"/>
    <w:rsid w:val="00961456"/>
    <w:rsid w:val="00961B17"/>
    <w:rsid w:val="00971030"/>
    <w:rsid w:val="00977A74"/>
    <w:rsid w:val="009802B8"/>
    <w:rsid w:val="0098174B"/>
    <w:rsid w:val="00995C66"/>
    <w:rsid w:val="009A05A7"/>
    <w:rsid w:val="009A4BE0"/>
    <w:rsid w:val="009A4E53"/>
    <w:rsid w:val="009B28F0"/>
    <w:rsid w:val="009B63D6"/>
    <w:rsid w:val="009C1DB4"/>
    <w:rsid w:val="009C3984"/>
    <w:rsid w:val="009C68C9"/>
    <w:rsid w:val="009D338B"/>
    <w:rsid w:val="009E02D9"/>
    <w:rsid w:val="009E1071"/>
    <w:rsid w:val="009E12C2"/>
    <w:rsid w:val="00A04BBE"/>
    <w:rsid w:val="00A068C9"/>
    <w:rsid w:val="00A07097"/>
    <w:rsid w:val="00A12B5F"/>
    <w:rsid w:val="00A12ED8"/>
    <w:rsid w:val="00A32100"/>
    <w:rsid w:val="00A3592E"/>
    <w:rsid w:val="00A51E62"/>
    <w:rsid w:val="00A53468"/>
    <w:rsid w:val="00A566B9"/>
    <w:rsid w:val="00A65125"/>
    <w:rsid w:val="00A7159A"/>
    <w:rsid w:val="00A72F82"/>
    <w:rsid w:val="00A74B29"/>
    <w:rsid w:val="00A77D28"/>
    <w:rsid w:val="00A81C2B"/>
    <w:rsid w:val="00A85FB2"/>
    <w:rsid w:val="00A879C9"/>
    <w:rsid w:val="00A90B2A"/>
    <w:rsid w:val="00A94075"/>
    <w:rsid w:val="00A945FB"/>
    <w:rsid w:val="00A9640B"/>
    <w:rsid w:val="00A96AFD"/>
    <w:rsid w:val="00AA11F7"/>
    <w:rsid w:val="00AA2ACE"/>
    <w:rsid w:val="00AB4129"/>
    <w:rsid w:val="00AC0C92"/>
    <w:rsid w:val="00AC6CC1"/>
    <w:rsid w:val="00AC7FCB"/>
    <w:rsid w:val="00AD000E"/>
    <w:rsid w:val="00AE4042"/>
    <w:rsid w:val="00AE412E"/>
    <w:rsid w:val="00AE6BFD"/>
    <w:rsid w:val="00B16759"/>
    <w:rsid w:val="00B2388F"/>
    <w:rsid w:val="00B24812"/>
    <w:rsid w:val="00B24B98"/>
    <w:rsid w:val="00B24F99"/>
    <w:rsid w:val="00B310FB"/>
    <w:rsid w:val="00B45455"/>
    <w:rsid w:val="00B45B8B"/>
    <w:rsid w:val="00B475E0"/>
    <w:rsid w:val="00B506CD"/>
    <w:rsid w:val="00B55382"/>
    <w:rsid w:val="00B61957"/>
    <w:rsid w:val="00B70BFA"/>
    <w:rsid w:val="00B71E62"/>
    <w:rsid w:val="00B74296"/>
    <w:rsid w:val="00B74FC3"/>
    <w:rsid w:val="00B76408"/>
    <w:rsid w:val="00B80925"/>
    <w:rsid w:val="00B83B02"/>
    <w:rsid w:val="00B8534D"/>
    <w:rsid w:val="00B853A7"/>
    <w:rsid w:val="00B92996"/>
    <w:rsid w:val="00B92EED"/>
    <w:rsid w:val="00B97344"/>
    <w:rsid w:val="00B97EFD"/>
    <w:rsid w:val="00BA694D"/>
    <w:rsid w:val="00BA7070"/>
    <w:rsid w:val="00BA7AE0"/>
    <w:rsid w:val="00BB30E2"/>
    <w:rsid w:val="00BB3D67"/>
    <w:rsid w:val="00BB533C"/>
    <w:rsid w:val="00BC4697"/>
    <w:rsid w:val="00BD7091"/>
    <w:rsid w:val="00BE23B9"/>
    <w:rsid w:val="00BF2DCB"/>
    <w:rsid w:val="00C01A1C"/>
    <w:rsid w:val="00C04A78"/>
    <w:rsid w:val="00C1204E"/>
    <w:rsid w:val="00C1305C"/>
    <w:rsid w:val="00C26A43"/>
    <w:rsid w:val="00C27103"/>
    <w:rsid w:val="00C37B57"/>
    <w:rsid w:val="00C44D7E"/>
    <w:rsid w:val="00C51159"/>
    <w:rsid w:val="00C55F9E"/>
    <w:rsid w:val="00C564F6"/>
    <w:rsid w:val="00C728E9"/>
    <w:rsid w:val="00C753AE"/>
    <w:rsid w:val="00C81502"/>
    <w:rsid w:val="00C825A5"/>
    <w:rsid w:val="00C900AE"/>
    <w:rsid w:val="00C90D7B"/>
    <w:rsid w:val="00C92377"/>
    <w:rsid w:val="00C953DA"/>
    <w:rsid w:val="00C971D7"/>
    <w:rsid w:val="00CA216C"/>
    <w:rsid w:val="00CA3B2A"/>
    <w:rsid w:val="00CB0A18"/>
    <w:rsid w:val="00CB244C"/>
    <w:rsid w:val="00CB33EB"/>
    <w:rsid w:val="00CB584B"/>
    <w:rsid w:val="00CC2E5C"/>
    <w:rsid w:val="00CC5CBF"/>
    <w:rsid w:val="00CC5FFB"/>
    <w:rsid w:val="00CC7AB9"/>
    <w:rsid w:val="00CD0919"/>
    <w:rsid w:val="00CD0C65"/>
    <w:rsid w:val="00CD34A5"/>
    <w:rsid w:val="00CD3FED"/>
    <w:rsid w:val="00CD521A"/>
    <w:rsid w:val="00CD6A6C"/>
    <w:rsid w:val="00CE5985"/>
    <w:rsid w:val="00CE6833"/>
    <w:rsid w:val="00CE69FB"/>
    <w:rsid w:val="00CE6B26"/>
    <w:rsid w:val="00CF0E2B"/>
    <w:rsid w:val="00CF37FA"/>
    <w:rsid w:val="00CF5AE7"/>
    <w:rsid w:val="00D01A15"/>
    <w:rsid w:val="00D07740"/>
    <w:rsid w:val="00D10360"/>
    <w:rsid w:val="00D119AD"/>
    <w:rsid w:val="00D12687"/>
    <w:rsid w:val="00D12B45"/>
    <w:rsid w:val="00D136CC"/>
    <w:rsid w:val="00D21042"/>
    <w:rsid w:val="00D31E0A"/>
    <w:rsid w:val="00D32DA6"/>
    <w:rsid w:val="00D372B8"/>
    <w:rsid w:val="00D45E42"/>
    <w:rsid w:val="00D5219F"/>
    <w:rsid w:val="00D527EB"/>
    <w:rsid w:val="00D672E7"/>
    <w:rsid w:val="00D67D37"/>
    <w:rsid w:val="00D7261F"/>
    <w:rsid w:val="00D76E70"/>
    <w:rsid w:val="00D854AC"/>
    <w:rsid w:val="00DA3A07"/>
    <w:rsid w:val="00DA5F6F"/>
    <w:rsid w:val="00DA7637"/>
    <w:rsid w:val="00DB0A8F"/>
    <w:rsid w:val="00DC0EC8"/>
    <w:rsid w:val="00DC3C38"/>
    <w:rsid w:val="00DC3F6D"/>
    <w:rsid w:val="00DF30C8"/>
    <w:rsid w:val="00DF3117"/>
    <w:rsid w:val="00DF7ADB"/>
    <w:rsid w:val="00E014C8"/>
    <w:rsid w:val="00E01C68"/>
    <w:rsid w:val="00E13558"/>
    <w:rsid w:val="00E21E99"/>
    <w:rsid w:val="00E265D4"/>
    <w:rsid w:val="00E32490"/>
    <w:rsid w:val="00E40392"/>
    <w:rsid w:val="00E44261"/>
    <w:rsid w:val="00E45E64"/>
    <w:rsid w:val="00E473DA"/>
    <w:rsid w:val="00E52F95"/>
    <w:rsid w:val="00E610C2"/>
    <w:rsid w:val="00E76891"/>
    <w:rsid w:val="00E76C5F"/>
    <w:rsid w:val="00E80CF8"/>
    <w:rsid w:val="00E8410F"/>
    <w:rsid w:val="00E858E9"/>
    <w:rsid w:val="00E87267"/>
    <w:rsid w:val="00E873A0"/>
    <w:rsid w:val="00E90236"/>
    <w:rsid w:val="00E930A5"/>
    <w:rsid w:val="00E9438E"/>
    <w:rsid w:val="00E96B88"/>
    <w:rsid w:val="00EB2CC2"/>
    <w:rsid w:val="00EB2EF2"/>
    <w:rsid w:val="00EB3519"/>
    <w:rsid w:val="00EC049D"/>
    <w:rsid w:val="00EC2565"/>
    <w:rsid w:val="00EC3B3F"/>
    <w:rsid w:val="00ED403B"/>
    <w:rsid w:val="00EE157F"/>
    <w:rsid w:val="00EE66C3"/>
    <w:rsid w:val="00EF3B8A"/>
    <w:rsid w:val="00F03781"/>
    <w:rsid w:val="00F11BC5"/>
    <w:rsid w:val="00F126A6"/>
    <w:rsid w:val="00F12909"/>
    <w:rsid w:val="00F209AF"/>
    <w:rsid w:val="00F21980"/>
    <w:rsid w:val="00F2398A"/>
    <w:rsid w:val="00F26CA9"/>
    <w:rsid w:val="00F30B58"/>
    <w:rsid w:val="00F32E8C"/>
    <w:rsid w:val="00F34354"/>
    <w:rsid w:val="00F36751"/>
    <w:rsid w:val="00F4027E"/>
    <w:rsid w:val="00F44E1F"/>
    <w:rsid w:val="00F45D79"/>
    <w:rsid w:val="00F504A8"/>
    <w:rsid w:val="00F56C76"/>
    <w:rsid w:val="00F6103F"/>
    <w:rsid w:val="00F63CFC"/>
    <w:rsid w:val="00F71657"/>
    <w:rsid w:val="00F723CA"/>
    <w:rsid w:val="00F72570"/>
    <w:rsid w:val="00F8143F"/>
    <w:rsid w:val="00F842D9"/>
    <w:rsid w:val="00F8517F"/>
    <w:rsid w:val="00F93970"/>
    <w:rsid w:val="00F96287"/>
    <w:rsid w:val="00FB4B79"/>
    <w:rsid w:val="00FC1CCB"/>
    <w:rsid w:val="00FC74D0"/>
    <w:rsid w:val="00FE403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B235E"/>
  <w15:docId w15:val="{FB9BC70C-77E5-41D2-8DE0-E1F226E2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MY"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4CD"/>
  </w:style>
  <w:style w:type="paragraph" w:styleId="Heading1">
    <w:name w:val="heading 1"/>
    <w:basedOn w:val="Normal"/>
    <w:next w:val="Normal"/>
    <w:link w:val="Heading1Char"/>
    <w:uiPriority w:val="9"/>
    <w:qFormat/>
    <w:rsid w:val="00372C67"/>
    <w:pPr>
      <w:keepNext/>
      <w:keepLines/>
      <w:jc w:val="center"/>
      <w:outlineLvl w:val="0"/>
    </w:pPr>
    <w:rPr>
      <w:rFonts w:eastAsiaTheme="majorEastAsia" w:cstheme="majorBidi"/>
      <w:iCs/>
      <w:kern w:val="2"/>
      <w:szCs w:val="40"/>
      <w:lang w:val="en-MY" w:eastAsia="en-US"/>
    </w:rPr>
  </w:style>
  <w:style w:type="paragraph" w:styleId="Heading2">
    <w:name w:val="heading 2"/>
    <w:basedOn w:val="Normal"/>
    <w:next w:val="Normal"/>
    <w:link w:val="Heading2Char"/>
    <w:autoRedefine/>
    <w:uiPriority w:val="9"/>
    <w:unhideWhenUsed/>
    <w:qFormat/>
    <w:rsid w:val="005764C7"/>
    <w:pPr>
      <w:keepNext/>
      <w:keepLines/>
      <w:jc w:val="center"/>
      <w:outlineLvl w:val="1"/>
    </w:pPr>
    <w:rPr>
      <w:rFonts w:cstheme="majorBidi"/>
      <w:caps/>
      <w:kern w:val="2"/>
      <w:sz w:val="18"/>
      <w:szCs w:val="32"/>
      <w:lang w:val="en-MY" w:eastAsia="en-US"/>
    </w:rPr>
  </w:style>
  <w:style w:type="paragraph" w:styleId="Heading3">
    <w:name w:val="heading 3"/>
    <w:basedOn w:val="Normal"/>
    <w:next w:val="Normal"/>
    <w:link w:val="Heading3Char"/>
    <w:uiPriority w:val="9"/>
    <w:semiHidden/>
    <w:unhideWhenUsed/>
    <w:qFormat/>
    <w:rsid w:val="00E314CD"/>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MY" w:eastAsia="en-US"/>
    </w:rPr>
  </w:style>
  <w:style w:type="paragraph" w:styleId="Heading4">
    <w:name w:val="heading 4"/>
    <w:basedOn w:val="Normal"/>
    <w:next w:val="Normal"/>
    <w:link w:val="Heading4Char"/>
    <w:uiPriority w:val="9"/>
    <w:semiHidden/>
    <w:unhideWhenUsed/>
    <w:qFormat/>
    <w:rsid w:val="00E314CD"/>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n-MY" w:eastAsia="en-US"/>
    </w:rPr>
  </w:style>
  <w:style w:type="paragraph" w:styleId="Heading5">
    <w:name w:val="heading 5"/>
    <w:basedOn w:val="Normal"/>
    <w:next w:val="Normal"/>
    <w:link w:val="Heading5Char"/>
    <w:uiPriority w:val="9"/>
    <w:semiHidden/>
    <w:unhideWhenUsed/>
    <w:qFormat/>
    <w:rsid w:val="00E314CD"/>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en-MY" w:eastAsia="en-US"/>
    </w:rPr>
  </w:style>
  <w:style w:type="paragraph" w:styleId="Heading6">
    <w:name w:val="heading 6"/>
    <w:basedOn w:val="Normal"/>
    <w:next w:val="Normal"/>
    <w:link w:val="Heading6Char"/>
    <w:uiPriority w:val="9"/>
    <w:semiHidden/>
    <w:unhideWhenUsed/>
    <w:qFormat/>
    <w:rsid w:val="00E314CD"/>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MY" w:eastAsia="en-US"/>
    </w:rPr>
  </w:style>
  <w:style w:type="paragraph" w:styleId="Heading7">
    <w:name w:val="heading 7"/>
    <w:basedOn w:val="Normal"/>
    <w:next w:val="Normal"/>
    <w:link w:val="Heading7Char"/>
    <w:uiPriority w:val="9"/>
    <w:semiHidden/>
    <w:unhideWhenUsed/>
    <w:qFormat/>
    <w:rsid w:val="00E314CD"/>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MY" w:eastAsia="en-US"/>
    </w:rPr>
  </w:style>
  <w:style w:type="paragraph" w:styleId="Heading8">
    <w:name w:val="heading 8"/>
    <w:basedOn w:val="Normal"/>
    <w:next w:val="Normal"/>
    <w:link w:val="Heading8Char"/>
    <w:uiPriority w:val="9"/>
    <w:semiHidden/>
    <w:unhideWhenUsed/>
    <w:qFormat/>
    <w:rsid w:val="00E314CD"/>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MY" w:eastAsia="en-US"/>
    </w:rPr>
  </w:style>
  <w:style w:type="paragraph" w:styleId="Heading9">
    <w:name w:val="heading 9"/>
    <w:basedOn w:val="Normal"/>
    <w:next w:val="Normal"/>
    <w:link w:val="Heading9Char"/>
    <w:uiPriority w:val="9"/>
    <w:semiHidden/>
    <w:unhideWhenUsed/>
    <w:qFormat/>
    <w:rsid w:val="00E314CD"/>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MY"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14CD"/>
    <w:pPr>
      <w:spacing w:after="80"/>
      <w:contextualSpacing/>
    </w:pPr>
    <w:rPr>
      <w:rFonts w:asciiTheme="majorHAnsi" w:eastAsiaTheme="majorEastAsia" w:hAnsiTheme="majorHAnsi" w:cstheme="majorBidi"/>
      <w:spacing w:val="-10"/>
      <w:kern w:val="28"/>
      <w:sz w:val="56"/>
      <w:szCs w:val="56"/>
      <w:lang w:val="en-MY" w:eastAsia="en-US"/>
    </w:rPr>
  </w:style>
  <w:style w:type="character" w:customStyle="1" w:styleId="Heading1Char">
    <w:name w:val="Heading 1 Char"/>
    <w:basedOn w:val="DefaultParagraphFont"/>
    <w:link w:val="Heading1"/>
    <w:uiPriority w:val="9"/>
    <w:rsid w:val="00372C67"/>
    <w:rPr>
      <w:rFonts w:eastAsiaTheme="majorEastAsia" w:cstheme="majorBidi"/>
      <w:iCs/>
      <w:kern w:val="2"/>
      <w:szCs w:val="40"/>
      <w:lang w:val="en-MY" w:eastAsia="en-US"/>
    </w:rPr>
  </w:style>
  <w:style w:type="character" w:customStyle="1" w:styleId="Heading2Char">
    <w:name w:val="Heading 2 Char"/>
    <w:basedOn w:val="DefaultParagraphFont"/>
    <w:link w:val="Heading2"/>
    <w:uiPriority w:val="9"/>
    <w:rsid w:val="005764C7"/>
    <w:rPr>
      <w:rFonts w:cstheme="majorBidi"/>
      <w:caps/>
      <w:kern w:val="2"/>
      <w:sz w:val="18"/>
      <w:szCs w:val="32"/>
      <w:lang w:val="en-MY" w:eastAsia="en-US"/>
    </w:rPr>
  </w:style>
  <w:style w:type="character" w:customStyle="1" w:styleId="Heading3Char">
    <w:name w:val="Heading 3 Char"/>
    <w:basedOn w:val="DefaultParagraphFont"/>
    <w:link w:val="Heading3"/>
    <w:uiPriority w:val="9"/>
    <w:semiHidden/>
    <w:rsid w:val="00E314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14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14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14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14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14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14CD"/>
    <w:rPr>
      <w:rFonts w:eastAsiaTheme="majorEastAsia" w:cstheme="majorBidi"/>
      <w:color w:val="272727" w:themeColor="text1" w:themeTint="D8"/>
    </w:rPr>
  </w:style>
  <w:style w:type="character" w:customStyle="1" w:styleId="TitleChar">
    <w:name w:val="Title Char"/>
    <w:basedOn w:val="DefaultParagraphFont"/>
    <w:link w:val="Title"/>
    <w:uiPriority w:val="10"/>
    <w:rsid w:val="00E314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E314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14CD"/>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MY" w:eastAsia="en-US"/>
    </w:rPr>
  </w:style>
  <w:style w:type="character" w:customStyle="1" w:styleId="QuoteChar">
    <w:name w:val="Quote Char"/>
    <w:basedOn w:val="DefaultParagraphFont"/>
    <w:link w:val="Quote"/>
    <w:uiPriority w:val="29"/>
    <w:rsid w:val="00E314CD"/>
    <w:rPr>
      <w:i/>
      <w:iCs/>
      <w:color w:val="404040" w:themeColor="text1" w:themeTint="BF"/>
    </w:rPr>
  </w:style>
  <w:style w:type="paragraph" w:styleId="ListParagraph">
    <w:name w:val="List Paragraph"/>
    <w:aliases w:val="Paragraph (alpabhatical)"/>
    <w:basedOn w:val="Normal"/>
    <w:uiPriority w:val="34"/>
    <w:qFormat/>
    <w:rsid w:val="00E314CD"/>
    <w:pPr>
      <w:spacing w:after="160" w:line="259" w:lineRule="auto"/>
      <w:ind w:left="720"/>
      <w:contextualSpacing/>
    </w:pPr>
    <w:rPr>
      <w:rFonts w:asciiTheme="minorHAnsi" w:eastAsiaTheme="minorHAnsi" w:hAnsiTheme="minorHAnsi" w:cstheme="minorBidi"/>
      <w:kern w:val="2"/>
      <w:sz w:val="22"/>
      <w:szCs w:val="22"/>
      <w:lang w:val="en-MY" w:eastAsia="en-US"/>
    </w:rPr>
  </w:style>
  <w:style w:type="character" w:styleId="IntenseEmphasis">
    <w:name w:val="Intense Emphasis"/>
    <w:basedOn w:val="DefaultParagraphFont"/>
    <w:uiPriority w:val="21"/>
    <w:qFormat/>
    <w:rsid w:val="00E314CD"/>
    <w:rPr>
      <w:i/>
      <w:iCs/>
      <w:color w:val="0F4761" w:themeColor="accent1" w:themeShade="BF"/>
    </w:rPr>
  </w:style>
  <w:style w:type="paragraph" w:styleId="IntenseQuote">
    <w:name w:val="Intense Quote"/>
    <w:basedOn w:val="Normal"/>
    <w:next w:val="Normal"/>
    <w:link w:val="IntenseQuoteChar"/>
    <w:uiPriority w:val="30"/>
    <w:qFormat/>
    <w:rsid w:val="00E314C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n-MY" w:eastAsia="en-US"/>
    </w:rPr>
  </w:style>
  <w:style w:type="character" w:customStyle="1" w:styleId="IntenseQuoteChar">
    <w:name w:val="Intense Quote Char"/>
    <w:basedOn w:val="DefaultParagraphFont"/>
    <w:link w:val="IntenseQuote"/>
    <w:uiPriority w:val="30"/>
    <w:rsid w:val="00E314CD"/>
    <w:rPr>
      <w:i/>
      <w:iCs/>
      <w:color w:val="0F4761" w:themeColor="accent1" w:themeShade="BF"/>
    </w:rPr>
  </w:style>
  <w:style w:type="character" w:styleId="IntenseReference">
    <w:name w:val="Intense Reference"/>
    <w:basedOn w:val="DefaultParagraphFont"/>
    <w:uiPriority w:val="32"/>
    <w:qFormat/>
    <w:rsid w:val="00E314CD"/>
    <w:rPr>
      <w:b/>
      <w:bCs/>
      <w:smallCaps/>
      <w:color w:val="0F4761" w:themeColor="accent1" w:themeShade="BF"/>
      <w:spacing w:val="5"/>
    </w:rPr>
  </w:style>
  <w:style w:type="paragraph" w:styleId="Header">
    <w:name w:val="header"/>
    <w:basedOn w:val="Normal"/>
    <w:link w:val="HeaderChar"/>
    <w:uiPriority w:val="99"/>
    <w:unhideWhenUsed/>
    <w:rsid w:val="00E314CD"/>
    <w:pPr>
      <w:tabs>
        <w:tab w:val="center" w:pos="4513"/>
        <w:tab w:val="right" w:pos="9026"/>
      </w:tabs>
    </w:pPr>
  </w:style>
  <w:style w:type="character" w:customStyle="1" w:styleId="HeaderChar">
    <w:name w:val="Header Char"/>
    <w:basedOn w:val="DefaultParagraphFont"/>
    <w:link w:val="Header"/>
    <w:uiPriority w:val="99"/>
    <w:rsid w:val="00E314CD"/>
    <w:rPr>
      <w:rFonts w:ascii="Times New Roman" w:eastAsia="Times New Roman" w:hAnsi="Times New Roman" w:cs="Times New Roman"/>
      <w:kern w:val="0"/>
      <w:sz w:val="24"/>
      <w:szCs w:val="24"/>
      <w:lang w:val="en-GB" w:eastAsia="en-MY"/>
    </w:rPr>
  </w:style>
  <w:style w:type="paragraph" w:styleId="Footer">
    <w:name w:val="footer"/>
    <w:basedOn w:val="Normal"/>
    <w:link w:val="FooterChar"/>
    <w:uiPriority w:val="99"/>
    <w:unhideWhenUsed/>
    <w:rsid w:val="00E314CD"/>
    <w:pPr>
      <w:tabs>
        <w:tab w:val="center" w:pos="4513"/>
        <w:tab w:val="right" w:pos="9026"/>
      </w:tabs>
    </w:pPr>
  </w:style>
  <w:style w:type="character" w:customStyle="1" w:styleId="FooterChar">
    <w:name w:val="Footer Char"/>
    <w:basedOn w:val="DefaultParagraphFont"/>
    <w:link w:val="Footer"/>
    <w:uiPriority w:val="99"/>
    <w:rsid w:val="00E314CD"/>
    <w:rPr>
      <w:rFonts w:ascii="Times New Roman" w:eastAsia="Times New Roman" w:hAnsi="Times New Roman" w:cs="Times New Roman"/>
      <w:kern w:val="0"/>
      <w:sz w:val="24"/>
      <w:szCs w:val="24"/>
      <w:lang w:val="en-GB" w:eastAsia="en-MY"/>
    </w:rPr>
  </w:style>
  <w:style w:type="paragraph" w:styleId="NoSpacing">
    <w:name w:val="No Spacing"/>
    <w:uiPriority w:val="1"/>
    <w:qFormat/>
    <w:rsid w:val="00180FE0"/>
  </w:style>
  <w:style w:type="paragraph" w:customStyle="1" w:styleId="BodyText1">
    <w:name w:val="Body Text1"/>
    <w:basedOn w:val="Normal"/>
    <w:link w:val="bodytextChar"/>
    <w:qFormat/>
    <w:rsid w:val="006A5346"/>
    <w:pPr>
      <w:ind w:firstLine="426"/>
      <w:jc w:val="both"/>
    </w:pPr>
    <w:rPr>
      <w:rFonts w:eastAsiaTheme="majorEastAsia" w:cstheme="majorBidi"/>
      <w:bCs/>
      <w:kern w:val="2"/>
      <w:szCs w:val="40"/>
      <w:lang w:val="en-MY" w:eastAsia="en-US"/>
    </w:rPr>
  </w:style>
  <w:style w:type="character" w:customStyle="1" w:styleId="bodytextChar">
    <w:name w:val="body text Char"/>
    <w:basedOn w:val="DefaultParagraphFont"/>
    <w:link w:val="BodyText1"/>
    <w:rsid w:val="006A5346"/>
    <w:rPr>
      <w:rFonts w:eastAsiaTheme="majorEastAsia" w:cstheme="majorBidi"/>
      <w:bCs/>
      <w:kern w:val="2"/>
      <w:szCs w:val="40"/>
      <w:lang w:val="en-MY" w:eastAsia="en-US"/>
    </w:rPr>
  </w:style>
  <w:style w:type="paragraph" w:styleId="Caption">
    <w:name w:val="caption"/>
    <w:basedOn w:val="Normal"/>
    <w:next w:val="Normal"/>
    <w:link w:val="CaptionChar"/>
    <w:uiPriority w:val="35"/>
    <w:unhideWhenUsed/>
    <w:qFormat/>
    <w:rsid w:val="006E1FB7"/>
    <w:pPr>
      <w:spacing w:after="200"/>
      <w:jc w:val="center"/>
    </w:pPr>
    <w:rPr>
      <w:rFonts w:eastAsiaTheme="minorHAnsi" w:cstheme="minorBidi"/>
      <w:bCs/>
      <w:sz w:val="22"/>
      <w:szCs w:val="18"/>
      <w:lang w:val="en-US" w:eastAsia="en-US"/>
    </w:rPr>
  </w:style>
  <w:style w:type="paragraph" w:customStyle="1" w:styleId="TextBody">
    <w:name w:val="TextBody"/>
    <w:basedOn w:val="Normal"/>
    <w:link w:val="TextBodyChar"/>
    <w:qFormat/>
    <w:rsid w:val="006E1FB7"/>
    <w:pPr>
      <w:spacing w:line="480" w:lineRule="auto"/>
      <w:ind w:firstLine="709"/>
      <w:jc w:val="both"/>
    </w:pPr>
    <w:rPr>
      <w:rFonts w:cstheme="majorBidi"/>
      <w:kern w:val="2"/>
      <w:szCs w:val="32"/>
      <w:lang w:val="en-MY"/>
      <w14:ligatures w14:val="standardContextual"/>
    </w:rPr>
  </w:style>
  <w:style w:type="character" w:customStyle="1" w:styleId="TextBodyChar">
    <w:name w:val="TextBody Char"/>
    <w:basedOn w:val="DefaultParagraphFont"/>
    <w:link w:val="TextBody"/>
    <w:rsid w:val="006E1FB7"/>
    <w:rPr>
      <w:rFonts w:cstheme="majorBidi"/>
      <w:kern w:val="2"/>
      <w:szCs w:val="32"/>
      <w:lang w:val="en-MY"/>
      <w14:ligatures w14:val="standardContextual"/>
    </w:rPr>
  </w:style>
  <w:style w:type="character" w:customStyle="1" w:styleId="CaptionChar">
    <w:name w:val="Caption Char"/>
    <w:basedOn w:val="DefaultParagraphFont"/>
    <w:link w:val="Caption"/>
    <w:uiPriority w:val="35"/>
    <w:rsid w:val="006E1FB7"/>
    <w:rPr>
      <w:rFonts w:eastAsiaTheme="minorHAnsi" w:cstheme="minorBidi"/>
      <w:bCs/>
      <w:sz w:val="22"/>
      <w:szCs w:val="18"/>
      <w:lang w:val="en-US" w:eastAsia="en-US"/>
    </w:rPr>
  </w:style>
  <w:style w:type="table" w:styleId="TableGrid">
    <w:name w:val="Table Grid"/>
    <w:basedOn w:val="TableNormal"/>
    <w:uiPriority w:val="39"/>
    <w:rsid w:val="007A4E2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A4E2C"/>
    <w:rPr>
      <w:b/>
      <w:bCs/>
    </w:rPr>
  </w:style>
  <w:style w:type="paragraph" w:customStyle="1" w:styleId="Reference">
    <w:name w:val="Reference"/>
    <w:basedOn w:val="Normal"/>
    <w:link w:val="ReferenceChar"/>
    <w:qFormat/>
    <w:rsid w:val="00A72F82"/>
    <w:pPr>
      <w:widowControl w:val="0"/>
      <w:autoSpaceDE w:val="0"/>
      <w:autoSpaceDN w:val="0"/>
      <w:adjustRightInd w:val="0"/>
      <w:spacing w:after="200"/>
      <w:ind w:left="482" w:hanging="482"/>
      <w:jc w:val="both"/>
    </w:pPr>
    <w:rPr>
      <w:lang w:val="en-MY" w:eastAsia="en-US"/>
    </w:rPr>
  </w:style>
  <w:style w:type="character" w:customStyle="1" w:styleId="ReferenceChar">
    <w:name w:val="Reference Char"/>
    <w:basedOn w:val="DefaultParagraphFont"/>
    <w:link w:val="Reference"/>
    <w:rsid w:val="00A72F82"/>
    <w:rPr>
      <w:lang w:val="en-MY" w:eastAsia="en-US"/>
    </w:rPr>
  </w:style>
  <w:style w:type="paragraph" w:customStyle="1" w:styleId="Para2a">
    <w:name w:val="Para 2a"/>
    <w:basedOn w:val="Normal"/>
    <w:uiPriority w:val="10"/>
    <w:qFormat/>
    <w:rsid w:val="007261F0"/>
    <w:pPr>
      <w:jc w:val="both"/>
    </w:pPr>
    <w:rPr>
      <w:color w:val="0D0D0D"/>
      <w:szCs w:val="22"/>
      <w:lang w:val="en-MY"/>
    </w:rPr>
  </w:style>
  <w:style w:type="character" w:styleId="Hyperlink">
    <w:name w:val="Hyperlink"/>
    <w:basedOn w:val="DefaultParagraphFont"/>
    <w:uiPriority w:val="99"/>
    <w:unhideWhenUsed/>
    <w:rsid w:val="00961456"/>
    <w:rPr>
      <w:color w:val="467886" w:themeColor="hyperlink"/>
      <w:u w:val="single"/>
    </w:rPr>
  </w:style>
  <w:style w:type="character" w:styleId="FollowedHyperlink">
    <w:name w:val="FollowedHyperlink"/>
    <w:basedOn w:val="DefaultParagraphFont"/>
    <w:uiPriority w:val="99"/>
    <w:semiHidden/>
    <w:unhideWhenUsed/>
    <w:rsid w:val="009D338B"/>
    <w:rPr>
      <w:color w:val="96607D" w:themeColor="followedHyperlink"/>
      <w:u w:val="single"/>
    </w:rPr>
  </w:style>
  <w:style w:type="paragraph" w:styleId="TOC2">
    <w:name w:val="toc 2"/>
    <w:basedOn w:val="Normal"/>
    <w:next w:val="Normal"/>
    <w:autoRedefine/>
    <w:uiPriority w:val="39"/>
    <w:unhideWhenUsed/>
    <w:rsid w:val="008C1007"/>
    <w:pPr>
      <w:spacing w:line="360" w:lineRule="auto"/>
      <w:jc w:val="both"/>
    </w:pPr>
    <w:rPr>
      <w:rFonts w:eastAsiaTheme="minorHAnsi" w:cstheme="minorBidi"/>
      <w:szCs w:val="22"/>
      <w:lang w:val="en-US" w:eastAsia="en-US"/>
    </w:rPr>
  </w:style>
  <w:style w:type="character" w:styleId="UnresolvedMention">
    <w:name w:val="Unresolved Mention"/>
    <w:basedOn w:val="DefaultParagraphFont"/>
    <w:uiPriority w:val="99"/>
    <w:semiHidden/>
    <w:unhideWhenUsed/>
    <w:rsid w:val="00505C89"/>
    <w:rPr>
      <w:color w:val="605E5C"/>
      <w:shd w:val="clear" w:color="auto" w:fill="E1DFDD"/>
    </w:rPr>
  </w:style>
  <w:style w:type="character" w:styleId="CommentReference">
    <w:name w:val="annotation reference"/>
    <w:basedOn w:val="DefaultParagraphFont"/>
    <w:uiPriority w:val="99"/>
    <w:semiHidden/>
    <w:unhideWhenUsed/>
    <w:rsid w:val="00C1204E"/>
    <w:rPr>
      <w:sz w:val="16"/>
      <w:szCs w:val="16"/>
    </w:rPr>
  </w:style>
  <w:style w:type="paragraph" w:styleId="CommentText">
    <w:name w:val="annotation text"/>
    <w:basedOn w:val="Normal"/>
    <w:link w:val="CommentTextChar"/>
    <w:uiPriority w:val="99"/>
    <w:semiHidden/>
    <w:unhideWhenUsed/>
    <w:rsid w:val="00C1204E"/>
    <w:rPr>
      <w:sz w:val="20"/>
      <w:szCs w:val="20"/>
    </w:rPr>
  </w:style>
  <w:style w:type="character" w:customStyle="1" w:styleId="CommentTextChar">
    <w:name w:val="Comment Text Char"/>
    <w:basedOn w:val="DefaultParagraphFont"/>
    <w:link w:val="CommentText"/>
    <w:uiPriority w:val="99"/>
    <w:semiHidden/>
    <w:rsid w:val="00C1204E"/>
    <w:rPr>
      <w:sz w:val="20"/>
      <w:szCs w:val="20"/>
    </w:rPr>
  </w:style>
  <w:style w:type="paragraph" w:styleId="CommentSubject">
    <w:name w:val="annotation subject"/>
    <w:basedOn w:val="CommentText"/>
    <w:next w:val="CommentText"/>
    <w:link w:val="CommentSubjectChar"/>
    <w:uiPriority w:val="99"/>
    <w:semiHidden/>
    <w:unhideWhenUsed/>
    <w:rsid w:val="00C1204E"/>
    <w:rPr>
      <w:b/>
      <w:bCs/>
    </w:rPr>
  </w:style>
  <w:style w:type="character" w:customStyle="1" w:styleId="CommentSubjectChar">
    <w:name w:val="Comment Subject Char"/>
    <w:basedOn w:val="CommentTextChar"/>
    <w:link w:val="CommentSubject"/>
    <w:uiPriority w:val="99"/>
    <w:semiHidden/>
    <w:rsid w:val="00C120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6231">
      <w:bodyDiv w:val="1"/>
      <w:marLeft w:val="0"/>
      <w:marRight w:val="0"/>
      <w:marTop w:val="0"/>
      <w:marBottom w:val="0"/>
      <w:divBdr>
        <w:top w:val="none" w:sz="0" w:space="0" w:color="auto"/>
        <w:left w:val="none" w:sz="0" w:space="0" w:color="auto"/>
        <w:bottom w:val="none" w:sz="0" w:space="0" w:color="auto"/>
        <w:right w:val="none" w:sz="0" w:space="0" w:color="auto"/>
      </w:divBdr>
    </w:div>
    <w:div w:id="46689914">
      <w:bodyDiv w:val="1"/>
      <w:marLeft w:val="0"/>
      <w:marRight w:val="0"/>
      <w:marTop w:val="0"/>
      <w:marBottom w:val="0"/>
      <w:divBdr>
        <w:top w:val="none" w:sz="0" w:space="0" w:color="auto"/>
        <w:left w:val="none" w:sz="0" w:space="0" w:color="auto"/>
        <w:bottom w:val="none" w:sz="0" w:space="0" w:color="auto"/>
        <w:right w:val="none" w:sz="0" w:space="0" w:color="auto"/>
      </w:divBdr>
    </w:div>
    <w:div w:id="148833728">
      <w:bodyDiv w:val="1"/>
      <w:marLeft w:val="0"/>
      <w:marRight w:val="0"/>
      <w:marTop w:val="0"/>
      <w:marBottom w:val="0"/>
      <w:divBdr>
        <w:top w:val="none" w:sz="0" w:space="0" w:color="auto"/>
        <w:left w:val="none" w:sz="0" w:space="0" w:color="auto"/>
        <w:bottom w:val="none" w:sz="0" w:space="0" w:color="auto"/>
        <w:right w:val="none" w:sz="0" w:space="0" w:color="auto"/>
      </w:divBdr>
    </w:div>
    <w:div w:id="183371164">
      <w:bodyDiv w:val="1"/>
      <w:marLeft w:val="0"/>
      <w:marRight w:val="0"/>
      <w:marTop w:val="0"/>
      <w:marBottom w:val="0"/>
      <w:divBdr>
        <w:top w:val="none" w:sz="0" w:space="0" w:color="auto"/>
        <w:left w:val="none" w:sz="0" w:space="0" w:color="auto"/>
        <w:bottom w:val="none" w:sz="0" w:space="0" w:color="auto"/>
        <w:right w:val="none" w:sz="0" w:space="0" w:color="auto"/>
      </w:divBdr>
      <w:divsChild>
        <w:div w:id="388580230">
          <w:marLeft w:val="0"/>
          <w:marRight w:val="0"/>
          <w:marTop w:val="0"/>
          <w:marBottom w:val="0"/>
          <w:divBdr>
            <w:top w:val="none" w:sz="0" w:space="0" w:color="auto"/>
            <w:left w:val="none" w:sz="0" w:space="0" w:color="auto"/>
            <w:bottom w:val="none" w:sz="0" w:space="0" w:color="auto"/>
            <w:right w:val="none" w:sz="0" w:space="0" w:color="auto"/>
          </w:divBdr>
          <w:divsChild>
            <w:div w:id="244196108">
              <w:marLeft w:val="0"/>
              <w:marRight w:val="0"/>
              <w:marTop w:val="0"/>
              <w:marBottom w:val="0"/>
              <w:divBdr>
                <w:top w:val="none" w:sz="0" w:space="0" w:color="auto"/>
                <w:left w:val="none" w:sz="0" w:space="0" w:color="auto"/>
                <w:bottom w:val="none" w:sz="0" w:space="0" w:color="auto"/>
                <w:right w:val="none" w:sz="0" w:space="0" w:color="auto"/>
              </w:divBdr>
              <w:divsChild>
                <w:div w:id="942222763">
                  <w:marLeft w:val="0"/>
                  <w:marRight w:val="0"/>
                  <w:marTop w:val="0"/>
                  <w:marBottom w:val="0"/>
                  <w:divBdr>
                    <w:top w:val="none" w:sz="0" w:space="0" w:color="auto"/>
                    <w:left w:val="none" w:sz="0" w:space="0" w:color="auto"/>
                    <w:bottom w:val="none" w:sz="0" w:space="0" w:color="auto"/>
                    <w:right w:val="none" w:sz="0" w:space="0" w:color="auto"/>
                  </w:divBdr>
                  <w:divsChild>
                    <w:div w:id="48919184">
                      <w:marLeft w:val="0"/>
                      <w:marRight w:val="0"/>
                      <w:marTop w:val="0"/>
                      <w:marBottom w:val="0"/>
                      <w:divBdr>
                        <w:top w:val="none" w:sz="0" w:space="0" w:color="auto"/>
                        <w:left w:val="none" w:sz="0" w:space="0" w:color="auto"/>
                        <w:bottom w:val="none" w:sz="0" w:space="0" w:color="auto"/>
                        <w:right w:val="none" w:sz="0" w:space="0" w:color="auto"/>
                      </w:divBdr>
                      <w:divsChild>
                        <w:div w:id="1453665987">
                          <w:marLeft w:val="0"/>
                          <w:marRight w:val="0"/>
                          <w:marTop w:val="0"/>
                          <w:marBottom w:val="0"/>
                          <w:divBdr>
                            <w:top w:val="none" w:sz="0" w:space="0" w:color="auto"/>
                            <w:left w:val="none" w:sz="0" w:space="0" w:color="auto"/>
                            <w:bottom w:val="none" w:sz="0" w:space="0" w:color="auto"/>
                            <w:right w:val="none" w:sz="0" w:space="0" w:color="auto"/>
                          </w:divBdr>
                          <w:divsChild>
                            <w:div w:id="10763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07700">
      <w:bodyDiv w:val="1"/>
      <w:marLeft w:val="0"/>
      <w:marRight w:val="0"/>
      <w:marTop w:val="0"/>
      <w:marBottom w:val="0"/>
      <w:divBdr>
        <w:top w:val="none" w:sz="0" w:space="0" w:color="auto"/>
        <w:left w:val="none" w:sz="0" w:space="0" w:color="auto"/>
        <w:bottom w:val="none" w:sz="0" w:space="0" w:color="auto"/>
        <w:right w:val="none" w:sz="0" w:space="0" w:color="auto"/>
      </w:divBdr>
    </w:div>
    <w:div w:id="287008096">
      <w:bodyDiv w:val="1"/>
      <w:marLeft w:val="0"/>
      <w:marRight w:val="0"/>
      <w:marTop w:val="0"/>
      <w:marBottom w:val="0"/>
      <w:divBdr>
        <w:top w:val="none" w:sz="0" w:space="0" w:color="auto"/>
        <w:left w:val="none" w:sz="0" w:space="0" w:color="auto"/>
        <w:bottom w:val="none" w:sz="0" w:space="0" w:color="auto"/>
        <w:right w:val="none" w:sz="0" w:space="0" w:color="auto"/>
      </w:divBdr>
    </w:div>
    <w:div w:id="366030343">
      <w:bodyDiv w:val="1"/>
      <w:marLeft w:val="0"/>
      <w:marRight w:val="0"/>
      <w:marTop w:val="0"/>
      <w:marBottom w:val="0"/>
      <w:divBdr>
        <w:top w:val="none" w:sz="0" w:space="0" w:color="auto"/>
        <w:left w:val="none" w:sz="0" w:space="0" w:color="auto"/>
        <w:bottom w:val="none" w:sz="0" w:space="0" w:color="auto"/>
        <w:right w:val="none" w:sz="0" w:space="0" w:color="auto"/>
      </w:divBdr>
      <w:divsChild>
        <w:div w:id="2102723872">
          <w:marLeft w:val="0"/>
          <w:marRight w:val="0"/>
          <w:marTop w:val="0"/>
          <w:marBottom w:val="0"/>
          <w:divBdr>
            <w:top w:val="none" w:sz="0" w:space="0" w:color="auto"/>
            <w:left w:val="none" w:sz="0" w:space="0" w:color="auto"/>
            <w:bottom w:val="none" w:sz="0" w:space="0" w:color="auto"/>
            <w:right w:val="none" w:sz="0" w:space="0" w:color="auto"/>
          </w:divBdr>
          <w:divsChild>
            <w:div w:id="735857946">
              <w:marLeft w:val="0"/>
              <w:marRight w:val="0"/>
              <w:marTop w:val="0"/>
              <w:marBottom w:val="0"/>
              <w:divBdr>
                <w:top w:val="none" w:sz="0" w:space="0" w:color="auto"/>
                <w:left w:val="none" w:sz="0" w:space="0" w:color="auto"/>
                <w:bottom w:val="none" w:sz="0" w:space="0" w:color="auto"/>
                <w:right w:val="none" w:sz="0" w:space="0" w:color="auto"/>
              </w:divBdr>
              <w:divsChild>
                <w:div w:id="556084745">
                  <w:marLeft w:val="0"/>
                  <w:marRight w:val="0"/>
                  <w:marTop w:val="0"/>
                  <w:marBottom w:val="0"/>
                  <w:divBdr>
                    <w:top w:val="none" w:sz="0" w:space="0" w:color="auto"/>
                    <w:left w:val="none" w:sz="0" w:space="0" w:color="auto"/>
                    <w:bottom w:val="none" w:sz="0" w:space="0" w:color="auto"/>
                    <w:right w:val="none" w:sz="0" w:space="0" w:color="auto"/>
                  </w:divBdr>
                  <w:divsChild>
                    <w:div w:id="651763091">
                      <w:marLeft w:val="0"/>
                      <w:marRight w:val="0"/>
                      <w:marTop w:val="0"/>
                      <w:marBottom w:val="0"/>
                      <w:divBdr>
                        <w:top w:val="none" w:sz="0" w:space="0" w:color="auto"/>
                        <w:left w:val="none" w:sz="0" w:space="0" w:color="auto"/>
                        <w:bottom w:val="none" w:sz="0" w:space="0" w:color="auto"/>
                        <w:right w:val="none" w:sz="0" w:space="0" w:color="auto"/>
                      </w:divBdr>
                      <w:divsChild>
                        <w:div w:id="1417944958">
                          <w:marLeft w:val="0"/>
                          <w:marRight w:val="0"/>
                          <w:marTop w:val="0"/>
                          <w:marBottom w:val="0"/>
                          <w:divBdr>
                            <w:top w:val="none" w:sz="0" w:space="0" w:color="auto"/>
                            <w:left w:val="none" w:sz="0" w:space="0" w:color="auto"/>
                            <w:bottom w:val="none" w:sz="0" w:space="0" w:color="auto"/>
                            <w:right w:val="none" w:sz="0" w:space="0" w:color="auto"/>
                          </w:divBdr>
                          <w:divsChild>
                            <w:div w:id="20390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698028">
      <w:bodyDiv w:val="1"/>
      <w:marLeft w:val="0"/>
      <w:marRight w:val="0"/>
      <w:marTop w:val="0"/>
      <w:marBottom w:val="0"/>
      <w:divBdr>
        <w:top w:val="none" w:sz="0" w:space="0" w:color="auto"/>
        <w:left w:val="none" w:sz="0" w:space="0" w:color="auto"/>
        <w:bottom w:val="none" w:sz="0" w:space="0" w:color="auto"/>
        <w:right w:val="none" w:sz="0" w:space="0" w:color="auto"/>
      </w:divBdr>
    </w:div>
    <w:div w:id="620183346">
      <w:bodyDiv w:val="1"/>
      <w:marLeft w:val="0"/>
      <w:marRight w:val="0"/>
      <w:marTop w:val="0"/>
      <w:marBottom w:val="0"/>
      <w:divBdr>
        <w:top w:val="none" w:sz="0" w:space="0" w:color="auto"/>
        <w:left w:val="none" w:sz="0" w:space="0" w:color="auto"/>
        <w:bottom w:val="none" w:sz="0" w:space="0" w:color="auto"/>
        <w:right w:val="none" w:sz="0" w:space="0" w:color="auto"/>
      </w:divBdr>
      <w:divsChild>
        <w:div w:id="389500100">
          <w:marLeft w:val="0"/>
          <w:marRight w:val="0"/>
          <w:marTop w:val="0"/>
          <w:marBottom w:val="0"/>
          <w:divBdr>
            <w:top w:val="none" w:sz="0" w:space="0" w:color="auto"/>
            <w:left w:val="none" w:sz="0" w:space="0" w:color="auto"/>
            <w:bottom w:val="none" w:sz="0" w:space="0" w:color="auto"/>
            <w:right w:val="none" w:sz="0" w:space="0" w:color="auto"/>
          </w:divBdr>
          <w:divsChild>
            <w:div w:id="1146430117">
              <w:marLeft w:val="0"/>
              <w:marRight w:val="0"/>
              <w:marTop w:val="0"/>
              <w:marBottom w:val="0"/>
              <w:divBdr>
                <w:top w:val="none" w:sz="0" w:space="0" w:color="auto"/>
                <w:left w:val="none" w:sz="0" w:space="0" w:color="auto"/>
                <w:bottom w:val="none" w:sz="0" w:space="0" w:color="auto"/>
                <w:right w:val="none" w:sz="0" w:space="0" w:color="auto"/>
              </w:divBdr>
              <w:divsChild>
                <w:div w:id="2104451014">
                  <w:marLeft w:val="0"/>
                  <w:marRight w:val="0"/>
                  <w:marTop w:val="0"/>
                  <w:marBottom w:val="0"/>
                  <w:divBdr>
                    <w:top w:val="none" w:sz="0" w:space="0" w:color="auto"/>
                    <w:left w:val="none" w:sz="0" w:space="0" w:color="auto"/>
                    <w:bottom w:val="none" w:sz="0" w:space="0" w:color="auto"/>
                    <w:right w:val="none" w:sz="0" w:space="0" w:color="auto"/>
                  </w:divBdr>
                  <w:divsChild>
                    <w:div w:id="1425417248">
                      <w:marLeft w:val="0"/>
                      <w:marRight w:val="0"/>
                      <w:marTop w:val="0"/>
                      <w:marBottom w:val="0"/>
                      <w:divBdr>
                        <w:top w:val="none" w:sz="0" w:space="0" w:color="auto"/>
                        <w:left w:val="none" w:sz="0" w:space="0" w:color="auto"/>
                        <w:bottom w:val="none" w:sz="0" w:space="0" w:color="auto"/>
                        <w:right w:val="none" w:sz="0" w:space="0" w:color="auto"/>
                      </w:divBdr>
                      <w:divsChild>
                        <w:div w:id="1615481313">
                          <w:marLeft w:val="0"/>
                          <w:marRight w:val="0"/>
                          <w:marTop w:val="0"/>
                          <w:marBottom w:val="0"/>
                          <w:divBdr>
                            <w:top w:val="none" w:sz="0" w:space="0" w:color="auto"/>
                            <w:left w:val="none" w:sz="0" w:space="0" w:color="auto"/>
                            <w:bottom w:val="none" w:sz="0" w:space="0" w:color="auto"/>
                            <w:right w:val="none" w:sz="0" w:space="0" w:color="auto"/>
                          </w:divBdr>
                          <w:divsChild>
                            <w:div w:id="11873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732210">
      <w:bodyDiv w:val="1"/>
      <w:marLeft w:val="0"/>
      <w:marRight w:val="0"/>
      <w:marTop w:val="0"/>
      <w:marBottom w:val="0"/>
      <w:divBdr>
        <w:top w:val="none" w:sz="0" w:space="0" w:color="auto"/>
        <w:left w:val="none" w:sz="0" w:space="0" w:color="auto"/>
        <w:bottom w:val="none" w:sz="0" w:space="0" w:color="auto"/>
        <w:right w:val="none" w:sz="0" w:space="0" w:color="auto"/>
      </w:divBdr>
    </w:div>
    <w:div w:id="786461903">
      <w:bodyDiv w:val="1"/>
      <w:marLeft w:val="0"/>
      <w:marRight w:val="0"/>
      <w:marTop w:val="0"/>
      <w:marBottom w:val="0"/>
      <w:divBdr>
        <w:top w:val="none" w:sz="0" w:space="0" w:color="auto"/>
        <w:left w:val="none" w:sz="0" w:space="0" w:color="auto"/>
        <w:bottom w:val="none" w:sz="0" w:space="0" w:color="auto"/>
        <w:right w:val="none" w:sz="0" w:space="0" w:color="auto"/>
      </w:divBdr>
      <w:divsChild>
        <w:div w:id="1878884225">
          <w:marLeft w:val="0"/>
          <w:marRight w:val="0"/>
          <w:marTop w:val="0"/>
          <w:marBottom w:val="0"/>
          <w:divBdr>
            <w:top w:val="none" w:sz="0" w:space="0" w:color="auto"/>
            <w:left w:val="none" w:sz="0" w:space="0" w:color="auto"/>
            <w:bottom w:val="none" w:sz="0" w:space="0" w:color="auto"/>
            <w:right w:val="none" w:sz="0" w:space="0" w:color="auto"/>
          </w:divBdr>
          <w:divsChild>
            <w:div w:id="277110203">
              <w:marLeft w:val="0"/>
              <w:marRight w:val="0"/>
              <w:marTop w:val="0"/>
              <w:marBottom w:val="0"/>
              <w:divBdr>
                <w:top w:val="none" w:sz="0" w:space="0" w:color="auto"/>
                <w:left w:val="none" w:sz="0" w:space="0" w:color="auto"/>
                <w:bottom w:val="none" w:sz="0" w:space="0" w:color="auto"/>
                <w:right w:val="none" w:sz="0" w:space="0" w:color="auto"/>
              </w:divBdr>
              <w:divsChild>
                <w:div w:id="338122822">
                  <w:marLeft w:val="0"/>
                  <w:marRight w:val="0"/>
                  <w:marTop w:val="0"/>
                  <w:marBottom w:val="0"/>
                  <w:divBdr>
                    <w:top w:val="none" w:sz="0" w:space="0" w:color="auto"/>
                    <w:left w:val="none" w:sz="0" w:space="0" w:color="auto"/>
                    <w:bottom w:val="none" w:sz="0" w:space="0" w:color="auto"/>
                    <w:right w:val="none" w:sz="0" w:space="0" w:color="auto"/>
                  </w:divBdr>
                  <w:divsChild>
                    <w:div w:id="622925536">
                      <w:marLeft w:val="0"/>
                      <w:marRight w:val="0"/>
                      <w:marTop w:val="0"/>
                      <w:marBottom w:val="0"/>
                      <w:divBdr>
                        <w:top w:val="none" w:sz="0" w:space="0" w:color="auto"/>
                        <w:left w:val="none" w:sz="0" w:space="0" w:color="auto"/>
                        <w:bottom w:val="none" w:sz="0" w:space="0" w:color="auto"/>
                        <w:right w:val="none" w:sz="0" w:space="0" w:color="auto"/>
                      </w:divBdr>
                      <w:divsChild>
                        <w:div w:id="800610688">
                          <w:marLeft w:val="0"/>
                          <w:marRight w:val="0"/>
                          <w:marTop w:val="0"/>
                          <w:marBottom w:val="0"/>
                          <w:divBdr>
                            <w:top w:val="none" w:sz="0" w:space="0" w:color="auto"/>
                            <w:left w:val="none" w:sz="0" w:space="0" w:color="auto"/>
                            <w:bottom w:val="none" w:sz="0" w:space="0" w:color="auto"/>
                            <w:right w:val="none" w:sz="0" w:space="0" w:color="auto"/>
                          </w:divBdr>
                          <w:divsChild>
                            <w:div w:id="17216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899731">
      <w:bodyDiv w:val="1"/>
      <w:marLeft w:val="0"/>
      <w:marRight w:val="0"/>
      <w:marTop w:val="0"/>
      <w:marBottom w:val="0"/>
      <w:divBdr>
        <w:top w:val="none" w:sz="0" w:space="0" w:color="auto"/>
        <w:left w:val="none" w:sz="0" w:space="0" w:color="auto"/>
        <w:bottom w:val="none" w:sz="0" w:space="0" w:color="auto"/>
        <w:right w:val="none" w:sz="0" w:space="0" w:color="auto"/>
      </w:divBdr>
      <w:divsChild>
        <w:div w:id="1479879557">
          <w:marLeft w:val="0"/>
          <w:marRight w:val="0"/>
          <w:marTop w:val="0"/>
          <w:marBottom w:val="0"/>
          <w:divBdr>
            <w:top w:val="none" w:sz="0" w:space="0" w:color="auto"/>
            <w:left w:val="none" w:sz="0" w:space="0" w:color="auto"/>
            <w:bottom w:val="none" w:sz="0" w:space="0" w:color="auto"/>
            <w:right w:val="none" w:sz="0" w:space="0" w:color="auto"/>
          </w:divBdr>
          <w:divsChild>
            <w:div w:id="509833890">
              <w:marLeft w:val="0"/>
              <w:marRight w:val="0"/>
              <w:marTop w:val="0"/>
              <w:marBottom w:val="0"/>
              <w:divBdr>
                <w:top w:val="none" w:sz="0" w:space="0" w:color="auto"/>
                <w:left w:val="none" w:sz="0" w:space="0" w:color="auto"/>
                <w:bottom w:val="none" w:sz="0" w:space="0" w:color="auto"/>
                <w:right w:val="none" w:sz="0" w:space="0" w:color="auto"/>
              </w:divBdr>
              <w:divsChild>
                <w:div w:id="334454675">
                  <w:marLeft w:val="0"/>
                  <w:marRight w:val="0"/>
                  <w:marTop w:val="0"/>
                  <w:marBottom w:val="0"/>
                  <w:divBdr>
                    <w:top w:val="none" w:sz="0" w:space="0" w:color="auto"/>
                    <w:left w:val="none" w:sz="0" w:space="0" w:color="auto"/>
                    <w:bottom w:val="none" w:sz="0" w:space="0" w:color="auto"/>
                    <w:right w:val="none" w:sz="0" w:space="0" w:color="auto"/>
                  </w:divBdr>
                  <w:divsChild>
                    <w:div w:id="1983608694">
                      <w:marLeft w:val="0"/>
                      <w:marRight w:val="0"/>
                      <w:marTop w:val="0"/>
                      <w:marBottom w:val="0"/>
                      <w:divBdr>
                        <w:top w:val="none" w:sz="0" w:space="0" w:color="auto"/>
                        <w:left w:val="none" w:sz="0" w:space="0" w:color="auto"/>
                        <w:bottom w:val="none" w:sz="0" w:space="0" w:color="auto"/>
                        <w:right w:val="none" w:sz="0" w:space="0" w:color="auto"/>
                      </w:divBdr>
                      <w:divsChild>
                        <w:div w:id="1592394842">
                          <w:marLeft w:val="0"/>
                          <w:marRight w:val="0"/>
                          <w:marTop w:val="0"/>
                          <w:marBottom w:val="0"/>
                          <w:divBdr>
                            <w:top w:val="none" w:sz="0" w:space="0" w:color="auto"/>
                            <w:left w:val="none" w:sz="0" w:space="0" w:color="auto"/>
                            <w:bottom w:val="none" w:sz="0" w:space="0" w:color="auto"/>
                            <w:right w:val="none" w:sz="0" w:space="0" w:color="auto"/>
                          </w:divBdr>
                          <w:divsChild>
                            <w:div w:id="19730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83139">
      <w:bodyDiv w:val="1"/>
      <w:marLeft w:val="0"/>
      <w:marRight w:val="0"/>
      <w:marTop w:val="0"/>
      <w:marBottom w:val="0"/>
      <w:divBdr>
        <w:top w:val="none" w:sz="0" w:space="0" w:color="auto"/>
        <w:left w:val="none" w:sz="0" w:space="0" w:color="auto"/>
        <w:bottom w:val="none" w:sz="0" w:space="0" w:color="auto"/>
        <w:right w:val="none" w:sz="0" w:space="0" w:color="auto"/>
      </w:divBdr>
      <w:divsChild>
        <w:div w:id="1777826943">
          <w:marLeft w:val="0"/>
          <w:marRight w:val="0"/>
          <w:marTop w:val="0"/>
          <w:marBottom w:val="0"/>
          <w:divBdr>
            <w:top w:val="none" w:sz="0" w:space="0" w:color="auto"/>
            <w:left w:val="none" w:sz="0" w:space="0" w:color="auto"/>
            <w:bottom w:val="none" w:sz="0" w:space="0" w:color="auto"/>
            <w:right w:val="none" w:sz="0" w:space="0" w:color="auto"/>
          </w:divBdr>
          <w:divsChild>
            <w:div w:id="1285304910">
              <w:marLeft w:val="0"/>
              <w:marRight w:val="0"/>
              <w:marTop w:val="0"/>
              <w:marBottom w:val="0"/>
              <w:divBdr>
                <w:top w:val="none" w:sz="0" w:space="0" w:color="auto"/>
                <w:left w:val="none" w:sz="0" w:space="0" w:color="auto"/>
                <w:bottom w:val="none" w:sz="0" w:space="0" w:color="auto"/>
                <w:right w:val="none" w:sz="0" w:space="0" w:color="auto"/>
              </w:divBdr>
              <w:divsChild>
                <w:div w:id="1854176744">
                  <w:marLeft w:val="0"/>
                  <w:marRight w:val="0"/>
                  <w:marTop w:val="0"/>
                  <w:marBottom w:val="0"/>
                  <w:divBdr>
                    <w:top w:val="none" w:sz="0" w:space="0" w:color="auto"/>
                    <w:left w:val="none" w:sz="0" w:space="0" w:color="auto"/>
                    <w:bottom w:val="none" w:sz="0" w:space="0" w:color="auto"/>
                    <w:right w:val="none" w:sz="0" w:space="0" w:color="auto"/>
                  </w:divBdr>
                  <w:divsChild>
                    <w:div w:id="1312977627">
                      <w:marLeft w:val="0"/>
                      <w:marRight w:val="0"/>
                      <w:marTop w:val="0"/>
                      <w:marBottom w:val="0"/>
                      <w:divBdr>
                        <w:top w:val="none" w:sz="0" w:space="0" w:color="auto"/>
                        <w:left w:val="none" w:sz="0" w:space="0" w:color="auto"/>
                        <w:bottom w:val="none" w:sz="0" w:space="0" w:color="auto"/>
                        <w:right w:val="none" w:sz="0" w:space="0" w:color="auto"/>
                      </w:divBdr>
                      <w:divsChild>
                        <w:div w:id="459494928">
                          <w:marLeft w:val="0"/>
                          <w:marRight w:val="0"/>
                          <w:marTop w:val="0"/>
                          <w:marBottom w:val="0"/>
                          <w:divBdr>
                            <w:top w:val="none" w:sz="0" w:space="0" w:color="auto"/>
                            <w:left w:val="none" w:sz="0" w:space="0" w:color="auto"/>
                            <w:bottom w:val="none" w:sz="0" w:space="0" w:color="auto"/>
                            <w:right w:val="none" w:sz="0" w:space="0" w:color="auto"/>
                          </w:divBdr>
                          <w:divsChild>
                            <w:div w:id="7673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940118">
      <w:bodyDiv w:val="1"/>
      <w:marLeft w:val="0"/>
      <w:marRight w:val="0"/>
      <w:marTop w:val="0"/>
      <w:marBottom w:val="0"/>
      <w:divBdr>
        <w:top w:val="none" w:sz="0" w:space="0" w:color="auto"/>
        <w:left w:val="none" w:sz="0" w:space="0" w:color="auto"/>
        <w:bottom w:val="none" w:sz="0" w:space="0" w:color="auto"/>
        <w:right w:val="none" w:sz="0" w:space="0" w:color="auto"/>
      </w:divBdr>
      <w:divsChild>
        <w:div w:id="1511093451">
          <w:marLeft w:val="0"/>
          <w:marRight w:val="0"/>
          <w:marTop w:val="0"/>
          <w:marBottom w:val="0"/>
          <w:divBdr>
            <w:top w:val="none" w:sz="0" w:space="0" w:color="auto"/>
            <w:left w:val="none" w:sz="0" w:space="0" w:color="auto"/>
            <w:bottom w:val="none" w:sz="0" w:space="0" w:color="auto"/>
            <w:right w:val="none" w:sz="0" w:space="0" w:color="auto"/>
          </w:divBdr>
          <w:divsChild>
            <w:div w:id="566113963">
              <w:marLeft w:val="0"/>
              <w:marRight w:val="0"/>
              <w:marTop w:val="0"/>
              <w:marBottom w:val="0"/>
              <w:divBdr>
                <w:top w:val="none" w:sz="0" w:space="0" w:color="auto"/>
                <w:left w:val="none" w:sz="0" w:space="0" w:color="auto"/>
                <w:bottom w:val="none" w:sz="0" w:space="0" w:color="auto"/>
                <w:right w:val="none" w:sz="0" w:space="0" w:color="auto"/>
              </w:divBdr>
              <w:divsChild>
                <w:div w:id="954294276">
                  <w:marLeft w:val="0"/>
                  <w:marRight w:val="0"/>
                  <w:marTop w:val="0"/>
                  <w:marBottom w:val="0"/>
                  <w:divBdr>
                    <w:top w:val="none" w:sz="0" w:space="0" w:color="auto"/>
                    <w:left w:val="none" w:sz="0" w:space="0" w:color="auto"/>
                    <w:bottom w:val="none" w:sz="0" w:space="0" w:color="auto"/>
                    <w:right w:val="none" w:sz="0" w:space="0" w:color="auto"/>
                  </w:divBdr>
                  <w:divsChild>
                    <w:div w:id="49354742">
                      <w:marLeft w:val="0"/>
                      <w:marRight w:val="0"/>
                      <w:marTop w:val="0"/>
                      <w:marBottom w:val="0"/>
                      <w:divBdr>
                        <w:top w:val="none" w:sz="0" w:space="0" w:color="auto"/>
                        <w:left w:val="none" w:sz="0" w:space="0" w:color="auto"/>
                        <w:bottom w:val="none" w:sz="0" w:space="0" w:color="auto"/>
                        <w:right w:val="none" w:sz="0" w:space="0" w:color="auto"/>
                      </w:divBdr>
                      <w:divsChild>
                        <w:div w:id="699162254">
                          <w:marLeft w:val="0"/>
                          <w:marRight w:val="0"/>
                          <w:marTop w:val="0"/>
                          <w:marBottom w:val="0"/>
                          <w:divBdr>
                            <w:top w:val="none" w:sz="0" w:space="0" w:color="auto"/>
                            <w:left w:val="none" w:sz="0" w:space="0" w:color="auto"/>
                            <w:bottom w:val="none" w:sz="0" w:space="0" w:color="auto"/>
                            <w:right w:val="none" w:sz="0" w:space="0" w:color="auto"/>
                          </w:divBdr>
                          <w:divsChild>
                            <w:div w:id="17814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311389">
      <w:bodyDiv w:val="1"/>
      <w:marLeft w:val="0"/>
      <w:marRight w:val="0"/>
      <w:marTop w:val="0"/>
      <w:marBottom w:val="0"/>
      <w:divBdr>
        <w:top w:val="none" w:sz="0" w:space="0" w:color="auto"/>
        <w:left w:val="none" w:sz="0" w:space="0" w:color="auto"/>
        <w:bottom w:val="none" w:sz="0" w:space="0" w:color="auto"/>
        <w:right w:val="none" w:sz="0" w:space="0" w:color="auto"/>
      </w:divBdr>
      <w:divsChild>
        <w:div w:id="1054502841">
          <w:marLeft w:val="0"/>
          <w:marRight w:val="0"/>
          <w:marTop w:val="0"/>
          <w:marBottom w:val="0"/>
          <w:divBdr>
            <w:top w:val="none" w:sz="0" w:space="0" w:color="auto"/>
            <w:left w:val="none" w:sz="0" w:space="0" w:color="auto"/>
            <w:bottom w:val="none" w:sz="0" w:space="0" w:color="auto"/>
            <w:right w:val="none" w:sz="0" w:space="0" w:color="auto"/>
          </w:divBdr>
          <w:divsChild>
            <w:div w:id="1901864921">
              <w:marLeft w:val="0"/>
              <w:marRight w:val="0"/>
              <w:marTop w:val="0"/>
              <w:marBottom w:val="0"/>
              <w:divBdr>
                <w:top w:val="none" w:sz="0" w:space="0" w:color="auto"/>
                <w:left w:val="none" w:sz="0" w:space="0" w:color="auto"/>
                <w:bottom w:val="none" w:sz="0" w:space="0" w:color="auto"/>
                <w:right w:val="none" w:sz="0" w:space="0" w:color="auto"/>
              </w:divBdr>
              <w:divsChild>
                <w:div w:id="1492256748">
                  <w:marLeft w:val="0"/>
                  <w:marRight w:val="0"/>
                  <w:marTop w:val="0"/>
                  <w:marBottom w:val="0"/>
                  <w:divBdr>
                    <w:top w:val="none" w:sz="0" w:space="0" w:color="auto"/>
                    <w:left w:val="none" w:sz="0" w:space="0" w:color="auto"/>
                    <w:bottom w:val="none" w:sz="0" w:space="0" w:color="auto"/>
                    <w:right w:val="none" w:sz="0" w:space="0" w:color="auto"/>
                  </w:divBdr>
                  <w:divsChild>
                    <w:div w:id="615911224">
                      <w:marLeft w:val="0"/>
                      <w:marRight w:val="0"/>
                      <w:marTop w:val="0"/>
                      <w:marBottom w:val="0"/>
                      <w:divBdr>
                        <w:top w:val="none" w:sz="0" w:space="0" w:color="auto"/>
                        <w:left w:val="none" w:sz="0" w:space="0" w:color="auto"/>
                        <w:bottom w:val="none" w:sz="0" w:space="0" w:color="auto"/>
                        <w:right w:val="none" w:sz="0" w:space="0" w:color="auto"/>
                      </w:divBdr>
                      <w:divsChild>
                        <w:div w:id="1034158131">
                          <w:marLeft w:val="0"/>
                          <w:marRight w:val="0"/>
                          <w:marTop w:val="0"/>
                          <w:marBottom w:val="0"/>
                          <w:divBdr>
                            <w:top w:val="none" w:sz="0" w:space="0" w:color="auto"/>
                            <w:left w:val="none" w:sz="0" w:space="0" w:color="auto"/>
                            <w:bottom w:val="none" w:sz="0" w:space="0" w:color="auto"/>
                            <w:right w:val="none" w:sz="0" w:space="0" w:color="auto"/>
                          </w:divBdr>
                          <w:divsChild>
                            <w:div w:id="226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635780">
      <w:bodyDiv w:val="1"/>
      <w:marLeft w:val="0"/>
      <w:marRight w:val="0"/>
      <w:marTop w:val="0"/>
      <w:marBottom w:val="0"/>
      <w:divBdr>
        <w:top w:val="none" w:sz="0" w:space="0" w:color="auto"/>
        <w:left w:val="none" w:sz="0" w:space="0" w:color="auto"/>
        <w:bottom w:val="none" w:sz="0" w:space="0" w:color="auto"/>
        <w:right w:val="none" w:sz="0" w:space="0" w:color="auto"/>
      </w:divBdr>
      <w:divsChild>
        <w:div w:id="817067888">
          <w:marLeft w:val="0"/>
          <w:marRight w:val="0"/>
          <w:marTop w:val="0"/>
          <w:marBottom w:val="0"/>
          <w:divBdr>
            <w:top w:val="none" w:sz="0" w:space="0" w:color="auto"/>
            <w:left w:val="none" w:sz="0" w:space="0" w:color="auto"/>
            <w:bottom w:val="none" w:sz="0" w:space="0" w:color="auto"/>
            <w:right w:val="none" w:sz="0" w:space="0" w:color="auto"/>
          </w:divBdr>
          <w:divsChild>
            <w:div w:id="1879513905">
              <w:marLeft w:val="0"/>
              <w:marRight w:val="0"/>
              <w:marTop w:val="0"/>
              <w:marBottom w:val="0"/>
              <w:divBdr>
                <w:top w:val="none" w:sz="0" w:space="0" w:color="auto"/>
                <w:left w:val="none" w:sz="0" w:space="0" w:color="auto"/>
                <w:bottom w:val="none" w:sz="0" w:space="0" w:color="auto"/>
                <w:right w:val="none" w:sz="0" w:space="0" w:color="auto"/>
              </w:divBdr>
              <w:divsChild>
                <w:div w:id="1257060706">
                  <w:marLeft w:val="0"/>
                  <w:marRight w:val="0"/>
                  <w:marTop w:val="0"/>
                  <w:marBottom w:val="0"/>
                  <w:divBdr>
                    <w:top w:val="none" w:sz="0" w:space="0" w:color="auto"/>
                    <w:left w:val="none" w:sz="0" w:space="0" w:color="auto"/>
                    <w:bottom w:val="none" w:sz="0" w:space="0" w:color="auto"/>
                    <w:right w:val="none" w:sz="0" w:space="0" w:color="auto"/>
                  </w:divBdr>
                  <w:divsChild>
                    <w:div w:id="2060008334">
                      <w:marLeft w:val="0"/>
                      <w:marRight w:val="0"/>
                      <w:marTop w:val="0"/>
                      <w:marBottom w:val="0"/>
                      <w:divBdr>
                        <w:top w:val="none" w:sz="0" w:space="0" w:color="auto"/>
                        <w:left w:val="none" w:sz="0" w:space="0" w:color="auto"/>
                        <w:bottom w:val="none" w:sz="0" w:space="0" w:color="auto"/>
                        <w:right w:val="none" w:sz="0" w:space="0" w:color="auto"/>
                      </w:divBdr>
                      <w:divsChild>
                        <w:div w:id="65229046">
                          <w:marLeft w:val="0"/>
                          <w:marRight w:val="0"/>
                          <w:marTop w:val="0"/>
                          <w:marBottom w:val="0"/>
                          <w:divBdr>
                            <w:top w:val="none" w:sz="0" w:space="0" w:color="auto"/>
                            <w:left w:val="none" w:sz="0" w:space="0" w:color="auto"/>
                            <w:bottom w:val="none" w:sz="0" w:space="0" w:color="auto"/>
                            <w:right w:val="none" w:sz="0" w:space="0" w:color="auto"/>
                          </w:divBdr>
                          <w:divsChild>
                            <w:div w:id="4644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582452">
      <w:bodyDiv w:val="1"/>
      <w:marLeft w:val="0"/>
      <w:marRight w:val="0"/>
      <w:marTop w:val="0"/>
      <w:marBottom w:val="0"/>
      <w:divBdr>
        <w:top w:val="none" w:sz="0" w:space="0" w:color="auto"/>
        <w:left w:val="none" w:sz="0" w:space="0" w:color="auto"/>
        <w:bottom w:val="none" w:sz="0" w:space="0" w:color="auto"/>
        <w:right w:val="none" w:sz="0" w:space="0" w:color="auto"/>
      </w:divBdr>
    </w:div>
    <w:div w:id="1084884946">
      <w:bodyDiv w:val="1"/>
      <w:marLeft w:val="0"/>
      <w:marRight w:val="0"/>
      <w:marTop w:val="0"/>
      <w:marBottom w:val="0"/>
      <w:divBdr>
        <w:top w:val="none" w:sz="0" w:space="0" w:color="auto"/>
        <w:left w:val="none" w:sz="0" w:space="0" w:color="auto"/>
        <w:bottom w:val="none" w:sz="0" w:space="0" w:color="auto"/>
        <w:right w:val="none" w:sz="0" w:space="0" w:color="auto"/>
      </w:divBdr>
      <w:divsChild>
        <w:div w:id="664086105">
          <w:marLeft w:val="0"/>
          <w:marRight w:val="0"/>
          <w:marTop w:val="0"/>
          <w:marBottom w:val="0"/>
          <w:divBdr>
            <w:top w:val="none" w:sz="0" w:space="0" w:color="auto"/>
            <w:left w:val="none" w:sz="0" w:space="0" w:color="auto"/>
            <w:bottom w:val="none" w:sz="0" w:space="0" w:color="auto"/>
            <w:right w:val="none" w:sz="0" w:space="0" w:color="auto"/>
          </w:divBdr>
          <w:divsChild>
            <w:div w:id="571699479">
              <w:marLeft w:val="0"/>
              <w:marRight w:val="0"/>
              <w:marTop w:val="0"/>
              <w:marBottom w:val="0"/>
              <w:divBdr>
                <w:top w:val="none" w:sz="0" w:space="0" w:color="auto"/>
                <w:left w:val="none" w:sz="0" w:space="0" w:color="auto"/>
                <w:bottom w:val="none" w:sz="0" w:space="0" w:color="auto"/>
                <w:right w:val="none" w:sz="0" w:space="0" w:color="auto"/>
              </w:divBdr>
              <w:divsChild>
                <w:div w:id="1155411572">
                  <w:marLeft w:val="0"/>
                  <w:marRight w:val="0"/>
                  <w:marTop w:val="0"/>
                  <w:marBottom w:val="0"/>
                  <w:divBdr>
                    <w:top w:val="none" w:sz="0" w:space="0" w:color="auto"/>
                    <w:left w:val="none" w:sz="0" w:space="0" w:color="auto"/>
                    <w:bottom w:val="none" w:sz="0" w:space="0" w:color="auto"/>
                    <w:right w:val="none" w:sz="0" w:space="0" w:color="auto"/>
                  </w:divBdr>
                  <w:divsChild>
                    <w:div w:id="1476800801">
                      <w:marLeft w:val="0"/>
                      <w:marRight w:val="0"/>
                      <w:marTop w:val="0"/>
                      <w:marBottom w:val="0"/>
                      <w:divBdr>
                        <w:top w:val="none" w:sz="0" w:space="0" w:color="auto"/>
                        <w:left w:val="none" w:sz="0" w:space="0" w:color="auto"/>
                        <w:bottom w:val="none" w:sz="0" w:space="0" w:color="auto"/>
                        <w:right w:val="none" w:sz="0" w:space="0" w:color="auto"/>
                      </w:divBdr>
                      <w:divsChild>
                        <w:div w:id="1886791665">
                          <w:marLeft w:val="0"/>
                          <w:marRight w:val="0"/>
                          <w:marTop w:val="0"/>
                          <w:marBottom w:val="0"/>
                          <w:divBdr>
                            <w:top w:val="none" w:sz="0" w:space="0" w:color="auto"/>
                            <w:left w:val="none" w:sz="0" w:space="0" w:color="auto"/>
                            <w:bottom w:val="none" w:sz="0" w:space="0" w:color="auto"/>
                            <w:right w:val="none" w:sz="0" w:space="0" w:color="auto"/>
                          </w:divBdr>
                          <w:divsChild>
                            <w:div w:id="5199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02218">
      <w:bodyDiv w:val="1"/>
      <w:marLeft w:val="0"/>
      <w:marRight w:val="0"/>
      <w:marTop w:val="0"/>
      <w:marBottom w:val="0"/>
      <w:divBdr>
        <w:top w:val="none" w:sz="0" w:space="0" w:color="auto"/>
        <w:left w:val="none" w:sz="0" w:space="0" w:color="auto"/>
        <w:bottom w:val="none" w:sz="0" w:space="0" w:color="auto"/>
        <w:right w:val="none" w:sz="0" w:space="0" w:color="auto"/>
      </w:divBdr>
    </w:div>
    <w:div w:id="1472482455">
      <w:bodyDiv w:val="1"/>
      <w:marLeft w:val="0"/>
      <w:marRight w:val="0"/>
      <w:marTop w:val="0"/>
      <w:marBottom w:val="0"/>
      <w:divBdr>
        <w:top w:val="none" w:sz="0" w:space="0" w:color="auto"/>
        <w:left w:val="none" w:sz="0" w:space="0" w:color="auto"/>
        <w:bottom w:val="none" w:sz="0" w:space="0" w:color="auto"/>
        <w:right w:val="none" w:sz="0" w:space="0" w:color="auto"/>
      </w:divBdr>
    </w:div>
    <w:div w:id="1537156871">
      <w:bodyDiv w:val="1"/>
      <w:marLeft w:val="0"/>
      <w:marRight w:val="0"/>
      <w:marTop w:val="0"/>
      <w:marBottom w:val="0"/>
      <w:divBdr>
        <w:top w:val="none" w:sz="0" w:space="0" w:color="auto"/>
        <w:left w:val="none" w:sz="0" w:space="0" w:color="auto"/>
        <w:bottom w:val="none" w:sz="0" w:space="0" w:color="auto"/>
        <w:right w:val="none" w:sz="0" w:space="0" w:color="auto"/>
      </w:divBdr>
    </w:div>
    <w:div w:id="1557350712">
      <w:bodyDiv w:val="1"/>
      <w:marLeft w:val="0"/>
      <w:marRight w:val="0"/>
      <w:marTop w:val="0"/>
      <w:marBottom w:val="0"/>
      <w:divBdr>
        <w:top w:val="none" w:sz="0" w:space="0" w:color="auto"/>
        <w:left w:val="none" w:sz="0" w:space="0" w:color="auto"/>
        <w:bottom w:val="none" w:sz="0" w:space="0" w:color="auto"/>
        <w:right w:val="none" w:sz="0" w:space="0" w:color="auto"/>
      </w:divBdr>
    </w:div>
    <w:div w:id="1640725488">
      <w:bodyDiv w:val="1"/>
      <w:marLeft w:val="0"/>
      <w:marRight w:val="0"/>
      <w:marTop w:val="0"/>
      <w:marBottom w:val="0"/>
      <w:divBdr>
        <w:top w:val="none" w:sz="0" w:space="0" w:color="auto"/>
        <w:left w:val="none" w:sz="0" w:space="0" w:color="auto"/>
        <w:bottom w:val="none" w:sz="0" w:space="0" w:color="auto"/>
        <w:right w:val="none" w:sz="0" w:space="0" w:color="auto"/>
      </w:divBdr>
      <w:divsChild>
        <w:div w:id="952204746">
          <w:marLeft w:val="0"/>
          <w:marRight w:val="0"/>
          <w:marTop w:val="0"/>
          <w:marBottom w:val="0"/>
          <w:divBdr>
            <w:top w:val="none" w:sz="0" w:space="0" w:color="auto"/>
            <w:left w:val="none" w:sz="0" w:space="0" w:color="auto"/>
            <w:bottom w:val="none" w:sz="0" w:space="0" w:color="auto"/>
            <w:right w:val="none" w:sz="0" w:space="0" w:color="auto"/>
          </w:divBdr>
          <w:divsChild>
            <w:div w:id="117341745">
              <w:marLeft w:val="0"/>
              <w:marRight w:val="0"/>
              <w:marTop w:val="0"/>
              <w:marBottom w:val="0"/>
              <w:divBdr>
                <w:top w:val="none" w:sz="0" w:space="0" w:color="auto"/>
                <w:left w:val="none" w:sz="0" w:space="0" w:color="auto"/>
                <w:bottom w:val="none" w:sz="0" w:space="0" w:color="auto"/>
                <w:right w:val="none" w:sz="0" w:space="0" w:color="auto"/>
              </w:divBdr>
              <w:divsChild>
                <w:div w:id="1527717426">
                  <w:marLeft w:val="0"/>
                  <w:marRight w:val="0"/>
                  <w:marTop w:val="0"/>
                  <w:marBottom w:val="0"/>
                  <w:divBdr>
                    <w:top w:val="none" w:sz="0" w:space="0" w:color="auto"/>
                    <w:left w:val="none" w:sz="0" w:space="0" w:color="auto"/>
                    <w:bottom w:val="none" w:sz="0" w:space="0" w:color="auto"/>
                    <w:right w:val="none" w:sz="0" w:space="0" w:color="auto"/>
                  </w:divBdr>
                  <w:divsChild>
                    <w:div w:id="1389762951">
                      <w:marLeft w:val="0"/>
                      <w:marRight w:val="0"/>
                      <w:marTop w:val="0"/>
                      <w:marBottom w:val="0"/>
                      <w:divBdr>
                        <w:top w:val="none" w:sz="0" w:space="0" w:color="auto"/>
                        <w:left w:val="none" w:sz="0" w:space="0" w:color="auto"/>
                        <w:bottom w:val="none" w:sz="0" w:space="0" w:color="auto"/>
                        <w:right w:val="none" w:sz="0" w:space="0" w:color="auto"/>
                      </w:divBdr>
                      <w:divsChild>
                        <w:div w:id="667026077">
                          <w:marLeft w:val="0"/>
                          <w:marRight w:val="0"/>
                          <w:marTop w:val="0"/>
                          <w:marBottom w:val="0"/>
                          <w:divBdr>
                            <w:top w:val="none" w:sz="0" w:space="0" w:color="auto"/>
                            <w:left w:val="none" w:sz="0" w:space="0" w:color="auto"/>
                            <w:bottom w:val="none" w:sz="0" w:space="0" w:color="auto"/>
                            <w:right w:val="none" w:sz="0" w:space="0" w:color="auto"/>
                          </w:divBdr>
                          <w:divsChild>
                            <w:div w:id="17360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367831">
      <w:bodyDiv w:val="1"/>
      <w:marLeft w:val="0"/>
      <w:marRight w:val="0"/>
      <w:marTop w:val="0"/>
      <w:marBottom w:val="0"/>
      <w:divBdr>
        <w:top w:val="none" w:sz="0" w:space="0" w:color="auto"/>
        <w:left w:val="none" w:sz="0" w:space="0" w:color="auto"/>
        <w:bottom w:val="none" w:sz="0" w:space="0" w:color="auto"/>
        <w:right w:val="none" w:sz="0" w:space="0" w:color="auto"/>
      </w:divBdr>
    </w:div>
    <w:div w:id="1804956417">
      <w:bodyDiv w:val="1"/>
      <w:marLeft w:val="0"/>
      <w:marRight w:val="0"/>
      <w:marTop w:val="0"/>
      <w:marBottom w:val="0"/>
      <w:divBdr>
        <w:top w:val="none" w:sz="0" w:space="0" w:color="auto"/>
        <w:left w:val="none" w:sz="0" w:space="0" w:color="auto"/>
        <w:bottom w:val="none" w:sz="0" w:space="0" w:color="auto"/>
        <w:right w:val="none" w:sz="0" w:space="0" w:color="auto"/>
      </w:divBdr>
    </w:div>
    <w:div w:id="1955867389">
      <w:bodyDiv w:val="1"/>
      <w:marLeft w:val="0"/>
      <w:marRight w:val="0"/>
      <w:marTop w:val="0"/>
      <w:marBottom w:val="0"/>
      <w:divBdr>
        <w:top w:val="none" w:sz="0" w:space="0" w:color="auto"/>
        <w:left w:val="none" w:sz="0" w:space="0" w:color="auto"/>
        <w:bottom w:val="none" w:sz="0" w:space="0" w:color="auto"/>
        <w:right w:val="none" w:sz="0" w:space="0" w:color="auto"/>
      </w:divBdr>
      <w:divsChild>
        <w:div w:id="718017220">
          <w:marLeft w:val="0"/>
          <w:marRight w:val="0"/>
          <w:marTop w:val="0"/>
          <w:marBottom w:val="0"/>
          <w:divBdr>
            <w:top w:val="none" w:sz="0" w:space="0" w:color="auto"/>
            <w:left w:val="none" w:sz="0" w:space="0" w:color="auto"/>
            <w:bottom w:val="none" w:sz="0" w:space="0" w:color="auto"/>
            <w:right w:val="none" w:sz="0" w:space="0" w:color="auto"/>
          </w:divBdr>
          <w:divsChild>
            <w:div w:id="1037850284">
              <w:marLeft w:val="0"/>
              <w:marRight w:val="0"/>
              <w:marTop w:val="0"/>
              <w:marBottom w:val="0"/>
              <w:divBdr>
                <w:top w:val="none" w:sz="0" w:space="0" w:color="auto"/>
                <w:left w:val="none" w:sz="0" w:space="0" w:color="auto"/>
                <w:bottom w:val="none" w:sz="0" w:space="0" w:color="auto"/>
                <w:right w:val="none" w:sz="0" w:space="0" w:color="auto"/>
              </w:divBdr>
              <w:divsChild>
                <w:div w:id="100612295">
                  <w:marLeft w:val="0"/>
                  <w:marRight w:val="0"/>
                  <w:marTop w:val="0"/>
                  <w:marBottom w:val="0"/>
                  <w:divBdr>
                    <w:top w:val="none" w:sz="0" w:space="0" w:color="auto"/>
                    <w:left w:val="none" w:sz="0" w:space="0" w:color="auto"/>
                    <w:bottom w:val="none" w:sz="0" w:space="0" w:color="auto"/>
                    <w:right w:val="none" w:sz="0" w:space="0" w:color="auto"/>
                  </w:divBdr>
                  <w:divsChild>
                    <w:div w:id="941379613">
                      <w:marLeft w:val="0"/>
                      <w:marRight w:val="0"/>
                      <w:marTop w:val="0"/>
                      <w:marBottom w:val="0"/>
                      <w:divBdr>
                        <w:top w:val="none" w:sz="0" w:space="0" w:color="auto"/>
                        <w:left w:val="none" w:sz="0" w:space="0" w:color="auto"/>
                        <w:bottom w:val="none" w:sz="0" w:space="0" w:color="auto"/>
                        <w:right w:val="none" w:sz="0" w:space="0" w:color="auto"/>
                      </w:divBdr>
                      <w:divsChild>
                        <w:div w:id="1095176398">
                          <w:marLeft w:val="0"/>
                          <w:marRight w:val="0"/>
                          <w:marTop w:val="0"/>
                          <w:marBottom w:val="0"/>
                          <w:divBdr>
                            <w:top w:val="none" w:sz="0" w:space="0" w:color="auto"/>
                            <w:left w:val="none" w:sz="0" w:space="0" w:color="auto"/>
                            <w:bottom w:val="none" w:sz="0" w:space="0" w:color="auto"/>
                            <w:right w:val="none" w:sz="0" w:space="0" w:color="auto"/>
                          </w:divBdr>
                          <w:divsChild>
                            <w:div w:id="15600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6907">
      <w:bodyDiv w:val="1"/>
      <w:marLeft w:val="0"/>
      <w:marRight w:val="0"/>
      <w:marTop w:val="0"/>
      <w:marBottom w:val="0"/>
      <w:divBdr>
        <w:top w:val="none" w:sz="0" w:space="0" w:color="auto"/>
        <w:left w:val="none" w:sz="0" w:space="0" w:color="auto"/>
        <w:bottom w:val="none" w:sz="0" w:space="0" w:color="auto"/>
        <w:right w:val="none" w:sz="0" w:space="0" w:color="auto"/>
      </w:divBdr>
    </w:div>
    <w:div w:id="2010210949">
      <w:bodyDiv w:val="1"/>
      <w:marLeft w:val="0"/>
      <w:marRight w:val="0"/>
      <w:marTop w:val="0"/>
      <w:marBottom w:val="0"/>
      <w:divBdr>
        <w:top w:val="none" w:sz="0" w:space="0" w:color="auto"/>
        <w:left w:val="none" w:sz="0" w:space="0" w:color="auto"/>
        <w:bottom w:val="none" w:sz="0" w:space="0" w:color="auto"/>
        <w:right w:val="none" w:sz="0" w:space="0" w:color="auto"/>
      </w:divBdr>
    </w:div>
    <w:div w:id="2032953792">
      <w:bodyDiv w:val="1"/>
      <w:marLeft w:val="0"/>
      <w:marRight w:val="0"/>
      <w:marTop w:val="0"/>
      <w:marBottom w:val="0"/>
      <w:divBdr>
        <w:top w:val="none" w:sz="0" w:space="0" w:color="auto"/>
        <w:left w:val="none" w:sz="0" w:space="0" w:color="auto"/>
        <w:bottom w:val="none" w:sz="0" w:space="0" w:color="auto"/>
        <w:right w:val="none" w:sz="0" w:space="0" w:color="auto"/>
      </w:divBdr>
    </w:div>
    <w:div w:id="2037850441">
      <w:bodyDiv w:val="1"/>
      <w:marLeft w:val="0"/>
      <w:marRight w:val="0"/>
      <w:marTop w:val="0"/>
      <w:marBottom w:val="0"/>
      <w:divBdr>
        <w:top w:val="none" w:sz="0" w:space="0" w:color="auto"/>
        <w:left w:val="none" w:sz="0" w:space="0" w:color="auto"/>
        <w:bottom w:val="none" w:sz="0" w:space="0" w:color="auto"/>
        <w:right w:val="none" w:sz="0" w:space="0" w:color="auto"/>
      </w:divBdr>
    </w:div>
    <w:div w:id="2081638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ckinsey.com/cn/~/media/m%20ckinsey/locations/asia/greater%20china/our%20insights/seven%20technologies%20shaping%20the%20future%20of%20fintech/seven-fintech-trends.pdf" TargetMode="External"/><Relationship Id="rId18" Type="http://schemas.openxmlformats.org/officeDocument/2006/relationships/hyperlink" Target="mailto:nahar.saadan@anm.gov.my" TargetMode="External"/><Relationship Id="rId3" Type="http://schemas.openxmlformats.org/officeDocument/2006/relationships/numbering" Target="numbering.xml"/><Relationship Id="rId21" Type="http://schemas.openxmlformats.org/officeDocument/2006/relationships/hyperlink" Target="https://shorturl.at/Yhqse" TargetMode="External"/><Relationship Id="rId7" Type="http://schemas.openxmlformats.org/officeDocument/2006/relationships/footnotes" Target="footnotes.xml"/><Relationship Id="rId12" Type="http://schemas.openxmlformats.org/officeDocument/2006/relationships/hyperlink" Target="https://www.epu.gov.my/sites/default/files/2021-02/malaysia-digital-economy-blueprint.pdf" TargetMode="External"/><Relationship Id="rId17" Type="http://schemas.openxmlformats.org/officeDocument/2006/relationships/hyperlink" Target="mailto:khairil@usim.edu.m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nm.gov.my/pekeliling/surat-pekeliling-akauntan-negara-malays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nm.gov.my/pa%20yment-statistic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osti.gov.my/wp-content/uploads/2022/08/National-Blockchain-Roadmap-2021-2025.pdf" TargetMode="External"/><Relationship Id="rId23" Type="http://schemas.microsoft.com/office/2007/relationships/hdphoto" Target="media/hdphoto1.wdp"/><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udit.gov.my" TargetMode="External"/><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6hhgLK3gdAkIv5mKuRYBWTLvOA==">CgMxLjA4AHIhMU1qYkp0MmFNc3g1V29ZOVNkbFo5Q0pfdXlkLWUxVFMz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2FE57E-AD2F-4931-9B8B-66C0C749D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44884</Words>
  <Characters>255843</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Hakimah Nur Ahmad Hamidi</dc:creator>
  <cp:keywords/>
  <dc:description/>
  <cp:lastModifiedBy>LATIFAH MOHD ZAID</cp:lastModifiedBy>
  <cp:revision>76</cp:revision>
  <cp:lastPrinted>2025-05-14T02:27:00Z</cp:lastPrinted>
  <dcterms:created xsi:type="dcterms:W3CDTF">2025-05-26T08:36:00Z</dcterms:created>
  <dcterms:modified xsi:type="dcterms:W3CDTF">2025-10-28T08:14:00Z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https://csl.mendeley.com/styles/480481211/GayaUKM-Haroon-English</vt:lpwstr>
  </property>
  <property fmtid="{D5CDD505-2E9C-101B-9397-08002B2CF9AE}" pid="15" name="Mendeley Recent Style Name 6_1">
    <vt:lpwstr>Gaya UKM (English-2022) - Dr. Haroon Rashid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3f1d3373-6ec9-3af6-ae0e-839cce797425</vt:lpwstr>
  </property>
  <property fmtid="{D5CDD505-2E9C-101B-9397-08002B2CF9AE}" pid="24" name="Mendeley Citation Style_1">
    <vt:lpwstr>https://csl.mendeley.com/styles/480481211/GayaUKM-Haroon-English</vt:lpwstr>
  </property>
</Properties>
</file>