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20D" w:rsidRDefault="007A720D" w:rsidP="007A720D">
      <w:pPr>
        <w:spacing w:line="480" w:lineRule="auto"/>
        <w:jc w:val="center"/>
        <w:rPr>
          <w:rFonts w:ascii="Arial" w:hAnsi="Arial" w:cs="Arial"/>
          <w:b/>
          <w:bCs/>
          <w:sz w:val="24"/>
        </w:rPr>
      </w:pPr>
      <w:r w:rsidRPr="00F320EF">
        <w:rPr>
          <w:rFonts w:ascii="Arial" w:hAnsi="Arial" w:cs="Arial"/>
          <w:b/>
          <w:bCs/>
          <w:sz w:val="24"/>
        </w:rPr>
        <w:t>DEVELOPING ARGUMENTATIVE WRITING SKILLS OF LEARNERS USING AN ARGUMENTATIVE WRITING CHECKLIST (AWC) BASED ON THE CLASSICAL MODEL OF ARGUMENT</w:t>
      </w:r>
    </w:p>
    <w:p w:rsidR="007A720D" w:rsidRPr="00F320EF" w:rsidRDefault="007A720D" w:rsidP="007A720D">
      <w:pPr>
        <w:spacing w:after="0" w:line="480" w:lineRule="auto"/>
        <w:jc w:val="right"/>
        <w:rPr>
          <w:rFonts w:ascii="Times New Roman" w:eastAsia="Times New Roman" w:hAnsi="Times New Roman" w:cs="Times New Roman"/>
          <w:kern w:val="0"/>
          <w:sz w:val="24"/>
          <w:szCs w:val="24"/>
          <w:lang w:eastAsia="en-MY"/>
          <w14:ligatures w14:val="none"/>
        </w:rPr>
      </w:pPr>
      <w:r>
        <w:rPr>
          <w:rFonts w:ascii="Arial" w:eastAsia="Times New Roman" w:hAnsi="Arial" w:cs="Arial"/>
          <w:b/>
          <w:bCs/>
          <w:color w:val="000000"/>
          <w:kern w:val="0"/>
          <w:lang w:eastAsia="en-MY"/>
          <w14:ligatures w14:val="none"/>
        </w:rPr>
        <w:t>Venosha Ravana</w:t>
      </w:r>
      <w:r w:rsidRPr="00F320EF">
        <w:rPr>
          <w:rFonts w:ascii="Arial" w:eastAsia="Times New Roman" w:hAnsi="Arial" w:cs="Arial"/>
          <w:b/>
          <w:bCs/>
          <w:color w:val="000000"/>
          <w:kern w:val="0"/>
          <w:sz w:val="20"/>
          <w:szCs w:val="13"/>
          <w:vertAlign w:val="superscript"/>
          <w:lang w:eastAsia="en-MY"/>
          <w14:ligatures w14:val="none"/>
        </w:rPr>
        <w:t>1*</w:t>
      </w:r>
      <w:r>
        <w:rPr>
          <w:rFonts w:ascii="Arial" w:eastAsia="Times New Roman" w:hAnsi="Arial" w:cs="Arial"/>
          <w:b/>
          <w:bCs/>
          <w:color w:val="000000"/>
          <w:kern w:val="0"/>
          <w:lang w:eastAsia="en-MY"/>
          <w14:ligatures w14:val="none"/>
        </w:rPr>
        <w:t>, Benny Vivian Thomas</w:t>
      </w:r>
      <w:r w:rsidRPr="00F320EF">
        <w:rPr>
          <w:rFonts w:ascii="Arial" w:eastAsia="Times New Roman" w:hAnsi="Arial" w:cs="Arial"/>
          <w:b/>
          <w:bCs/>
          <w:color w:val="000000"/>
          <w:kern w:val="0"/>
          <w:sz w:val="20"/>
          <w:szCs w:val="13"/>
          <w:vertAlign w:val="superscript"/>
          <w:lang w:eastAsia="en-MY"/>
          <w14:ligatures w14:val="none"/>
        </w:rPr>
        <w:t>2</w:t>
      </w:r>
      <w:r>
        <w:rPr>
          <w:rFonts w:ascii="Arial" w:eastAsia="Times New Roman" w:hAnsi="Arial" w:cs="Arial"/>
          <w:b/>
          <w:bCs/>
          <w:color w:val="000000"/>
          <w:kern w:val="0"/>
          <w:lang w:eastAsia="en-MY"/>
          <w14:ligatures w14:val="none"/>
        </w:rPr>
        <w:t xml:space="preserve"> &amp; Sarala </w:t>
      </w:r>
      <w:proofErr w:type="spellStart"/>
      <w:r>
        <w:rPr>
          <w:rFonts w:ascii="Arial" w:eastAsia="Times New Roman" w:hAnsi="Arial" w:cs="Arial"/>
          <w:b/>
          <w:bCs/>
          <w:color w:val="000000"/>
          <w:kern w:val="0"/>
          <w:lang w:eastAsia="en-MY"/>
          <w14:ligatures w14:val="none"/>
        </w:rPr>
        <w:t>Thulasi</w:t>
      </w:r>
      <w:proofErr w:type="spellEnd"/>
      <w:r>
        <w:rPr>
          <w:rFonts w:ascii="Arial" w:eastAsia="Times New Roman" w:hAnsi="Arial" w:cs="Arial"/>
          <w:b/>
          <w:bCs/>
          <w:color w:val="000000"/>
          <w:kern w:val="0"/>
          <w:lang w:eastAsia="en-MY"/>
          <w14:ligatures w14:val="none"/>
        </w:rPr>
        <w:t xml:space="preserve"> Palpanadan</w:t>
      </w:r>
      <w:r w:rsidRPr="00F320EF">
        <w:rPr>
          <w:rFonts w:ascii="Arial" w:eastAsia="Times New Roman" w:hAnsi="Arial" w:cs="Arial"/>
          <w:b/>
          <w:bCs/>
          <w:color w:val="000000"/>
          <w:kern w:val="0"/>
          <w:sz w:val="20"/>
          <w:szCs w:val="13"/>
          <w:vertAlign w:val="superscript"/>
          <w:lang w:eastAsia="en-MY"/>
          <w14:ligatures w14:val="none"/>
        </w:rPr>
        <w:t>3</w:t>
      </w:r>
    </w:p>
    <w:p w:rsidR="007A720D" w:rsidRPr="00F320EF" w:rsidRDefault="007A720D" w:rsidP="007A720D">
      <w:pPr>
        <w:spacing w:after="0" w:line="240" w:lineRule="auto"/>
        <w:rPr>
          <w:rFonts w:ascii="Times New Roman" w:eastAsia="Times New Roman" w:hAnsi="Times New Roman" w:cs="Times New Roman"/>
          <w:kern w:val="0"/>
          <w:sz w:val="24"/>
          <w:szCs w:val="24"/>
          <w:lang w:eastAsia="en-MY"/>
          <w14:ligatures w14:val="none"/>
        </w:rPr>
      </w:pPr>
    </w:p>
    <w:p w:rsidR="007A720D" w:rsidRPr="00F320EF" w:rsidRDefault="007A720D" w:rsidP="007A720D">
      <w:pPr>
        <w:spacing w:after="0" w:line="480" w:lineRule="auto"/>
        <w:jc w:val="right"/>
        <w:rPr>
          <w:rFonts w:ascii="Times New Roman" w:eastAsia="Times New Roman" w:hAnsi="Times New Roman" w:cs="Times New Roman"/>
          <w:kern w:val="0"/>
          <w:sz w:val="24"/>
          <w:szCs w:val="24"/>
          <w:lang w:eastAsia="en-MY"/>
          <w14:ligatures w14:val="none"/>
        </w:rPr>
      </w:pPr>
      <w:r w:rsidRPr="00F320EF">
        <w:rPr>
          <w:rFonts w:ascii="Arial" w:eastAsia="Times New Roman" w:hAnsi="Arial" w:cs="Arial"/>
          <w:b/>
          <w:bCs/>
          <w:color w:val="000000"/>
          <w:kern w:val="0"/>
          <w:sz w:val="20"/>
          <w:szCs w:val="13"/>
          <w:vertAlign w:val="superscript"/>
          <w:lang w:eastAsia="en-MY"/>
          <w14:ligatures w14:val="none"/>
        </w:rPr>
        <w:t>1</w:t>
      </w:r>
      <w:r>
        <w:rPr>
          <w:rFonts w:ascii="Arial" w:eastAsia="Times New Roman" w:hAnsi="Arial" w:cs="Arial"/>
          <w:b/>
          <w:bCs/>
          <w:color w:val="000000"/>
          <w:kern w:val="0"/>
          <w:lang w:eastAsia="en-MY"/>
          <w14:ligatures w14:val="none"/>
        </w:rPr>
        <w:t>Department of Languages</w:t>
      </w:r>
      <w:r w:rsidRPr="00F320EF">
        <w:rPr>
          <w:rFonts w:ascii="Arial" w:eastAsia="Times New Roman" w:hAnsi="Arial" w:cs="Arial"/>
          <w:b/>
          <w:bCs/>
          <w:color w:val="000000"/>
          <w:kern w:val="0"/>
          <w:lang w:eastAsia="en-MY"/>
          <w14:ligatures w14:val="none"/>
        </w:rPr>
        <w:t>, F</w:t>
      </w:r>
      <w:r>
        <w:rPr>
          <w:rFonts w:ascii="Arial" w:eastAsia="Times New Roman" w:hAnsi="Arial" w:cs="Arial"/>
          <w:b/>
          <w:bCs/>
          <w:color w:val="000000"/>
          <w:kern w:val="0"/>
          <w:lang w:eastAsia="en-MY"/>
          <w14:ligatures w14:val="none"/>
        </w:rPr>
        <w:t>aculty of Social Science and Humanities</w:t>
      </w:r>
    </w:p>
    <w:p w:rsidR="007A720D" w:rsidRPr="00F320EF" w:rsidRDefault="007A720D" w:rsidP="007A720D">
      <w:pPr>
        <w:spacing w:after="0" w:line="480" w:lineRule="auto"/>
        <w:ind w:right="30"/>
        <w:jc w:val="right"/>
        <w:rPr>
          <w:rFonts w:ascii="Times New Roman" w:eastAsia="Times New Roman" w:hAnsi="Times New Roman" w:cs="Times New Roman"/>
          <w:kern w:val="0"/>
          <w:sz w:val="24"/>
          <w:szCs w:val="24"/>
          <w:lang w:eastAsia="en-MY"/>
          <w14:ligatures w14:val="none"/>
        </w:rPr>
      </w:pPr>
      <w:proofErr w:type="spellStart"/>
      <w:r>
        <w:rPr>
          <w:rFonts w:ascii="Arial" w:eastAsia="Times New Roman" w:hAnsi="Arial" w:cs="Arial"/>
          <w:b/>
          <w:bCs/>
          <w:color w:val="000000"/>
          <w:kern w:val="0"/>
          <w:lang w:eastAsia="en-MY"/>
          <w14:ligatures w14:val="none"/>
        </w:rPr>
        <w:t>Tunku</w:t>
      </w:r>
      <w:proofErr w:type="spellEnd"/>
      <w:r>
        <w:rPr>
          <w:rFonts w:ascii="Arial" w:eastAsia="Times New Roman" w:hAnsi="Arial" w:cs="Arial"/>
          <w:b/>
          <w:bCs/>
          <w:color w:val="000000"/>
          <w:kern w:val="0"/>
          <w:lang w:eastAsia="en-MY"/>
          <w14:ligatures w14:val="none"/>
        </w:rPr>
        <w:t xml:space="preserve"> Abdul Rahman University of Management and Technology, 53300 </w:t>
      </w:r>
      <w:proofErr w:type="spellStart"/>
      <w:r>
        <w:rPr>
          <w:rFonts w:ascii="Arial" w:eastAsia="Times New Roman" w:hAnsi="Arial" w:cs="Arial"/>
          <w:b/>
          <w:bCs/>
          <w:color w:val="000000"/>
          <w:kern w:val="0"/>
          <w:lang w:eastAsia="en-MY"/>
          <w14:ligatures w14:val="none"/>
        </w:rPr>
        <w:t>Setapak</w:t>
      </w:r>
      <w:proofErr w:type="spellEnd"/>
      <w:r>
        <w:rPr>
          <w:rFonts w:ascii="Arial" w:eastAsia="Times New Roman" w:hAnsi="Arial" w:cs="Arial"/>
          <w:b/>
          <w:bCs/>
          <w:color w:val="000000"/>
          <w:kern w:val="0"/>
          <w:lang w:eastAsia="en-MY"/>
          <w14:ligatures w14:val="none"/>
        </w:rPr>
        <w:t>, Federal Territory of Kuala Lumpur</w:t>
      </w:r>
      <w:r w:rsidRPr="00F320EF">
        <w:rPr>
          <w:rFonts w:ascii="Arial" w:eastAsia="Times New Roman" w:hAnsi="Arial" w:cs="Arial"/>
          <w:b/>
          <w:bCs/>
          <w:color w:val="000000"/>
          <w:kern w:val="0"/>
          <w:lang w:eastAsia="en-MY"/>
          <w14:ligatures w14:val="none"/>
        </w:rPr>
        <w:t>, Malaysia</w:t>
      </w:r>
    </w:p>
    <w:p w:rsidR="007A720D" w:rsidRPr="00F320EF" w:rsidRDefault="007A720D" w:rsidP="007A720D">
      <w:pPr>
        <w:spacing w:after="0" w:line="480" w:lineRule="auto"/>
        <w:jc w:val="right"/>
        <w:rPr>
          <w:rFonts w:ascii="Times New Roman" w:eastAsia="Times New Roman" w:hAnsi="Times New Roman" w:cs="Times New Roman"/>
          <w:kern w:val="0"/>
          <w:sz w:val="24"/>
          <w:szCs w:val="24"/>
          <w:lang w:eastAsia="en-MY"/>
          <w14:ligatures w14:val="none"/>
        </w:rPr>
      </w:pPr>
      <w:r>
        <w:rPr>
          <w:rFonts w:ascii="Arial" w:eastAsia="Times New Roman" w:hAnsi="Arial" w:cs="Arial"/>
          <w:b/>
          <w:bCs/>
          <w:color w:val="000000"/>
          <w:kern w:val="0"/>
          <w:sz w:val="20"/>
          <w:szCs w:val="13"/>
          <w:vertAlign w:val="superscript"/>
          <w:lang w:eastAsia="en-MY"/>
          <w14:ligatures w14:val="none"/>
        </w:rPr>
        <w:t>2</w:t>
      </w:r>
      <w:r>
        <w:rPr>
          <w:rFonts w:ascii="Arial" w:eastAsia="Times New Roman" w:hAnsi="Arial" w:cs="Arial"/>
          <w:b/>
          <w:bCs/>
          <w:color w:val="000000"/>
          <w:kern w:val="0"/>
          <w:lang w:eastAsia="en-MY"/>
          <w14:ligatures w14:val="none"/>
        </w:rPr>
        <w:t xml:space="preserve">Department of Mata </w:t>
      </w:r>
      <w:proofErr w:type="spellStart"/>
      <w:r>
        <w:rPr>
          <w:rFonts w:ascii="Arial" w:eastAsia="Times New Roman" w:hAnsi="Arial" w:cs="Arial"/>
          <w:b/>
          <w:bCs/>
          <w:color w:val="000000"/>
          <w:kern w:val="0"/>
          <w:lang w:eastAsia="en-MY"/>
          <w14:ligatures w14:val="none"/>
        </w:rPr>
        <w:t>Pelajaran</w:t>
      </w:r>
      <w:proofErr w:type="spellEnd"/>
      <w:r>
        <w:rPr>
          <w:rFonts w:ascii="Arial" w:eastAsia="Times New Roman" w:hAnsi="Arial" w:cs="Arial"/>
          <w:b/>
          <w:bCs/>
          <w:color w:val="000000"/>
          <w:kern w:val="0"/>
          <w:lang w:eastAsia="en-MY"/>
          <w14:ligatures w14:val="none"/>
        </w:rPr>
        <w:t xml:space="preserve"> </w:t>
      </w:r>
      <w:proofErr w:type="spellStart"/>
      <w:r>
        <w:rPr>
          <w:rFonts w:ascii="Arial" w:eastAsia="Times New Roman" w:hAnsi="Arial" w:cs="Arial"/>
          <w:b/>
          <w:bCs/>
          <w:color w:val="000000"/>
          <w:kern w:val="0"/>
          <w:lang w:eastAsia="en-MY"/>
          <w14:ligatures w14:val="none"/>
        </w:rPr>
        <w:t>Umum</w:t>
      </w:r>
      <w:proofErr w:type="spellEnd"/>
      <w:r w:rsidRPr="00F320EF">
        <w:rPr>
          <w:rFonts w:ascii="Arial" w:eastAsia="Times New Roman" w:hAnsi="Arial" w:cs="Arial"/>
          <w:b/>
          <w:bCs/>
          <w:color w:val="000000"/>
          <w:kern w:val="0"/>
          <w:lang w:eastAsia="en-MY"/>
          <w14:ligatures w14:val="none"/>
        </w:rPr>
        <w:t>, F</w:t>
      </w:r>
      <w:r>
        <w:rPr>
          <w:rFonts w:ascii="Arial" w:eastAsia="Times New Roman" w:hAnsi="Arial" w:cs="Arial"/>
          <w:b/>
          <w:bCs/>
          <w:color w:val="000000"/>
          <w:kern w:val="0"/>
          <w:lang w:eastAsia="en-MY"/>
          <w14:ligatures w14:val="none"/>
        </w:rPr>
        <w:t>aculty of Social Science and Humanities</w:t>
      </w:r>
    </w:p>
    <w:p w:rsidR="007A720D" w:rsidRDefault="007A720D" w:rsidP="007A720D">
      <w:pPr>
        <w:spacing w:after="0" w:line="480" w:lineRule="auto"/>
        <w:ind w:right="30"/>
        <w:jc w:val="right"/>
        <w:rPr>
          <w:rFonts w:ascii="Arial" w:eastAsia="Times New Roman" w:hAnsi="Arial" w:cs="Arial"/>
          <w:b/>
          <w:bCs/>
          <w:color w:val="000000"/>
          <w:kern w:val="0"/>
          <w:lang w:eastAsia="en-MY"/>
          <w14:ligatures w14:val="none"/>
        </w:rPr>
      </w:pPr>
      <w:proofErr w:type="spellStart"/>
      <w:r>
        <w:rPr>
          <w:rFonts w:ascii="Arial" w:eastAsia="Times New Roman" w:hAnsi="Arial" w:cs="Arial"/>
          <w:b/>
          <w:bCs/>
          <w:color w:val="000000"/>
          <w:kern w:val="0"/>
          <w:lang w:eastAsia="en-MY"/>
          <w14:ligatures w14:val="none"/>
        </w:rPr>
        <w:t>Tunku</w:t>
      </w:r>
      <w:proofErr w:type="spellEnd"/>
      <w:r>
        <w:rPr>
          <w:rFonts w:ascii="Arial" w:eastAsia="Times New Roman" w:hAnsi="Arial" w:cs="Arial"/>
          <w:b/>
          <w:bCs/>
          <w:color w:val="000000"/>
          <w:kern w:val="0"/>
          <w:lang w:eastAsia="en-MY"/>
          <w14:ligatures w14:val="none"/>
        </w:rPr>
        <w:t xml:space="preserve"> Abdul Rahman University of Management and Technology, 53300 </w:t>
      </w:r>
      <w:proofErr w:type="spellStart"/>
      <w:r>
        <w:rPr>
          <w:rFonts w:ascii="Arial" w:eastAsia="Times New Roman" w:hAnsi="Arial" w:cs="Arial"/>
          <w:b/>
          <w:bCs/>
          <w:color w:val="000000"/>
          <w:kern w:val="0"/>
          <w:lang w:eastAsia="en-MY"/>
          <w14:ligatures w14:val="none"/>
        </w:rPr>
        <w:t>Setapak</w:t>
      </w:r>
      <w:proofErr w:type="spellEnd"/>
      <w:r>
        <w:rPr>
          <w:rFonts w:ascii="Arial" w:eastAsia="Times New Roman" w:hAnsi="Arial" w:cs="Arial"/>
          <w:b/>
          <w:bCs/>
          <w:color w:val="000000"/>
          <w:kern w:val="0"/>
          <w:lang w:eastAsia="en-MY"/>
          <w14:ligatures w14:val="none"/>
        </w:rPr>
        <w:t>, Federal Territory of Kuala Lumpur</w:t>
      </w:r>
      <w:r w:rsidRPr="00F320EF">
        <w:rPr>
          <w:rFonts w:ascii="Arial" w:eastAsia="Times New Roman" w:hAnsi="Arial" w:cs="Arial"/>
          <w:b/>
          <w:bCs/>
          <w:color w:val="000000"/>
          <w:kern w:val="0"/>
          <w:lang w:eastAsia="en-MY"/>
          <w14:ligatures w14:val="none"/>
        </w:rPr>
        <w:t>, Malaysia</w:t>
      </w:r>
    </w:p>
    <w:p w:rsidR="007A720D" w:rsidRDefault="007A720D" w:rsidP="007A720D">
      <w:pPr>
        <w:spacing w:after="0" w:line="480" w:lineRule="auto"/>
        <w:ind w:right="30"/>
        <w:jc w:val="right"/>
        <w:rPr>
          <w:rFonts w:ascii="Arial" w:eastAsia="Times New Roman" w:hAnsi="Arial" w:cs="Arial"/>
          <w:b/>
          <w:bCs/>
          <w:color w:val="000000"/>
          <w:kern w:val="0"/>
          <w:lang w:eastAsia="en-MY"/>
          <w14:ligatures w14:val="none"/>
        </w:rPr>
      </w:pPr>
      <w:r>
        <w:rPr>
          <w:rFonts w:ascii="Arial" w:eastAsia="Times New Roman" w:hAnsi="Arial" w:cs="Arial"/>
          <w:b/>
          <w:bCs/>
          <w:color w:val="000000"/>
          <w:kern w:val="0"/>
          <w:vertAlign w:val="superscript"/>
          <w:lang w:eastAsia="en-MY"/>
          <w14:ligatures w14:val="none"/>
        </w:rPr>
        <w:t>3</w:t>
      </w:r>
      <w:r>
        <w:rPr>
          <w:rFonts w:ascii="Arial" w:eastAsia="Times New Roman" w:hAnsi="Arial" w:cs="Arial"/>
          <w:b/>
          <w:bCs/>
          <w:color w:val="000000"/>
          <w:kern w:val="0"/>
          <w:lang w:eastAsia="en-MY"/>
          <w14:ligatures w14:val="none"/>
        </w:rPr>
        <w:t>Centre for Language Studies</w:t>
      </w:r>
    </w:p>
    <w:p w:rsidR="007A720D" w:rsidRPr="006E0082" w:rsidRDefault="007A720D" w:rsidP="007A720D">
      <w:pPr>
        <w:spacing w:after="0" w:line="480" w:lineRule="auto"/>
        <w:ind w:right="30"/>
        <w:jc w:val="right"/>
        <w:rPr>
          <w:rFonts w:ascii="Arial" w:eastAsia="Times New Roman" w:hAnsi="Arial" w:cs="Arial"/>
          <w:b/>
          <w:bCs/>
          <w:color w:val="000000"/>
          <w:kern w:val="0"/>
          <w:lang w:eastAsia="en-MY"/>
          <w14:ligatures w14:val="none"/>
        </w:rPr>
      </w:pPr>
      <w:proofErr w:type="spellStart"/>
      <w:r w:rsidRPr="006E0082">
        <w:rPr>
          <w:rFonts w:ascii="Arial" w:eastAsia="Times New Roman" w:hAnsi="Arial" w:cs="Arial"/>
          <w:b/>
          <w:bCs/>
          <w:color w:val="000000"/>
          <w:kern w:val="0"/>
          <w:lang w:eastAsia="en-MY"/>
          <w14:ligatures w14:val="none"/>
        </w:rPr>
        <w:t>Universiti</w:t>
      </w:r>
      <w:proofErr w:type="spellEnd"/>
      <w:r w:rsidRPr="006E0082">
        <w:rPr>
          <w:rFonts w:ascii="Arial" w:eastAsia="Times New Roman" w:hAnsi="Arial" w:cs="Arial"/>
          <w:b/>
          <w:bCs/>
          <w:color w:val="000000"/>
          <w:kern w:val="0"/>
          <w:lang w:eastAsia="en-MY"/>
          <w14:ligatures w14:val="none"/>
        </w:rPr>
        <w:t xml:space="preserve"> </w:t>
      </w:r>
      <w:proofErr w:type="spellStart"/>
      <w:r w:rsidRPr="006E0082">
        <w:rPr>
          <w:rFonts w:ascii="Arial" w:eastAsia="Times New Roman" w:hAnsi="Arial" w:cs="Arial"/>
          <w:b/>
          <w:bCs/>
          <w:color w:val="000000"/>
          <w:kern w:val="0"/>
          <w:lang w:eastAsia="en-MY"/>
          <w14:ligatures w14:val="none"/>
        </w:rPr>
        <w:t>Tun</w:t>
      </w:r>
      <w:proofErr w:type="spellEnd"/>
      <w:r w:rsidRPr="006E0082">
        <w:rPr>
          <w:rFonts w:ascii="Arial" w:eastAsia="Times New Roman" w:hAnsi="Arial" w:cs="Arial"/>
          <w:b/>
          <w:bCs/>
          <w:color w:val="000000"/>
          <w:kern w:val="0"/>
          <w:lang w:eastAsia="en-MY"/>
          <w14:ligatures w14:val="none"/>
        </w:rPr>
        <w:t xml:space="preserve"> Hussein Onn</w:t>
      </w:r>
    </w:p>
    <w:p w:rsidR="007A720D" w:rsidRPr="00F320EF" w:rsidRDefault="007A720D" w:rsidP="007A720D">
      <w:pPr>
        <w:spacing w:after="0" w:line="480" w:lineRule="auto"/>
        <w:ind w:right="30"/>
        <w:jc w:val="right"/>
        <w:rPr>
          <w:rFonts w:ascii="Arial" w:eastAsia="Times New Roman" w:hAnsi="Arial" w:cs="Arial"/>
          <w:b/>
          <w:kern w:val="0"/>
          <w:szCs w:val="24"/>
          <w:lang w:eastAsia="en-MY"/>
          <w14:ligatures w14:val="none"/>
        </w:rPr>
      </w:pPr>
      <w:r w:rsidRPr="006E0082">
        <w:rPr>
          <w:rFonts w:ascii="Arial" w:eastAsia="Times New Roman" w:hAnsi="Arial" w:cs="Arial"/>
          <w:b/>
          <w:kern w:val="0"/>
          <w:szCs w:val="24"/>
          <w:lang w:eastAsia="en-MY"/>
          <w14:ligatures w14:val="none"/>
        </w:rPr>
        <w:t xml:space="preserve">86400 </w:t>
      </w:r>
      <w:proofErr w:type="spellStart"/>
      <w:r w:rsidRPr="006E0082">
        <w:rPr>
          <w:rFonts w:ascii="Arial" w:eastAsia="Times New Roman" w:hAnsi="Arial" w:cs="Arial"/>
          <w:b/>
          <w:kern w:val="0"/>
          <w:szCs w:val="24"/>
          <w:lang w:eastAsia="en-MY"/>
          <w14:ligatures w14:val="none"/>
        </w:rPr>
        <w:t>Parit</w:t>
      </w:r>
      <w:proofErr w:type="spellEnd"/>
      <w:r w:rsidRPr="006E0082">
        <w:rPr>
          <w:rFonts w:ascii="Arial" w:eastAsia="Times New Roman" w:hAnsi="Arial" w:cs="Arial"/>
          <w:b/>
          <w:kern w:val="0"/>
          <w:szCs w:val="24"/>
          <w:lang w:eastAsia="en-MY"/>
          <w14:ligatures w14:val="none"/>
        </w:rPr>
        <w:t xml:space="preserve"> Raja, Johor</w:t>
      </w:r>
      <w:r w:rsidRPr="00F320EF">
        <w:rPr>
          <w:rFonts w:ascii="Arial" w:eastAsia="Times New Roman" w:hAnsi="Arial" w:cs="Arial"/>
          <w:b/>
          <w:bCs/>
          <w:color w:val="000000"/>
          <w:kern w:val="0"/>
          <w:sz w:val="20"/>
          <w:lang w:eastAsia="en-MY"/>
          <w14:ligatures w14:val="none"/>
        </w:rPr>
        <w:t xml:space="preserve"> </w:t>
      </w:r>
    </w:p>
    <w:p w:rsidR="007A720D" w:rsidRPr="00F320EF" w:rsidRDefault="007A720D" w:rsidP="007A720D">
      <w:pPr>
        <w:spacing w:after="0" w:line="480" w:lineRule="auto"/>
        <w:jc w:val="right"/>
        <w:rPr>
          <w:rFonts w:ascii="Times New Roman" w:eastAsia="Times New Roman" w:hAnsi="Times New Roman" w:cs="Times New Roman"/>
          <w:kern w:val="0"/>
          <w:sz w:val="24"/>
          <w:szCs w:val="24"/>
          <w:lang w:eastAsia="en-MY"/>
          <w14:ligatures w14:val="none"/>
        </w:rPr>
      </w:pPr>
      <w:r w:rsidRPr="00F320EF">
        <w:rPr>
          <w:rFonts w:ascii="Times New Roman" w:eastAsia="Times New Roman" w:hAnsi="Times New Roman" w:cs="Times New Roman"/>
          <w:b/>
          <w:bCs/>
          <w:color w:val="000000"/>
          <w:kern w:val="0"/>
          <w:sz w:val="24"/>
          <w:szCs w:val="24"/>
          <w:lang w:eastAsia="en-MY"/>
          <w14:ligatures w14:val="none"/>
        </w:rPr>
        <w:t xml:space="preserve"> (Cor</w:t>
      </w:r>
      <w:r>
        <w:rPr>
          <w:rFonts w:ascii="Times New Roman" w:eastAsia="Times New Roman" w:hAnsi="Times New Roman" w:cs="Times New Roman"/>
          <w:b/>
          <w:bCs/>
          <w:color w:val="000000"/>
          <w:kern w:val="0"/>
          <w:sz w:val="24"/>
          <w:szCs w:val="24"/>
          <w:lang w:eastAsia="en-MY"/>
          <w14:ligatures w14:val="none"/>
        </w:rPr>
        <w:t>responding author: venosha@tarc.edu.my)</w:t>
      </w:r>
    </w:p>
    <w:p w:rsidR="007A720D" w:rsidRPr="00F320EF" w:rsidRDefault="007A720D" w:rsidP="007A720D">
      <w:pPr>
        <w:spacing w:line="480" w:lineRule="auto"/>
        <w:jc w:val="right"/>
        <w:rPr>
          <w:rFonts w:ascii="Arial" w:hAnsi="Arial" w:cs="Arial"/>
          <w:b/>
          <w:bCs/>
          <w:sz w:val="24"/>
        </w:rPr>
      </w:pPr>
    </w:p>
    <w:p w:rsidR="007A720D" w:rsidRPr="00E54A3D" w:rsidRDefault="007A720D" w:rsidP="007A720D">
      <w:pPr>
        <w:spacing w:line="480" w:lineRule="auto"/>
        <w:jc w:val="both"/>
        <w:rPr>
          <w:rFonts w:ascii="Arial" w:hAnsi="Arial" w:cs="Arial"/>
          <w:b/>
          <w:bCs/>
        </w:rPr>
      </w:pPr>
      <w:r w:rsidRPr="00E54A3D">
        <w:rPr>
          <w:rFonts w:ascii="Arial" w:hAnsi="Arial" w:cs="Arial"/>
          <w:b/>
          <w:bCs/>
        </w:rPr>
        <w:t>Abstract</w:t>
      </w:r>
    </w:p>
    <w:p w:rsidR="007A720D" w:rsidRPr="00E54A3D" w:rsidRDefault="007A720D" w:rsidP="007A720D">
      <w:pPr>
        <w:spacing w:line="480" w:lineRule="auto"/>
        <w:jc w:val="both"/>
        <w:rPr>
          <w:rFonts w:ascii="Arial" w:hAnsi="Arial" w:cs="Arial"/>
        </w:rPr>
      </w:pPr>
      <w:r w:rsidRPr="00E54A3D">
        <w:rPr>
          <w:rFonts w:ascii="Arial" w:hAnsi="Arial" w:cs="Arial"/>
        </w:rPr>
        <w:t xml:space="preserve">Academic writing skills can help learners succeed in their studies, as in many academic contexts, writing is a key component of coursework and exams. However, literature show that some Malaysian university students may still be unfamiliar with the conventions of academic writing in English, especially in ways to structure an essay and to express complex ideas and arguments in writing. To support a classroom that requires academic writing proficiency, an academic writing checklist (AWC) was first developed based on the Classical Model of Argument. Next, in a quasi-experimental study, two groups of academic English learners were involved in testing the effectiveness of the AWC. Findings from paired t-test analysis done on </w:t>
      </w:r>
      <w:proofErr w:type="spellStart"/>
      <w:r w:rsidRPr="00E54A3D">
        <w:rPr>
          <w:rFonts w:ascii="Arial" w:hAnsi="Arial" w:cs="Arial"/>
          <w:i/>
          <w:iCs/>
        </w:rPr>
        <w:t>Jupyterlab</w:t>
      </w:r>
      <w:proofErr w:type="spellEnd"/>
      <w:r w:rsidRPr="00E54A3D">
        <w:rPr>
          <w:rFonts w:ascii="Arial" w:hAnsi="Arial" w:cs="Arial"/>
        </w:rPr>
        <w:t xml:space="preserve"> using </w:t>
      </w:r>
      <w:r w:rsidRPr="00E54A3D">
        <w:rPr>
          <w:rFonts w:ascii="Arial" w:hAnsi="Arial" w:cs="Arial"/>
          <w:i/>
          <w:iCs/>
        </w:rPr>
        <w:t xml:space="preserve">python </w:t>
      </w:r>
      <w:r w:rsidRPr="00E54A3D">
        <w:rPr>
          <w:rFonts w:ascii="Arial" w:hAnsi="Arial" w:cs="Arial"/>
          <w:iCs/>
        </w:rPr>
        <w:t>codes</w:t>
      </w:r>
      <w:r w:rsidRPr="00E54A3D">
        <w:rPr>
          <w:rFonts w:ascii="Arial" w:hAnsi="Arial" w:cs="Arial"/>
        </w:rPr>
        <w:t xml:space="preserve">, showed that the experimental group which wrote a second draft of their essay using the AWC scored better compared to the control group. It can be inferred that a checklist or a structured framework can help students ensure that they have covered all the necessary elements of their essay as well as the necessary components of each section. It is hoped that teachers and other </w:t>
      </w:r>
      <w:r w:rsidRPr="00E54A3D">
        <w:rPr>
          <w:rFonts w:ascii="Arial" w:hAnsi="Arial" w:cs="Arial"/>
        </w:rPr>
        <w:lastRenderedPageBreak/>
        <w:t>stakeholders can be motivated to develop personalized tools to make academic writing a less daunting task for tertiary learners.</w:t>
      </w:r>
    </w:p>
    <w:p w:rsidR="007A720D" w:rsidRPr="00E54A3D" w:rsidRDefault="007A720D" w:rsidP="007A720D">
      <w:pPr>
        <w:spacing w:line="480" w:lineRule="auto"/>
        <w:jc w:val="both"/>
        <w:rPr>
          <w:rFonts w:ascii="Arial" w:hAnsi="Arial" w:cs="Arial"/>
        </w:rPr>
      </w:pPr>
      <w:r w:rsidRPr="00E54A3D">
        <w:rPr>
          <w:rFonts w:ascii="Arial" w:hAnsi="Arial" w:cs="Arial"/>
        </w:rPr>
        <w:t>Keywords: academic writing, argumentative essay writing</w:t>
      </w:r>
      <w:r>
        <w:rPr>
          <w:rFonts w:ascii="Arial" w:hAnsi="Arial" w:cs="Arial"/>
        </w:rPr>
        <w:t>, Python,</w:t>
      </w:r>
      <w:r w:rsidRPr="00E54A3D">
        <w:rPr>
          <w:rFonts w:ascii="Arial" w:hAnsi="Arial" w:cs="Arial"/>
        </w:rPr>
        <w:t xml:space="preserve"> writing</w:t>
      </w:r>
      <w:r>
        <w:rPr>
          <w:rFonts w:ascii="Arial" w:hAnsi="Arial" w:cs="Arial"/>
        </w:rPr>
        <w:t xml:space="preserve"> checklist</w:t>
      </w:r>
    </w:p>
    <w:p w:rsidR="00642A9B" w:rsidRDefault="00642A9B">
      <w:bookmarkStart w:id="0" w:name="_GoBack"/>
      <w:bookmarkEnd w:id="0"/>
    </w:p>
    <w:sectPr w:rsidR="00642A9B" w:rsidSect="00DE412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12D"/>
    <w:rsid w:val="00642A9B"/>
    <w:rsid w:val="007A720D"/>
    <w:rsid w:val="00DE412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E7DF9"/>
  <w15:chartTrackingRefBased/>
  <w15:docId w15:val="{EAB33FD9-1B54-4CCE-8A82-22B2BDA0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12D"/>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41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TARUC</dc:creator>
  <cp:keywords/>
  <dc:description/>
  <cp:lastModifiedBy>TARUC</cp:lastModifiedBy>
  <cp:revision>2</cp:revision>
  <dcterms:created xsi:type="dcterms:W3CDTF">2023-10-03T03:52:00Z</dcterms:created>
  <dcterms:modified xsi:type="dcterms:W3CDTF">2023-10-24T04:08:00Z</dcterms:modified>
</cp:coreProperties>
</file>