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1D2C" w14:textId="4930ABFA" w:rsidR="009553C0" w:rsidRDefault="001E638B">
      <w:pPr>
        <w:spacing w:line="480" w:lineRule="auto"/>
        <w:jc w:val="center"/>
        <w:rPr>
          <w:rFonts w:ascii="Times New Roman" w:eastAsia="Times New Roman" w:hAnsi="Times New Roman" w:cs="Times New Roman"/>
          <w:b/>
          <w:sz w:val="24"/>
          <w:szCs w:val="24"/>
        </w:rPr>
      </w:pPr>
      <w:r w:rsidRPr="00952ACD">
        <w:rPr>
          <w:rFonts w:ascii="Arial" w:eastAsia="Arial" w:hAnsi="Arial" w:cs="Arial"/>
          <w:sz w:val="24"/>
          <w:szCs w:val="24"/>
        </w:rPr>
        <w:t>REBALANCING TEST AND ASSIGNMENT: THE ROLE OF ASSIGNMENT EMPHASIS IN REDUCING FAILURE RATES IN SOIL ENGINEERING COURSE</w:t>
      </w:r>
      <w:r w:rsidRPr="001E638B">
        <w:rPr>
          <w:rFonts w:ascii="Arial" w:eastAsia="Arial" w:hAnsi="Arial" w:cs="Arial"/>
          <w:sz w:val="22"/>
          <w:szCs w:val="22"/>
        </w:rPr>
        <w:t xml:space="preserve"> </w:t>
      </w:r>
    </w:p>
    <w:p w14:paraId="6F85D5A8" w14:textId="77777777" w:rsidR="009553C0" w:rsidRDefault="009553C0">
      <w:pPr>
        <w:spacing w:line="480" w:lineRule="auto"/>
        <w:jc w:val="center"/>
        <w:rPr>
          <w:rFonts w:ascii="Times New Roman" w:eastAsia="Times New Roman" w:hAnsi="Times New Roman" w:cs="Times New Roman"/>
          <w:b/>
          <w:sz w:val="24"/>
          <w:szCs w:val="24"/>
        </w:rPr>
      </w:pPr>
    </w:p>
    <w:p w14:paraId="6A3419EC" w14:textId="3DBC9324" w:rsidR="009553C0" w:rsidRDefault="001E638B">
      <w:pPr>
        <w:spacing w:line="480" w:lineRule="auto"/>
        <w:jc w:val="right"/>
        <w:rPr>
          <w:rFonts w:ascii="Arial" w:eastAsia="Arial" w:hAnsi="Arial" w:cs="Arial"/>
          <w:b/>
          <w:sz w:val="22"/>
          <w:szCs w:val="22"/>
        </w:rPr>
      </w:pPr>
      <w:r w:rsidRPr="001E638B">
        <w:rPr>
          <w:rFonts w:ascii="Arial" w:eastAsia="Arial" w:hAnsi="Arial" w:cs="Arial"/>
          <w:b/>
          <w:sz w:val="22"/>
          <w:szCs w:val="22"/>
        </w:rPr>
        <w:t>Diana Che Lat</w:t>
      </w:r>
      <w:r w:rsidR="005C7AE9" w:rsidRPr="005C7AE9">
        <w:rPr>
          <w:rFonts w:ascii="Arial" w:eastAsia="Arial" w:hAnsi="Arial" w:cs="Arial"/>
          <w:b/>
          <w:sz w:val="22"/>
          <w:szCs w:val="22"/>
          <w:vertAlign w:val="superscript"/>
        </w:rPr>
        <w:t>1</w:t>
      </w:r>
      <w:r w:rsidRPr="001E638B">
        <w:rPr>
          <w:rFonts w:ascii="Arial" w:eastAsia="Arial" w:hAnsi="Arial" w:cs="Arial"/>
          <w:b/>
          <w:sz w:val="22"/>
          <w:szCs w:val="22"/>
        </w:rPr>
        <w:t xml:space="preserve">, </w:t>
      </w:r>
      <w:proofErr w:type="spellStart"/>
      <w:r w:rsidRPr="001E638B">
        <w:rPr>
          <w:rFonts w:ascii="Arial" w:eastAsia="Arial" w:hAnsi="Arial" w:cs="Arial"/>
          <w:b/>
          <w:sz w:val="22"/>
          <w:szCs w:val="22"/>
        </w:rPr>
        <w:t>Atiqah</w:t>
      </w:r>
      <w:proofErr w:type="spellEnd"/>
      <w:r w:rsidRPr="001E638B">
        <w:rPr>
          <w:rFonts w:ascii="Arial" w:eastAsia="Arial" w:hAnsi="Arial" w:cs="Arial"/>
          <w:b/>
          <w:sz w:val="22"/>
          <w:szCs w:val="22"/>
        </w:rPr>
        <w:t xml:space="preserve"> Najwa Zainuddin</w:t>
      </w:r>
      <w:r w:rsidR="005C7AE9" w:rsidRPr="005C7AE9">
        <w:rPr>
          <w:rFonts w:ascii="Arial" w:eastAsia="Arial" w:hAnsi="Arial" w:cs="Arial"/>
          <w:b/>
          <w:sz w:val="22"/>
          <w:szCs w:val="22"/>
          <w:vertAlign w:val="superscript"/>
        </w:rPr>
        <w:t>2</w:t>
      </w:r>
      <w:r w:rsidR="005C7AE9">
        <w:rPr>
          <w:rFonts w:ascii="Arial" w:eastAsia="Arial" w:hAnsi="Arial" w:cs="Arial"/>
          <w:b/>
          <w:sz w:val="22"/>
          <w:szCs w:val="22"/>
          <w:vertAlign w:val="superscript"/>
        </w:rPr>
        <w:t>*</w:t>
      </w:r>
      <w:r w:rsidRPr="001E638B">
        <w:rPr>
          <w:rFonts w:ascii="Arial" w:eastAsia="Arial" w:hAnsi="Arial" w:cs="Arial"/>
          <w:b/>
          <w:sz w:val="22"/>
          <w:szCs w:val="22"/>
        </w:rPr>
        <w:t xml:space="preserve">, Nadia </w:t>
      </w:r>
      <w:proofErr w:type="spellStart"/>
      <w:r w:rsidRPr="001E638B">
        <w:rPr>
          <w:rFonts w:ascii="Arial" w:eastAsia="Arial" w:hAnsi="Arial" w:cs="Arial"/>
          <w:b/>
          <w:sz w:val="22"/>
          <w:szCs w:val="22"/>
        </w:rPr>
        <w:t>Zalikha</w:t>
      </w:r>
      <w:proofErr w:type="spellEnd"/>
      <w:r w:rsidRPr="001E638B">
        <w:rPr>
          <w:rFonts w:ascii="Arial" w:eastAsia="Arial" w:hAnsi="Arial" w:cs="Arial"/>
          <w:b/>
          <w:sz w:val="22"/>
          <w:szCs w:val="22"/>
        </w:rPr>
        <w:t xml:space="preserve"> Saifullizam</w:t>
      </w:r>
      <w:r w:rsidR="005C7AE9" w:rsidRPr="005C7AE9">
        <w:rPr>
          <w:rFonts w:ascii="Arial" w:eastAsia="Arial" w:hAnsi="Arial" w:cs="Arial"/>
          <w:b/>
          <w:sz w:val="22"/>
          <w:szCs w:val="22"/>
          <w:vertAlign w:val="superscript"/>
        </w:rPr>
        <w:t>3</w:t>
      </w:r>
      <w:r w:rsidRPr="001E638B">
        <w:rPr>
          <w:rFonts w:ascii="Arial" w:eastAsia="Arial" w:hAnsi="Arial" w:cs="Arial"/>
          <w:b/>
          <w:sz w:val="22"/>
          <w:szCs w:val="22"/>
        </w:rPr>
        <w:t xml:space="preserve">, Mohamed </w:t>
      </w:r>
      <w:proofErr w:type="spellStart"/>
      <w:r w:rsidRPr="001E638B">
        <w:rPr>
          <w:rFonts w:ascii="Arial" w:eastAsia="Arial" w:hAnsi="Arial" w:cs="Arial"/>
          <w:b/>
          <w:sz w:val="22"/>
          <w:szCs w:val="22"/>
        </w:rPr>
        <w:t>Khatif</w:t>
      </w:r>
      <w:proofErr w:type="spellEnd"/>
      <w:r w:rsidRPr="001E638B">
        <w:rPr>
          <w:rFonts w:ascii="Arial" w:eastAsia="Arial" w:hAnsi="Arial" w:cs="Arial"/>
          <w:b/>
          <w:sz w:val="22"/>
          <w:szCs w:val="22"/>
        </w:rPr>
        <w:t xml:space="preserve"> Tawaf Mohamed Yusof</w:t>
      </w:r>
      <w:r w:rsidR="005C7AE9" w:rsidRPr="005C7AE9">
        <w:rPr>
          <w:rFonts w:ascii="Arial" w:eastAsia="Arial" w:hAnsi="Arial" w:cs="Arial"/>
          <w:b/>
          <w:sz w:val="22"/>
          <w:szCs w:val="22"/>
          <w:vertAlign w:val="superscript"/>
        </w:rPr>
        <w:t>4</w:t>
      </w:r>
      <w:r w:rsidRPr="001E638B">
        <w:rPr>
          <w:rFonts w:ascii="Arial" w:eastAsia="Arial" w:hAnsi="Arial" w:cs="Arial"/>
          <w:b/>
          <w:sz w:val="22"/>
          <w:szCs w:val="22"/>
        </w:rPr>
        <w:t xml:space="preserve">, Siti Nur Aishah </w:t>
      </w:r>
      <w:proofErr w:type="spellStart"/>
      <w:r w:rsidRPr="001E638B">
        <w:rPr>
          <w:rFonts w:ascii="Arial" w:eastAsia="Arial" w:hAnsi="Arial" w:cs="Arial"/>
          <w:b/>
          <w:sz w:val="22"/>
          <w:szCs w:val="22"/>
        </w:rPr>
        <w:t>Mohd</w:t>
      </w:r>
      <w:proofErr w:type="spellEnd"/>
      <w:r w:rsidRPr="001E638B">
        <w:rPr>
          <w:rFonts w:ascii="Arial" w:eastAsia="Arial" w:hAnsi="Arial" w:cs="Arial"/>
          <w:b/>
          <w:sz w:val="22"/>
          <w:szCs w:val="22"/>
        </w:rPr>
        <w:t xml:space="preserve"> Noor</w:t>
      </w:r>
      <w:r w:rsidR="005C7AE9" w:rsidRPr="005C7AE9">
        <w:rPr>
          <w:rFonts w:ascii="Arial" w:eastAsia="Arial" w:hAnsi="Arial" w:cs="Arial"/>
          <w:b/>
          <w:sz w:val="22"/>
          <w:szCs w:val="22"/>
          <w:vertAlign w:val="superscript"/>
        </w:rPr>
        <w:t>5</w:t>
      </w:r>
      <w:r w:rsidRPr="001E638B">
        <w:rPr>
          <w:rFonts w:ascii="Arial" w:eastAsia="Arial" w:hAnsi="Arial" w:cs="Arial"/>
          <w:b/>
          <w:sz w:val="22"/>
          <w:szCs w:val="22"/>
        </w:rPr>
        <w:t xml:space="preserve">, Nur </w:t>
      </w:r>
      <w:proofErr w:type="spellStart"/>
      <w:r w:rsidRPr="001E638B">
        <w:rPr>
          <w:rFonts w:ascii="Arial" w:eastAsia="Arial" w:hAnsi="Arial" w:cs="Arial"/>
          <w:b/>
          <w:sz w:val="22"/>
          <w:szCs w:val="22"/>
        </w:rPr>
        <w:t>Syazwani</w:t>
      </w:r>
      <w:proofErr w:type="spellEnd"/>
      <w:r w:rsidRPr="001E638B">
        <w:rPr>
          <w:rFonts w:ascii="Arial" w:eastAsia="Arial" w:hAnsi="Arial" w:cs="Arial"/>
          <w:b/>
          <w:sz w:val="22"/>
          <w:szCs w:val="22"/>
        </w:rPr>
        <w:t xml:space="preserve"> Noor Rodi</w:t>
      </w:r>
      <w:r w:rsidR="005C7AE9" w:rsidRPr="005C7AE9">
        <w:rPr>
          <w:rFonts w:ascii="Arial" w:eastAsia="Arial" w:hAnsi="Arial" w:cs="Arial"/>
          <w:b/>
          <w:sz w:val="22"/>
          <w:szCs w:val="22"/>
          <w:vertAlign w:val="superscript"/>
        </w:rPr>
        <w:t>6</w:t>
      </w:r>
      <w:r w:rsidRPr="001E638B">
        <w:rPr>
          <w:rFonts w:ascii="Arial" w:eastAsia="Arial" w:hAnsi="Arial" w:cs="Arial"/>
          <w:b/>
          <w:sz w:val="22"/>
          <w:szCs w:val="22"/>
        </w:rPr>
        <w:t xml:space="preserve">, </w:t>
      </w:r>
      <w:proofErr w:type="spellStart"/>
      <w:r w:rsidRPr="001E638B">
        <w:rPr>
          <w:rFonts w:ascii="Arial" w:eastAsia="Arial" w:hAnsi="Arial" w:cs="Arial"/>
          <w:b/>
          <w:sz w:val="22"/>
          <w:szCs w:val="22"/>
        </w:rPr>
        <w:t>Hairol</w:t>
      </w:r>
      <w:proofErr w:type="spellEnd"/>
      <w:r w:rsidRPr="001E638B">
        <w:rPr>
          <w:rFonts w:ascii="Arial" w:eastAsia="Arial" w:hAnsi="Arial" w:cs="Arial"/>
          <w:b/>
          <w:sz w:val="22"/>
          <w:szCs w:val="22"/>
        </w:rPr>
        <w:t xml:space="preserve"> </w:t>
      </w:r>
      <w:proofErr w:type="spellStart"/>
      <w:r w:rsidRPr="001E638B">
        <w:rPr>
          <w:rFonts w:ascii="Arial" w:eastAsia="Arial" w:hAnsi="Arial" w:cs="Arial"/>
          <w:b/>
          <w:sz w:val="22"/>
          <w:szCs w:val="22"/>
        </w:rPr>
        <w:t>Anuar</w:t>
      </w:r>
      <w:proofErr w:type="spellEnd"/>
      <w:r w:rsidRPr="001E638B">
        <w:rPr>
          <w:rFonts w:ascii="Arial" w:eastAsia="Arial" w:hAnsi="Arial" w:cs="Arial"/>
          <w:b/>
          <w:sz w:val="22"/>
          <w:szCs w:val="22"/>
        </w:rPr>
        <w:t xml:space="preserve"> Haron</w:t>
      </w:r>
      <w:r w:rsidR="005C7AE9" w:rsidRPr="005C7AE9">
        <w:rPr>
          <w:rFonts w:ascii="Arial" w:eastAsia="Arial" w:hAnsi="Arial" w:cs="Arial"/>
          <w:b/>
          <w:sz w:val="22"/>
          <w:szCs w:val="22"/>
          <w:vertAlign w:val="superscript"/>
        </w:rPr>
        <w:t>7</w:t>
      </w:r>
      <w:r w:rsidRPr="001E638B">
        <w:rPr>
          <w:rFonts w:ascii="Arial" w:eastAsia="Arial" w:hAnsi="Arial" w:cs="Arial"/>
          <w:b/>
          <w:sz w:val="22"/>
          <w:szCs w:val="22"/>
        </w:rPr>
        <w:t xml:space="preserve"> </w:t>
      </w:r>
    </w:p>
    <w:p w14:paraId="6BD354F7" w14:textId="09A2BB80" w:rsidR="009553C0" w:rsidRDefault="001E638B">
      <w:pPr>
        <w:spacing w:line="480" w:lineRule="auto"/>
        <w:jc w:val="right"/>
        <w:rPr>
          <w:rFonts w:ascii="Arial" w:eastAsia="Arial" w:hAnsi="Arial" w:cs="Arial"/>
          <w:b/>
          <w:sz w:val="22"/>
          <w:szCs w:val="22"/>
        </w:rPr>
      </w:pPr>
      <w:r w:rsidRPr="001E638B">
        <w:rPr>
          <w:rFonts w:ascii="Arial" w:eastAsia="Arial" w:hAnsi="Arial" w:cs="Arial"/>
          <w:b/>
          <w:sz w:val="22"/>
          <w:szCs w:val="22"/>
        </w:rPr>
        <w:t xml:space="preserve">Faculty of Civil Engineering, </w:t>
      </w:r>
      <w:proofErr w:type="spellStart"/>
      <w:r w:rsidRPr="001E638B">
        <w:rPr>
          <w:rFonts w:ascii="Arial" w:eastAsia="Arial" w:hAnsi="Arial" w:cs="Arial"/>
          <w:b/>
          <w:sz w:val="22"/>
          <w:szCs w:val="22"/>
        </w:rPr>
        <w:t>Universiti</w:t>
      </w:r>
      <w:proofErr w:type="spellEnd"/>
      <w:r w:rsidRPr="001E638B">
        <w:rPr>
          <w:rFonts w:ascii="Arial" w:eastAsia="Arial" w:hAnsi="Arial" w:cs="Arial"/>
          <w:b/>
          <w:sz w:val="22"/>
          <w:szCs w:val="22"/>
        </w:rPr>
        <w:t xml:space="preserve"> </w:t>
      </w:r>
      <w:proofErr w:type="spellStart"/>
      <w:r w:rsidRPr="001E638B">
        <w:rPr>
          <w:rFonts w:ascii="Arial" w:eastAsia="Arial" w:hAnsi="Arial" w:cs="Arial"/>
          <w:b/>
          <w:sz w:val="22"/>
          <w:szCs w:val="22"/>
        </w:rPr>
        <w:t>Teknologi</w:t>
      </w:r>
      <w:proofErr w:type="spellEnd"/>
      <w:r w:rsidRPr="001E638B">
        <w:rPr>
          <w:rFonts w:ascii="Arial" w:eastAsia="Arial" w:hAnsi="Arial" w:cs="Arial"/>
          <w:b/>
          <w:sz w:val="22"/>
          <w:szCs w:val="22"/>
        </w:rPr>
        <w:t xml:space="preserve"> MARA Johor Branch, </w:t>
      </w:r>
      <w:proofErr w:type="spellStart"/>
      <w:r w:rsidRPr="001E638B">
        <w:rPr>
          <w:rFonts w:ascii="Arial" w:eastAsia="Arial" w:hAnsi="Arial" w:cs="Arial"/>
          <w:b/>
          <w:sz w:val="22"/>
          <w:szCs w:val="22"/>
        </w:rPr>
        <w:t>Pasir</w:t>
      </w:r>
      <w:proofErr w:type="spellEnd"/>
      <w:r w:rsidRPr="001E638B">
        <w:rPr>
          <w:rFonts w:ascii="Arial" w:eastAsia="Arial" w:hAnsi="Arial" w:cs="Arial"/>
          <w:b/>
          <w:sz w:val="22"/>
          <w:szCs w:val="22"/>
        </w:rPr>
        <w:t xml:space="preserve"> Gudang Campus, Malaysia</w:t>
      </w:r>
    </w:p>
    <w:p w14:paraId="34649283" w14:textId="27769D56" w:rsidR="009553C0" w:rsidRDefault="005C7AE9">
      <w:pPr>
        <w:spacing w:line="480" w:lineRule="auto"/>
        <w:jc w:val="right"/>
        <w:rPr>
          <w:rFonts w:ascii="Times New Roman" w:eastAsia="Times New Roman" w:hAnsi="Times New Roman" w:cs="Times New Roman"/>
          <w:i/>
          <w:sz w:val="24"/>
          <w:szCs w:val="24"/>
        </w:rPr>
      </w:pPr>
      <w:r w:rsidRPr="005C7AE9">
        <w:rPr>
          <w:rFonts w:ascii="Arial" w:eastAsia="Times New Roman" w:hAnsi="Arial" w:cs="Arial"/>
          <w:b/>
          <w:sz w:val="22"/>
          <w:szCs w:val="22"/>
        </w:rPr>
        <w:t xml:space="preserve"> </w:t>
      </w:r>
      <w:r w:rsidR="0070025C" w:rsidRPr="005C7AE9">
        <w:rPr>
          <w:rFonts w:ascii="Arial" w:eastAsia="Times New Roman" w:hAnsi="Arial" w:cs="Arial"/>
          <w:b/>
          <w:sz w:val="22"/>
          <w:szCs w:val="22"/>
        </w:rPr>
        <w:t xml:space="preserve">(Corresponding author: </w:t>
      </w:r>
      <w:r w:rsidRPr="005C7AE9">
        <w:rPr>
          <w:rFonts w:ascii="Arial" w:eastAsia="Times New Roman" w:hAnsi="Arial" w:cs="Arial"/>
          <w:b/>
          <w:sz w:val="22"/>
          <w:szCs w:val="22"/>
        </w:rPr>
        <w:t>atiqa387@uitm.edu.my</w:t>
      </w:r>
      <w:r w:rsidR="0070025C" w:rsidRPr="005C7AE9">
        <w:rPr>
          <w:rFonts w:ascii="Arial" w:eastAsia="Times New Roman" w:hAnsi="Arial" w:cs="Arial"/>
          <w:b/>
          <w:sz w:val="22"/>
          <w:szCs w:val="22"/>
        </w:rPr>
        <w:t>)</w:t>
      </w:r>
      <w:r w:rsidR="0070025C">
        <w:rPr>
          <w:rFonts w:ascii="Times New Roman" w:eastAsia="Times New Roman" w:hAnsi="Times New Roman" w:cs="Times New Roman"/>
          <w:b/>
          <w:sz w:val="24"/>
          <w:szCs w:val="24"/>
        </w:rPr>
        <w:t xml:space="preserve"> </w:t>
      </w:r>
    </w:p>
    <w:p w14:paraId="1155698F" w14:textId="77777777" w:rsidR="009553C0" w:rsidRDefault="009553C0">
      <w:pPr>
        <w:spacing w:line="480" w:lineRule="auto"/>
        <w:jc w:val="center"/>
        <w:rPr>
          <w:rFonts w:ascii="Times New Roman" w:eastAsia="Times New Roman" w:hAnsi="Times New Roman" w:cs="Times New Roman"/>
          <w:b/>
          <w:sz w:val="24"/>
          <w:szCs w:val="24"/>
        </w:rPr>
      </w:pPr>
    </w:p>
    <w:p w14:paraId="14BF4EBF" w14:textId="77777777" w:rsidR="009553C0" w:rsidRDefault="0070025C">
      <w:pPr>
        <w:spacing w:line="480" w:lineRule="auto"/>
        <w:jc w:val="left"/>
        <w:rPr>
          <w:rFonts w:ascii="Arial" w:eastAsia="Arial" w:hAnsi="Arial" w:cs="Arial"/>
          <w:b/>
          <w:sz w:val="22"/>
          <w:szCs w:val="22"/>
        </w:rPr>
      </w:pPr>
      <w:r>
        <w:rPr>
          <w:rFonts w:ascii="Arial" w:eastAsia="Arial" w:hAnsi="Arial" w:cs="Arial"/>
          <w:b/>
          <w:sz w:val="22"/>
          <w:szCs w:val="22"/>
        </w:rPr>
        <w:t>Abstract</w:t>
      </w:r>
    </w:p>
    <w:p w14:paraId="07F41958" w14:textId="77777777" w:rsidR="007A1AC3" w:rsidRDefault="00DF6A3E">
      <w:pPr>
        <w:spacing w:line="480" w:lineRule="auto"/>
        <w:rPr>
          <w:rFonts w:ascii="Arial" w:eastAsia="Arial" w:hAnsi="Arial" w:cs="Arial"/>
          <w:sz w:val="22"/>
          <w:szCs w:val="22"/>
        </w:rPr>
      </w:pPr>
      <w:r w:rsidRPr="00DF6A3E">
        <w:rPr>
          <w:rFonts w:ascii="Arial" w:eastAsia="Arial" w:hAnsi="Arial" w:cs="Arial"/>
          <w:sz w:val="22"/>
          <w:szCs w:val="22"/>
        </w:rPr>
        <w:t xml:space="preserve">This study aimed to evaluate the effects of revised assessment strategies on student performance in the Soil Engineering course (ECG353), which is offered to Diploma in Civil Engineering students at </w:t>
      </w:r>
      <w:proofErr w:type="spellStart"/>
      <w:r w:rsidRPr="00DF6A3E">
        <w:rPr>
          <w:rFonts w:ascii="Arial" w:eastAsia="Arial" w:hAnsi="Arial" w:cs="Arial"/>
          <w:sz w:val="22"/>
          <w:szCs w:val="22"/>
        </w:rPr>
        <w:t>Universiti</w:t>
      </w:r>
      <w:proofErr w:type="spellEnd"/>
      <w:r w:rsidRPr="00DF6A3E">
        <w:rPr>
          <w:rFonts w:ascii="Arial" w:eastAsia="Arial" w:hAnsi="Arial" w:cs="Arial"/>
          <w:sz w:val="22"/>
          <w:szCs w:val="22"/>
        </w:rPr>
        <w:t xml:space="preserve"> </w:t>
      </w:r>
      <w:proofErr w:type="spellStart"/>
      <w:r w:rsidRPr="00DF6A3E">
        <w:rPr>
          <w:rFonts w:ascii="Arial" w:eastAsia="Arial" w:hAnsi="Arial" w:cs="Arial"/>
          <w:sz w:val="22"/>
          <w:szCs w:val="22"/>
        </w:rPr>
        <w:t>Teknologi</w:t>
      </w:r>
      <w:proofErr w:type="spellEnd"/>
      <w:r w:rsidRPr="00DF6A3E">
        <w:rPr>
          <w:rFonts w:ascii="Arial" w:eastAsia="Arial" w:hAnsi="Arial" w:cs="Arial"/>
          <w:sz w:val="22"/>
          <w:szCs w:val="22"/>
        </w:rPr>
        <w:t xml:space="preserve"> MARA (UiTM).</w:t>
      </w:r>
      <w:r>
        <w:rPr>
          <w:rFonts w:ascii="Arial" w:eastAsia="Arial" w:hAnsi="Arial" w:cs="Arial"/>
          <w:sz w:val="22"/>
          <w:szCs w:val="22"/>
        </w:rPr>
        <w:t xml:space="preserve"> </w:t>
      </w:r>
      <w:r w:rsidRPr="00DF6A3E">
        <w:rPr>
          <w:rFonts w:ascii="Arial" w:eastAsia="Arial" w:hAnsi="Arial" w:cs="Arial"/>
          <w:sz w:val="22"/>
          <w:szCs w:val="22"/>
        </w:rPr>
        <w:t>ECG353 is a crucial course; however, it experienced high failure rates, reaching 37.5% in Semester 20224. As a result, a significant revision of its assessment approach was implemented in Semester 20244.</w:t>
      </w:r>
      <w:r>
        <w:rPr>
          <w:rFonts w:ascii="Arial" w:eastAsia="Arial" w:hAnsi="Arial" w:cs="Arial"/>
          <w:sz w:val="22"/>
          <w:szCs w:val="22"/>
        </w:rPr>
        <w:t xml:space="preserve"> T</w:t>
      </w:r>
      <w:r w:rsidR="005C7AE9" w:rsidRPr="005C7AE9">
        <w:rPr>
          <w:rFonts w:ascii="Arial" w:eastAsia="Arial" w:hAnsi="Arial" w:cs="Arial"/>
          <w:sz w:val="22"/>
          <w:szCs w:val="22"/>
        </w:rPr>
        <w:t xml:space="preserve">he assignment weightage was increased from 10% to 20%, and the test component was reduced from 30% to 20% while maintaining consistent teaching methods and syllabus content.  This quantitative, descriptive research </w:t>
      </w:r>
      <w:proofErr w:type="spellStart"/>
      <w:r w:rsidR="005C7AE9" w:rsidRPr="005C7AE9">
        <w:rPr>
          <w:rFonts w:ascii="Arial" w:eastAsia="Arial" w:hAnsi="Arial" w:cs="Arial"/>
          <w:sz w:val="22"/>
          <w:szCs w:val="22"/>
        </w:rPr>
        <w:t>analysed</w:t>
      </w:r>
      <w:proofErr w:type="spellEnd"/>
      <w:r w:rsidR="005C7AE9" w:rsidRPr="005C7AE9">
        <w:rPr>
          <w:rFonts w:ascii="Arial" w:eastAsia="Arial" w:hAnsi="Arial" w:cs="Arial"/>
          <w:sz w:val="22"/>
          <w:szCs w:val="22"/>
        </w:rPr>
        <w:t xml:space="preserve"> grade distributions and Program Outcome (PO) attainment across three semesters (20224, 20234, 20244) involving a total of 513 students. The finding of the current study shows a significant improvement in academic performance and an obvious reduction in failure rates during Semester 20244, corresponding with the revised assessment structure. The increased focus on formative assessment in the form of assignments improved the levels of achievement of PO1/CO1 (application of technical knowledge) and PO3/CO2 (</w:t>
      </w:r>
      <w:r w:rsidR="00952ACD">
        <w:rPr>
          <w:rFonts w:ascii="Arial" w:eastAsia="Arial" w:hAnsi="Arial" w:cs="Arial"/>
          <w:sz w:val="22"/>
          <w:szCs w:val="22"/>
        </w:rPr>
        <w:t>p</w:t>
      </w:r>
      <w:r w:rsidR="005C7AE9" w:rsidRPr="005C7AE9">
        <w:rPr>
          <w:rFonts w:ascii="Arial" w:eastAsia="Arial" w:hAnsi="Arial" w:cs="Arial"/>
          <w:sz w:val="22"/>
          <w:szCs w:val="22"/>
        </w:rPr>
        <w:t>roblem-</w:t>
      </w:r>
      <w:r w:rsidR="00952ACD">
        <w:rPr>
          <w:rFonts w:ascii="Arial" w:eastAsia="Arial" w:hAnsi="Arial" w:cs="Arial"/>
          <w:sz w:val="22"/>
          <w:szCs w:val="22"/>
        </w:rPr>
        <w:t>s</w:t>
      </w:r>
      <w:r w:rsidR="005C7AE9" w:rsidRPr="005C7AE9">
        <w:rPr>
          <w:rFonts w:ascii="Arial" w:eastAsia="Arial" w:hAnsi="Arial" w:cs="Arial"/>
          <w:sz w:val="22"/>
          <w:szCs w:val="22"/>
        </w:rPr>
        <w:t xml:space="preserve">olving skills) from the corresponding level of 50% in semester 20224 to 65% in 20244. The findings </w:t>
      </w:r>
      <w:r w:rsidR="004876C7">
        <w:rPr>
          <w:rFonts w:ascii="Arial" w:eastAsia="Arial" w:hAnsi="Arial" w:cs="Arial"/>
          <w:sz w:val="22"/>
          <w:szCs w:val="22"/>
        </w:rPr>
        <w:t>indicate</w:t>
      </w:r>
      <w:r w:rsidR="005C7AE9" w:rsidRPr="005C7AE9">
        <w:rPr>
          <w:rFonts w:ascii="Arial" w:eastAsia="Arial" w:hAnsi="Arial" w:cs="Arial"/>
          <w:sz w:val="22"/>
          <w:szCs w:val="22"/>
        </w:rPr>
        <w:t xml:space="preserve"> that continuous assignment-based assessments encourage deeper learning, alleviate exam-time anxiety, and create inclusive </w:t>
      </w:r>
      <w:r w:rsidR="005C7AE9" w:rsidRPr="005C7AE9">
        <w:rPr>
          <w:rFonts w:ascii="Arial" w:eastAsia="Arial" w:hAnsi="Arial" w:cs="Arial"/>
          <w:sz w:val="22"/>
          <w:szCs w:val="22"/>
        </w:rPr>
        <w:lastRenderedPageBreak/>
        <w:t xml:space="preserve">pathways towards academic success. </w:t>
      </w:r>
    </w:p>
    <w:p w14:paraId="53DC3B52" w14:textId="6DE1BBF2" w:rsidR="009553C0" w:rsidRDefault="0070025C">
      <w:pPr>
        <w:spacing w:line="480" w:lineRule="auto"/>
        <w:rPr>
          <w:rFonts w:ascii="Arial" w:eastAsia="Arial" w:hAnsi="Arial" w:cs="Arial"/>
          <w:sz w:val="22"/>
          <w:szCs w:val="22"/>
        </w:rPr>
      </w:pPr>
      <w:bookmarkStart w:id="0" w:name="_GoBack"/>
      <w:bookmarkEnd w:id="0"/>
      <w:r>
        <w:rPr>
          <w:rFonts w:ascii="Arial" w:eastAsia="Arial" w:hAnsi="Arial" w:cs="Arial"/>
          <w:i/>
          <w:sz w:val="22"/>
          <w:szCs w:val="22"/>
        </w:rPr>
        <w:t>Keywords</w:t>
      </w:r>
      <w:r>
        <w:rPr>
          <w:rFonts w:ascii="Arial" w:eastAsia="Arial" w:hAnsi="Arial" w:cs="Arial"/>
          <w:sz w:val="22"/>
          <w:szCs w:val="22"/>
        </w:rPr>
        <w:t xml:space="preserve">: </w:t>
      </w:r>
      <w:r w:rsidR="005C7AE9">
        <w:rPr>
          <w:rFonts w:ascii="Arial" w:eastAsia="Arial" w:hAnsi="Arial" w:cs="Arial"/>
          <w:b/>
          <w:sz w:val="22"/>
          <w:szCs w:val="22"/>
        </w:rPr>
        <w:t>Soil Engineering; Assessment; Assignment; Failure Rate; Problem Solving</w:t>
      </w:r>
    </w:p>
    <w:p w14:paraId="42DC8A3C" w14:textId="77777777" w:rsidR="009553C0" w:rsidRDefault="009553C0">
      <w:pPr>
        <w:spacing w:line="480" w:lineRule="auto"/>
        <w:jc w:val="center"/>
        <w:rPr>
          <w:rFonts w:ascii="Times New Roman" w:eastAsia="Times New Roman" w:hAnsi="Times New Roman" w:cs="Times New Roman"/>
          <w:b/>
          <w:sz w:val="24"/>
          <w:szCs w:val="24"/>
        </w:rPr>
      </w:pPr>
    </w:p>
    <w:p w14:paraId="21B00AA6" w14:textId="77777777" w:rsidR="009553C0" w:rsidRDefault="0070025C">
      <w:pPr>
        <w:spacing w:line="480" w:lineRule="auto"/>
        <w:jc w:val="left"/>
        <w:rPr>
          <w:rFonts w:ascii="Arial" w:eastAsia="Arial" w:hAnsi="Arial" w:cs="Arial"/>
          <w:b/>
          <w:sz w:val="22"/>
          <w:szCs w:val="22"/>
        </w:rPr>
      </w:pPr>
      <w:proofErr w:type="spellStart"/>
      <w:r>
        <w:rPr>
          <w:rFonts w:ascii="Arial" w:eastAsia="Arial" w:hAnsi="Arial" w:cs="Arial"/>
          <w:b/>
          <w:sz w:val="22"/>
          <w:szCs w:val="22"/>
        </w:rPr>
        <w:t>Abstrak</w:t>
      </w:r>
      <w:proofErr w:type="spellEnd"/>
    </w:p>
    <w:p w14:paraId="0451843F" w14:textId="77777777" w:rsidR="008B6D35" w:rsidRDefault="005C7AE9">
      <w:pPr>
        <w:spacing w:line="480" w:lineRule="auto"/>
        <w:rPr>
          <w:rFonts w:ascii="Arial" w:eastAsia="Arial" w:hAnsi="Arial" w:cs="Arial"/>
          <w:sz w:val="22"/>
          <w:szCs w:val="22"/>
        </w:rPr>
      </w:pPr>
      <w:r w:rsidRPr="005C7AE9">
        <w:rPr>
          <w:rFonts w:ascii="Arial" w:eastAsia="Arial" w:hAnsi="Arial" w:cs="Arial"/>
          <w:sz w:val="22"/>
          <w:szCs w:val="22"/>
        </w:rPr>
        <w:t xml:space="preserve">Kajian </w:t>
      </w:r>
      <w:proofErr w:type="spellStart"/>
      <w:r w:rsidRPr="005C7AE9">
        <w:rPr>
          <w:rFonts w:ascii="Arial" w:eastAsia="Arial" w:hAnsi="Arial" w:cs="Arial"/>
          <w:sz w:val="22"/>
          <w:szCs w:val="22"/>
        </w:rPr>
        <w:t>ini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dijalankan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untuk</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menilai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kesan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strategi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penilaian</w:t>
      </w:r>
      <w:proofErr w:type="spellEnd"/>
      <w:r w:rsidRPr="005C7AE9">
        <w:rPr>
          <w:rFonts w:ascii="Arial" w:eastAsia="Arial" w:hAnsi="Arial" w:cs="Arial"/>
          <w:sz w:val="22"/>
          <w:szCs w:val="22"/>
        </w:rPr>
        <w:t xml:space="preserve"> yang </w:t>
      </w:r>
      <w:proofErr w:type="spellStart"/>
      <w:r w:rsidRPr="005C7AE9">
        <w:rPr>
          <w:rFonts w:ascii="Arial" w:eastAsia="Arial" w:hAnsi="Arial" w:cs="Arial"/>
          <w:sz w:val="22"/>
          <w:szCs w:val="22"/>
        </w:rPr>
        <w:t>disusun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semula</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terhadap</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prestasi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pelajar</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dalam</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kursus</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Kejuruteraan</w:t>
      </w:r>
      <w:proofErr w:type="spellEnd"/>
      <w:r w:rsidRPr="005C7AE9">
        <w:rPr>
          <w:rFonts w:ascii="Arial" w:eastAsia="Arial" w:hAnsi="Arial" w:cs="Arial"/>
          <w:sz w:val="22"/>
          <w:szCs w:val="22"/>
        </w:rPr>
        <w:t xml:space="preserve"> Tanah (ECG353) yang </w:t>
      </w:r>
      <w:proofErr w:type="spellStart"/>
      <w:r w:rsidRPr="005C7AE9">
        <w:rPr>
          <w:rFonts w:ascii="Arial" w:eastAsia="Arial" w:hAnsi="Arial" w:cs="Arial"/>
          <w:sz w:val="22"/>
          <w:szCs w:val="22"/>
        </w:rPr>
        <w:t>ditawarkan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kepada</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pelajar</w:t>
      </w:r>
      <w:proofErr w:type="spellEnd"/>
      <w:r w:rsidRPr="005C7AE9">
        <w:rPr>
          <w:rFonts w:ascii="Arial" w:eastAsia="Arial" w:hAnsi="Arial" w:cs="Arial"/>
          <w:sz w:val="22"/>
          <w:szCs w:val="22"/>
        </w:rPr>
        <w:t xml:space="preserve"> Diploma </w:t>
      </w:r>
      <w:proofErr w:type="spellStart"/>
      <w:r w:rsidRPr="005C7AE9">
        <w:rPr>
          <w:rFonts w:ascii="Arial" w:eastAsia="Arial" w:hAnsi="Arial" w:cs="Arial"/>
          <w:sz w:val="22"/>
          <w:szCs w:val="22"/>
        </w:rPr>
        <w:t>Kejuruteraan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Awam</w:t>
      </w:r>
      <w:proofErr w:type="spellEnd"/>
      <w:r w:rsidRPr="005C7AE9">
        <w:rPr>
          <w:rFonts w:ascii="Arial" w:eastAsia="Arial" w:hAnsi="Arial" w:cs="Arial"/>
          <w:sz w:val="22"/>
          <w:szCs w:val="22"/>
        </w:rPr>
        <w:t xml:space="preserve"> di </w:t>
      </w:r>
      <w:proofErr w:type="spellStart"/>
      <w:r w:rsidRPr="005C7AE9">
        <w:rPr>
          <w:rFonts w:ascii="Arial" w:eastAsia="Arial" w:hAnsi="Arial" w:cs="Arial"/>
          <w:sz w:val="22"/>
          <w:szCs w:val="22"/>
        </w:rPr>
        <w:t>Universiti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Teknologi</w:t>
      </w:r>
      <w:proofErr w:type="spellEnd"/>
      <w:r w:rsidRPr="005C7AE9">
        <w:rPr>
          <w:rFonts w:ascii="Arial" w:eastAsia="Arial" w:hAnsi="Arial" w:cs="Arial"/>
          <w:sz w:val="22"/>
          <w:szCs w:val="22"/>
        </w:rPr>
        <w:t xml:space="preserve"> MARA (UiTM). </w:t>
      </w:r>
      <w:r w:rsidR="00DF6A3E" w:rsidRPr="00DF6A3E">
        <w:rPr>
          <w:rFonts w:ascii="Arial" w:eastAsia="Arial" w:hAnsi="Arial" w:cs="Arial"/>
          <w:sz w:val="22"/>
          <w:szCs w:val="22"/>
        </w:rPr>
        <w:t xml:space="preserve">ECG353 </w:t>
      </w:r>
      <w:proofErr w:type="spellStart"/>
      <w:r w:rsidR="00DF6A3E" w:rsidRPr="00DF6A3E">
        <w:rPr>
          <w:rFonts w:ascii="Arial" w:eastAsia="Arial" w:hAnsi="Arial" w:cs="Arial"/>
          <w:sz w:val="22"/>
          <w:szCs w:val="22"/>
        </w:rPr>
        <w:t>adalah</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kursus</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penting</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bagaimanapun</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ia</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mengalami</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kadar</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kegagalan</w:t>
      </w:r>
      <w:proofErr w:type="spellEnd"/>
      <w:r w:rsidR="00DF6A3E" w:rsidRPr="00DF6A3E">
        <w:rPr>
          <w:rFonts w:ascii="Arial" w:eastAsia="Arial" w:hAnsi="Arial" w:cs="Arial"/>
          <w:sz w:val="22"/>
          <w:szCs w:val="22"/>
        </w:rPr>
        <w:t xml:space="preserve"> yang </w:t>
      </w:r>
      <w:proofErr w:type="spellStart"/>
      <w:r w:rsidR="00DF6A3E" w:rsidRPr="00DF6A3E">
        <w:rPr>
          <w:rFonts w:ascii="Arial" w:eastAsia="Arial" w:hAnsi="Arial" w:cs="Arial"/>
          <w:sz w:val="22"/>
          <w:szCs w:val="22"/>
        </w:rPr>
        <w:t>tinggi</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mencecah</w:t>
      </w:r>
      <w:proofErr w:type="spellEnd"/>
      <w:r w:rsidR="00DF6A3E" w:rsidRPr="00DF6A3E">
        <w:rPr>
          <w:rFonts w:ascii="Arial" w:eastAsia="Arial" w:hAnsi="Arial" w:cs="Arial"/>
          <w:sz w:val="22"/>
          <w:szCs w:val="22"/>
        </w:rPr>
        <w:t xml:space="preserve"> 37.5% pada Semester 20224. </w:t>
      </w:r>
      <w:proofErr w:type="spellStart"/>
      <w:r w:rsidR="00DF6A3E" w:rsidRPr="00DF6A3E">
        <w:rPr>
          <w:rFonts w:ascii="Arial" w:eastAsia="Arial" w:hAnsi="Arial" w:cs="Arial"/>
          <w:sz w:val="22"/>
          <w:szCs w:val="22"/>
        </w:rPr>
        <w:t>Hasilnya</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semakan</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ketara</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pendekatan</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penilaiannya</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telah</w:t>
      </w:r>
      <w:proofErr w:type="spellEnd"/>
      <w:r w:rsidR="00DF6A3E" w:rsidRPr="00DF6A3E">
        <w:rPr>
          <w:rFonts w:ascii="Arial" w:eastAsia="Arial" w:hAnsi="Arial" w:cs="Arial"/>
          <w:sz w:val="22"/>
          <w:szCs w:val="22"/>
        </w:rPr>
        <w:t xml:space="preserve"> </w:t>
      </w:r>
      <w:proofErr w:type="spellStart"/>
      <w:r w:rsidR="00DF6A3E" w:rsidRPr="00DF6A3E">
        <w:rPr>
          <w:rFonts w:ascii="Arial" w:eastAsia="Arial" w:hAnsi="Arial" w:cs="Arial"/>
          <w:sz w:val="22"/>
          <w:szCs w:val="22"/>
        </w:rPr>
        <w:t>dilaksanakan</w:t>
      </w:r>
      <w:proofErr w:type="spellEnd"/>
      <w:r w:rsidR="00DF6A3E" w:rsidRPr="00DF6A3E">
        <w:rPr>
          <w:rFonts w:ascii="Arial" w:eastAsia="Arial" w:hAnsi="Arial" w:cs="Arial"/>
          <w:sz w:val="22"/>
          <w:szCs w:val="22"/>
        </w:rPr>
        <w:t xml:space="preserve"> pada Semester 20244</w:t>
      </w:r>
      <w:r w:rsidR="00DF6A3E">
        <w:rPr>
          <w:rFonts w:ascii="Arial" w:eastAsia="Arial" w:hAnsi="Arial" w:cs="Arial"/>
          <w:sz w:val="22"/>
          <w:szCs w:val="22"/>
        </w:rPr>
        <w:t xml:space="preserve">. </w:t>
      </w:r>
      <w:r w:rsidRPr="005C7AE9">
        <w:rPr>
          <w:rFonts w:ascii="Arial" w:eastAsia="Arial" w:hAnsi="Arial" w:cs="Arial"/>
          <w:sz w:val="22"/>
          <w:szCs w:val="22"/>
        </w:rPr>
        <w:t xml:space="preserve">Oleh </w:t>
      </w:r>
      <w:proofErr w:type="spellStart"/>
      <w:r w:rsidRPr="005C7AE9">
        <w:rPr>
          <w:rFonts w:ascii="Arial" w:eastAsia="Arial" w:hAnsi="Arial" w:cs="Arial"/>
          <w:sz w:val="22"/>
          <w:szCs w:val="22"/>
        </w:rPr>
        <w:t>itu</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kursus</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ini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telah</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menjalani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semakan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besar</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untuk</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pendekatan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penilaiannya</w:t>
      </w:r>
      <w:proofErr w:type="spellEnd"/>
      <w:r w:rsidRPr="005C7AE9">
        <w:rPr>
          <w:rFonts w:ascii="Arial" w:eastAsia="Arial" w:hAnsi="Arial" w:cs="Arial"/>
          <w:sz w:val="22"/>
          <w:szCs w:val="22"/>
        </w:rPr>
        <w:t xml:space="preserve"> pada Semester 20244. </w:t>
      </w:r>
      <w:proofErr w:type="spellStart"/>
      <w:r w:rsidRPr="005C7AE9">
        <w:rPr>
          <w:rFonts w:ascii="Arial" w:eastAsia="Arial" w:hAnsi="Arial" w:cs="Arial"/>
          <w:sz w:val="22"/>
          <w:szCs w:val="22"/>
        </w:rPr>
        <w:t>Wajaran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tugasan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dinaikkan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daripada</w:t>
      </w:r>
      <w:proofErr w:type="spellEnd"/>
      <w:r w:rsidRPr="005C7AE9">
        <w:rPr>
          <w:rFonts w:ascii="Arial" w:eastAsia="Arial" w:hAnsi="Arial" w:cs="Arial"/>
          <w:sz w:val="22"/>
          <w:szCs w:val="22"/>
        </w:rPr>
        <w:t xml:space="preserve"> 10% </w:t>
      </w:r>
      <w:proofErr w:type="spellStart"/>
      <w:r w:rsidRPr="005C7AE9">
        <w:rPr>
          <w:rFonts w:ascii="Arial" w:eastAsia="Arial" w:hAnsi="Arial" w:cs="Arial"/>
          <w:sz w:val="22"/>
          <w:szCs w:val="22"/>
        </w:rPr>
        <w:t>kepada</w:t>
      </w:r>
      <w:proofErr w:type="spellEnd"/>
      <w:r w:rsidRPr="005C7AE9">
        <w:rPr>
          <w:rFonts w:ascii="Arial" w:eastAsia="Arial" w:hAnsi="Arial" w:cs="Arial"/>
          <w:sz w:val="22"/>
          <w:szCs w:val="22"/>
        </w:rPr>
        <w:t xml:space="preserve"> 20%, dan </w:t>
      </w:r>
      <w:proofErr w:type="spellStart"/>
      <w:r w:rsidRPr="005C7AE9">
        <w:rPr>
          <w:rFonts w:ascii="Arial" w:eastAsia="Arial" w:hAnsi="Arial" w:cs="Arial"/>
          <w:sz w:val="22"/>
          <w:szCs w:val="22"/>
        </w:rPr>
        <w:t>komponen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ujian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dikurangkan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daripada</w:t>
      </w:r>
      <w:proofErr w:type="spellEnd"/>
      <w:r w:rsidRPr="005C7AE9">
        <w:rPr>
          <w:rFonts w:ascii="Arial" w:eastAsia="Arial" w:hAnsi="Arial" w:cs="Arial"/>
          <w:sz w:val="22"/>
          <w:szCs w:val="22"/>
        </w:rPr>
        <w:t xml:space="preserve"> 30% </w:t>
      </w:r>
      <w:proofErr w:type="spellStart"/>
      <w:r w:rsidRPr="005C7AE9">
        <w:rPr>
          <w:rFonts w:ascii="Arial" w:eastAsia="Arial" w:hAnsi="Arial" w:cs="Arial"/>
          <w:sz w:val="22"/>
          <w:szCs w:val="22"/>
        </w:rPr>
        <w:t>kepada</w:t>
      </w:r>
      <w:proofErr w:type="spellEnd"/>
      <w:r w:rsidRPr="005C7AE9">
        <w:rPr>
          <w:rFonts w:ascii="Arial" w:eastAsia="Arial" w:hAnsi="Arial" w:cs="Arial"/>
          <w:sz w:val="22"/>
          <w:szCs w:val="22"/>
        </w:rPr>
        <w:t xml:space="preserve"> 20% </w:t>
      </w:r>
      <w:proofErr w:type="spellStart"/>
      <w:r w:rsidRPr="005C7AE9">
        <w:rPr>
          <w:rFonts w:ascii="Arial" w:eastAsia="Arial" w:hAnsi="Arial" w:cs="Arial"/>
          <w:sz w:val="22"/>
          <w:szCs w:val="22"/>
        </w:rPr>
        <w:t>sambil</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mengekalkan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kaedah</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pengajaran</w:t>
      </w:r>
      <w:proofErr w:type="spellEnd"/>
      <w:r w:rsidRPr="005C7AE9">
        <w:rPr>
          <w:rFonts w:ascii="Arial" w:eastAsia="Arial" w:hAnsi="Arial" w:cs="Arial"/>
          <w:sz w:val="22"/>
          <w:szCs w:val="22"/>
        </w:rPr>
        <w:t xml:space="preserve"> dan </w:t>
      </w:r>
      <w:proofErr w:type="spellStart"/>
      <w:r w:rsidRPr="005C7AE9">
        <w:rPr>
          <w:rFonts w:ascii="Arial" w:eastAsia="Arial" w:hAnsi="Arial" w:cs="Arial"/>
          <w:sz w:val="22"/>
          <w:szCs w:val="22"/>
        </w:rPr>
        <w:t>kandungan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sukatan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pelajaran</w:t>
      </w:r>
      <w:proofErr w:type="spellEnd"/>
      <w:r w:rsidRPr="005C7AE9">
        <w:rPr>
          <w:rFonts w:ascii="Arial" w:eastAsia="Arial" w:hAnsi="Arial" w:cs="Arial"/>
          <w:sz w:val="22"/>
          <w:szCs w:val="22"/>
        </w:rPr>
        <w:t xml:space="preserve"> yang </w:t>
      </w:r>
      <w:proofErr w:type="spellStart"/>
      <w:r w:rsidRPr="005C7AE9">
        <w:rPr>
          <w:rFonts w:ascii="Arial" w:eastAsia="Arial" w:hAnsi="Arial" w:cs="Arial"/>
          <w:sz w:val="22"/>
          <w:szCs w:val="22"/>
        </w:rPr>
        <w:t>konsisten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Penyelidikan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deskriptif</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kuantitatif</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ini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menganalisis</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taburan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gred</w:t>
      </w:r>
      <w:proofErr w:type="spellEnd"/>
      <w:r w:rsidRPr="005C7AE9">
        <w:rPr>
          <w:rFonts w:ascii="Arial" w:eastAsia="Arial" w:hAnsi="Arial" w:cs="Arial"/>
          <w:sz w:val="22"/>
          <w:szCs w:val="22"/>
        </w:rPr>
        <w:t xml:space="preserve"> dan </w:t>
      </w:r>
      <w:proofErr w:type="spellStart"/>
      <w:r w:rsidRPr="005C7AE9">
        <w:rPr>
          <w:rFonts w:ascii="Arial" w:eastAsia="Arial" w:hAnsi="Arial" w:cs="Arial"/>
          <w:sz w:val="22"/>
          <w:szCs w:val="22"/>
        </w:rPr>
        <w:t>pencapaian</w:t>
      </w:r>
      <w:proofErr w:type="spellEnd"/>
      <w:r w:rsidRPr="005C7AE9">
        <w:rPr>
          <w:rFonts w:ascii="Arial" w:eastAsia="Arial" w:hAnsi="Arial" w:cs="Arial"/>
          <w:sz w:val="22"/>
          <w:szCs w:val="22"/>
        </w:rPr>
        <w:t xml:space="preserve"> Program Outcome (PO) </w:t>
      </w:r>
      <w:proofErr w:type="spellStart"/>
      <w:r w:rsidRPr="005C7AE9">
        <w:rPr>
          <w:rFonts w:ascii="Arial" w:eastAsia="Arial" w:hAnsi="Arial" w:cs="Arial"/>
          <w:sz w:val="22"/>
          <w:szCs w:val="22"/>
        </w:rPr>
        <w:t>merentas</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tiga</w:t>
      </w:r>
      <w:proofErr w:type="spellEnd"/>
      <w:r w:rsidRPr="005C7AE9">
        <w:rPr>
          <w:rFonts w:ascii="Arial" w:eastAsia="Arial" w:hAnsi="Arial" w:cs="Arial"/>
          <w:sz w:val="22"/>
          <w:szCs w:val="22"/>
        </w:rPr>
        <w:t xml:space="preserve"> semester (20224, 20234, 20244) yang </w:t>
      </w:r>
      <w:proofErr w:type="spellStart"/>
      <w:r w:rsidRPr="005C7AE9">
        <w:rPr>
          <w:rFonts w:ascii="Arial" w:eastAsia="Arial" w:hAnsi="Arial" w:cs="Arial"/>
          <w:sz w:val="22"/>
          <w:szCs w:val="22"/>
        </w:rPr>
        <w:t>melibatkan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seramai</w:t>
      </w:r>
      <w:proofErr w:type="spellEnd"/>
      <w:r w:rsidRPr="005C7AE9">
        <w:rPr>
          <w:rFonts w:ascii="Arial" w:eastAsia="Arial" w:hAnsi="Arial" w:cs="Arial"/>
          <w:sz w:val="22"/>
          <w:szCs w:val="22"/>
        </w:rPr>
        <w:t xml:space="preserve"> 513 </w:t>
      </w:r>
      <w:proofErr w:type="spellStart"/>
      <w:r w:rsidRPr="005C7AE9">
        <w:rPr>
          <w:rFonts w:ascii="Arial" w:eastAsia="Arial" w:hAnsi="Arial" w:cs="Arial"/>
          <w:sz w:val="22"/>
          <w:szCs w:val="22"/>
        </w:rPr>
        <w:t>pelajar</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Dapatan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kajian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semasa</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menunjukkan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peningkatan</w:t>
      </w:r>
      <w:proofErr w:type="spellEnd"/>
      <w:r w:rsidRPr="005C7AE9">
        <w:rPr>
          <w:rFonts w:ascii="Arial" w:eastAsia="Arial" w:hAnsi="Arial" w:cs="Arial"/>
          <w:sz w:val="22"/>
          <w:szCs w:val="22"/>
        </w:rPr>
        <w:t xml:space="preserve"> yang </w:t>
      </w:r>
      <w:proofErr w:type="spellStart"/>
      <w:r w:rsidRPr="005C7AE9">
        <w:rPr>
          <w:rFonts w:ascii="Arial" w:eastAsia="Arial" w:hAnsi="Arial" w:cs="Arial"/>
          <w:sz w:val="22"/>
          <w:szCs w:val="22"/>
        </w:rPr>
        <w:t>ketara</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dalam</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prestasi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akademik</w:t>
      </w:r>
      <w:proofErr w:type="spellEnd"/>
      <w:r w:rsidRPr="005C7AE9">
        <w:rPr>
          <w:rFonts w:ascii="Arial" w:eastAsia="Arial" w:hAnsi="Arial" w:cs="Arial"/>
          <w:sz w:val="22"/>
          <w:szCs w:val="22"/>
        </w:rPr>
        <w:t xml:space="preserve"> dan </w:t>
      </w:r>
      <w:proofErr w:type="spellStart"/>
      <w:r w:rsidRPr="005C7AE9">
        <w:rPr>
          <w:rFonts w:ascii="Arial" w:eastAsia="Arial" w:hAnsi="Arial" w:cs="Arial"/>
          <w:sz w:val="22"/>
          <w:szCs w:val="22"/>
        </w:rPr>
        <w:t>pengurangan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jelas</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dalam</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kadar</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kegagalan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semasa</w:t>
      </w:r>
      <w:proofErr w:type="spellEnd"/>
      <w:r w:rsidRPr="005C7AE9">
        <w:rPr>
          <w:rFonts w:ascii="Arial" w:eastAsia="Arial" w:hAnsi="Arial" w:cs="Arial"/>
          <w:sz w:val="22"/>
          <w:szCs w:val="22"/>
        </w:rPr>
        <w:t xml:space="preserve"> Semester 20244, </w:t>
      </w:r>
      <w:proofErr w:type="spellStart"/>
      <w:r w:rsidRPr="005C7AE9">
        <w:rPr>
          <w:rFonts w:ascii="Arial" w:eastAsia="Arial" w:hAnsi="Arial" w:cs="Arial"/>
          <w:sz w:val="22"/>
          <w:szCs w:val="22"/>
        </w:rPr>
        <w:t>sepadan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dengan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struktur</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penilaian</w:t>
      </w:r>
      <w:proofErr w:type="spellEnd"/>
      <w:r w:rsidRPr="005C7AE9">
        <w:rPr>
          <w:rFonts w:ascii="Arial" w:eastAsia="Arial" w:hAnsi="Arial" w:cs="Arial"/>
          <w:sz w:val="22"/>
          <w:szCs w:val="22"/>
        </w:rPr>
        <w:t xml:space="preserve"> yang </w:t>
      </w:r>
      <w:proofErr w:type="spellStart"/>
      <w:r w:rsidRPr="005C7AE9">
        <w:rPr>
          <w:rFonts w:ascii="Arial" w:eastAsia="Arial" w:hAnsi="Arial" w:cs="Arial"/>
          <w:sz w:val="22"/>
          <w:szCs w:val="22"/>
        </w:rPr>
        <w:t>disemak</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semula</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Peningkatan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tumpuan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terhadap</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penilaian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formatif</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dalam</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bentuk</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tugasan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meningkatkan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tahap</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pencapaian</w:t>
      </w:r>
      <w:proofErr w:type="spellEnd"/>
      <w:r w:rsidRPr="005C7AE9">
        <w:rPr>
          <w:rFonts w:ascii="Arial" w:eastAsia="Arial" w:hAnsi="Arial" w:cs="Arial"/>
          <w:sz w:val="22"/>
          <w:szCs w:val="22"/>
        </w:rPr>
        <w:t xml:space="preserve"> PO1/CO1 (</w:t>
      </w:r>
      <w:proofErr w:type="spellStart"/>
      <w:r w:rsidRPr="005C7AE9">
        <w:rPr>
          <w:rFonts w:ascii="Arial" w:eastAsia="Arial" w:hAnsi="Arial" w:cs="Arial"/>
          <w:sz w:val="22"/>
          <w:szCs w:val="22"/>
        </w:rPr>
        <w:t>aplikasi</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pengetahuan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teknikal</w:t>
      </w:r>
      <w:proofErr w:type="spellEnd"/>
      <w:r w:rsidRPr="005C7AE9">
        <w:rPr>
          <w:rFonts w:ascii="Arial" w:eastAsia="Arial" w:hAnsi="Arial" w:cs="Arial"/>
          <w:sz w:val="22"/>
          <w:szCs w:val="22"/>
        </w:rPr>
        <w:t>) dan PO3/CO2 (</w:t>
      </w:r>
      <w:proofErr w:type="spellStart"/>
      <w:r w:rsidR="00952ACD">
        <w:rPr>
          <w:rFonts w:ascii="Arial" w:eastAsia="Arial" w:hAnsi="Arial" w:cs="Arial"/>
          <w:sz w:val="22"/>
          <w:szCs w:val="22"/>
        </w:rPr>
        <w:t>k</w:t>
      </w:r>
      <w:r w:rsidRPr="005C7AE9">
        <w:rPr>
          <w:rFonts w:ascii="Arial" w:eastAsia="Arial" w:hAnsi="Arial" w:cs="Arial"/>
          <w:sz w:val="22"/>
          <w:szCs w:val="22"/>
        </w:rPr>
        <w:t>emahiran</w:t>
      </w:r>
      <w:proofErr w:type="spellEnd"/>
      <w:r w:rsidRPr="005C7AE9">
        <w:rPr>
          <w:rFonts w:ascii="Arial" w:eastAsia="Arial" w:hAnsi="Arial" w:cs="Arial"/>
          <w:sz w:val="22"/>
          <w:szCs w:val="22"/>
        </w:rPr>
        <w:t xml:space="preserve"> </w:t>
      </w:r>
      <w:proofErr w:type="spellStart"/>
      <w:r w:rsidR="00952ACD">
        <w:rPr>
          <w:rFonts w:ascii="Arial" w:eastAsia="Arial" w:hAnsi="Arial" w:cs="Arial"/>
          <w:sz w:val="22"/>
          <w:szCs w:val="22"/>
        </w:rPr>
        <w:t>m</w:t>
      </w:r>
      <w:r w:rsidRPr="005C7AE9">
        <w:rPr>
          <w:rFonts w:ascii="Arial" w:eastAsia="Arial" w:hAnsi="Arial" w:cs="Arial"/>
          <w:sz w:val="22"/>
          <w:szCs w:val="22"/>
        </w:rPr>
        <w:t>enyelesaikan</w:t>
      </w:r>
      <w:proofErr w:type="spellEnd"/>
      <w:r w:rsidRPr="005C7AE9">
        <w:rPr>
          <w:rFonts w:ascii="Arial" w:eastAsia="Arial" w:hAnsi="Arial" w:cs="Arial"/>
          <w:sz w:val="22"/>
          <w:szCs w:val="22"/>
        </w:rPr>
        <w:t xml:space="preserve"> </w:t>
      </w:r>
      <w:proofErr w:type="spellStart"/>
      <w:r w:rsidR="00952ACD">
        <w:rPr>
          <w:rFonts w:ascii="Arial" w:eastAsia="Arial" w:hAnsi="Arial" w:cs="Arial"/>
          <w:sz w:val="22"/>
          <w:szCs w:val="22"/>
        </w:rPr>
        <w:t>m</w:t>
      </w:r>
      <w:r w:rsidRPr="005C7AE9">
        <w:rPr>
          <w:rFonts w:ascii="Arial" w:eastAsia="Arial" w:hAnsi="Arial" w:cs="Arial"/>
          <w:sz w:val="22"/>
          <w:szCs w:val="22"/>
        </w:rPr>
        <w:t>asalah</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daripada</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tahap</w:t>
      </w:r>
      <w:proofErr w:type="spellEnd"/>
      <w:r w:rsidRPr="005C7AE9">
        <w:rPr>
          <w:rFonts w:ascii="Arial" w:eastAsia="Arial" w:hAnsi="Arial" w:cs="Arial"/>
          <w:sz w:val="22"/>
          <w:szCs w:val="22"/>
        </w:rPr>
        <w:t xml:space="preserve"> yang </w:t>
      </w:r>
      <w:proofErr w:type="spellStart"/>
      <w:r w:rsidRPr="005C7AE9">
        <w:rPr>
          <w:rFonts w:ascii="Arial" w:eastAsia="Arial" w:hAnsi="Arial" w:cs="Arial"/>
          <w:sz w:val="22"/>
          <w:szCs w:val="22"/>
        </w:rPr>
        <w:t>sepadan</w:t>
      </w:r>
      <w:proofErr w:type="spellEnd"/>
      <w:r w:rsidRPr="005C7AE9">
        <w:rPr>
          <w:rFonts w:ascii="Arial" w:eastAsia="Arial" w:hAnsi="Arial" w:cs="Arial"/>
          <w:sz w:val="22"/>
          <w:szCs w:val="22"/>
        </w:rPr>
        <w:t xml:space="preserve"> </w:t>
      </w:r>
      <w:proofErr w:type="spellStart"/>
      <w:r w:rsidRPr="005C7AE9">
        <w:rPr>
          <w:rFonts w:ascii="Arial" w:eastAsia="Arial" w:hAnsi="Arial" w:cs="Arial"/>
          <w:sz w:val="22"/>
          <w:szCs w:val="22"/>
        </w:rPr>
        <w:t>iaitu</w:t>
      </w:r>
      <w:proofErr w:type="spellEnd"/>
      <w:r w:rsidRPr="005C7AE9">
        <w:rPr>
          <w:rFonts w:ascii="Arial" w:eastAsia="Arial" w:hAnsi="Arial" w:cs="Arial"/>
          <w:sz w:val="22"/>
          <w:szCs w:val="22"/>
        </w:rPr>
        <w:t xml:space="preserve"> 50% pada semester 20224 </w:t>
      </w:r>
      <w:proofErr w:type="spellStart"/>
      <w:r w:rsidRPr="005C7AE9">
        <w:rPr>
          <w:rFonts w:ascii="Arial" w:eastAsia="Arial" w:hAnsi="Arial" w:cs="Arial"/>
          <w:sz w:val="22"/>
          <w:szCs w:val="22"/>
        </w:rPr>
        <w:t>kepada</w:t>
      </w:r>
      <w:proofErr w:type="spellEnd"/>
      <w:r w:rsidRPr="005C7AE9">
        <w:rPr>
          <w:rFonts w:ascii="Arial" w:eastAsia="Arial" w:hAnsi="Arial" w:cs="Arial"/>
          <w:sz w:val="22"/>
          <w:szCs w:val="22"/>
        </w:rPr>
        <w:t xml:space="preserve"> 65% pada </w:t>
      </w:r>
      <w:proofErr w:type="spellStart"/>
      <w:r w:rsidRPr="005C7AE9">
        <w:rPr>
          <w:rFonts w:ascii="Arial" w:eastAsia="Arial" w:hAnsi="Arial" w:cs="Arial"/>
          <w:sz w:val="22"/>
          <w:szCs w:val="22"/>
        </w:rPr>
        <w:t>tahun</w:t>
      </w:r>
      <w:proofErr w:type="spellEnd"/>
      <w:r w:rsidRPr="005C7AE9">
        <w:rPr>
          <w:rFonts w:ascii="Arial" w:eastAsia="Arial" w:hAnsi="Arial" w:cs="Arial"/>
          <w:sz w:val="22"/>
          <w:szCs w:val="22"/>
        </w:rPr>
        <w:t xml:space="preserve"> 20244. </w:t>
      </w:r>
      <w:proofErr w:type="spellStart"/>
      <w:r w:rsidR="008B6D35" w:rsidRPr="008B6D35">
        <w:rPr>
          <w:rFonts w:ascii="Arial" w:eastAsia="Arial" w:hAnsi="Arial" w:cs="Arial"/>
          <w:sz w:val="22"/>
          <w:szCs w:val="22"/>
        </w:rPr>
        <w:t>Penemuan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menunjukkan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bahawa</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penilaian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berasaskan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tugasan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berterusan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menggalakkan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pembelajaran</w:t>
      </w:r>
      <w:proofErr w:type="spellEnd"/>
      <w:r w:rsidR="008B6D35" w:rsidRPr="008B6D35">
        <w:rPr>
          <w:rFonts w:ascii="Arial" w:eastAsia="Arial" w:hAnsi="Arial" w:cs="Arial"/>
          <w:sz w:val="22"/>
          <w:szCs w:val="22"/>
        </w:rPr>
        <w:t xml:space="preserve"> yang </w:t>
      </w:r>
      <w:proofErr w:type="spellStart"/>
      <w:r w:rsidR="008B6D35" w:rsidRPr="008B6D35">
        <w:rPr>
          <w:rFonts w:ascii="Arial" w:eastAsia="Arial" w:hAnsi="Arial" w:cs="Arial"/>
          <w:sz w:val="22"/>
          <w:szCs w:val="22"/>
        </w:rPr>
        <w:t>lebih</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mendalam</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mengurangkan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kebimbangan</w:t>
      </w:r>
      <w:proofErr w:type="spellEnd"/>
      <w:r w:rsidR="008B6D35" w:rsidRPr="008B6D35">
        <w:rPr>
          <w:rFonts w:ascii="Arial" w:eastAsia="Arial" w:hAnsi="Arial" w:cs="Arial"/>
          <w:sz w:val="22"/>
          <w:szCs w:val="22"/>
        </w:rPr>
        <w:t xml:space="preserve"> masa </w:t>
      </w:r>
      <w:proofErr w:type="spellStart"/>
      <w:r w:rsidR="008B6D35" w:rsidRPr="008B6D35">
        <w:rPr>
          <w:rFonts w:ascii="Arial" w:eastAsia="Arial" w:hAnsi="Arial" w:cs="Arial"/>
          <w:sz w:val="22"/>
          <w:szCs w:val="22"/>
        </w:rPr>
        <w:t>peperiksaan</w:t>
      </w:r>
      <w:proofErr w:type="spellEnd"/>
      <w:r w:rsidR="008B6D35" w:rsidRPr="008B6D35">
        <w:rPr>
          <w:rFonts w:ascii="Arial" w:eastAsia="Arial" w:hAnsi="Arial" w:cs="Arial"/>
          <w:sz w:val="22"/>
          <w:szCs w:val="22"/>
        </w:rPr>
        <w:t xml:space="preserve">, dan </w:t>
      </w:r>
      <w:proofErr w:type="spellStart"/>
      <w:r w:rsidR="008B6D35" w:rsidRPr="008B6D35">
        <w:rPr>
          <w:rFonts w:ascii="Arial" w:eastAsia="Arial" w:hAnsi="Arial" w:cs="Arial"/>
          <w:sz w:val="22"/>
          <w:szCs w:val="22"/>
        </w:rPr>
        <w:t>mewujudkan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laluan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inklusif</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ke</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arah</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kejayaan</w:t>
      </w:r>
      <w:proofErr w:type="spellEnd"/>
      <w:r w:rsidR="008B6D35" w:rsidRPr="008B6D35">
        <w:rPr>
          <w:rFonts w:ascii="Arial" w:eastAsia="Arial" w:hAnsi="Arial" w:cs="Arial"/>
          <w:sz w:val="22"/>
          <w:szCs w:val="22"/>
        </w:rPr>
        <w:t xml:space="preserve"> </w:t>
      </w:r>
      <w:proofErr w:type="spellStart"/>
      <w:r w:rsidR="008B6D35" w:rsidRPr="008B6D35">
        <w:rPr>
          <w:rFonts w:ascii="Arial" w:eastAsia="Arial" w:hAnsi="Arial" w:cs="Arial"/>
          <w:sz w:val="22"/>
          <w:szCs w:val="22"/>
        </w:rPr>
        <w:t>akademik</w:t>
      </w:r>
      <w:proofErr w:type="spellEnd"/>
      <w:r w:rsidR="008B6D35" w:rsidRPr="008B6D35">
        <w:rPr>
          <w:rFonts w:ascii="Arial" w:eastAsia="Arial" w:hAnsi="Arial" w:cs="Arial"/>
          <w:sz w:val="22"/>
          <w:szCs w:val="22"/>
        </w:rPr>
        <w:t>.</w:t>
      </w:r>
    </w:p>
    <w:p w14:paraId="6C59CA08" w14:textId="1011575F" w:rsidR="009553C0" w:rsidRDefault="0070025C">
      <w:pPr>
        <w:spacing w:line="480" w:lineRule="auto"/>
        <w:rPr>
          <w:rFonts w:ascii="Arial" w:eastAsia="Arial" w:hAnsi="Arial" w:cs="Arial"/>
          <w:b/>
          <w:sz w:val="22"/>
          <w:szCs w:val="22"/>
        </w:rPr>
      </w:pPr>
      <w:r>
        <w:rPr>
          <w:rFonts w:ascii="Arial" w:eastAsia="Arial" w:hAnsi="Arial" w:cs="Arial"/>
          <w:i/>
          <w:sz w:val="22"/>
          <w:szCs w:val="22"/>
        </w:rPr>
        <w:t xml:space="preserve">Kata </w:t>
      </w:r>
      <w:proofErr w:type="spellStart"/>
      <w:r>
        <w:rPr>
          <w:rFonts w:ascii="Arial" w:eastAsia="Arial" w:hAnsi="Arial" w:cs="Arial"/>
          <w:i/>
          <w:sz w:val="22"/>
          <w:szCs w:val="22"/>
        </w:rPr>
        <w:t>kunci</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sidR="005C7AE9" w:rsidRPr="005C7AE9">
        <w:rPr>
          <w:rFonts w:ascii="Arial" w:eastAsia="Arial" w:hAnsi="Arial" w:cs="Arial"/>
          <w:b/>
          <w:sz w:val="22"/>
          <w:szCs w:val="22"/>
        </w:rPr>
        <w:t>Kejuruteraan</w:t>
      </w:r>
      <w:proofErr w:type="spellEnd"/>
      <w:r w:rsidR="005C7AE9" w:rsidRPr="005C7AE9">
        <w:rPr>
          <w:rFonts w:ascii="Arial" w:eastAsia="Arial" w:hAnsi="Arial" w:cs="Arial"/>
          <w:b/>
          <w:sz w:val="22"/>
          <w:szCs w:val="22"/>
        </w:rPr>
        <w:t xml:space="preserve"> Tanah; </w:t>
      </w:r>
      <w:proofErr w:type="spellStart"/>
      <w:r w:rsidR="005C7AE9" w:rsidRPr="005C7AE9">
        <w:rPr>
          <w:rFonts w:ascii="Arial" w:eastAsia="Arial" w:hAnsi="Arial" w:cs="Arial"/>
          <w:b/>
          <w:sz w:val="22"/>
          <w:szCs w:val="22"/>
        </w:rPr>
        <w:t>Penilaian</w:t>
      </w:r>
      <w:proofErr w:type="spellEnd"/>
      <w:r w:rsidR="005C7AE9" w:rsidRPr="005C7AE9">
        <w:rPr>
          <w:rFonts w:ascii="Arial" w:eastAsia="Arial" w:hAnsi="Arial" w:cs="Arial"/>
          <w:b/>
          <w:sz w:val="22"/>
          <w:szCs w:val="22"/>
        </w:rPr>
        <w:t xml:space="preserve">; </w:t>
      </w:r>
      <w:proofErr w:type="spellStart"/>
      <w:r w:rsidR="005C7AE9" w:rsidRPr="005C7AE9">
        <w:rPr>
          <w:rFonts w:ascii="Arial" w:eastAsia="Arial" w:hAnsi="Arial" w:cs="Arial"/>
          <w:b/>
          <w:sz w:val="22"/>
          <w:szCs w:val="22"/>
        </w:rPr>
        <w:t>Tugasan</w:t>
      </w:r>
      <w:proofErr w:type="spellEnd"/>
      <w:r w:rsidR="005C7AE9" w:rsidRPr="005C7AE9">
        <w:rPr>
          <w:rFonts w:ascii="Arial" w:eastAsia="Arial" w:hAnsi="Arial" w:cs="Arial"/>
          <w:b/>
          <w:sz w:val="22"/>
          <w:szCs w:val="22"/>
        </w:rPr>
        <w:t xml:space="preserve">; Kadar </w:t>
      </w:r>
      <w:proofErr w:type="spellStart"/>
      <w:r w:rsidR="005C7AE9" w:rsidRPr="005C7AE9">
        <w:rPr>
          <w:rFonts w:ascii="Arial" w:eastAsia="Arial" w:hAnsi="Arial" w:cs="Arial"/>
          <w:b/>
          <w:sz w:val="22"/>
          <w:szCs w:val="22"/>
        </w:rPr>
        <w:t>Kegagalan</w:t>
      </w:r>
      <w:proofErr w:type="spellEnd"/>
      <w:r w:rsidR="005C7AE9" w:rsidRPr="005C7AE9">
        <w:rPr>
          <w:rFonts w:ascii="Arial" w:eastAsia="Arial" w:hAnsi="Arial" w:cs="Arial"/>
          <w:b/>
          <w:sz w:val="22"/>
          <w:szCs w:val="22"/>
        </w:rPr>
        <w:t xml:space="preserve">; </w:t>
      </w:r>
      <w:proofErr w:type="spellStart"/>
      <w:r w:rsidR="005C7AE9" w:rsidRPr="005C7AE9">
        <w:rPr>
          <w:rFonts w:ascii="Arial" w:eastAsia="Arial" w:hAnsi="Arial" w:cs="Arial"/>
          <w:b/>
          <w:sz w:val="22"/>
          <w:szCs w:val="22"/>
        </w:rPr>
        <w:t>Penyelesaian</w:t>
      </w:r>
      <w:proofErr w:type="spellEnd"/>
      <w:r w:rsidR="005C7AE9" w:rsidRPr="005C7AE9">
        <w:rPr>
          <w:rFonts w:ascii="Arial" w:eastAsia="Arial" w:hAnsi="Arial" w:cs="Arial"/>
          <w:b/>
          <w:sz w:val="22"/>
          <w:szCs w:val="22"/>
        </w:rPr>
        <w:t xml:space="preserve"> </w:t>
      </w:r>
      <w:proofErr w:type="spellStart"/>
      <w:r w:rsidR="005C7AE9" w:rsidRPr="005C7AE9">
        <w:rPr>
          <w:rFonts w:ascii="Arial" w:eastAsia="Arial" w:hAnsi="Arial" w:cs="Arial"/>
          <w:b/>
          <w:sz w:val="22"/>
          <w:szCs w:val="22"/>
        </w:rPr>
        <w:t>Masalah</w:t>
      </w:r>
      <w:proofErr w:type="spellEnd"/>
    </w:p>
    <w:p w14:paraId="4BA891D0" w14:textId="77777777" w:rsidR="009553C0" w:rsidRDefault="009553C0">
      <w:pPr>
        <w:spacing w:line="480" w:lineRule="auto"/>
        <w:jc w:val="center"/>
        <w:rPr>
          <w:rFonts w:ascii="Times New Roman" w:eastAsia="Times New Roman" w:hAnsi="Times New Roman" w:cs="Times New Roman"/>
          <w:b/>
          <w:sz w:val="24"/>
          <w:szCs w:val="24"/>
        </w:rPr>
      </w:pPr>
    </w:p>
    <w:p w14:paraId="1CEEAA9D" w14:textId="77777777" w:rsidR="009553C0" w:rsidRDefault="009553C0">
      <w:pPr>
        <w:spacing w:line="480" w:lineRule="auto"/>
        <w:jc w:val="center"/>
        <w:rPr>
          <w:rFonts w:ascii="Times New Roman" w:eastAsia="Times New Roman" w:hAnsi="Times New Roman" w:cs="Times New Roman"/>
          <w:b/>
          <w:sz w:val="24"/>
          <w:szCs w:val="24"/>
        </w:rPr>
      </w:pPr>
    </w:p>
    <w:p w14:paraId="0B13F88B" w14:textId="77777777" w:rsidR="009553C0" w:rsidRDefault="0070025C">
      <w:pPr>
        <w:spacing w:line="480" w:lineRule="auto"/>
        <w:jc w:val="left"/>
        <w:rPr>
          <w:rFonts w:ascii="Arial" w:eastAsia="Arial" w:hAnsi="Arial" w:cs="Arial"/>
          <w:b/>
          <w:sz w:val="22"/>
          <w:szCs w:val="22"/>
        </w:rPr>
      </w:pPr>
      <w:r>
        <w:rPr>
          <w:rFonts w:ascii="Arial" w:eastAsia="Arial" w:hAnsi="Arial" w:cs="Arial"/>
          <w:b/>
          <w:sz w:val="22"/>
          <w:szCs w:val="22"/>
        </w:rPr>
        <w:t>1.0 INTRODUCTION</w:t>
      </w:r>
    </w:p>
    <w:p w14:paraId="4003E76A" w14:textId="7919537D" w:rsidR="009553C0" w:rsidRDefault="00661239">
      <w:pPr>
        <w:spacing w:line="480" w:lineRule="auto"/>
        <w:rPr>
          <w:rFonts w:ascii="Arial" w:eastAsia="Arial" w:hAnsi="Arial" w:cs="Arial"/>
          <w:sz w:val="22"/>
          <w:szCs w:val="22"/>
        </w:rPr>
      </w:pPr>
      <w:r w:rsidRPr="00661239">
        <w:rPr>
          <w:rFonts w:ascii="Arial" w:eastAsia="Arial" w:hAnsi="Arial" w:cs="Arial"/>
          <w:sz w:val="22"/>
          <w:szCs w:val="22"/>
        </w:rPr>
        <w:t xml:space="preserve">Soil engineering courses are a fundamental subject in civil engineering. It covers the studies of the </w:t>
      </w:r>
      <w:proofErr w:type="spellStart"/>
      <w:r w:rsidRPr="00661239">
        <w:rPr>
          <w:rFonts w:ascii="Arial" w:eastAsia="Arial" w:hAnsi="Arial" w:cs="Arial"/>
          <w:sz w:val="22"/>
          <w:szCs w:val="22"/>
        </w:rPr>
        <w:t>behaviour</w:t>
      </w:r>
      <w:proofErr w:type="spellEnd"/>
      <w:r w:rsidRPr="00661239">
        <w:rPr>
          <w:rFonts w:ascii="Arial" w:eastAsia="Arial" w:hAnsi="Arial" w:cs="Arial"/>
          <w:sz w:val="22"/>
          <w:szCs w:val="22"/>
        </w:rPr>
        <w:t xml:space="preserve"> of soil materials and their application in civil engineering works. Soil engineering courses are related to determining soil deformations, forces, stresses, and strains prior to analyzing and designing foundations and buildings. The Soil Engineering course (ECG353) is available to fifth-semester students pursuing a Diploma in Civil Engineering at UiTM. It is a 2.0 credit hours course, and it is one of the </w:t>
      </w:r>
      <w:proofErr w:type="gramStart"/>
      <w:r w:rsidRPr="00661239">
        <w:rPr>
          <w:rFonts w:ascii="Arial" w:eastAsia="Arial" w:hAnsi="Arial" w:cs="Arial"/>
          <w:sz w:val="22"/>
          <w:szCs w:val="22"/>
        </w:rPr>
        <w:t>core</w:t>
      </w:r>
      <w:proofErr w:type="gramEnd"/>
      <w:r w:rsidRPr="00661239">
        <w:rPr>
          <w:rFonts w:ascii="Arial" w:eastAsia="Arial" w:hAnsi="Arial" w:cs="Arial"/>
          <w:sz w:val="22"/>
          <w:szCs w:val="22"/>
        </w:rPr>
        <w:t xml:space="preserve"> and fundamental subjects for the program of Diploma in Civil Engineering, UiTM. Soil Mechanics (ECG243) from semester three is the prerequisite course for this subject. This course deals with the application of basic soil mechanics principles to civil engineering works. It covers topics on vertical stress distribution in soils, lateral earth pressure, bearing capacity of soils, slope stability and subsurface soil exploration. The course outcome is in line with the program outcome for the Diploma in Civil Engineering, UiTM. The details of the course outcome (CO) and program outcome (PO) for the Soil Engineering course are shown in Table 1.</w:t>
      </w:r>
    </w:p>
    <w:p w14:paraId="5C073BDA" w14:textId="77777777" w:rsidR="00661239" w:rsidRPr="00952ACD" w:rsidRDefault="00661239" w:rsidP="00952ACD">
      <w:pPr>
        <w:spacing w:line="480" w:lineRule="auto"/>
        <w:ind w:right="-1"/>
        <w:jc w:val="center"/>
        <w:rPr>
          <w:rFonts w:ascii="Arial" w:hAnsi="Arial" w:cs="Arial"/>
          <w:sz w:val="22"/>
          <w:szCs w:val="22"/>
        </w:rPr>
      </w:pPr>
      <w:bookmarkStart w:id="1" w:name="_Hlk109223584"/>
      <w:r w:rsidRPr="00952ACD">
        <w:rPr>
          <w:rFonts w:ascii="Arial" w:hAnsi="Arial" w:cs="Arial"/>
          <w:i/>
          <w:iCs/>
          <w:sz w:val="22"/>
          <w:szCs w:val="22"/>
        </w:rPr>
        <w:t>Table 1</w:t>
      </w:r>
      <w:r w:rsidRPr="00952ACD">
        <w:rPr>
          <w:rFonts w:ascii="Arial" w:hAnsi="Arial" w:cs="Arial"/>
          <w:sz w:val="22"/>
          <w:szCs w:val="22"/>
        </w:rPr>
        <w:t>:</w:t>
      </w:r>
      <w:r w:rsidRPr="00952ACD">
        <w:rPr>
          <w:rFonts w:ascii="Arial" w:hAnsi="Arial" w:cs="Arial"/>
          <w:b/>
          <w:bCs/>
          <w:sz w:val="22"/>
          <w:szCs w:val="22"/>
        </w:rPr>
        <w:t xml:space="preserve"> </w:t>
      </w:r>
      <w:bookmarkEnd w:id="1"/>
      <w:r w:rsidRPr="00952ACD">
        <w:rPr>
          <w:rFonts w:ascii="Arial" w:hAnsi="Arial" w:cs="Arial"/>
          <w:sz w:val="22"/>
          <w:szCs w:val="22"/>
        </w:rPr>
        <w:t>Course Outcomes and Program Outcomes</w:t>
      </w:r>
    </w:p>
    <w:tbl>
      <w:tblPr>
        <w:tblW w:w="9356" w:type="dxa"/>
        <w:jc w:val="center"/>
        <w:tblLook w:val="04A0" w:firstRow="1" w:lastRow="0" w:firstColumn="1" w:lastColumn="0" w:noHBand="0" w:noVBand="1"/>
      </w:tblPr>
      <w:tblGrid>
        <w:gridCol w:w="1513"/>
        <w:gridCol w:w="3235"/>
        <w:gridCol w:w="1109"/>
        <w:gridCol w:w="3499"/>
      </w:tblGrid>
      <w:tr w:rsidR="00952ACD" w:rsidRPr="00952ACD" w14:paraId="05726D27" w14:textId="77777777" w:rsidTr="000B32DF">
        <w:trPr>
          <w:trHeight w:val="850"/>
          <w:jc w:val="center"/>
        </w:trPr>
        <w:tc>
          <w:tcPr>
            <w:tcW w:w="1531" w:type="dxa"/>
            <w:tcBorders>
              <w:top w:val="single" w:sz="4" w:space="0" w:color="auto"/>
              <w:bottom w:val="single" w:sz="4" w:space="0" w:color="auto"/>
            </w:tcBorders>
            <w:shd w:val="clear" w:color="auto" w:fill="auto"/>
          </w:tcPr>
          <w:p w14:paraId="628DB817" w14:textId="31E22EF0" w:rsidR="00952ACD" w:rsidRPr="00952ACD" w:rsidRDefault="000B32DF" w:rsidP="00952ACD">
            <w:pPr>
              <w:spacing w:line="480" w:lineRule="auto"/>
              <w:ind w:right="-1"/>
              <w:rPr>
                <w:rFonts w:ascii="Arial" w:hAnsi="Arial" w:cs="Arial"/>
                <w:sz w:val="22"/>
                <w:szCs w:val="22"/>
              </w:rPr>
            </w:pPr>
            <w:r>
              <w:rPr>
                <w:rFonts w:ascii="Arial" w:hAnsi="Arial" w:cs="Arial"/>
                <w:sz w:val="22"/>
                <w:szCs w:val="22"/>
              </w:rPr>
              <w:t>Course Outcome (</w:t>
            </w:r>
            <w:r w:rsidR="00952ACD">
              <w:rPr>
                <w:rFonts w:ascii="Arial" w:hAnsi="Arial" w:cs="Arial"/>
                <w:sz w:val="22"/>
                <w:szCs w:val="22"/>
              </w:rPr>
              <w:t>CO</w:t>
            </w:r>
            <w:r>
              <w:rPr>
                <w:rFonts w:ascii="Arial" w:hAnsi="Arial" w:cs="Arial"/>
                <w:sz w:val="22"/>
                <w:szCs w:val="22"/>
              </w:rPr>
              <w:t>)</w:t>
            </w:r>
          </w:p>
        </w:tc>
        <w:tc>
          <w:tcPr>
            <w:tcW w:w="3305" w:type="dxa"/>
            <w:tcBorders>
              <w:top w:val="single" w:sz="4" w:space="0" w:color="auto"/>
              <w:bottom w:val="single" w:sz="4" w:space="0" w:color="auto"/>
            </w:tcBorders>
            <w:shd w:val="clear" w:color="auto" w:fill="auto"/>
          </w:tcPr>
          <w:p w14:paraId="71DC28D6" w14:textId="1A74DFE3" w:rsidR="00952ACD" w:rsidRPr="00952ACD" w:rsidRDefault="000B32DF" w:rsidP="00952ACD">
            <w:pPr>
              <w:spacing w:line="480" w:lineRule="auto"/>
              <w:ind w:right="-1"/>
              <w:rPr>
                <w:rFonts w:ascii="Arial" w:hAnsi="Arial" w:cs="Arial"/>
                <w:sz w:val="22"/>
                <w:szCs w:val="22"/>
              </w:rPr>
            </w:pPr>
            <w:r>
              <w:rPr>
                <w:rFonts w:ascii="Arial" w:hAnsi="Arial" w:cs="Arial"/>
                <w:sz w:val="22"/>
                <w:szCs w:val="22"/>
              </w:rPr>
              <w:t>Description</w:t>
            </w:r>
          </w:p>
        </w:tc>
        <w:tc>
          <w:tcPr>
            <w:tcW w:w="941" w:type="dxa"/>
            <w:tcBorders>
              <w:top w:val="single" w:sz="4" w:space="0" w:color="auto"/>
              <w:bottom w:val="single" w:sz="4" w:space="0" w:color="auto"/>
            </w:tcBorders>
            <w:shd w:val="clear" w:color="auto" w:fill="auto"/>
          </w:tcPr>
          <w:p w14:paraId="26179BD2" w14:textId="233FF556" w:rsidR="00952ACD" w:rsidRPr="00952ACD" w:rsidRDefault="000B32DF" w:rsidP="00952ACD">
            <w:pPr>
              <w:spacing w:line="480" w:lineRule="auto"/>
              <w:ind w:right="-1"/>
              <w:rPr>
                <w:rFonts w:ascii="Arial" w:hAnsi="Arial" w:cs="Arial"/>
                <w:sz w:val="22"/>
                <w:szCs w:val="22"/>
              </w:rPr>
            </w:pPr>
            <w:r>
              <w:rPr>
                <w:rFonts w:ascii="Arial" w:hAnsi="Arial" w:cs="Arial"/>
                <w:sz w:val="22"/>
                <w:szCs w:val="22"/>
              </w:rPr>
              <w:t>Program Outcome (PO)</w:t>
            </w:r>
          </w:p>
        </w:tc>
        <w:tc>
          <w:tcPr>
            <w:tcW w:w="3579" w:type="dxa"/>
            <w:tcBorders>
              <w:top w:val="single" w:sz="4" w:space="0" w:color="auto"/>
              <w:bottom w:val="single" w:sz="4" w:space="0" w:color="auto"/>
            </w:tcBorders>
            <w:shd w:val="clear" w:color="auto" w:fill="auto"/>
          </w:tcPr>
          <w:p w14:paraId="72C1875A" w14:textId="246B98EA" w:rsidR="00952ACD" w:rsidRPr="00952ACD" w:rsidRDefault="000B32DF" w:rsidP="00952ACD">
            <w:pPr>
              <w:spacing w:line="480" w:lineRule="auto"/>
              <w:ind w:right="-1"/>
              <w:rPr>
                <w:rFonts w:ascii="Arial" w:hAnsi="Arial" w:cs="Arial"/>
                <w:sz w:val="22"/>
                <w:szCs w:val="22"/>
              </w:rPr>
            </w:pPr>
            <w:r>
              <w:rPr>
                <w:rFonts w:ascii="Arial" w:hAnsi="Arial" w:cs="Arial"/>
                <w:sz w:val="22"/>
                <w:szCs w:val="22"/>
              </w:rPr>
              <w:t>Description</w:t>
            </w:r>
          </w:p>
        </w:tc>
      </w:tr>
      <w:tr w:rsidR="00661239" w:rsidRPr="00952ACD" w14:paraId="16B84E81" w14:textId="77777777" w:rsidTr="000B32DF">
        <w:trPr>
          <w:trHeight w:val="850"/>
          <w:jc w:val="center"/>
        </w:trPr>
        <w:tc>
          <w:tcPr>
            <w:tcW w:w="1531" w:type="dxa"/>
            <w:tcBorders>
              <w:top w:val="single" w:sz="4" w:space="0" w:color="auto"/>
            </w:tcBorders>
            <w:shd w:val="clear" w:color="auto" w:fill="auto"/>
          </w:tcPr>
          <w:p w14:paraId="1C90038C" w14:textId="77777777" w:rsidR="00661239" w:rsidRPr="00952ACD" w:rsidRDefault="00661239" w:rsidP="00952ACD">
            <w:pPr>
              <w:spacing w:line="480" w:lineRule="auto"/>
              <w:ind w:right="-1"/>
              <w:rPr>
                <w:rFonts w:ascii="Arial" w:hAnsi="Arial" w:cs="Arial"/>
                <w:sz w:val="22"/>
                <w:szCs w:val="22"/>
              </w:rPr>
            </w:pPr>
            <w:r w:rsidRPr="00952ACD">
              <w:rPr>
                <w:rFonts w:ascii="Arial" w:hAnsi="Arial" w:cs="Arial"/>
                <w:sz w:val="22"/>
                <w:szCs w:val="22"/>
              </w:rPr>
              <w:t>CO1</w:t>
            </w:r>
          </w:p>
        </w:tc>
        <w:tc>
          <w:tcPr>
            <w:tcW w:w="3305" w:type="dxa"/>
            <w:tcBorders>
              <w:top w:val="single" w:sz="4" w:space="0" w:color="auto"/>
            </w:tcBorders>
            <w:shd w:val="clear" w:color="auto" w:fill="auto"/>
          </w:tcPr>
          <w:p w14:paraId="5BE4D42B" w14:textId="77777777" w:rsidR="00661239" w:rsidRPr="00952ACD" w:rsidRDefault="00661239" w:rsidP="00952ACD">
            <w:pPr>
              <w:spacing w:line="480" w:lineRule="auto"/>
              <w:ind w:right="-1"/>
              <w:rPr>
                <w:rFonts w:ascii="Arial" w:hAnsi="Arial" w:cs="Arial"/>
                <w:sz w:val="22"/>
                <w:szCs w:val="22"/>
              </w:rPr>
            </w:pPr>
            <w:r w:rsidRPr="00952ACD">
              <w:rPr>
                <w:rFonts w:ascii="Arial" w:hAnsi="Arial" w:cs="Arial"/>
                <w:sz w:val="22"/>
                <w:szCs w:val="22"/>
              </w:rPr>
              <w:t>Apply knowledge of soil engineering concepts responses to various geotechnical situations.</w:t>
            </w:r>
          </w:p>
        </w:tc>
        <w:tc>
          <w:tcPr>
            <w:tcW w:w="941" w:type="dxa"/>
            <w:tcBorders>
              <w:top w:val="single" w:sz="4" w:space="0" w:color="auto"/>
            </w:tcBorders>
            <w:shd w:val="clear" w:color="auto" w:fill="auto"/>
          </w:tcPr>
          <w:p w14:paraId="74AC6C4E" w14:textId="77777777" w:rsidR="00661239" w:rsidRPr="00952ACD" w:rsidRDefault="00661239" w:rsidP="00952ACD">
            <w:pPr>
              <w:spacing w:line="480" w:lineRule="auto"/>
              <w:ind w:right="-1"/>
              <w:rPr>
                <w:rFonts w:ascii="Arial" w:hAnsi="Arial" w:cs="Arial"/>
                <w:sz w:val="22"/>
                <w:szCs w:val="22"/>
              </w:rPr>
            </w:pPr>
            <w:r w:rsidRPr="00952ACD">
              <w:rPr>
                <w:rFonts w:ascii="Arial" w:hAnsi="Arial" w:cs="Arial"/>
                <w:sz w:val="22"/>
                <w:szCs w:val="22"/>
              </w:rPr>
              <w:t>PO1</w:t>
            </w:r>
          </w:p>
        </w:tc>
        <w:tc>
          <w:tcPr>
            <w:tcW w:w="3579" w:type="dxa"/>
            <w:tcBorders>
              <w:top w:val="single" w:sz="4" w:space="0" w:color="auto"/>
            </w:tcBorders>
            <w:shd w:val="clear" w:color="auto" w:fill="auto"/>
          </w:tcPr>
          <w:p w14:paraId="15C3E1C0" w14:textId="77777777" w:rsidR="00661239" w:rsidRPr="00952ACD" w:rsidRDefault="00661239" w:rsidP="00952ACD">
            <w:pPr>
              <w:spacing w:line="480" w:lineRule="auto"/>
              <w:ind w:right="-1"/>
              <w:rPr>
                <w:rFonts w:ascii="Arial" w:hAnsi="Arial" w:cs="Arial"/>
                <w:sz w:val="22"/>
                <w:szCs w:val="22"/>
              </w:rPr>
            </w:pPr>
            <w:r w:rsidRPr="00952ACD">
              <w:rPr>
                <w:rFonts w:ascii="Arial" w:hAnsi="Arial" w:cs="Arial"/>
                <w:sz w:val="22"/>
                <w:szCs w:val="22"/>
              </w:rPr>
              <w:t>Apply knowledge of mathematics, natural science, engineering fundamentals and an engineering specialization to wide practical procedures and practices</w:t>
            </w:r>
          </w:p>
        </w:tc>
      </w:tr>
      <w:tr w:rsidR="00661239" w:rsidRPr="00952ACD" w14:paraId="64916E63" w14:textId="77777777" w:rsidTr="000B32DF">
        <w:trPr>
          <w:jc w:val="center"/>
        </w:trPr>
        <w:tc>
          <w:tcPr>
            <w:tcW w:w="1531" w:type="dxa"/>
            <w:shd w:val="clear" w:color="auto" w:fill="auto"/>
          </w:tcPr>
          <w:p w14:paraId="37A876D7" w14:textId="77777777" w:rsidR="00661239" w:rsidRPr="00952ACD" w:rsidRDefault="00661239" w:rsidP="00952ACD">
            <w:pPr>
              <w:spacing w:line="480" w:lineRule="auto"/>
              <w:ind w:right="-1"/>
              <w:rPr>
                <w:rFonts w:ascii="Arial" w:hAnsi="Arial" w:cs="Arial"/>
                <w:sz w:val="22"/>
                <w:szCs w:val="22"/>
              </w:rPr>
            </w:pPr>
            <w:r w:rsidRPr="00952ACD">
              <w:rPr>
                <w:rFonts w:ascii="Arial" w:hAnsi="Arial" w:cs="Arial"/>
                <w:sz w:val="22"/>
                <w:szCs w:val="22"/>
              </w:rPr>
              <w:t>CO2</w:t>
            </w:r>
          </w:p>
        </w:tc>
        <w:tc>
          <w:tcPr>
            <w:tcW w:w="3305" w:type="dxa"/>
            <w:tcBorders>
              <w:bottom w:val="single" w:sz="4" w:space="0" w:color="auto"/>
            </w:tcBorders>
            <w:shd w:val="clear" w:color="auto" w:fill="auto"/>
          </w:tcPr>
          <w:p w14:paraId="54E3F6FD" w14:textId="77777777" w:rsidR="00661239" w:rsidRPr="00952ACD" w:rsidRDefault="00661239" w:rsidP="00952ACD">
            <w:pPr>
              <w:spacing w:line="480" w:lineRule="auto"/>
              <w:ind w:right="-1"/>
              <w:rPr>
                <w:rFonts w:ascii="Arial" w:hAnsi="Arial" w:cs="Arial"/>
                <w:sz w:val="22"/>
                <w:szCs w:val="22"/>
              </w:rPr>
            </w:pPr>
            <w:r w:rsidRPr="00952ACD">
              <w:rPr>
                <w:rFonts w:ascii="Arial" w:hAnsi="Arial" w:cs="Arial"/>
                <w:sz w:val="22"/>
                <w:szCs w:val="22"/>
              </w:rPr>
              <w:t xml:space="preserve">Measure solutions for soil engineering problems with the design system component of </w:t>
            </w:r>
            <w:r w:rsidRPr="00952ACD">
              <w:rPr>
                <w:rFonts w:ascii="Arial" w:hAnsi="Arial" w:cs="Arial"/>
                <w:sz w:val="22"/>
                <w:szCs w:val="22"/>
              </w:rPr>
              <w:lastRenderedPageBreak/>
              <w:t>processes to meet specified needs with appropriate consideration for safety and environmental consideration</w:t>
            </w:r>
          </w:p>
        </w:tc>
        <w:tc>
          <w:tcPr>
            <w:tcW w:w="941" w:type="dxa"/>
            <w:tcBorders>
              <w:bottom w:val="single" w:sz="4" w:space="0" w:color="auto"/>
            </w:tcBorders>
            <w:shd w:val="clear" w:color="auto" w:fill="auto"/>
          </w:tcPr>
          <w:p w14:paraId="48871C6E" w14:textId="77777777" w:rsidR="00661239" w:rsidRPr="00952ACD" w:rsidRDefault="00661239" w:rsidP="00952ACD">
            <w:pPr>
              <w:spacing w:line="480" w:lineRule="auto"/>
              <w:ind w:right="-1"/>
              <w:rPr>
                <w:rFonts w:ascii="Arial" w:hAnsi="Arial" w:cs="Arial"/>
                <w:sz w:val="22"/>
                <w:szCs w:val="22"/>
              </w:rPr>
            </w:pPr>
            <w:r w:rsidRPr="00952ACD">
              <w:rPr>
                <w:rFonts w:ascii="Arial" w:hAnsi="Arial" w:cs="Arial"/>
                <w:sz w:val="22"/>
                <w:szCs w:val="22"/>
              </w:rPr>
              <w:lastRenderedPageBreak/>
              <w:t>PO3</w:t>
            </w:r>
          </w:p>
        </w:tc>
        <w:tc>
          <w:tcPr>
            <w:tcW w:w="3579" w:type="dxa"/>
            <w:tcBorders>
              <w:bottom w:val="single" w:sz="4" w:space="0" w:color="auto"/>
            </w:tcBorders>
            <w:shd w:val="clear" w:color="auto" w:fill="auto"/>
          </w:tcPr>
          <w:p w14:paraId="025A7D9C" w14:textId="77777777" w:rsidR="00661239" w:rsidRPr="00952ACD" w:rsidRDefault="00661239" w:rsidP="00952ACD">
            <w:pPr>
              <w:spacing w:line="480" w:lineRule="auto"/>
              <w:ind w:right="-1"/>
              <w:rPr>
                <w:rFonts w:ascii="Arial" w:hAnsi="Arial" w:cs="Arial"/>
                <w:sz w:val="22"/>
                <w:szCs w:val="22"/>
              </w:rPr>
            </w:pPr>
            <w:r w:rsidRPr="00952ACD">
              <w:rPr>
                <w:rFonts w:ascii="Arial" w:hAnsi="Arial" w:cs="Arial"/>
                <w:sz w:val="22"/>
                <w:szCs w:val="22"/>
              </w:rPr>
              <w:t xml:space="preserve">Design solutions for well-defined technical problems and assist with the design of systems, </w:t>
            </w:r>
            <w:r w:rsidRPr="00952ACD">
              <w:rPr>
                <w:rFonts w:ascii="Arial" w:hAnsi="Arial" w:cs="Arial"/>
                <w:sz w:val="22"/>
                <w:szCs w:val="22"/>
              </w:rPr>
              <w:lastRenderedPageBreak/>
              <w:t>components or processes to meet specified needs with appropriate consideration for public health and safety, cultural, societal, and environmental considerations</w:t>
            </w:r>
          </w:p>
        </w:tc>
      </w:tr>
    </w:tbl>
    <w:p w14:paraId="15DF3591" w14:textId="77777777" w:rsidR="00661239" w:rsidRDefault="00661239" w:rsidP="00661239">
      <w:pPr>
        <w:spacing w:line="480" w:lineRule="auto"/>
        <w:rPr>
          <w:rFonts w:ascii="Times New Roman" w:eastAsia="Times New Roman" w:hAnsi="Times New Roman" w:cs="Times New Roman"/>
          <w:sz w:val="24"/>
          <w:szCs w:val="24"/>
        </w:rPr>
      </w:pPr>
    </w:p>
    <w:p w14:paraId="0A88F11A" w14:textId="15987C24" w:rsidR="00661239" w:rsidRPr="00661239" w:rsidRDefault="00661239" w:rsidP="00952ACD">
      <w:pPr>
        <w:spacing w:line="480" w:lineRule="auto"/>
        <w:ind w:firstLine="720"/>
        <w:rPr>
          <w:rFonts w:ascii="Times New Roman" w:eastAsia="Times New Roman" w:hAnsi="Times New Roman" w:cs="Times New Roman"/>
          <w:sz w:val="24"/>
          <w:szCs w:val="24"/>
        </w:rPr>
      </w:pPr>
      <w:r w:rsidRPr="00661239">
        <w:rPr>
          <w:rFonts w:ascii="Times New Roman" w:eastAsia="Times New Roman" w:hAnsi="Times New Roman" w:cs="Times New Roman"/>
          <w:sz w:val="24"/>
          <w:szCs w:val="24"/>
        </w:rPr>
        <w:t>Incorporating active learning strategies into both teaching and assessment practices can help students face the realities of engineering work in the real world. This approach aligns with the industry needs, where engineers are expected to be problem solvers, innovators, and a good team player. Besides learning approaches, the assessment in engineering education has also traditionally focused on quantitative problem-solving and theoretical understanding, thus neglecting the development of practical skills and creative thinking. To accurately determine the success and failure rates of teaching methods, student’s learning outcomes should be effectively measured. Assessments should be able to measure the success of students’ learning and the quality of teaching and learning approaches throughout the semester. Student assessments and evaluations should offer meaningful insights into the content, depth, and quality of their learning, as well as their reactions to various teaching methods. Therefore, precise assessment is crucial for enhancing and improving learning environments (</w:t>
      </w:r>
      <w:proofErr w:type="spellStart"/>
      <w:r w:rsidRPr="00661239">
        <w:rPr>
          <w:rFonts w:ascii="Times New Roman" w:eastAsia="Times New Roman" w:hAnsi="Times New Roman" w:cs="Times New Roman"/>
          <w:sz w:val="24"/>
          <w:szCs w:val="24"/>
        </w:rPr>
        <w:t>Mohameed</w:t>
      </w:r>
      <w:proofErr w:type="spellEnd"/>
      <w:r w:rsidRPr="00661239">
        <w:rPr>
          <w:rFonts w:ascii="Times New Roman" w:eastAsia="Times New Roman" w:hAnsi="Times New Roman" w:cs="Times New Roman"/>
          <w:sz w:val="24"/>
          <w:szCs w:val="24"/>
        </w:rPr>
        <w:t xml:space="preserve"> et al, 2024). </w:t>
      </w:r>
    </w:p>
    <w:p w14:paraId="5BA4CADC" w14:textId="364981FA" w:rsidR="00661239" w:rsidRDefault="00661239" w:rsidP="00952ACD">
      <w:pPr>
        <w:spacing w:line="480" w:lineRule="auto"/>
        <w:ind w:firstLine="720"/>
        <w:rPr>
          <w:rFonts w:ascii="Times New Roman" w:eastAsia="Times New Roman" w:hAnsi="Times New Roman" w:cs="Times New Roman"/>
          <w:sz w:val="24"/>
          <w:szCs w:val="24"/>
        </w:rPr>
      </w:pPr>
      <w:r w:rsidRPr="00661239">
        <w:rPr>
          <w:rFonts w:ascii="Times New Roman" w:eastAsia="Times New Roman" w:hAnsi="Times New Roman" w:cs="Times New Roman"/>
          <w:sz w:val="24"/>
          <w:szCs w:val="24"/>
        </w:rPr>
        <w:t>In soil engineering courses, there are two primary types of assessment which are formative and summative assessments to promote critical thinking skills. It is the process of formative assessment (FA) that occurs during the learning process, like assignments, tests, and exams. It is the summative assessment (SA) that occurs at the end of a learning process, like the final examination, that is considered summative (Black &amp; Wiliam,1998</w:t>
      </w:r>
      <w:r w:rsidR="00D839B1">
        <w:rPr>
          <w:rFonts w:ascii="Times New Roman" w:eastAsia="Times New Roman" w:hAnsi="Times New Roman" w:cs="Times New Roman"/>
          <w:sz w:val="24"/>
          <w:szCs w:val="24"/>
        </w:rPr>
        <w:t>; Chand &amp; Pillay, 2024</w:t>
      </w:r>
      <w:r w:rsidRPr="00661239">
        <w:rPr>
          <w:rFonts w:ascii="Times New Roman" w:eastAsia="Times New Roman" w:hAnsi="Times New Roman" w:cs="Times New Roman"/>
          <w:sz w:val="24"/>
          <w:szCs w:val="24"/>
        </w:rPr>
        <w:t xml:space="preserve">). Assessment methods are based on Bloom Taxonomy levels representing cognitive, psychomotor and affective domains. The assessment for Soil Engineering, ECG353 focuses on </w:t>
      </w:r>
      <w:r w:rsidRPr="00661239">
        <w:rPr>
          <w:rFonts w:ascii="Times New Roman" w:eastAsia="Times New Roman" w:hAnsi="Times New Roman" w:cs="Times New Roman"/>
          <w:sz w:val="24"/>
          <w:szCs w:val="24"/>
        </w:rPr>
        <w:lastRenderedPageBreak/>
        <w:t>the cognitive domain, which is 100% from the overall continuous assessment. Cognitive involves the process of learning, thinking, and understanding and encompasses a broad range of skills, including attention, memory, reasoning, problem-solving, and the ability to process information. The assessment for ECG353 consists of assignments, tests and a final exam. The summary of distribution marks for this code is tabulated in Table 2.</w:t>
      </w:r>
    </w:p>
    <w:p w14:paraId="22CD9BD3" w14:textId="77777777" w:rsidR="00661239" w:rsidRPr="000B32DF" w:rsidRDefault="00661239" w:rsidP="000B32DF">
      <w:pPr>
        <w:spacing w:line="480" w:lineRule="auto"/>
        <w:ind w:right="-1" w:firstLine="720"/>
        <w:jc w:val="center"/>
        <w:rPr>
          <w:rFonts w:ascii="Arial" w:hAnsi="Arial" w:cs="Arial"/>
          <w:sz w:val="22"/>
          <w:szCs w:val="22"/>
        </w:rPr>
      </w:pPr>
      <w:r w:rsidRPr="000B32DF">
        <w:rPr>
          <w:rFonts w:ascii="Arial" w:hAnsi="Arial" w:cs="Arial"/>
          <w:i/>
          <w:iCs/>
          <w:sz w:val="22"/>
          <w:szCs w:val="22"/>
        </w:rPr>
        <w:t>Table 2</w:t>
      </w:r>
      <w:r w:rsidRPr="000B32DF">
        <w:rPr>
          <w:rFonts w:ascii="Arial" w:hAnsi="Arial" w:cs="Arial"/>
          <w:sz w:val="22"/>
          <w:szCs w:val="22"/>
        </w:rPr>
        <w:t>: Distribution Marks for ECG353 Assessments</w:t>
      </w:r>
    </w:p>
    <w:tbl>
      <w:tblPr>
        <w:tblW w:w="6375" w:type="dxa"/>
        <w:jc w:val="center"/>
        <w:tblLook w:val="04A0" w:firstRow="1" w:lastRow="0" w:firstColumn="1" w:lastColumn="0" w:noHBand="0" w:noVBand="1"/>
      </w:tblPr>
      <w:tblGrid>
        <w:gridCol w:w="4390"/>
        <w:gridCol w:w="1985"/>
      </w:tblGrid>
      <w:tr w:rsidR="00661239" w:rsidRPr="000B32DF" w14:paraId="63CC34E9" w14:textId="77777777" w:rsidTr="000B32DF">
        <w:trPr>
          <w:trHeight w:val="237"/>
          <w:jc w:val="center"/>
        </w:trPr>
        <w:tc>
          <w:tcPr>
            <w:tcW w:w="4390" w:type="dxa"/>
            <w:tcBorders>
              <w:top w:val="single" w:sz="4" w:space="0" w:color="auto"/>
              <w:bottom w:val="single" w:sz="4" w:space="0" w:color="auto"/>
            </w:tcBorders>
            <w:shd w:val="clear" w:color="auto" w:fill="auto"/>
          </w:tcPr>
          <w:p w14:paraId="44DFA686"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Course Assessments</w:t>
            </w:r>
          </w:p>
        </w:tc>
        <w:tc>
          <w:tcPr>
            <w:tcW w:w="1985" w:type="dxa"/>
            <w:tcBorders>
              <w:top w:val="single" w:sz="4" w:space="0" w:color="auto"/>
              <w:bottom w:val="single" w:sz="4" w:space="0" w:color="auto"/>
            </w:tcBorders>
            <w:shd w:val="clear" w:color="auto" w:fill="auto"/>
          </w:tcPr>
          <w:p w14:paraId="53043759"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Marks</w:t>
            </w:r>
          </w:p>
        </w:tc>
      </w:tr>
      <w:tr w:rsidR="00661239" w:rsidRPr="000B32DF" w14:paraId="1CE92DD2" w14:textId="77777777" w:rsidTr="000B32DF">
        <w:trPr>
          <w:jc w:val="center"/>
        </w:trPr>
        <w:tc>
          <w:tcPr>
            <w:tcW w:w="4390" w:type="dxa"/>
            <w:tcBorders>
              <w:top w:val="single" w:sz="4" w:space="0" w:color="auto"/>
            </w:tcBorders>
            <w:shd w:val="clear" w:color="auto" w:fill="auto"/>
          </w:tcPr>
          <w:p w14:paraId="2C16B7D8"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Assignment</w:t>
            </w:r>
          </w:p>
        </w:tc>
        <w:tc>
          <w:tcPr>
            <w:tcW w:w="1985" w:type="dxa"/>
            <w:tcBorders>
              <w:top w:val="single" w:sz="4" w:space="0" w:color="auto"/>
            </w:tcBorders>
            <w:shd w:val="clear" w:color="auto" w:fill="auto"/>
          </w:tcPr>
          <w:p w14:paraId="7E97B434"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10%</w:t>
            </w:r>
          </w:p>
        </w:tc>
      </w:tr>
      <w:tr w:rsidR="00661239" w:rsidRPr="000B32DF" w14:paraId="28C96768" w14:textId="77777777" w:rsidTr="000B32DF">
        <w:trPr>
          <w:jc w:val="center"/>
        </w:trPr>
        <w:tc>
          <w:tcPr>
            <w:tcW w:w="4390" w:type="dxa"/>
            <w:shd w:val="clear" w:color="auto" w:fill="auto"/>
          </w:tcPr>
          <w:p w14:paraId="388F9FBD"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Test</w:t>
            </w:r>
          </w:p>
        </w:tc>
        <w:tc>
          <w:tcPr>
            <w:tcW w:w="1985" w:type="dxa"/>
            <w:shd w:val="clear" w:color="auto" w:fill="auto"/>
          </w:tcPr>
          <w:p w14:paraId="78EFF651"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30%</w:t>
            </w:r>
          </w:p>
        </w:tc>
      </w:tr>
      <w:tr w:rsidR="00661239" w:rsidRPr="000B32DF" w14:paraId="5F064EAA" w14:textId="77777777" w:rsidTr="000B32DF">
        <w:trPr>
          <w:jc w:val="center"/>
        </w:trPr>
        <w:tc>
          <w:tcPr>
            <w:tcW w:w="4390" w:type="dxa"/>
            <w:shd w:val="clear" w:color="auto" w:fill="auto"/>
          </w:tcPr>
          <w:p w14:paraId="5190BC80"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Final Exam</w:t>
            </w:r>
          </w:p>
        </w:tc>
        <w:tc>
          <w:tcPr>
            <w:tcW w:w="1985" w:type="dxa"/>
            <w:shd w:val="clear" w:color="auto" w:fill="auto"/>
          </w:tcPr>
          <w:p w14:paraId="389C4B6C"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60%</w:t>
            </w:r>
          </w:p>
        </w:tc>
      </w:tr>
      <w:tr w:rsidR="00661239" w:rsidRPr="000B32DF" w14:paraId="07800DD2" w14:textId="77777777" w:rsidTr="000B32DF">
        <w:trPr>
          <w:jc w:val="center"/>
        </w:trPr>
        <w:tc>
          <w:tcPr>
            <w:tcW w:w="4390" w:type="dxa"/>
            <w:tcBorders>
              <w:bottom w:val="single" w:sz="4" w:space="0" w:color="auto"/>
            </w:tcBorders>
            <w:shd w:val="clear" w:color="auto" w:fill="auto"/>
          </w:tcPr>
          <w:p w14:paraId="1004C732"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Total</w:t>
            </w:r>
          </w:p>
        </w:tc>
        <w:tc>
          <w:tcPr>
            <w:tcW w:w="1985" w:type="dxa"/>
            <w:tcBorders>
              <w:bottom w:val="single" w:sz="4" w:space="0" w:color="auto"/>
            </w:tcBorders>
            <w:shd w:val="clear" w:color="auto" w:fill="auto"/>
          </w:tcPr>
          <w:p w14:paraId="225A912C" w14:textId="77777777" w:rsidR="00661239" w:rsidRPr="000B32DF" w:rsidRDefault="00661239" w:rsidP="000B32DF">
            <w:pPr>
              <w:spacing w:line="480" w:lineRule="auto"/>
              <w:ind w:right="-1" w:firstLine="720"/>
              <w:rPr>
                <w:rFonts w:ascii="Arial" w:hAnsi="Arial" w:cs="Arial"/>
                <w:sz w:val="22"/>
                <w:szCs w:val="22"/>
              </w:rPr>
            </w:pPr>
            <w:r w:rsidRPr="000B32DF">
              <w:rPr>
                <w:rFonts w:ascii="Arial" w:hAnsi="Arial" w:cs="Arial"/>
                <w:sz w:val="22"/>
                <w:szCs w:val="22"/>
              </w:rPr>
              <w:t>100%</w:t>
            </w:r>
          </w:p>
        </w:tc>
      </w:tr>
    </w:tbl>
    <w:p w14:paraId="30E1059D" w14:textId="73008FB1" w:rsidR="00661239" w:rsidRDefault="00661239">
      <w:pPr>
        <w:spacing w:line="480" w:lineRule="auto"/>
        <w:rPr>
          <w:rFonts w:ascii="Times New Roman" w:eastAsia="Times New Roman" w:hAnsi="Times New Roman" w:cs="Times New Roman"/>
          <w:sz w:val="24"/>
          <w:szCs w:val="24"/>
        </w:rPr>
      </w:pPr>
    </w:p>
    <w:p w14:paraId="77956532" w14:textId="577F203E" w:rsidR="00661239" w:rsidRDefault="00661239" w:rsidP="00EF70A7">
      <w:pPr>
        <w:spacing w:line="480" w:lineRule="auto"/>
        <w:ind w:firstLine="720"/>
        <w:rPr>
          <w:rFonts w:ascii="Times New Roman" w:eastAsia="Times New Roman" w:hAnsi="Times New Roman" w:cs="Times New Roman"/>
          <w:sz w:val="24"/>
          <w:szCs w:val="24"/>
        </w:rPr>
      </w:pPr>
      <w:r w:rsidRPr="00661239">
        <w:rPr>
          <w:rFonts w:ascii="Times New Roman" w:eastAsia="Times New Roman" w:hAnsi="Times New Roman" w:cs="Times New Roman"/>
          <w:sz w:val="24"/>
          <w:szCs w:val="24"/>
        </w:rPr>
        <w:t>Assessment is an essential part of a course's curriculum. In the teaching-learning process, assessment is an important influence which students in knowing about their knowledge and skills in engineering courses (</w:t>
      </w:r>
      <w:proofErr w:type="spellStart"/>
      <w:r w:rsidRPr="00661239">
        <w:rPr>
          <w:rFonts w:ascii="Times New Roman" w:eastAsia="Times New Roman" w:hAnsi="Times New Roman" w:cs="Times New Roman"/>
          <w:sz w:val="24"/>
          <w:szCs w:val="24"/>
        </w:rPr>
        <w:t>Bazvand</w:t>
      </w:r>
      <w:proofErr w:type="spellEnd"/>
      <w:r w:rsidRPr="00661239">
        <w:rPr>
          <w:rFonts w:ascii="Times New Roman" w:eastAsia="Times New Roman" w:hAnsi="Times New Roman" w:cs="Times New Roman"/>
          <w:sz w:val="24"/>
          <w:szCs w:val="24"/>
        </w:rPr>
        <w:t xml:space="preserve">, &amp; </w:t>
      </w:r>
      <w:proofErr w:type="spellStart"/>
      <w:r w:rsidRPr="00661239">
        <w:rPr>
          <w:rFonts w:ascii="Times New Roman" w:eastAsia="Times New Roman" w:hAnsi="Times New Roman" w:cs="Times New Roman"/>
          <w:sz w:val="24"/>
          <w:szCs w:val="24"/>
        </w:rPr>
        <w:t>Rasooli</w:t>
      </w:r>
      <w:proofErr w:type="spellEnd"/>
      <w:r w:rsidRPr="00661239">
        <w:rPr>
          <w:rFonts w:ascii="Times New Roman" w:eastAsia="Times New Roman" w:hAnsi="Times New Roman" w:cs="Times New Roman"/>
          <w:sz w:val="24"/>
          <w:szCs w:val="24"/>
        </w:rPr>
        <w:t xml:space="preserve">, 2022). </w:t>
      </w:r>
      <w:proofErr w:type="spellStart"/>
      <w:r w:rsidRPr="00661239">
        <w:rPr>
          <w:rFonts w:ascii="Times New Roman" w:eastAsia="Times New Roman" w:hAnsi="Times New Roman" w:cs="Times New Roman"/>
          <w:sz w:val="24"/>
          <w:szCs w:val="24"/>
        </w:rPr>
        <w:t>Harlen</w:t>
      </w:r>
      <w:proofErr w:type="spellEnd"/>
      <w:r w:rsidRPr="00661239">
        <w:rPr>
          <w:rFonts w:ascii="Times New Roman" w:eastAsia="Times New Roman" w:hAnsi="Times New Roman" w:cs="Times New Roman"/>
          <w:sz w:val="24"/>
          <w:szCs w:val="24"/>
        </w:rPr>
        <w:t xml:space="preserve">, (2021) mentioned assessment plays a vital role in assisting students in the evaluation of outcomes. Achieving effective education requires an understanding of how these approaches should be balanced (Muhammad et al, 2024). A key element of an effective assessment evaluation process is the establishment of a system that promotes the continuous improvement of educational outcomes and objectives. Moreover, it is essential to utilize assessment results to guide modifications and changes, thereby fostering a system driven by assessment-based improvement. It is advisable for programs to regularly review their assessment processes and plans to find ways to make it simpler and more effective (Suleiman, 2014). Although formative and summative assessments have well-documented benefits in soil engineering courses, balancing the assessment effectively remains a challenge. Often, lecturers have to balance providing immediate feedback to enhance student learning while also preparing students for high-stakes summative </w:t>
      </w:r>
      <w:r w:rsidRPr="00661239">
        <w:rPr>
          <w:rFonts w:ascii="Times New Roman" w:eastAsia="Times New Roman" w:hAnsi="Times New Roman" w:cs="Times New Roman"/>
          <w:sz w:val="24"/>
          <w:szCs w:val="24"/>
        </w:rPr>
        <w:lastRenderedPageBreak/>
        <w:t>assessments, and final exams at the end of the semester (</w:t>
      </w:r>
      <w:proofErr w:type="spellStart"/>
      <w:r w:rsidRPr="00661239">
        <w:rPr>
          <w:rFonts w:ascii="Times New Roman" w:eastAsia="Times New Roman" w:hAnsi="Times New Roman" w:cs="Times New Roman"/>
          <w:sz w:val="24"/>
          <w:szCs w:val="24"/>
        </w:rPr>
        <w:t>Guskey</w:t>
      </w:r>
      <w:proofErr w:type="spellEnd"/>
      <w:r w:rsidRPr="00661239">
        <w:rPr>
          <w:rFonts w:ascii="Times New Roman" w:eastAsia="Times New Roman" w:hAnsi="Times New Roman" w:cs="Times New Roman"/>
          <w:sz w:val="24"/>
          <w:szCs w:val="24"/>
        </w:rPr>
        <w:t>, 2020). Furthermore, summative assessments are often perceived by students as high-pressure situations and increase failure rates (Shepard, 2020; Siddiqui et al, 2024). Therefore, this article provides an in-depth on the role of assignment in reducing failure rates in soil engineering courses.</w:t>
      </w:r>
    </w:p>
    <w:p w14:paraId="460536F4" w14:textId="77777777" w:rsidR="00EF70A7" w:rsidRDefault="00EF70A7" w:rsidP="00661239">
      <w:pPr>
        <w:spacing w:line="480" w:lineRule="auto"/>
        <w:jc w:val="left"/>
        <w:rPr>
          <w:rFonts w:ascii="Arial" w:eastAsia="Arial" w:hAnsi="Arial" w:cs="Arial"/>
          <w:b/>
          <w:sz w:val="22"/>
          <w:szCs w:val="22"/>
        </w:rPr>
      </w:pPr>
    </w:p>
    <w:p w14:paraId="73B38D5C" w14:textId="511A1537" w:rsidR="00661239" w:rsidRDefault="0070025C" w:rsidP="00661239">
      <w:pPr>
        <w:spacing w:line="480" w:lineRule="auto"/>
        <w:jc w:val="left"/>
        <w:rPr>
          <w:rFonts w:ascii="Arial" w:eastAsia="Arial" w:hAnsi="Arial" w:cs="Arial"/>
          <w:b/>
          <w:sz w:val="22"/>
          <w:szCs w:val="22"/>
        </w:rPr>
      </w:pPr>
      <w:r>
        <w:rPr>
          <w:rFonts w:ascii="Arial" w:eastAsia="Arial" w:hAnsi="Arial" w:cs="Arial"/>
          <w:b/>
          <w:sz w:val="22"/>
          <w:szCs w:val="22"/>
        </w:rPr>
        <w:t xml:space="preserve">2.0 </w:t>
      </w:r>
      <w:r w:rsidR="00661239" w:rsidRPr="00661239">
        <w:rPr>
          <w:rFonts w:ascii="Arial" w:eastAsia="Arial" w:hAnsi="Arial" w:cs="Arial"/>
          <w:b/>
          <w:sz w:val="22"/>
          <w:szCs w:val="22"/>
        </w:rPr>
        <w:t>METHODOLOGY</w:t>
      </w:r>
    </w:p>
    <w:p w14:paraId="16B458EE" w14:textId="4DF24AA8" w:rsidR="009553C0" w:rsidRDefault="00661239">
      <w:pPr>
        <w:spacing w:line="480" w:lineRule="auto"/>
        <w:rPr>
          <w:rFonts w:ascii="Arial" w:eastAsia="Arial" w:hAnsi="Arial" w:cs="Arial"/>
          <w:sz w:val="22"/>
          <w:szCs w:val="22"/>
        </w:rPr>
      </w:pPr>
      <w:r w:rsidRPr="00661239">
        <w:rPr>
          <w:rFonts w:ascii="Arial" w:eastAsia="Arial" w:hAnsi="Arial" w:cs="Arial"/>
          <w:sz w:val="22"/>
          <w:szCs w:val="22"/>
        </w:rPr>
        <w:t xml:space="preserve">This study involves students enrolling on a Diploma in Civil Engineering at the Civil Engineering Studies, UiTM Johor Branch, </w:t>
      </w:r>
      <w:proofErr w:type="spellStart"/>
      <w:r w:rsidRPr="00661239">
        <w:rPr>
          <w:rFonts w:ascii="Arial" w:eastAsia="Arial" w:hAnsi="Arial" w:cs="Arial"/>
          <w:sz w:val="22"/>
          <w:szCs w:val="22"/>
        </w:rPr>
        <w:t>Pasir</w:t>
      </w:r>
      <w:proofErr w:type="spellEnd"/>
      <w:r w:rsidRPr="00661239">
        <w:rPr>
          <w:rFonts w:ascii="Arial" w:eastAsia="Arial" w:hAnsi="Arial" w:cs="Arial"/>
          <w:sz w:val="22"/>
          <w:szCs w:val="22"/>
        </w:rPr>
        <w:t xml:space="preserve"> Gudang Campus over three successive semesters namely October 2022 – February 2023 (20224), October 2023 – February 2024 (20234) and October 2024 – February 2025 (20244). The analysis adopts a quantitative, descriptive approach based on the analysis of student grade distributions and Program Outcomes’ achievement for the Soil Engineering course. This course is a core civil engineering subject that focuses on the application of fundamental soil mechanics principles to real-world geotechnical engineering problems. Despite its importance, this course is widely recognized as a challenging subject, with a high failure rate of 37.5 % logged in semester 20224. The total number of students registered in this course is shown in Table 3, which is broken down into three semesters. The cohort comprises Part 5 students, along with several Part 6 and final-year students who are retaking the course. The demographic data of students (e.g., gender, age, CGPA) were not collected, as the focus was solely on academic performance outcomes in this course.</w:t>
      </w:r>
    </w:p>
    <w:p w14:paraId="695E468C" w14:textId="747B855E"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i/>
          <w:iCs/>
          <w:sz w:val="22"/>
          <w:szCs w:val="22"/>
        </w:rPr>
        <w:t>Table 3</w:t>
      </w:r>
      <w:r w:rsidR="00EF70A7" w:rsidRPr="00EF70A7">
        <w:rPr>
          <w:rFonts w:ascii="Arial" w:hAnsi="Arial" w:cs="Arial"/>
          <w:sz w:val="22"/>
          <w:szCs w:val="22"/>
        </w:rPr>
        <w:t>:</w:t>
      </w:r>
      <w:r w:rsidRPr="00EF70A7">
        <w:rPr>
          <w:rFonts w:ascii="Arial" w:hAnsi="Arial" w:cs="Arial"/>
          <w:i/>
          <w:iCs/>
          <w:sz w:val="22"/>
          <w:szCs w:val="22"/>
        </w:rPr>
        <w:t xml:space="preserve"> </w:t>
      </w:r>
      <w:r w:rsidRPr="00EF70A7">
        <w:rPr>
          <w:rFonts w:ascii="Arial" w:hAnsi="Arial" w:cs="Arial"/>
          <w:sz w:val="22"/>
          <w:szCs w:val="22"/>
        </w:rPr>
        <w:t>Number of students enrolled in the Soil Engineering course</w:t>
      </w:r>
    </w:p>
    <w:tbl>
      <w:tblPr>
        <w:tblW w:w="0" w:type="auto"/>
        <w:jc w:val="center"/>
        <w:tblLook w:val="04A0" w:firstRow="1" w:lastRow="0" w:firstColumn="1" w:lastColumn="0" w:noHBand="0" w:noVBand="1"/>
      </w:tblPr>
      <w:tblGrid>
        <w:gridCol w:w="4044"/>
        <w:gridCol w:w="2412"/>
      </w:tblGrid>
      <w:tr w:rsidR="00661239" w:rsidRPr="00EF70A7" w14:paraId="368E2ABC" w14:textId="77777777" w:rsidTr="00EF70A7">
        <w:trPr>
          <w:trHeight w:val="471"/>
          <w:jc w:val="center"/>
        </w:trPr>
        <w:tc>
          <w:tcPr>
            <w:tcW w:w="0" w:type="auto"/>
            <w:tcBorders>
              <w:top w:val="single" w:sz="4" w:space="0" w:color="auto"/>
              <w:bottom w:val="single" w:sz="4" w:space="0" w:color="auto"/>
            </w:tcBorders>
            <w:shd w:val="clear" w:color="auto" w:fill="auto"/>
            <w:vAlign w:val="center"/>
          </w:tcPr>
          <w:p w14:paraId="60C5677D" w14:textId="77777777" w:rsidR="00661239" w:rsidRPr="00EF70A7" w:rsidRDefault="00661239" w:rsidP="00EF70A7">
            <w:pPr>
              <w:spacing w:line="480" w:lineRule="auto"/>
              <w:ind w:right="-1"/>
              <w:jc w:val="center"/>
              <w:rPr>
                <w:rFonts w:ascii="Arial" w:hAnsi="Arial" w:cs="Arial"/>
                <w:b/>
                <w:bCs/>
                <w:sz w:val="22"/>
                <w:szCs w:val="22"/>
              </w:rPr>
            </w:pPr>
            <w:r w:rsidRPr="00EF70A7">
              <w:rPr>
                <w:rFonts w:ascii="Arial" w:hAnsi="Arial" w:cs="Arial"/>
                <w:b/>
                <w:bCs/>
                <w:sz w:val="22"/>
                <w:szCs w:val="22"/>
              </w:rPr>
              <w:t>Semester</w:t>
            </w:r>
          </w:p>
        </w:tc>
        <w:tc>
          <w:tcPr>
            <w:tcW w:w="0" w:type="auto"/>
            <w:tcBorders>
              <w:top w:val="single" w:sz="4" w:space="0" w:color="auto"/>
              <w:bottom w:val="single" w:sz="4" w:space="0" w:color="auto"/>
            </w:tcBorders>
            <w:shd w:val="clear" w:color="auto" w:fill="auto"/>
            <w:vAlign w:val="center"/>
          </w:tcPr>
          <w:p w14:paraId="101FFF34" w14:textId="77777777" w:rsidR="00661239" w:rsidRPr="00EF70A7" w:rsidRDefault="00661239" w:rsidP="00EF70A7">
            <w:pPr>
              <w:spacing w:line="480" w:lineRule="auto"/>
              <w:ind w:right="-1"/>
              <w:jc w:val="center"/>
              <w:rPr>
                <w:rFonts w:ascii="Arial" w:hAnsi="Arial" w:cs="Arial"/>
                <w:b/>
                <w:bCs/>
                <w:sz w:val="22"/>
                <w:szCs w:val="22"/>
              </w:rPr>
            </w:pPr>
            <w:r w:rsidRPr="00EF70A7">
              <w:rPr>
                <w:rFonts w:ascii="Arial" w:hAnsi="Arial" w:cs="Arial"/>
                <w:b/>
                <w:bCs/>
                <w:sz w:val="22"/>
                <w:szCs w:val="22"/>
              </w:rPr>
              <w:t>Total No. of Students</w:t>
            </w:r>
          </w:p>
        </w:tc>
      </w:tr>
      <w:tr w:rsidR="00661239" w:rsidRPr="00EF70A7" w14:paraId="75C27BC7" w14:textId="77777777" w:rsidTr="00EF70A7">
        <w:trPr>
          <w:trHeight w:val="471"/>
          <w:jc w:val="center"/>
        </w:trPr>
        <w:tc>
          <w:tcPr>
            <w:tcW w:w="0" w:type="auto"/>
            <w:tcBorders>
              <w:top w:val="single" w:sz="4" w:space="0" w:color="auto"/>
            </w:tcBorders>
            <w:shd w:val="clear" w:color="auto" w:fill="auto"/>
            <w:vAlign w:val="center"/>
          </w:tcPr>
          <w:p w14:paraId="070A34A9"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October 2022 – February 2023 (20224)</w:t>
            </w:r>
          </w:p>
        </w:tc>
        <w:tc>
          <w:tcPr>
            <w:tcW w:w="0" w:type="auto"/>
            <w:tcBorders>
              <w:top w:val="single" w:sz="4" w:space="0" w:color="auto"/>
            </w:tcBorders>
            <w:shd w:val="clear" w:color="auto" w:fill="auto"/>
            <w:vAlign w:val="center"/>
          </w:tcPr>
          <w:p w14:paraId="2D92DA03"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120</w:t>
            </w:r>
          </w:p>
        </w:tc>
      </w:tr>
      <w:tr w:rsidR="00661239" w:rsidRPr="00EF70A7" w14:paraId="51C87DBB" w14:textId="77777777" w:rsidTr="00EF70A7">
        <w:trPr>
          <w:trHeight w:val="471"/>
          <w:jc w:val="center"/>
        </w:trPr>
        <w:tc>
          <w:tcPr>
            <w:tcW w:w="0" w:type="auto"/>
            <w:shd w:val="clear" w:color="auto" w:fill="auto"/>
            <w:vAlign w:val="center"/>
          </w:tcPr>
          <w:p w14:paraId="41138791"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October 2023 – February 2024 (20234)</w:t>
            </w:r>
          </w:p>
        </w:tc>
        <w:tc>
          <w:tcPr>
            <w:tcW w:w="0" w:type="auto"/>
            <w:shd w:val="clear" w:color="auto" w:fill="auto"/>
            <w:vAlign w:val="center"/>
          </w:tcPr>
          <w:p w14:paraId="25448C56"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207</w:t>
            </w:r>
          </w:p>
        </w:tc>
      </w:tr>
      <w:tr w:rsidR="00661239" w:rsidRPr="00EF70A7" w14:paraId="1B314701" w14:textId="77777777" w:rsidTr="00EF70A7">
        <w:trPr>
          <w:trHeight w:val="478"/>
          <w:jc w:val="center"/>
        </w:trPr>
        <w:tc>
          <w:tcPr>
            <w:tcW w:w="0" w:type="auto"/>
            <w:tcBorders>
              <w:bottom w:val="single" w:sz="4" w:space="0" w:color="auto"/>
            </w:tcBorders>
            <w:shd w:val="clear" w:color="auto" w:fill="auto"/>
            <w:vAlign w:val="center"/>
          </w:tcPr>
          <w:p w14:paraId="138C5B82"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October 2024 – February 2025 (20244)</w:t>
            </w:r>
          </w:p>
        </w:tc>
        <w:tc>
          <w:tcPr>
            <w:tcW w:w="0" w:type="auto"/>
            <w:tcBorders>
              <w:bottom w:val="single" w:sz="4" w:space="0" w:color="auto"/>
            </w:tcBorders>
            <w:shd w:val="clear" w:color="auto" w:fill="auto"/>
            <w:vAlign w:val="center"/>
          </w:tcPr>
          <w:p w14:paraId="0A9F4546"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186</w:t>
            </w:r>
          </w:p>
        </w:tc>
      </w:tr>
    </w:tbl>
    <w:p w14:paraId="557014D1" w14:textId="77777777" w:rsidR="00661239" w:rsidRDefault="00661239">
      <w:pPr>
        <w:spacing w:line="480" w:lineRule="auto"/>
        <w:rPr>
          <w:rFonts w:ascii="Arial" w:eastAsia="Arial" w:hAnsi="Arial" w:cs="Arial"/>
          <w:sz w:val="22"/>
          <w:szCs w:val="22"/>
        </w:rPr>
      </w:pPr>
    </w:p>
    <w:p w14:paraId="6326FA54" w14:textId="47DB7EE6" w:rsidR="00661239" w:rsidRPr="00EF70A7" w:rsidRDefault="00661239" w:rsidP="00EF70A7">
      <w:pPr>
        <w:spacing w:line="480" w:lineRule="auto"/>
        <w:ind w:firstLine="720"/>
        <w:rPr>
          <w:rFonts w:ascii="Arial" w:eastAsia="Arial" w:hAnsi="Arial" w:cs="Arial"/>
          <w:sz w:val="22"/>
          <w:szCs w:val="22"/>
        </w:rPr>
      </w:pPr>
      <w:r w:rsidRPr="00661239">
        <w:rPr>
          <w:rFonts w:ascii="Arial" w:eastAsia="Arial" w:hAnsi="Arial" w:cs="Arial"/>
          <w:sz w:val="22"/>
          <w:szCs w:val="22"/>
        </w:rPr>
        <w:t xml:space="preserve">The comparison across the three selected semesters is intended to examine student </w:t>
      </w:r>
      <w:r w:rsidRPr="00661239">
        <w:rPr>
          <w:rFonts w:ascii="Arial" w:eastAsia="Arial" w:hAnsi="Arial" w:cs="Arial"/>
          <w:sz w:val="22"/>
          <w:szCs w:val="22"/>
        </w:rPr>
        <w:lastRenderedPageBreak/>
        <w:t>performance specifically within the first-intake cohort only. The highest number of students which is 207 recorded in semester 20234, followed by semester 20244 and semester 20224 with the least number of 120 students. Data was collected from official academic records, specifically focusing on the final grades that students scored for this course. The marks were given by the leader in charge for this course and the grading was distributed based on grading in Table 4.</w:t>
      </w:r>
    </w:p>
    <w:p w14:paraId="415AC119" w14:textId="67CA8E6A"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i/>
          <w:iCs/>
          <w:sz w:val="22"/>
          <w:szCs w:val="22"/>
        </w:rPr>
        <w:t>Table 4</w:t>
      </w:r>
      <w:r w:rsidR="00EF70A7">
        <w:rPr>
          <w:rFonts w:ascii="Arial" w:hAnsi="Arial" w:cs="Arial"/>
          <w:i/>
          <w:iCs/>
          <w:sz w:val="22"/>
          <w:szCs w:val="22"/>
        </w:rPr>
        <w:t>:</w:t>
      </w:r>
      <w:r w:rsidRPr="00EF70A7">
        <w:rPr>
          <w:rFonts w:ascii="Arial" w:hAnsi="Arial" w:cs="Arial"/>
          <w:sz w:val="22"/>
          <w:szCs w:val="22"/>
        </w:rPr>
        <w:t xml:space="preserve"> Grading Marks</w:t>
      </w:r>
    </w:p>
    <w:tbl>
      <w:tblPr>
        <w:tblW w:w="0" w:type="auto"/>
        <w:jc w:val="center"/>
        <w:tblLook w:val="04A0" w:firstRow="1" w:lastRow="0" w:firstColumn="1" w:lastColumn="0" w:noHBand="0" w:noVBand="1"/>
      </w:tblPr>
      <w:tblGrid>
        <w:gridCol w:w="852"/>
        <w:gridCol w:w="2126"/>
        <w:gridCol w:w="3260"/>
      </w:tblGrid>
      <w:tr w:rsidR="00661239" w:rsidRPr="00EF70A7" w14:paraId="745ECA5E" w14:textId="77777777" w:rsidTr="00EF70A7">
        <w:trPr>
          <w:tblHeader/>
          <w:jc w:val="center"/>
        </w:trPr>
        <w:tc>
          <w:tcPr>
            <w:tcW w:w="846" w:type="dxa"/>
            <w:tcBorders>
              <w:top w:val="single" w:sz="4" w:space="0" w:color="auto"/>
              <w:bottom w:val="single" w:sz="4" w:space="0" w:color="auto"/>
            </w:tcBorders>
            <w:shd w:val="clear" w:color="auto" w:fill="auto"/>
          </w:tcPr>
          <w:p w14:paraId="51AEA49D" w14:textId="77777777" w:rsidR="00661239" w:rsidRPr="00EF70A7" w:rsidRDefault="00661239" w:rsidP="00EF70A7">
            <w:pPr>
              <w:spacing w:line="480" w:lineRule="auto"/>
              <w:ind w:right="-1"/>
              <w:jc w:val="center"/>
              <w:rPr>
                <w:rFonts w:ascii="Arial" w:hAnsi="Arial" w:cs="Arial"/>
                <w:b/>
                <w:bCs/>
                <w:sz w:val="22"/>
                <w:szCs w:val="22"/>
              </w:rPr>
            </w:pPr>
            <w:r w:rsidRPr="00EF70A7">
              <w:rPr>
                <w:rFonts w:ascii="Arial" w:hAnsi="Arial" w:cs="Arial"/>
                <w:b/>
                <w:bCs/>
                <w:sz w:val="22"/>
                <w:szCs w:val="22"/>
              </w:rPr>
              <w:t>Grade</w:t>
            </w:r>
          </w:p>
        </w:tc>
        <w:tc>
          <w:tcPr>
            <w:tcW w:w="2126" w:type="dxa"/>
            <w:tcBorders>
              <w:top w:val="single" w:sz="4" w:space="0" w:color="auto"/>
              <w:bottom w:val="single" w:sz="4" w:space="0" w:color="auto"/>
            </w:tcBorders>
            <w:shd w:val="clear" w:color="auto" w:fill="auto"/>
          </w:tcPr>
          <w:p w14:paraId="33EDEE48" w14:textId="77777777" w:rsidR="00661239" w:rsidRPr="00EF70A7" w:rsidRDefault="00661239" w:rsidP="00EF70A7">
            <w:pPr>
              <w:spacing w:line="480" w:lineRule="auto"/>
              <w:ind w:right="-1"/>
              <w:jc w:val="center"/>
              <w:rPr>
                <w:rFonts w:ascii="Arial" w:hAnsi="Arial" w:cs="Arial"/>
                <w:b/>
                <w:bCs/>
                <w:sz w:val="22"/>
                <w:szCs w:val="22"/>
              </w:rPr>
            </w:pPr>
            <w:r w:rsidRPr="00EF70A7">
              <w:rPr>
                <w:rFonts w:ascii="Arial" w:hAnsi="Arial" w:cs="Arial"/>
                <w:b/>
                <w:bCs/>
                <w:sz w:val="22"/>
                <w:szCs w:val="22"/>
              </w:rPr>
              <w:t>Marks</w:t>
            </w:r>
          </w:p>
        </w:tc>
        <w:tc>
          <w:tcPr>
            <w:tcW w:w="3260" w:type="dxa"/>
            <w:tcBorders>
              <w:top w:val="single" w:sz="4" w:space="0" w:color="auto"/>
              <w:bottom w:val="single" w:sz="4" w:space="0" w:color="auto"/>
            </w:tcBorders>
            <w:shd w:val="clear" w:color="auto" w:fill="auto"/>
          </w:tcPr>
          <w:p w14:paraId="49DB126D" w14:textId="77777777" w:rsidR="00661239" w:rsidRPr="00EF70A7" w:rsidRDefault="00661239" w:rsidP="00EF70A7">
            <w:pPr>
              <w:spacing w:line="480" w:lineRule="auto"/>
              <w:ind w:right="-1"/>
              <w:jc w:val="center"/>
              <w:rPr>
                <w:rFonts w:ascii="Arial" w:hAnsi="Arial" w:cs="Arial"/>
                <w:b/>
                <w:bCs/>
                <w:sz w:val="22"/>
                <w:szCs w:val="22"/>
              </w:rPr>
            </w:pPr>
            <w:r w:rsidRPr="00EF70A7">
              <w:rPr>
                <w:rFonts w:ascii="Arial" w:hAnsi="Arial" w:cs="Arial"/>
                <w:b/>
                <w:bCs/>
                <w:sz w:val="22"/>
                <w:szCs w:val="22"/>
              </w:rPr>
              <w:t>Notes</w:t>
            </w:r>
          </w:p>
        </w:tc>
      </w:tr>
      <w:tr w:rsidR="00661239" w:rsidRPr="00EF70A7" w14:paraId="7E46C465" w14:textId="77777777" w:rsidTr="00EF70A7">
        <w:trPr>
          <w:jc w:val="center"/>
        </w:trPr>
        <w:tc>
          <w:tcPr>
            <w:tcW w:w="846" w:type="dxa"/>
            <w:tcBorders>
              <w:top w:val="single" w:sz="4" w:space="0" w:color="auto"/>
            </w:tcBorders>
            <w:shd w:val="clear" w:color="auto" w:fill="auto"/>
          </w:tcPr>
          <w:p w14:paraId="73867221"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A+</w:t>
            </w:r>
          </w:p>
        </w:tc>
        <w:tc>
          <w:tcPr>
            <w:tcW w:w="2126" w:type="dxa"/>
            <w:tcBorders>
              <w:top w:val="single" w:sz="4" w:space="0" w:color="auto"/>
            </w:tcBorders>
            <w:shd w:val="clear" w:color="auto" w:fill="auto"/>
          </w:tcPr>
          <w:p w14:paraId="07D5511B"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90-100</w:t>
            </w:r>
          </w:p>
        </w:tc>
        <w:tc>
          <w:tcPr>
            <w:tcW w:w="3260" w:type="dxa"/>
            <w:vMerge w:val="restart"/>
            <w:tcBorders>
              <w:top w:val="single" w:sz="4" w:space="0" w:color="auto"/>
            </w:tcBorders>
            <w:shd w:val="clear" w:color="auto" w:fill="auto"/>
          </w:tcPr>
          <w:p w14:paraId="1D9528B1"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Pass with distinction</w:t>
            </w:r>
          </w:p>
        </w:tc>
      </w:tr>
      <w:tr w:rsidR="00661239" w:rsidRPr="00EF70A7" w14:paraId="4AB64ED7" w14:textId="77777777" w:rsidTr="00EF70A7">
        <w:trPr>
          <w:jc w:val="center"/>
        </w:trPr>
        <w:tc>
          <w:tcPr>
            <w:tcW w:w="846" w:type="dxa"/>
            <w:shd w:val="clear" w:color="auto" w:fill="auto"/>
          </w:tcPr>
          <w:p w14:paraId="7BE95C6F"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A</w:t>
            </w:r>
          </w:p>
        </w:tc>
        <w:tc>
          <w:tcPr>
            <w:tcW w:w="2126" w:type="dxa"/>
            <w:shd w:val="clear" w:color="auto" w:fill="auto"/>
          </w:tcPr>
          <w:p w14:paraId="428C175E"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80-89</w:t>
            </w:r>
          </w:p>
        </w:tc>
        <w:tc>
          <w:tcPr>
            <w:tcW w:w="3260" w:type="dxa"/>
            <w:vMerge/>
            <w:shd w:val="clear" w:color="auto" w:fill="auto"/>
          </w:tcPr>
          <w:p w14:paraId="13695388" w14:textId="77777777" w:rsidR="00661239" w:rsidRPr="00EF70A7" w:rsidRDefault="00661239" w:rsidP="00EF70A7">
            <w:pPr>
              <w:spacing w:line="480" w:lineRule="auto"/>
              <w:ind w:right="-1"/>
              <w:jc w:val="center"/>
              <w:rPr>
                <w:rFonts w:ascii="Arial" w:hAnsi="Arial" w:cs="Arial"/>
                <w:sz w:val="22"/>
                <w:szCs w:val="22"/>
              </w:rPr>
            </w:pPr>
          </w:p>
        </w:tc>
      </w:tr>
      <w:tr w:rsidR="00661239" w:rsidRPr="00EF70A7" w14:paraId="1B67F890" w14:textId="77777777" w:rsidTr="00EF70A7">
        <w:trPr>
          <w:jc w:val="center"/>
        </w:trPr>
        <w:tc>
          <w:tcPr>
            <w:tcW w:w="846" w:type="dxa"/>
            <w:shd w:val="clear" w:color="auto" w:fill="auto"/>
          </w:tcPr>
          <w:p w14:paraId="4EFB5E0E"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A-</w:t>
            </w:r>
          </w:p>
        </w:tc>
        <w:tc>
          <w:tcPr>
            <w:tcW w:w="2126" w:type="dxa"/>
            <w:shd w:val="clear" w:color="auto" w:fill="auto"/>
          </w:tcPr>
          <w:p w14:paraId="1C5411A9"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75-79</w:t>
            </w:r>
          </w:p>
        </w:tc>
        <w:tc>
          <w:tcPr>
            <w:tcW w:w="3260" w:type="dxa"/>
            <w:shd w:val="clear" w:color="auto" w:fill="auto"/>
          </w:tcPr>
          <w:p w14:paraId="60363A50"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Pass with credit</w:t>
            </w:r>
          </w:p>
        </w:tc>
      </w:tr>
      <w:tr w:rsidR="00661239" w:rsidRPr="00EF70A7" w14:paraId="7093F825" w14:textId="77777777" w:rsidTr="00EF70A7">
        <w:trPr>
          <w:jc w:val="center"/>
        </w:trPr>
        <w:tc>
          <w:tcPr>
            <w:tcW w:w="846" w:type="dxa"/>
            <w:shd w:val="clear" w:color="auto" w:fill="auto"/>
          </w:tcPr>
          <w:p w14:paraId="7EB77C8F"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B+</w:t>
            </w:r>
          </w:p>
        </w:tc>
        <w:tc>
          <w:tcPr>
            <w:tcW w:w="2126" w:type="dxa"/>
            <w:shd w:val="clear" w:color="auto" w:fill="auto"/>
          </w:tcPr>
          <w:p w14:paraId="60326864"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70-74</w:t>
            </w:r>
          </w:p>
        </w:tc>
        <w:tc>
          <w:tcPr>
            <w:tcW w:w="3260" w:type="dxa"/>
            <w:vMerge w:val="restart"/>
            <w:shd w:val="clear" w:color="auto" w:fill="auto"/>
          </w:tcPr>
          <w:p w14:paraId="08DBBAA5"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Satisfactory pass</w:t>
            </w:r>
          </w:p>
        </w:tc>
      </w:tr>
      <w:tr w:rsidR="00661239" w:rsidRPr="00EF70A7" w14:paraId="2B239106" w14:textId="77777777" w:rsidTr="00EF70A7">
        <w:trPr>
          <w:jc w:val="center"/>
        </w:trPr>
        <w:tc>
          <w:tcPr>
            <w:tcW w:w="846" w:type="dxa"/>
            <w:shd w:val="clear" w:color="auto" w:fill="auto"/>
          </w:tcPr>
          <w:p w14:paraId="77A3AA16"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B</w:t>
            </w:r>
          </w:p>
        </w:tc>
        <w:tc>
          <w:tcPr>
            <w:tcW w:w="2126" w:type="dxa"/>
            <w:shd w:val="clear" w:color="auto" w:fill="auto"/>
          </w:tcPr>
          <w:p w14:paraId="5CC0F791"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65-69</w:t>
            </w:r>
          </w:p>
        </w:tc>
        <w:tc>
          <w:tcPr>
            <w:tcW w:w="3260" w:type="dxa"/>
            <w:vMerge/>
            <w:shd w:val="clear" w:color="auto" w:fill="auto"/>
          </w:tcPr>
          <w:p w14:paraId="71E64CF7" w14:textId="77777777" w:rsidR="00661239" w:rsidRPr="00EF70A7" w:rsidRDefault="00661239" w:rsidP="00EF70A7">
            <w:pPr>
              <w:spacing w:line="480" w:lineRule="auto"/>
              <w:ind w:right="-1"/>
              <w:jc w:val="center"/>
              <w:rPr>
                <w:rFonts w:ascii="Arial" w:hAnsi="Arial" w:cs="Arial"/>
                <w:sz w:val="22"/>
                <w:szCs w:val="22"/>
              </w:rPr>
            </w:pPr>
          </w:p>
        </w:tc>
      </w:tr>
      <w:tr w:rsidR="00661239" w:rsidRPr="00EF70A7" w14:paraId="324977D9" w14:textId="77777777" w:rsidTr="00EF70A7">
        <w:trPr>
          <w:jc w:val="center"/>
        </w:trPr>
        <w:tc>
          <w:tcPr>
            <w:tcW w:w="846" w:type="dxa"/>
            <w:shd w:val="clear" w:color="auto" w:fill="auto"/>
          </w:tcPr>
          <w:p w14:paraId="0E7F5F3C"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B-</w:t>
            </w:r>
          </w:p>
        </w:tc>
        <w:tc>
          <w:tcPr>
            <w:tcW w:w="2126" w:type="dxa"/>
            <w:shd w:val="clear" w:color="auto" w:fill="auto"/>
          </w:tcPr>
          <w:p w14:paraId="47754249"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60-64</w:t>
            </w:r>
          </w:p>
        </w:tc>
        <w:tc>
          <w:tcPr>
            <w:tcW w:w="3260" w:type="dxa"/>
            <w:vMerge w:val="restart"/>
            <w:shd w:val="clear" w:color="auto" w:fill="auto"/>
          </w:tcPr>
          <w:p w14:paraId="787CBAEA"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Fail (for core courses)</w:t>
            </w:r>
          </w:p>
          <w:p w14:paraId="641B9F63" w14:textId="77777777" w:rsidR="00661239" w:rsidRPr="00EF70A7" w:rsidRDefault="00661239" w:rsidP="00EF70A7">
            <w:pPr>
              <w:spacing w:line="480" w:lineRule="auto"/>
              <w:ind w:right="-1"/>
              <w:jc w:val="center"/>
              <w:rPr>
                <w:rFonts w:ascii="Arial" w:hAnsi="Arial" w:cs="Arial"/>
                <w:sz w:val="22"/>
                <w:szCs w:val="22"/>
              </w:rPr>
            </w:pPr>
          </w:p>
          <w:p w14:paraId="12BE86E3"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Pass (for elective courses)</w:t>
            </w:r>
          </w:p>
        </w:tc>
      </w:tr>
      <w:tr w:rsidR="00661239" w:rsidRPr="00EF70A7" w14:paraId="350D90A5" w14:textId="77777777" w:rsidTr="00EF70A7">
        <w:trPr>
          <w:jc w:val="center"/>
        </w:trPr>
        <w:tc>
          <w:tcPr>
            <w:tcW w:w="846" w:type="dxa"/>
            <w:shd w:val="clear" w:color="auto" w:fill="auto"/>
          </w:tcPr>
          <w:p w14:paraId="4787A150"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C+</w:t>
            </w:r>
          </w:p>
        </w:tc>
        <w:tc>
          <w:tcPr>
            <w:tcW w:w="2126" w:type="dxa"/>
            <w:shd w:val="clear" w:color="auto" w:fill="auto"/>
          </w:tcPr>
          <w:p w14:paraId="39445FF7"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55-59</w:t>
            </w:r>
          </w:p>
        </w:tc>
        <w:tc>
          <w:tcPr>
            <w:tcW w:w="3260" w:type="dxa"/>
            <w:vMerge/>
            <w:shd w:val="clear" w:color="auto" w:fill="auto"/>
          </w:tcPr>
          <w:p w14:paraId="0F2261C6" w14:textId="77777777" w:rsidR="00661239" w:rsidRPr="00EF70A7" w:rsidRDefault="00661239" w:rsidP="00EF70A7">
            <w:pPr>
              <w:spacing w:line="480" w:lineRule="auto"/>
              <w:ind w:right="-1"/>
              <w:jc w:val="center"/>
              <w:rPr>
                <w:rFonts w:ascii="Arial" w:hAnsi="Arial" w:cs="Arial"/>
                <w:sz w:val="22"/>
                <w:szCs w:val="22"/>
              </w:rPr>
            </w:pPr>
          </w:p>
        </w:tc>
      </w:tr>
      <w:tr w:rsidR="00661239" w:rsidRPr="00EF70A7" w14:paraId="5ABAC2AC" w14:textId="77777777" w:rsidTr="00EF70A7">
        <w:trPr>
          <w:jc w:val="center"/>
        </w:trPr>
        <w:tc>
          <w:tcPr>
            <w:tcW w:w="846" w:type="dxa"/>
            <w:shd w:val="clear" w:color="auto" w:fill="auto"/>
          </w:tcPr>
          <w:p w14:paraId="6472C7C1"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C</w:t>
            </w:r>
          </w:p>
        </w:tc>
        <w:tc>
          <w:tcPr>
            <w:tcW w:w="2126" w:type="dxa"/>
            <w:shd w:val="clear" w:color="auto" w:fill="auto"/>
          </w:tcPr>
          <w:p w14:paraId="226631B3"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50-54</w:t>
            </w:r>
          </w:p>
        </w:tc>
        <w:tc>
          <w:tcPr>
            <w:tcW w:w="3260" w:type="dxa"/>
            <w:vMerge/>
            <w:shd w:val="clear" w:color="auto" w:fill="auto"/>
          </w:tcPr>
          <w:p w14:paraId="458D59CC" w14:textId="77777777" w:rsidR="00661239" w:rsidRPr="00EF70A7" w:rsidRDefault="00661239" w:rsidP="00EF70A7">
            <w:pPr>
              <w:spacing w:line="480" w:lineRule="auto"/>
              <w:ind w:right="-1"/>
              <w:jc w:val="center"/>
              <w:rPr>
                <w:rFonts w:ascii="Arial" w:hAnsi="Arial" w:cs="Arial"/>
                <w:sz w:val="22"/>
                <w:szCs w:val="22"/>
              </w:rPr>
            </w:pPr>
          </w:p>
        </w:tc>
      </w:tr>
      <w:tr w:rsidR="00661239" w:rsidRPr="00EF70A7" w14:paraId="35F19388" w14:textId="77777777" w:rsidTr="00EF70A7">
        <w:trPr>
          <w:jc w:val="center"/>
        </w:trPr>
        <w:tc>
          <w:tcPr>
            <w:tcW w:w="846" w:type="dxa"/>
            <w:shd w:val="clear" w:color="auto" w:fill="auto"/>
          </w:tcPr>
          <w:p w14:paraId="49CB18F9"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C-</w:t>
            </w:r>
          </w:p>
        </w:tc>
        <w:tc>
          <w:tcPr>
            <w:tcW w:w="2126" w:type="dxa"/>
            <w:shd w:val="clear" w:color="auto" w:fill="auto"/>
          </w:tcPr>
          <w:p w14:paraId="0F89F628"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47-49</w:t>
            </w:r>
          </w:p>
        </w:tc>
        <w:tc>
          <w:tcPr>
            <w:tcW w:w="3260" w:type="dxa"/>
            <w:vMerge w:val="restart"/>
            <w:shd w:val="clear" w:color="auto" w:fill="auto"/>
          </w:tcPr>
          <w:p w14:paraId="3AB50D03" w14:textId="77777777" w:rsidR="00661239" w:rsidRPr="00EF70A7" w:rsidRDefault="00661239" w:rsidP="00EF70A7">
            <w:pPr>
              <w:spacing w:line="480" w:lineRule="auto"/>
              <w:ind w:right="-1"/>
              <w:jc w:val="center"/>
              <w:rPr>
                <w:rFonts w:ascii="Arial" w:hAnsi="Arial" w:cs="Arial"/>
                <w:sz w:val="22"/>
                <w:szCs w:val="22"/>
              </w:rPr>
            </w:pPr>
          </w:p>
          <w:p w14:paraId="4EC0F392" w14:textId="77777777" w:rsidR="00661239" w:rsidRPr="00EF70A7" w:rsidRDefault="00661239" w:rsidP="00EF70A7">
            <w:pPr>
              <w:spacing w:line="480" w:lineRule="auto"/>
              <w:ind w:right="-1"/>
              <w:jc w:val="center"/>
              <w:rPr>
                <w:rFonts w:ascii="Arial" w:hAnsi="Arial" w:cs="Arial"/>
                <w:sz w:val="22"/>
                <w:szCs w:val="22"/>
              </w:rPr>
            </w:pPr>
          </w:p>
          <w:p w14:paraId="5B4D0CD1"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Fail</w:t>
            </w:r>
          </w:p>
        </w:tc>
      </w:tr>
      <w:tr w:rsidR="00661239" w:rsidRPr="00EF70A7" w14:paraId="234816A6" w14:textId="77777777" w:rsidTr="00EF70A7">
        <w:trPr>
          <w:jc w:val="center"/>
        </w:trPr>
        <w:tc>
          <w:tcPr>
            <w:tcW w:w="846" w:type="dxa"/>
            <w:shd w:val="clear" w:color="auto" w:fill="auto"/>
          </w:tcPr>
          <w:p w14:paraId="0FB58793"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D+</w:t>
            </w:r>
          </w:p>
        </w:tc>
        <w:tc>
          <w:tcPr>
            <w:tcW w:w="2126" w:type="dxa"/>
            <w:shd w:val="clear" w:color="auto" w:fill="auto"/>
          </w:tcPr>
          <w:p w14:paraId="421ECA99"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44-46</w:t>
            </w:r>
          </w:p>
        </w:tc>
        <w:tc>
          <w:tcPr>
            <w:tcW w:w="3260" w:type="dxa"/>
            <w:vMerge/>
            <w:shd w:val="clear" w:color="auto" w:fill="auto"/>
          </w:tcPr>
          <w:p w14:paraId="324F3244" w14:textId="77777777" w:rsidR="00661239" w:rsidRPr="00EF70A7" w:rsidRDefault="00661239" w:rsidP="00EF70A7">
            <w:pPr>
              <w:spacing w:line="480" w:lineRule="auto"/>
              <w:ind w:right="-1"/>
              <w:jc w:val="left"/>
              <w:rPr>
                <w:rFonts w:ascii="Arial" w:hAnsi="Arial" w:cs="Arial"/>
                <w:sz w:val="22"/>
                <w:szCs w:val="22"/>
                <w:highlight w:val="yellow"/>
              </w:rPr>
            </w:pPr>
          </w:p>
        </w:tc>
      </w:tr>
      <w:tr w:rsidR="00661239" w:rsidRPr="00EF70A7" w14:paraId="059B74F4" w14:textId="77777777" w:rsidTr="00EF70A7">
        <w:trPr>
          <w:jc w:val="center"/>
        </w:trPr>
        <w:tc>
          <w:tcPr>
            <w:tcW w:w="846" w:type="dxa"/>
            <w:shd w:val="clear" w:color="auto" w:fill="auto"/>
          </w:tcPr>
          <w:p w14:paraId="1F999DC5"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D</w:t>
            </w:r>
          </w:p>
        </w:tc>
        <w:tc>
          <w:tcPr>
            <w:tcW w:w="2126" w:type="dxa"/>
            <w:shd w:val="clear" w:color="auto" w:fill="auto"/>
          </w:tcPr>
          <w:p w14:paraId="634662A2"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40-43</w:t>
            </w:r>
          </w:p>
        </w:tc>
        <w:tc>
          <w:tcPr>
            <w:tcW w:w="3260" w:type="dxa"/>
            <w:vMerge/>
            <w:shd w:val="clear" w:color="auto" w:fill="auto"/>
          </w:tcPr>
          <w:p w14:paraId="1E42D96A" w14:textId="77777777" w:rsidR="00661239" w:rsidRPr="00EF70A7" w:rsidRDefault="00661239" w:rsidP="00EF70A7">
            <w:pPr>
              <w:spacing w:line="480" w:lineRule="auto"/>
              <w:ind w:right="-1"/>
              <w:jc w:val="left"/>
              <w:rPr>
                <w:rFonts w:ascii="Arial" w:hAnsi="Arial" w:cs="Arial"/>
                <w:sz w:val="22"/>
                <w:szCs w:val="22"/>
                <w:highlight w:val="yellow"/>
              </w:rPr>
            </w:pPr>
          </w:p>
        </w:tc>
      </w:tr>
      <w:tr w:rsidR="00661239" w:rsidRPr="00EF70A7" w14:paraId="2B51EE83" w14:textId="77777777" w:rsidTr="00EF70A7">
        <w:trPr>
          <w:jc w:val="center"/>
        </w:trPr>
        <w:tc>
          <w:tcPr>
            <w:tcW w:w="846" w:type="dxa"/>
            <w:shd w:val="clear" w:color="auto" w:fill="auto"/>
          </w:tcPr>
          <w:p w14:paraId="37E26605" w14:textId="77777777" w:rsidR="00661239" w:rsidRPr="00EF70A7" w:rsidRDefault="00661239" w:rsidP="00EF70A7">
            <w:pPr>
              <w:spacing w:line="480" w:lineRule="auto"/>
              <w:ind w:right="-1"/>
              <w:rPr>
                <w:rFonts w:ascii="Arial" w:hAnsi="Arial" w:cs="Arial"/>
                <w:sz w:val="22"/>
                <w:szCs w:val="22"/>
              </w:rPr>
            </w:pPr>
            <w:r w:rsidRPr="00EF70A7">
              <w:rPr>
                <w:rFonts w:ascii="Arial" w:hAnsi="Arial" w:cs="Arial"/>
                <w:sz w:val="22"/>
                <w:szCs w:val="22"/>
              </w:rPr>
              <w:t>E</w:t>
            </w:r>
          </w:p>
        </w:tc>
        <w:tc>
          <w:tcPr>
            <w:tcW w:w="2126" w:type="dxa"/>
            <w:shd w:val="clear" w:color="auto" w:fill="auto"/>
          </w:tcPr>
          <w:p w14:paraId="03709C32"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30-39</w:t>
            </w:r>
          </w:p>
        </w:tc>
        <w:tc>
          <w:tcPr>
            <w:tcW w:w="3260" w:type="dxa"/>
            <w:vMerge/>
            <w:shd w:val="clear" w:color="auto" w:fill="auto"/>
          </w:tcPr>
          <w:p w14:paraId="1224DD7E" w14:textId="77777777" w:rsidR="00661239" w:rsidRPr="00EF70A7" w:rsidRDefault="00661239" w:rsidP="00EF70A7">
            <w:pPr>
              <w:spacing w:line="480" w:lineRule="auto"/>
              <w:ind w:right="-1"/>
              <w:jc w:val="left"/>
              <w:rPr>
                <w:rFonts w:ascii="Arial" w:hAnsi="Arial" w:cs="Arial"/>
                <w:sz w:val="22"/>
                <w:szCs w:val="22"/>
                <w:highlight w:val="yellow"/>
              </w:rPr>
            </w:pPr>
          </w:p>
        </w:tc>
      </w:tr>
      <w:tr w:rsidR="00661239" w:rsidRPr="00EF70A7" w14:paraId="74ED1B7B" w14:textId="77777777" w:rsidTr="00EF70A7">
        <w:trPr>
          <w:jc w:val="center"/>
        </w:trPr>
        <w:tc>
          <w:tcPr>
            <w:tcW w:w="846" w:type="dxa"/>
            <w:tcBorders>
              <w:bottom w:val="single" w:sz="4" w:space="0" w:color="auto"/>
            </w:tcBorders>
            <w:shd w:val="clear" w:color="auto" w:fill="auto"/>
          </w:tcPr>
          <w:p w14:paraId="0137D2DD" w14:textId="77777777" w:rsidR="00661239" w:rsidRPr="00EF70A7" w:rsidRDefault="00661239" w:rsidP="00EF70A7">
            <w:pPr>
              <w:spacing w:line="480" w:lineRule="auto"/>
              <w:ind w:right="-1"/>
              <w:jc w:val="left"/>
              <w:rPr>
                <w:rFonts w:ascii="Arial" w:hAnsi="Arial" w:cs="Arial"/>
                <w:sz w:val="22"/>
                <w:szCs w:val="22"/>
              </w:rPr>
            </w:pPr>
            <w:r w:rsidRPr="00EF70A7">
              <w:rPr>
                <w:rFonts w:ascii="Arial" w:hAnsi="Arial" w:cs="Arial"/>
                <w:sz w:val="22"/>
                <w:szCs w:val="22"/>
              </w:rPr>
              <w:t>F</w:t>
            </w:r>
          </w:p>
        </w:tc>
        <w:tc>
          <w:tcPr>
            <w:tcW w:w="2126" w:type="dxa"/>
            <w:tcBorders>
              <w:bottom w:val="single" w:sz="4" w:space="0" w:color="auto"/>
            </w:tcBorders>
            <w:shd w:val="clear" w:color="auto" w:fill="auto"/>
          </w:tcPr>
          <w:p w14:paraId="55A10F66" w14:textId="77777777" w:rsidR="00661239" w:rsidRPr="00EF70A7" w:rsidRDefault="00661239" w:rsidP="00EF70A7">
            <w:pPr>
              <w:spacing w:line="480" w:lineRule="auto"/>
              <w:ind w:right="-1"/>
              <w:jc w:val="center"/>
              <w:rPr>
                <w:rFonts w:ascii="Arial" w:hAnsi="Arial" w:cs="Arial"/>
                <w:sz w:val="22"/>
                <w:szCs w:val="22"/>
              </w:rPr>
            </w:pPr>
            <w:r w:rsidRPr="00EF70A7">
              <w:rPr>
                <w:rFonts w:ascii="Arial" w:hAnsi="Arial" w:cs="Arial"/>
                <w:sz w:val="22"/>
                <w:szCs w:val="22"/>
              </w:rPr>
              <w:t>0-29</w:t>
            </w:r>
          </w:p>
        </w:tc>
        <w:tc>
          <w:tcPr>
            <w:tcW w:w="3260" w:type="dxa"/>
            <w:vMerge/>
            <w:tcBorders>
              <w:bottom w:val="single" w:sz="4" w:space="0" w:color="auto"/>
            </w:tcBorders>
            <w:shd w:val="clear" w:color="auto" w:fill="auto"/>
          </w:tcPr>
          <w:p w14:paraId="1ED88EDB" w14:textId="77777777" w:rsidR="00661239" w:rsidRPr="00EF70A7" w:rsidRDefault="00661239" w:rsidP="00EF70A7">
            <w:pPr>
              <w:spacing w:line="480" w:lineRule="auto"/>
              <w:ind w:right="-1"/>
              <w:jc w:val="left"/>
              <w:rPr>
                <w:rFonts w:ascii="Arial" w:hAnsi="Arial" w:cs="Arial"/>
                <w:sz w:val="22"/>
                <w:szCs w:val="22"/>
                <w:highlight w:val="yellow"/>
              </w:rPr>
            </w:pPr>
          </w:p>
        </w:tc>
      </w:tr>
    </w:tbl>
    <w:p w14:paraId="12CC580F" w14:textId="77777777" w:rsidR="00EF70A7" w:rsidRDefault="00EF70A7" w:rsidP="00661239">
      <w:pPr>
        <w:spacing w:after="160" w:line="480" w:lineRule="auto"/>
        <w:ind w:right="-1"/>
        <w:rPr>
          <w:rFonts w:ascii="Arial" w:hAnsi="Arial" w:cs="Arial"/>
          <w:sz w:val="22"/>
          <w:szCs w:val="22"/>
        </w:rPr>
      </w:pPr>
    </w:p>
    <w:p w14:paraId="00139D48" w14:textId="2A943545" w:rsidR="00661239" w:rsidRPr="00661239" w:rsidRDefault="00661239" w:rsidP="00EF70A7">
      <w:pPr>
        <w:spacing w:after="160" w:line="480" w:lineRule="auto"/>
        <w:ind w:right="-1" w:firstLine="720"/>
        <w:rPr>
          <w:rFonts w:ascii="Arial" w:hAnsi="Arial" w:cs="Arial"/>
          <w:sz w:val="22"/>
          <w:szCs w:val="22"/>
        </w:rPr>
      </w:pPr>
      <w:r w:rsidRPr="00661239">
        <w:rPr>
          <w:rFonts w:ascii="Arial" w:hAnsi="Arial" w:cs="Arial"/>
          <w:sz w:val="22"/>
          <w:szCs w:val="22"/>
        </w:rPr>
        <w:t xml:space="preserve">The assessment for the Soil Engineering course was structured to evaluate both students' academic performance and their attainment of specific Program Outcomes (POs). The course employed a summative assessment, which included tests, group assignments, and a final examination. Each assessment component was mapped to relevant POs based on the Course Outcome (CO) alignment matrix. Other than students’ final grades for this course, </w:t>
      </w:r>
      <w:r w:rsidRPr="00661239">
        <w:rPr>
          <w:rFonts w:ascii="Arial" w:hAnsi="Arial" w:cs="Arial"/>
          <w:sz w:val="22"/>
          <w:szCs w:val="22"/>
        </w:rPr>
        <w:lastRenderedPageBreak/>
        <w:t>this study also looked at the attainment of students based on the Outcome-Based Education (OBE) alignment which focuses on PO1/CO1 and PO3/CO2. In line with the OBE framework adopted by UiTM, this study also considers how shifts in assessment strategy impacted specific Program Outcomes (POs) and Course Outcomes (COs):</w:t>
      </w:r>
    </w:p>
    <w:p w14:paraId="0B859279" w14:textId="77777777" w:rsidR="00661239" w:rsidRPr="00661239" w:rsidRDefault="00661239" w:rsidP="00661239">
      <w:pPr>
        <w:spacing w:after="160" w:line="480" w:lineRule="auto"/>
        <w:ind w:right="-1"/>
        <w:rPr>
          <w:rFonts w:ascii="Arial" w:hAnsi="Arial" w:cs="Arial"/>
          <w:sz w:val="22"/>
          <w:szCs w:val="22"/>
        </w:rPr>
      </w:pPr>
      <w:r w:rsidRPr="00661239">
        <w:rPr>
          <w:rFonts w:ascii="Arial" w:hAnsi="Arial" w:cs="Arial"/>
          <w:sz w:val="22"/>
          <w:szCs w:val="22"/>
        </w:rPr>
        <w:t>•</w:t>
      </w:r>
      <w:r w:rsidRPr="00661239">
        <w:rPr>
          <w:rFonts w:ascii="Arial" w:hAnsi="Arial" w:cs="Arial"/>
          <w:sz w:val="22"/>
          <w:szCs w:val="22"/>
        </w:rPr>
        <w:tab/>
        <w:t>PO1/CO1: This outcome emphasizes the application of foundational knowledge and technical understanding. With greater assignment-based assessments, students were provided with more opportunities to apply theoretical concepts in structured, real-world-like scenarios. This encouraged deeper learning and reinforced core engineering knowledge through active application.</w:t>
      </w:r>
    </w:p>
    <w:p w14:paraId="1E50F218" w14:textId="77777777" w:rsidR="00661239" w:rsidRPr="00661239" w:rsidRDefault="00661239" w:rsidP="00661239">
      <w:pPr>
        <w:spacing w:after="160" w:line="480" w:lineRule="auto"/>
        <w:ind w:right="-1"/>
        <w:rPr>
          <w:rFonts w:ascii="Arial" w:hAnsi="Arial" w:cs="Arial"/>
          <w:sz w:val="22"/>
          <w:szCs w:val="22"/>
        </w:rPr>
      </w:pPr>
      <w:r w:rsidRPr="00661239">
        <w:rPr>
          <w:rFonts w:ascii="Arial" w:hAnsi="Arial" w:cs="Arial"/>
          <w:sz w:val="22"/>
          <w:szCs w:val="22"/>
        </w:rPr>
        <w:t>•</w:t>
      </w:r>
      <w:r w:rsidRPr="00661239">
        <w:rPr>
          <w:rFonts w:ascii="Arial" w:hAnsi="Arial" w:cs="Arial"/>
          <w:sz w:val="22"/>
          <w:szCs w:val="22"/>
        </w:rPr>
        <w:tab/>
        <w:t>PO3/CO2: This outcome focuses on problem-solving and analytical thinking. The increased assignment weightage allowed students to tackle open-ended problems and engage in continuous learning cycles, as opposed to the limited scope typically afforded by test-based assessments. The nature of assignments promoted the use of critical thinking, solution generation, and reflective evaluation—key aspects aligned with PO3/CO2.</w:t>
      </w:r>
    </w:p>
    <w:p w14:paraId="4AA029C0" w14:textId="08AB7EAA" w:rsidR="00661239" w:rsidRPr="00EF70A7" w:rsidRDefault="00661239" w:rsidP="00C55A65">
      <w:pPr>
        <w:spacing w:after="160" w:line="480" w:lineRule="auto"/>
        <w:ind w:right="-1" w:firstLine="720"/>
        <w:rPr>
          <w:rFonts w:ascii="Arial" w:hAnsi="Arial" w:cs="Arial"/>
          <w:sz w:val="22"/>
          <w:szCs w:val="22"/>
        </w:rPr>
      </w:pPr>
      <w:r w:rsidRPr="00661239">
        <w:rPr>
          <w:rFonts w:ascii="Arial" w:hAnsi="Arial" w:cs="Arial"/>
          <w:sz w:val="22"/>
          <w:szCs w:val="22"/>
        </w:rPr>
        <w:t>These alignments were not only useful in enhancing student performance but also in developing graduate attributes that are beneficial for civil engineering professionals.</w:t>
      </w:r>
      <w:r w:rsidR="00C55A65">
        <w:rPr>
          <w:rFonts w:ascii="Arial" w:hAnsi="Arial" w:cs="Arial"/>
          <w:sz w:val="22"/>
          <w:szCs w:val="22"/>
        </w:rPr>
        <w:t xml:space="preserve"> </w:t>
      </w:r>
      <w:r w:rsidRPr="00661239">
        <w:rPr>
          <w:rFonts w:ascii="Arial" w:hAnsi="Arial" w:cs="Arial"/>
          <w:sz w:val="22"/>
          <w:szCs w:val="22"/>
        </w:rPr>
        <w:t xml:space="preserve">Beginning in semester 20244, modifications were introduced to the assessment framework of this course as shown in Figure 1. Specifically, changes were made to the test and group assignment components in terms of their weightage. For instance, the test was restructured from 30% to 20% and group assignment marks were increased from 10% to 20%. Despite there being changes in assessment weightage, the </w:t>
      </w:r>
      <w:proofErr w:type="gramStart"/>
      <w:r w:rsidRPr="00661239">
        <w:rPr>
          <w:rFonts w:ascii="Arial" w:hAnsi="Arial" w:cs="Arial"/>
          <w:sz w:val="22"/>
          <w:szCs w:val="22"/>
        </w:rPr>
        <w:t>course maintained</w:t>
      </w:r>
      <w:proofErr w:type="gramEnd"/>
      <w:r w:rsidRPr="00661239">
        <w:rPr>
          <w:rFonts w:ascii="Arial" w:hAnsi="Arial" w:cs="Arial"/>
          <w:sz w:val="22"/>
          <w:szCs w:val="22"/>
        </w:rPr>
        <w:t xml:space="preserve"> consistency in syllabus content, instructional materials, and teaching methods, to ensure that the primary variable affecting </w:t>
      </w:r>
      <w:r w:rsidRPr="00661239">
        <w:rPr>
          <w:rFonts w:ascii="Arial" w:hAnsi="Arial" w:cs="Arial"/>
          <w:sz w:val="22"/>
          <w:szCs w:val="22"/>
        </w:rPr>
        <w:lastRenderedPageBreak/>
        <w:t>student performance was the mode of assessment.</w:t>
      </w:r>
      <w:r w:rsidRPr="00661239">
        <w:rPr>
          <w:rFonts w:ascii="Times New Roman" w:hAnsi="Times New Roman"/>
          <w:b/>
          <w:bCs/>
          <w:noProof/>
          <w:sz w:val="24"/>
          <w:szCs w:val="24"/>
        </w:rPr>
        <w:t xml:space="preserve"> </w:t>
      </w:r>
      <w:r w:rsidRPr="00661239">
        <w:rPr>
          <w:rFonts w:ascii="Arial" w:hAnsi="Arial" w:cs="Arial"/>
          <w:noProof/>
          <w:sz w:val="22"/>
          <w:szCs w:val="22"/>
        </w:rPr>
        <w:drawing>
          <wp:anchor distT="0" distB="0" distL="114300" distR="114300" simplePos="0" relativeHeight="251659264" behindDoc="0" locked="0" layoutInCell="1" allowOverlap="1" wp14:anchorId="7A05FA5A" wp14:editId="2A2A7DF0">
            <wp:simplePos x="0" y="0"/>
            <wp:positionH relativeFrom="margin">
              <wp:posOffset>0</wp:posOffset>
            </wp:positionH>
            <wp:positionV relativeFrom="paragraph">
              <wp:posOffset>746125</wp:posOffset>
            </wp:positionV>
            <wp:extent cx="2632710" cy="1557655"/>
            <wp:effectExtent l="0" t="0" r="15240" b="4445"/>
            <wp:wrapThrough wrapText="bothSides">
              <wp:wrapPolygon edited="0">
                <wp:start x="0" y="0"/>
                <wp:lineTo x="0" y="21397"/>
                <wp:lineTo x="21569" y="21397"/>
                <wp:lineTo x="21569" y="0"/>
                <wp:lineTo x="0" y="0"/>
              </wp:wrapPolygon>
            </wp:wrapThrough>
            <wp:docPr id="1165327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661239">
        <w:rPr>
          <w:rFonts w:ascii="Arial" w:hAnsi="Arial" w:cs="Arial"/>
          <w:noProof/>
          <w:sz w:val="22"/>
          <w:szCs w:val="22"/>
        </w:rPr>
        <w:drawing>
          <wp:anchor distT="0" distB="0" distL="114300" distR="114300" simplePos="0" relativeHeight="251660288" behindDoc="0" locked="0" layoutInCell="1" allowOverlap="1" wp14:anchorId="1D1B461A" wp14:editId="3A5D1622">
            <wp:simplePos x="0" y="0"/>
            <wp:positionH relativeFrom="margin">
              <wp:posOffset>3175000</wp:posOffset>
            </wp:positionH>
            <wp:positionV relativeFrom="paragraph">
              <wp:posOffset>746125</wp:posOffset>
            </wp:positionV>
            <wp:extent cx="2658110" cy="1574800"/>
            <wp:effectExtent l="0" t="0" r="8890" b="6350"/>
            <wp:wrapThrough wrapText="bothSides">
              <wp:wrapPolygon edited="0">
                <wp:start x="0" y="0"/>
                <wp:lineTo x="0" y="21426"/>
                <wp:lineTo x="21517" y="21426"/>
                <wp:lineTo x="21517" y="0"/>
                <wp:lineTo x="0" y="0"/>
              </wp:wrapPolygon>
            </wp:wrapThrough>
            <wp:docPr id="15485567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E5DBE00" w14:textId="517BF646" w:rsidR="00661239" w:rsidRDefault="00661239">
      <w:pPr>
        <w:spacing w:line="480" w:lineRule="auto"/>
        <w:jc w:val="left"/>
        <w:rPr>
          <w:rFonts w:ascii="Arial" w:eastAsia="Arial" w:hAnsi="Arial" w:cs="Arial"/>
          <w:b/>
          <w:sz w:val="22"/>
          <w:szCs w:val="22"/>
        </w:rPr>
      </w:pPr>
    </w:p>
    <w:p w14:paraId="3216F902" w14:textId="77777777" w:rsidR="00661239" w:rsidRDefault="00661239">
      <w:pPr>
        <w:spacing w:line="480" w:lineRule="auto"/>
        <w:jc w:val="left"/>
        <w:rPr>
          <w:rFonts w:ascii="Arial" w:eastAsia="Arial" w:hAnsi="Arial" w:cs="Arial"/>
          <w:b/>
          <w:sz w:val="22"/>
          <w:szCs w:val="22"/>
        </w:rPr>
      </w:pPr>
    </w:p>
    <w:p w14:paraId="71D96D73" w14:textId="77777777" w:rsidR="00661239" w:rsidRDefault="00661239">
      <w:pPr>
        <w:spacing w:line="480" w:lineRule="auto"/>
        <w:jc w:val="left"/>
        <w:rPr>
          <w:rFonts w:ascii="Arial" w:eastAsia="Arial" w:hAnsi="Arial" w:cs="Arial"/>
          <w:b/>
          <w:sz w:val="22"/>
          <w:szCs w:val="22"/>
        </w:rPr>
      </w:pPr>
    </w:p>
    <w:p w14:paraId="2E47B11F" w14:textId="77777777" w:rsidR="00661239" w:rsidRDefault="00661239">
      <w:pPr>
        <w:spacing w:line="480" w:lineRule="auto"/>
        <w:jc w:val="left"/>
        <w:rPr>
          <w:rFonts w:ascii="Arial" w:eastAsia="Arial" w:hAnsi="Arial" w:cs="Arial"/>
          <w:b/>
          <w:sz w:val="22"/>
          <w:szCs w:val="22"/>
        </w:rPr>
      </w:pPr>
    </w:p>
    <w:p w14:paraId="5A51493B" w14:textId="5465CA3C" w:rsidR="00661239" w:rsidRPr="00C644EF" w:rsidRDefault="00661239" w:rsidP="00C644EF">
      <w:pPr>
        <w:spacing w:line="480" w:lineRule="auto"/>
        <w:ind w:right="-1"/>
        <w:jc w:val="center"/>
        <w:rPr>
          <w:rFonts w:ascii="Arial" w:hAnsi="Arial" w:cs="Arial"/>
          <w:sz w:val="22"/>
          <w:szCs w:val="22"/>
        </w:rPr>
      </w:pPr>
      <w:r w:rsidRPr="00EF70A7">
        <w:rPr>
          <w:rFonts w:ascii="Arial" w:hAnsi="Arial" w:cs="Arial"/>
          <w:i/>
          <w:iCs/>
          <w:sz w:val="22"/>
          <w:szCs w:val="22"/>
        </w:rPr>
        <w:t>Figure 1</w:t>
      </w:r>
      <w:r w:rsidR="00EF70A7">
        <w:rPr>
          <w:rFonts w:ascii="Arial" w:hAnsi="Arial" w:cs="Arial"/>
          <w:i/>
          <w:iCs/>
          <w:sz w:val="22"/>
          <w:szCs w:val="22"/>
        </w:rPr>
        <w:t xml:space="preserve">: </w:t>
      </w:r>
      <w:r w:rsidRPr="00EF70A7">
        <w:rPr>
          <w:rFonts w:ascii="Arial" w:hAnsi="Arial" w:cs="Arial"/>
          <w:sz w:val="22"/>
          <w:szCs w:val="22"/>
        </w:rPr>
        <w:t>Assessment framework of Soil Engineering course for semesters 20224, 20234 and 20444</w:t>
      </w:r>
    </w:p>
    <w:p w14:paraId="77B0ACA2" w14:textId="476B95DA" w:rsidR="00564A67" w:rsidRPr="00564A67" w:rsidRDefault="00564A67" w:rsidP="00564A67">
      <w:pPr>
        <w:ind w:right="-1"/>
        <w:rPr>
          <w:rFonts w:ascii="Arial" w:hAnsi="Arial" w:cs="Arial"/>
          <w:b/>
          <w:bCs/>
          <w:sz w:val="22"/>
          <w:szCs w:val="22"/>
        </w:rPr>
      </w:pPr>
      <w:r>
        <w:rPr>
          <w:rFonts w:ascii="Arial" w:hAnsi="Arial" w:cs="Arial"/>
          <w:b/>
          <w:bCs/>
          <w:sz w:val="22"/>
          <w:szCs w:val="22"/>
        </w:rPr>
        <w:t xml:space="preserve">3.0 </w:t>
      </w:r>
      <w:r w:rsidRPr="00564A67">
        <w:rPr>
          <w:rFonts w:ascii="Arial" w:hAnsi="Arial" w:cs="Arial"/>
          <w:b/>
          <w:bCs/>
          <w:sz w:val="22"/>
          <w:szCs w:val="22"/>
        </w:rPr>
        <w:t>RESULTS AND DISCUSSIONS</w:t>
      </w:r>
    </w:p>
    <w:p w14:paraId="44367198" w14:textId="1DE62BF8" w:rsidR="00564A67" w:rsidRDefault="00564A67">
      <w:pPr>
        <w:spacing w:line="480" w:lineRule="auto"/>
        <w:jc w:val="left"/>
        <w:rPr>
          <w:rFonts w:ascii="Arial" w:eastAsia="Arial" w:hAnsi="Arial" w:cs="Arial"/>
          <w:b/>
          <w:sz w:val="22"/>
          <w:szCs w:val="22"/>
        </w:rPr>
      </w:pPr>
    </w:p>
    <w:p w14:paraId="597A6726" w14:textId="77777777" w:rsidR="00564A67" w:rsidRPr="00564A67" w:rsidRDefault="00564A67" w:rsidP="00564A67">
      <w:pPr>
        <w:spacing w:line="480" w:lineRule="auto"/>
        <w:rPr>
          <w:rFonts w:ascii="Arial" w:eastAsia="Arial" w:hAnsi="Arial" w:cs="Arial"/>
          <w:bCs/>
          <w:sz w:val="22"/>
          <w:szCs w:val="22"/>
        </w:rPr>
      </w:pPr>
      <w:r w:rsidRPr="00564A67">
        <w:rPr>
          <w:rFonts w:ascii="Arial" w:eastAsia="Arial" w:hAnsi="Arial" w:cs="Arial"/>
          <w:bCs/>
          <w:sz w:val="22"/>
          <w:szCs w:val="22"/>
        </w:rPr>
        <w:t xml:space="preserve">Figure 2 illustrates the grade achievement distribution for three different semesters—20224, 20234, and 20244. A noticeable improvement in academic performance is observed in Semester 20244, with a significant increase in the number of students achieving higher grades (A+, A, A-, B+, and B) and a reduction in failure rates. A major factor contributing to this positive shift is the change in the assessment structure implemented during Semester 20244. The percentage for assignment-based assessment was increased from 10% to 20%, while the weightage of the test component was reduced from 30% to 20%. This rebalancing of assessment components likely played a pivotal role in the improved student performance. Recent studies have emphasized the benefits of increasing formative assessments, such as assignments, which provide opportunities for deeper engagement and continuous learning. According to </w:t>
      </w:r>
      <w:proofErr w:type="spellStart"/>
      <w:r w:rsidRPr="00564A67">
        <w:rPr>
          <w:rFonts w:ascii="Arial" w:eastAsia="Arial" w:hAnsi="Arial" w:cs="Arial"/>
          <w:bCs/>
          <w:sz w:val="22"/>
          <w:szCs w:val="22"/>
        </w:rPr>
        <w:t>Ferdinal</w:t>
      </w:r>
      <w:proofErr w:type="spellEnd"/>
      <w:r w:rsidRPr="00564A67">
        <w:rPr>
          <w:rFonts w:ascii="Arial" w:eastAsia="Arial" w:hAnsi="Arial" w:cs="Arial"/>
          <w:bCs/>
          <w:sz w:val="22"/>
          <w:szCs w:val="22"/>
        </w:rPr>
        <w:t xml:space="preserve">, &amp; </w:t>
      </w:r>
      <w:proofErr w:type="spellStart"/>
      <w:r w:rsidRPr="00564A67">
        <w:rPr>
          <w:rFonts w:ascii="Arial" w:eastAsia="Arial" w:hAnsi="Arial" w:cs="Arial"/>
          <w:bCs/>
          <w:sz w:val="22"/>
          <w:szCs w:val="22"/>
        </w:rPr>
        <w:t>Isramirawat</w:t>
      </w:r>
      <w:proofErr w:type="spellEnd"/>
      <w:r w:rsidRPr="00564A67">
        <w:rPr>
          <w:rFonts w:ascii="Arial" w:eastAsia="Arial" w:hAnsi="Arial" w:cs="Arial"/>
          <w:bCs/>
          <w:sz w:val="22"/>
          <w:szCs w:val="22"/>
        </w:rPr>
        <w:t xml:space="preserve">. (2021), students tend to perform better academically when assessments emphasize learning-oriented tasks rather than high-stakes exams. Formative assessments promote reflective thinking, self-paced learning, and the ability to apply knowledge in real-world contexts (Khan &amp; Asif, 2023). On the other hand, high-stakes summative tests often induce stress and anxiety, which can negatively affect performance. Reducing the test component in Semester 20244 may have helped alleviate this pressure. As highlighted by Papadakis et al. (2021), diversified assessment approaches that reduce the </w:t>
      </w:r>
      <w:r w:rsidRPr="00564A67">
        <w:rPr>
          <w:rFonts w:ascii="Arial" w:eastAsia="Arial" w:hAnsi="Arial" w:cs="Arial"/>
          <w:bCs/>
          <w:sz w:val="22"/>
          <w:szCs w:val="22"/>
        </w:rPr>
        <w:lastRenderedPageBreak/>
        <w:t>dominance of traditional exams can lead to improved motivation and academic outcomes, especially among students with varying learning styles.</w:t>
      </w:r>
    </w:p>
    <w:p w14:paraId="223187A9" w14:textId="47D40C13" w:rsidR="00564A67" w:rsidRPr="00564A67" w:rsidRDefault="00564A67" w:rsidP="00EF70A7">
      <w:pPr>
        <w:spacing w:line="480" w:lineRule="auto"/>
        <w:ind w:firstLine="720"/>
        <w:rPr>
          <w:rFonts w:ascii="Arial" w:eastAsia="Arial" w:hAnsi="Arial" w:cs="Arial"/>
          <w:bCs/>
          <w:sz w:val="22"/>
          <w:szCs w:val="22"/>
        </w:rPr>
      </w:pPr>
      <w:r w:rsidRPr="00564A67">
        <w:rPr>
          <w:rFonts w:ascii="Arial" w:eastAsia="Arial" w:hAnsi="Arial" w:cs="Arial"/>
          <w:bCs/>
          <w:sz w:val="22"/>
          <w:szCs w:val="22"/>
        </w:rPr>
        <w:t>Furthermore, the reduction in the percentage of students in lower-grade categories (C-, D+, D, E, F) suggests that a greater percentage of students were able to shift from marginal performance to passing or higher achievement. This outcome supports the growing evidence that continuous assessment encourages steady academic development and reduces the risk of failure (</w:t>
      </w:r>
      <w:proofErr w:type="spellStart"/>
      <w:r w:rsidRPr="00564A67">
        <w:rPr>
          <w:rFonts w:ascii="Arial" w:eastAsia="Arial" w:hAnsi="Arial" w:cs="Arial"/>
          <w:bCs/>
          <w:sz w:val="22"/>
          <w:szCs w:val="22"/>
        </w:rPr>
        <w:t>Alruwais</w:t>
      </w:r>
      <w:proofErr w:type="spellEnd"/>
      <w:r w:rsidRPr="00564A67">
        <w:rPr>
          <w:rFonts w:ascii="Arial" w:eastAsia="Arial" w:hAnsi="Arial" w:cs="Arial"/>
          <w:bCs/>
          <w:sz w:val="22"/>
          <w:szCs w:val="22"/>
        </w:rPr>
        <w:t xml:space="preserve"> et al., 2018). The improved grade achievement in Semester 20244 appears to be directly linked to the modified assessment strategy. This supports current educational best practices, which advocate for a balanced use of formative and summative assessments to enhance learning and inclusivity in academic evaluation.</w:t>
      </w:r>
    </w:p>
    <w:p w14:paraId="5F4B3703" w14:textId="77777777" w:rsidR="00564A67" w:rsidRDefault="00564A67" w:rsidP="00564A67">
      <w:pPr>
        <w:ind w:right="-1"/>
        <w:jc w:val="center"/>
        <w:rPr>
          <w:rFonts w:ascii="Arial" w:hAnsi="Arial" w:cs="Arial"/>
          <w:b/>
          <w:bCs/>
        </w:rPr>
      </w:pPr>
      <w:r>
        <w:rPr>
          <w:noProof/>
        </w:rPr>
        <w:drawing>
          <wp:inline distT="0" distB="0" distL="0" distR="0" wp14:anchorId="6ABB9519" wp14:editId="040109BD">
            <wp:extent cx="4231758" cy="2658139"/>
            <wp:effectExtent l="0" t="0" r="16510" b="8890"/>
            <wp:docPr id="1" name="Chart 1">
              <a:extLst xmlns:a="http://schemas.openxmlformats.org/drawingml/2006/main">
                <a:ext uri="{FF2B5EF4-FFF2-40B4-BE49-F238E27FC236}">
                  <a16:creationId xmlns:a16="http://schemas.microsoft.com/office/drawing/2014/main" id="{89222B13-C1DF-4655-B843-2C000EE59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9CB43E" w14:textId="3D91C64A" w:rsidR="00564A67" w:rsidRPr="00EF70A7" w:rsidRDefault="00564A67" w:rsidP="00EF70A7">
      <w:pPr>
        <w:spacing w:line="480" w:lineRule="auto"/>
        <w:ind w:right="-1"/>
        <w:jc w:val="center"/>
        <w:rPr>
          <w:rFonts w:ascii="Arial" w:hAnsi="Arial" w:cs="Arial"/>
          <w:sz w:val="22"/>
          <w:szCs w:val="22"/>
        </w:rPr>
      </w:pPr>
      <w:r w:rsidRPr="00EF70A7">
        <w:rPr>
          <w:rFonts w:ascii="Arial" w:hAnsi="Arial" w:cs="Arial"/>
          <w:i/>
          <w:iCs/>
          <w:sz w:val="22"/>
          <w:szCs w:val="22"/>
        </w:rPr>
        <w:t>Figure 2</w:t>
      </w:r>
      <w:r w:rsidR="00EF70A7" w:rsidRPr="00EF70A7">
        <w:rPr>
          <w:rFonts w:ascii="Arial" w:hAnsi="Arial" w:cs="Arial"/>
          <w:i/>
          <w:iCs/>
          <w:sz w:val="22"/>
          <w:szCs w:val="22"/>
        </w:rPr>
        <w:t>:</w:t>
      </w:r>
      <w:r w:rsidRPr="00EF70A7">
        <w:rPr>
          <w:rFonts w:ascii="Arial" w:hAnsi="Arial" w:cs="Arial"/>
          <w:i/>
          <w:iCs/>
          <w:sz w:val="22"/>
          <w:szCs w:val="22"/>
        </w:rPr>
        <w:t xml:space="preserve"> </w:t>
      </w:r>
      <w:r w:rsidRPr="00EF70A7">
        <w:rPr>
          <w:rFonts w:ascii="Arial" w:hAnsi="Arial" w:cs="Arial"/>
          <w:sz w:val="22"/>
          <w:szCs w:val="22"/>
        </w:rPr>
        <w:t>Grade achievement for different semesters</w:t>
      </w:r>
    </w:p>
    <w:p w14:paraId="4A834C4E" w14:textId="2A13311E" w:rsidR="00564A67" w:rsidRDefault="00564A67" w:rsidP="00564A67">
      <w:pPr>
        <w:ind w:right="-1"/>
        <w:jc w:val="center"/>
        <w:rPr>
          <w:rFonts w:ascii="Arial" w:hAnsi="Arial" w:cs="Arial"/>
        </w:rPr>
      </w:pPr>
    </w:p>
    <w:p w14:paraId="773898E1" w14:textId="0DDB6B27" w:rsidR="00564A67" w:rsidRPr="00564A67" w:rsidRDefault="00564A67" w:rsidP="00C55A65">
      <w:pPr>
        <w:spacing w:line="480" w:lineRule="auto"/>
        <w:ind w:firstLine="720"/>
        <w:contextualSpacing/>
        <w:rPr>
          <w:rFonts w:ascii="Arial" w:eastAsia="Times New Roman" w:hAnsi="Arial" w:cs="Arial"/>
          <w:sz w:val="22"/>
          <w:szCs w:val="22"/>
          <w:lang w:eastAsia="en-MY"/>
        </w:rPr>
      </w:pPr>
      <w:r w:rsidRPr="00564A67">
        <w:rPr>
          <w:rFonts w:ascii="Arial" w:eastAsia="Times New Roman" w:hAnsi="Arial" w:cs="Arial"/>
          <w:sz w:val="22"/>
          <w:szCs w:val="22"/>
          <w:lang w:eastAsia="en-MY"/>
        </w:rPr>
        <w:t xml:space="preserve">Figure 3 presents the percentage of students attaining Program Outcome 1/Course </w:t>
      </w:r>
      <w:r w:rsidR="00C55A65">
        <w:rPr>
          <w:rFonts w:ascii="Arial" w:eastAsia="Times New Roman" w:hAnsi="Arial" w:cs="Arial"/>
          <w:sz w:val="22"/>
          <w:szCs w:val="22"/>
          <w:lang w:eastAsia="en-MY"/>
        </w:rPr>
        <w:t>O</w:t>
      </w:r>
      <w:r w:rsidRPr="00564A67">
        <w:rPr>
          <w:rFonts w:ascii="Arial" w:eastAsia="Times New Roman" w:hAnsi="Arial" w:cs="Arial"/>
          <w:sz w:val="22"/>
          <w:szCs w:val="22"/>
          <w:lang w:eastAsia="en-MY"/>
        </w:rPr>
        <w:t>utcome 1 (PO1/CO1) and Program Outcome 3/Course Outcome 2 (PO3/CO2) across three consecutive semesters. The data reveals a progressive improvement in attainment levels, with the highest percentages recorded in Semester 20244, where both outcomes reached approximately 65%.</w:t>
      </w:r>
      <w:r w:rsidR="009765D6">
        <w:rPr>
          <w:rFonts w:ascii="Arial" w:eastAsia="Times New Roman" w:hAnsi="Arial" w:cs="Arial"/>
          <w:sz w:val="22"/>
          <w:szCs w:val="22"/>
          <w:lang w:eastAsia="en-MY"/>
        </w:rPr>
        <w:t xml:space="preserve"> </w:t>
      </w:r>
      <w:r w:rsidRPr="00564A67">
        <w:rPr>
          <w:rFonts w:ascii="Arial" w:eastAsia="Times New Roman" w:hAnsi="Arial" w:cs="Arial"/>
          <w:sz w:val="22"/>
          <w:szCs w:val="22"/>
          <w:lang w:eastAsia="en-MY"/>
        </w:rPr>
        <w:t xml:space="preserve">In Semester 20224, the attainment for PO1/CO1 and PO3/CO2 was around 50%, indicating that only half of the cohort achieved the minimum benchmark typically set at 50% or higher in outcome-based education (OBE). By Semester 20234, this figure rose to approximately 58–60% and further increased in Semester 20244. This upward trend </w:t>
      </w:r>
      <w:r w:rsidRPr="00564A67">
        <w:rPr>
          <w:rFonts w:ascii="Arial" w:eastAsia="Times New Roman" w:hAnsi="Arial" w:cs="Arial"/>
          <w:sz w:val="22"/>
          <w:szCs w:val="22"/>
          <w:lang w:eastAsia="en-MY"/>
        </w:rPr>
        <w:lastRenderedPageBreak/>
        <w:t>corresponds with the improved grade distribution observed in Figure 2 and suggests a strengthening alignment between teaching, assessment strategies, and learning outcomes.</w:t>
      </w:r>
    </w:p>
    <w:p w14:paraId="32E165FE" w14:textId="5D084589" w:rsidR="00564A67" w:rsidRPr="00564A67" w:rsidRDefault="00564A67" w:rsidP="00EF70A7">
      <w:pPr>
        <w:spacing w:line="480" w:lineRule="auto"/>
        <w:ind w:firstLine="720"/>
        <w:contextualSpacing/>
        <w:rPr>
          <w:rFonts w:ascii="Arial" w:eastAsia="Times New Roman" w:hAnsi="Arial" w:cs="Arial"/>
          <w:sz w:val="22"/>
          <w:szCs w:val="22"/>
          <w:lang w:eastAsia="en-MY"/>
        </w:rPr>
      </w:pPr>
      <w:r w:rsidRPr="00564A67">
        <w:rPr>
          <w:rFonts w:ascii="Arial" w:eastAsia="Times New Roman" w:hAnsi="Arial" w:cs="Arial"/>
          <w:sz w:val="22"/>
          <w:szCs w:val="22"/>
          <w:lang w:eastAsia="en-MY"/>
        </w:rPr>
        <w:t>The enhanced performance in Semester 20244 can be attributed, in part, to the revised assessment structure. The shift in weightage, with assignment marks increased from 10% to 20% and test marks reduced from 30% to 20%, likely provided students with more continuous and supportive learning opportunities. Formative components such as assignments not only allow students more time to engage with complex concepts but also offer repeated chances to demonstrate understanding, which supports higher attainment in course and program outcomes (</w:t>
      </w:r>
      <w:proofErr w:type="spellStart"/>
      <w:r w:rsidRPr="00564A67">
        <w:rPr>
          <w:rFonts w:ascii="Arial" w:eastAsia="Times New Roman" w:hAnsi="Arial" w:cs="Arial"/>
          <w:sz w:val="22"/>
          <w:szCs w:val="22"/>
          <w:lang w:eastAsia="en-MY"/>
        </w:rPr>
        <w:t>Ferdinal</w:t>
      </w:r>
      <w:proofErr w:type="spellEnd"/>
      <w:r w:rsidRPr="00564A67">
        <w:rPr>
          <w:rFonts w:ascii="Arial" w:eastAsia="Times New Roman" w:hAnsi="Arial" w:cs="Arial"/>
          <w:sz w:val="22"/>
          <w:szCs w:val="22"/>
          <w:lang w:eastAsia="en-MY"/>
        </w:rPr>
        <w:t xml:space="preserve">, &amp; </w:t>
      </w:r>
      <w:proofErr w:type="spellStart"/>
      <w:r w:rsidRPr="00564A67">
        <w:rPr>
          <w:rFonts w:ascii="Arial" w:eastAsia="Times New Roman" w:hAnsi="Arial" w:cs="Arial"/>
          <w:sz w:val="22"/>
          <w:szCs w:val="22"/>
          <w:lang w:eastAsia="en-MY"/>
        </w:rPr>
        <w:t>Isramirawat</w:t>
      </w:r>
      <w:proofErr w:type="spellEnd"/>
      <w:r w:rsidRPr="00564A67">
        <w:rPr>
          <w:rFonts w:ascii="Arial" w:eastAsia="Times New Roman" w:hAnsi="Arial" w:cs="Arial"/>
          <w:sz w:val="22"/>
          <w:szCs w:val="22"/>
          <w:lang w:eastAsia="en-MY"/>
        </w:rPr>
        <w:t>, 2021)</w:t>
      </w:r>
      <w:r w:rsidR="00EF70A7">
        <w:rPr>
          <w:rFonts w:ascii="Arial" w:eastAsia="Times New Roman" w:hAnsi="Arial" w:cs="Arial"/>
          <w:sz w:val="22"/>
          <w:szCs w:val="22"/>
          <w:lang w:eastAsia="en-MY"/>
        </w:rPr>
        <w:t xml:space="preserve">. </w:t>
      </w:r>
      <w:r w:rsidRPr="00564A67">
        <w:rPr>
          <w:rFonts w:ascii="Arial" w:eastAsia="Times New Roman" w:hAnsi="Arial" w:cs="Arial"/>
          <w:sz w:val="22"/>
          <w:szCs w:val="22"/>
          <w:lang w:eastAsia="en-MY"/>
        </w:rPr>
        <w:t>PO1/CO1, which generally reflects the application of foundational knowledge and technical understanding, benefited from this structure as students were able to apply theoretical principles in practical contexts. Meanwhile, PO3/CO2, often associated with problem-solving and analytical skills, showed parallel gains, indicating that students had more opportunities to engage in active learning strategies that promote these competencies (Torrance, 2012; Papadakis et al., 2021). The attainment increase also suggests improved curriculum delivery and assessment alignment. When learning activities and assessments are carefully designed to reflect intended learning outcomes, students are more likely to achieve them (</w:t>
      </w:r>
      <w:proofErr w:type="spellStart"/>
      <w:r w:rsidRPr="00564A67">
        <w:rPr>
          <w:rFonts w:ascii="Arial" w:eastAsia="Times New Roman" w:hAnsi="Arial" w:cs="Arial"/>
          <w:sz w:val="22"/>
          <w:szCs w:val="22"/>
          <w:lang w:eastAsia="en-MY"/>
        </w:rPr>
        <w:t>Alruwais</w:t>
      </w:r>
      <w:proofErr w:type="spellEnd"/>
      <w:r w:rsidRPr="00564A67">
        <w:rPr>
          <w:rFonts w:ascii="Arial" w:eastAsia="Times New Roman" w:hAnsi="Arial" w:cs="Arial"/>
          <w:sz w:val="22"/>
          <w:szCs w:val="22"/>
          <w:lang w:eastAsia="en-MY"/>
        </w:rPr>
        <w:t xml:space="preserve"> et al., 2018). Therefore, the high attainment rates in Semester 20244 may reflect not only changes in assessment weightage but also enhanced instructional quality and student engagement.</w:t>
      </w:r>
    </w:p>
    <w:p w14:paraId="2414A686" w14:textId="77777777" w:rsidR="00564A67" w:rsidRPr="007D157C" w:rsidRDefault="00564A67" w:rsidP="00564A67">
      <w:pPr>
        <w:ind w:right="-1"/>
        <w:jc w:val="center"/>
        <w:rPr>
          <w:rFonts w:ascii="Arial" w:hAnsi="Arial" w:cs="Arial"/>
        </w:rPr>
      </w:pPr>
      <w:r w:rsidRPr="008E3C08">
        <w:rPr>
          <w:rFonts w:ascii="Arial" w:hAnsi="Arial" w:cs="Arial"/>
          <w:noProof/>
        </w:rPr>
        <w:drawing>
          <wp:inline distT="0" distB="0" distL="0" distR="0" wp14:anchorId="40F9C7FF" wp14:editId="55D4A133">
            <wp:extent cx="4848447" cy="2190307"/>
            <wp:effectExtent l="0" t="0" r="9525" b="63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4519C0" w14:textId="2162359F" w:rsidR="00564A67" w:rsidRPr="00EF70A7" w:rsidRDefault="00564A67" w:rsidP="00EF70A7">
      <w:pPr>
        <w:spacing w:line="480" w:lineRule="auto"/>
        <w:ind w:right="-1"/>
        <w:jc w:val="center"/>
        <w:rPr>
          <w:rFonts w:ascii="Arial" w:hAnsi="Arial" w:cs="Arial"/>
          <w:sz w:val="22"/>
          <w:szCs w:val="22"/>
        </w:rPr>
      </w:pPr>
      <w:r w:rsidRPr="00EF70A7">
        <w:rPr>
          <w:rFonts w:ascii="Arial" w:hAnsi="Arial" w:cs="Arial"/>
          <w:i/>
          <w:iCs/>
          <w:sz w:val="22"/>
          <w:szCs w:val="22"/>
        </w:rPr>
        <w:t>Figure 3</w:t>
      </w:r>
      <w:r w:rsidR="00EF70A7" w:rsidRPr="00EF70A7">
        <w:rPr>
          <w:rFonts w:ascii="Arial" w:hAnsi="Arial" w:cs="Arial"/>
          <w:i/>
          <w:iCs/>
          <w:sz w:val="22"/>
          <w:szCs w:val="22"/>
        </w:rPr>
        <w:t>:</w:t>
      </w:r>
      <w:r w:rsidRPr="00EF70A7">
        <w:rPr>
          <w:rFonts w:ascii="Arial" w:hAnsi="Arial" w:cs="Arial"/>
          <w:sz w:val="22"/>
          <w:szCs w:val="22"/>
        </w:rPr>
        <w:t xml:space="preserve"> Students attainment for PO1/CO1 and PO3/CO2</w:t>
      </w:r>
    </w:p>
    <w:p w14:paraId="0C129426" w14:textId="5F0DFC05" w:rsidR="00564A67" w:rsidRDefault="00564A67" w:rsidP="00564A67">
      <w:pPr>
        <w:spacing w:line="480" w:lineRule="auto"/>
        <w:ind w:right="-1"/>
        <w:rPr>
          <w:rFonts w:ascii="Arial" w:hAnsi="Arial" w:cs="Arial"/>
          <w:sz w:val="22"/>
          <w:szCs w:val="22"/>
        </w:rPr>
      </w:pPr>
    </w:p>
    <w:p w14:paraId="6CAE1162" w14:textId="5C69DD88" w:rsidR="00564A67" w:rsidRPr="00564A67" w:rsidRDefault="00564A67" w:rsidP="00564A67">
      <w:pPr>
        <w:spacing w:after="100" w:afterAutospacing="1" w:line="480" w:lineRule="auto"/>
        <w:ind w:right="-1"/>
        <w:outlineLvl w:val="2"/>
        <w:rPr>
          <w:rFonts w:ascii="Arial" w:eastAsia="Times New Roman" w:hAnsi="Arial" w:cs="Arial"/>
          <w:b/>
          <w:bCs/>
          <w:sz w:val="22"/>
          <w:szCs w:val="22"/>
          <w:lang w:eastAsia="en-MY"/>
        </w:rPr>
      </w:pPr>
      <w:r w:rsidRPr="00564A67">
        <w:rPr>
          <w:rFonts w:ascii="Arial" w:eastAsia="Times New Roman" w:hAnsi="Arial" w:cs="Arial"/>
          <w:b/>
          <w:bCs/>
          <w:sz w:val="22"/>
          <w:szCs w:val="22"/>
          <w:lang w:eastAsia="en-MY"/>
        </w:rPr>
        <w:lastRenderedPageBreak/>
        <w:t>4.0 CONCLUSION</w:t>
      </w:r>
    </w:p>
    <w:p w14:paraId="23B86891" w14:textId="27663DDB" w:rsidR="009553C0" w:rsidRPr="00952ACD" w:rsidRDefault="00564A67" w:rsidP="00952ACD">
      <w:pPr>
        <w:spacing w:after="100" w:afterAutospacing="1" w:line="480" w:lineRule="auto"/>
        <w:ind w:right="-1" w:firstLine="720"/>
        <w:outlineLvl w:val="2"/>
        <w:rPr>
          <w:rFonts w:ascii="Arial" w:eastAsia="Times New Roman" w:hAnsi="Arial" w:cs="Arial"/>
          <w:sz w:val="22"/>
          <w:szCs w:val="22"/>
          <w:lang w:eastAsia="en-MY"/>
        </w:rPr>
      </w:pPr>
      <w:r w:rsidRPr="00564A67">
        <w:rPr>
          <w:rFonts w:ascii="Arial" w:hAnsi="Arial" w:cs="Arial"/>
          <w:sz w:val="22"/>
          <w:szCs w:val="22"/>
        </w:rPr>
        <w:t xml:space="preserve">This study examined the impact of rebalancing the weightage between tests and assignments on student performance in a Soil Engineering course. The findings indicate that increasing the emphasis on assignments significantly reduced failure rates, particularly benefiting students who may underperform in traditional test-based assessments. The results underscore the </w:t>
      </w:r>
      <w:r w:rsidRPr="009765D6">
        <w:rPr>
          <w:rStyle w:val="Strong"/>
          <w:rFonts w:ascii="Arial" w:hAnsi="Arial" w:cs="Arial"/>
          <w:b w:val="0"/>
          <w:bCs w:val="0"/>
          <w:sz w:val="22"/>
          <w:szCs w:val="22"/>
        </w:rPr>
        <w:t>educational value</w:t>
      </w:r>
      <w:r w:rsidRPr="00564A67">
        <w:rPr>
          <w:rFonts w:ascii="Arial" w:hAnsi="Arial" w:cs="Arial"/>
          <w:sz w:val="22"/>
          <w:szCs w:val="22"/>
        </w:rPr>
        <w:t xml:space="preserve"> of incorporating continuous assessment strategies that align with students’ diverse learning styles and competencies. This rebalanced approach not only enhances academic outcomes but also promotes a more inclusive and supportive learning environment. Future research should explore the long-term effects of such assessment strategies across different engineering disciplines and investigate the interplay between assignment quality, student engagement, and learning outcomes.</w:t>
      </w:r>
    </w:p>
    <w:p w14:paraId="749045A9" w14:textId="2B286F7C" w:rsidR="009553C0" w:rsidRDefault="00952ACD">
      <w:pPr>
        <w:spacing w:line="480" w:lineRule="auto"/>
        <w:jc w:val="left"/>
        <w:rPr>
          <w:rFonts w:ascii="Arial" w:eastAsia="Arial" w:hAnsi="Arial" w:cs="Arial"/>
          <w:b/>
          <w:sz w:val="22"/>
          <w:szCs w:val="22"/>
        </w:rPr>
      </w:pPr>
      <w:proofErr w:type="gramStart"/>
      <w:r>
        <w:rPr>
          <w:rFonts w:ascii="Arial" w:eastAsia="Arial" w:hAnsi="Arial" w:cs="Arial"/>
          <w:b/>
          <w:sz w:val="22"/>
          <w:szCs w:val="22"/>
        </w:rPr>
        <w:t>5</w:t>
      </w:r>
      <w:r w:rsidR="0070025C">
        <w:rPr>
          <w:rFonts w:ascii="Arial" w:eastAsia="Arial" w:hAnsi="Arial" w:cs="Arial"/>
          <w:b/>
          <w:sz w:val="22"/>
          <w:szCs w:val="22"/>
        </w:rPr>
        <w:t>.0  REFERENCES</w:t>
      </w:r>
      <w:proofErr w:type="gramEnd"/>
      <w:r w:rsidR="0070025C">
        <w:rPr>
          <w:rFonts w:ascii="Arial" w:eastAsia="Arial" w:hAnsi="Arial" w:cs="Arial"/>
          <w:b/>
          <w:sz w:val="22"/>
          <w:szCs w:val="22"/>
        </w:rPr>
        <w:t xml:space="preserve"> </w:t>
      </w:r>
    </w:p>
    <w:p w14:paraId="2A825047" w14:textId="689956DE"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proofErr w:type="spellStart"/>
      <w:r w:rsidRPr="00564A67">
        <w:rPr>
          <w:rFonts w:ascii="Arial" w:eastAsia="Times New Roman" w:hAnsi="Arial" w:cs="Arial"/>
          <w:sz w:val="22"/>
          <w:szCs w:val="22"/>
          <w:lang w:eastAsia="en-MY"/>
        </w:rPr>
        <w:t>Alruwais</w:t>
      </w:r>
      <w:proofErr w:type="spellEnd"/>
      <w:r w:rsidRPr="00564A67">
        <w:rPr>
          <w:rFonts w:ascii="Arial" w:eastAsia="Times New Roman" w:hAnsi="Arial" w:cs="Arial"/>
          <w:sz w:val="22"/>
          <w:szCs w:val="22"/>
          <w:lang w:eastAsia="en-MY"/>
        </w:rPr>
        <w:t xml:space="preserve">, N., Wills, G. &amp; Wald, M. (2018). Advantages and challenges of using e-assessment. </w:t>
      </w:r>
      <w:r w:rsidRPr="00564A67">
        <w:rPr>
          <w:rFonts w:ascii="Arial" w:eastAsia="Times New Roman" w:hAnsi="Arial" w:cs="Arial"/>
          <w:i/>
          <w:iCs/>
          <w:sz w:val="22"/>
          <w:szCs w:val="22"/>
          <w:lang w:eastAsia="en-MY"/>
        </w:rPr>
        <w:t>International Journal of Information and Education Technology</w:t>
      </w:r>
      <w:r w:rsidRPr="00564A67">
        <w:rPr>
          <w:rFonts w:ascii="Arial" w:eastAsia="Times New Roman" w:hAnsi="Arial" w:cs="Arial"/>
          <w:sz w:val="22"/>
          <w:szCs w:val="22"/>
          <w:lang w:eastAsia="en-MY"/>
        </w:rPr>
        <w:t>, 10(1), 34–37. https://doi.org/10.18178/ijiet.2020.10.1.1338</w:t>
      </w:r>
    </w:p>
    <w:p w14:paraId="644E7042"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30358438" w14:textId="5DA67849"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proofErr w:type="spellStart"/>
      <w:r w:rsidRPr="00564A67">
        <w:rPr>
          <w:rFonts w:ascii="Arial" w:eastAsia="Times New Roman" w:hAnsi="Arial" w:cs="Arial"/>
          <w:sz w:val="22"/>
          <w:szCs w:val="22"/>
          <w:lang w:eastAsia="en-MY"/>
        </w:rPr>
        <w:t>Bazvand</w:t>
      </w:r>
      <w:proofErr w:type="spellEnd"/>
      <w:r w:rsidRPr="00564A67">
        <w:rPr>
          <w:rFonts w:ascii="Arial" w:eastAsia="Times New Roman" w:hAnsi="Arial" w:cs="Arial"/>
          <w:sz w:val="22"/>
          <w:szCs w:val="22"/>
          <w:lang w:eastAsia="en-MY"/>
        </w:rPr>
        <w:t xml:space="preserve">, A. D. &amp; </w:t>
      </w:r>
      <w:proofErr w:type="spellStart"/>
      <w:r w:rsidRPr="00564A67">
        <w:rPr>
          <w:rFonts w:ascii="Arial" w:eastAsia="Times New Roman" w:hAnsi="Arial" w:cs="Arial"/>
          <w:sz w:val="22"/>
          <w:szCs w:val="22"/>
          <w:lang w:eastAsia="en-MY"/>
        </w:rPr>
        <w:t>Rasooli</w:t>
      </w:r>
      <w:proofErr w:type="spellEnd"/>
      <w:r w:rsidRPr="00564A67">
        <w:rPr>
          <w:rFonts w:ascii="Arial" w:eastAsia="Times New Roman" w:hAnsi="Arial" w:cs="Arial"/>
          <w:sz w:val="22"/>
          <w:szCs w:val="22"/>
          <w:lang w:eastAsia="en-MY"/>
        </w:rPr>
        <w:t xml:space="preserve">, A. (2022). Students’ experiences of fairness in summative assessment: A study in a higher education context. </w:t>
      </w:r>
      <w:r w:rsidRPr="00564A67">
        <w:rPr>
          <w:rFonts w:ascii="Arial" w:eastAsia="Times New Roman" w:hAnsi="Arial" w:cs="Arial"/>
          <w:i/>
          <w:iCs/>
          <w:sz w:val="22"/>
          <w:szCs w:val="22"/>
          <w:lang w:eastAsia="en-MY"/>
        </w:rPr>
        <w:t>Studies in Educational Evaluation</w:t>
      </w:r>
      <w:r w:rsidRPr="00564A67">
        <w:rPr>
          <w:rFonts w:ascii="Arial" w:eastAsia="Times New Roman" w:hAnsi="Arial" w:cs="Arial"/>
          <w:sz w:val="22"/>
          <w:szCs w:val="22"/>
          <w:lang w:eastAsia="en-MY"/>
        </w:rPr>
        <w:t>, 72, 101118. https://doi.org/10.1016/j.stueduc.2021.101118</w:t>
      </w:r>
    </w:p>
    <w:p w14:paraId="101E35EF"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7207C047" w14:textId="3E9ABF2C"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r w:rsidRPr="00564A67">
        <w:rPr>
          <w:rFonts w:ascii="Arial" w:eastAsia="Times New Roman" w:hAnsi="Arial" w:cs="Arial"/>
          <w:sz w:val="22"/>
          <w:szCs w:val="22"/>
          <w:lang w:eastAsia="en-MY"/>
        </w:rPr>
        <w:t>Black, P.</w:t>
      </w:r>
      <w:r w:rsidR="00D839B1">
        <w:rPr>
          <w:rFonts w:ascii="Arial" w:eastAsia="Times New Roman" w:hAnsi="Arial" w:cs="Arial"/>
          <w:sz w:val="22"/>
          <w:szCs w:val="22"/>
          <w:lang w:eastAsia="en-MY"/>
        </w:rPr>
        <w:t xml:space="preserve"> </w:t>
      </w:r>
      <w:r w:rsidRPr="00564A67">
        <w:rPr>
          <w:rFonts w:ascii="Arial" w:eastAsia="Times New Roman" w:hAnsi="Arial" w:cs="Arial"/>
          <w:sz w:val="22"/>
          <w:szCs w:val="22"/>
          <w:lang w:eastAsia="en-MY"/>
        </w:rPr>
        <w:t xml:space="preserve">&amp; </w:t>
      </w:r>
      <w:proofErr w:type="spellStart"/>
      <w:r w:rsidRPr="00564A67">
        <w:rPr>
          <w:rFonts w:ascii="Arial" w:eastAsia="Times New Roman" w:hAnsi="Arial" w:cs="Arial"/>
          <w:sz w:val="22"/>
          <w:szCs w:val="22"/>
          <w:lang w:eastAsia="en-MY"/>
        </w:rPr>
        <w:t>Wiliam</w:t>
      </w:r>
      <w:proofErr w:type="spellEnd"/>
      <w:r w:rsidRPr="00564A67">
        <w:rPr>
          <w:rFonts w:ascii="Arial" w:eastAsia="Times New Roman" w:hAnsi="Arial" w:cs="Arial"/>
          <w:sz w:val="22"/>
          <w:szCs w:val="22"/>
          <w:lang w:eastAsia="en-MY"/>
        </w:rPr>
        <w:t xml:space="preserve">, D. (1998). Assessment and classroom learning. </w:t>
      </w:r>
      <w:r w:rsidRPr="00D839B1">
        <w:rPr>
          <w:rFonts w:ascii="Arial" w:eastAsia="Times New Roman" w:hAnsi="Arial" w:cs="Arial"/>
          <w:i/>
          <w:iCs/>
          <w:sz w:val="22"/>
          <w:szCs w:val="22"/>
          <w:lang w:eastAsia="en-MY"/>
        </w:rPr>
        <w:t>Assessment in Education: Principles, Policy &amp; Practice</w:t>
      </w:r>
      <w:r w:rsidRPr="00564A67">
        <w:rPr>
          <w:rFonts w:ascii="Arial" w:eastAsia="Times New Roman" w:hAnsi="Arial" w:cs="Arial"/>
          <w:sz w:val="22"/>
          <w:szCs w:val="22"/>
          <w:lang w:eastAsia="en-MY"/>
        </w:rPr>
        <w:t>, 5(1), 7–74. https://doi.org/10.1080/0969595980050102</w:t>
      </w:r>
    </w:p>
    <w:p w14:paraId="2E685550"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739D98BB" w14:textId="4C331904"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r w:rsidRPr="00EF70A7">
        <w:rPr>
          <w:rFonts w:ascii="Arial" w:eastAsia="Times New Roman" w:hAnsi="Arial" w:cs="Arial"/>
          <w:sz w:val="22"/>
          <w:szCs w:val="22"/>
          <w:lang w:eastAsia="en-MY"/>
        </w:rPr>
        <w:lastRenderedPageBreak/>
        <w:t>Chand, S.</w:t>
      </w:r>
      <w:r w:rsidR="00D839B1" w:rsidRPr="00EF70A7">
        <w:rPr>
          <w:rFonts w:ascii="Arial" w:eastAsia="Times New Roman" w:hAnsi="Arial" w:cs="Arial"/>
          <w:sz w:val="22"/>
          <w:szCs w:val="22"/>
          <w:lang w:eastAsia="en-MY"/>
        </w:rPr>
        <w:t xml:space="preserve"> </w:t>
      </w:r>
      <w:r w:rsidRPr="00EF70A7">
        <w:rPr>
          <w:rFonts w:ascii="Arial" w:eastAsia="Times New Roman" w:hAnsi="Arial" w:cs="Arial"/>
          <w:sz w:val="22"/>
          <w:szCs w:val="22"/>
          <w:lang w:eastAsia="en-MY"/>
        </w:rPr>
        <w:t xml:space="preserve">&amp; Pillay, K. </w:t>
      </w:r>
      <w:r w:rsidRPr="00564A67">
        <w:rPr>
          <w:rFonts w:ascii="Arial" w:eastAsia="Times New Roman" w:hAnsi="Arial" w:cs="Arial"/>
          <w:sz w:val="22"/>
          <w:szCs w:val="22"/>
          <w:lang w:eastAsia="en-MY"/>
        </w:rPr>
        <w:t xml:space="preserve">(2024). Understanding the fundamental differences between formative and summative assessment. </w:t>
      </w:r>
      <w:r w:rsidR="00D839B1" w:rsidRPr="00D839B1">
        <w:rPr>
          <w:rFonts w:ascii="Arial" w:eastAsia="Times New Roman" w:hAnsi="Arial" w:cs="Arial"/>
          <w:i/>
          <w:iCs/>
          <w:sz w:val="22"/>
          <w:szCs w:val="22"/>
          <w:lang w:eastAsia="en-MY"/>
        </w:rPr>
        <w:t>Global Scientific and Academic Research Journal of Education and Literature</w:t>
      </w:r>
      <w:r w:rsidRPr="00564A67">
        <w:rPr>
          <w:rFonts w:ascii="Arial" w:eastAsia="Times New Roman" w:hAnsi="Arial" w:cs="Arial"/>
          <w:sz w:val="22"/>
          <w:szCs w:val="22"/>
          <w:lang w:eastAsia="en-MY"/>
        </w:rPr>
        <w:t>, 2, 6–9.</w:t>
      </w:r>
    </w:p>
    <w:p w14:paraId="7FF92063"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135C69E2" w14:textId="23A60B27"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proofErr w:type="spellStart"/>
      <w:r w:rsidRPr="00564A67">
        <w:rPr>
          <w:rFonts w:ascii="Arial" w:eastAsia="Times New Roman" w:hAnsi="Arial" w:cs="Arial"/>
          <w:sz w:val="22"/>
          <w:szCs w:val="22"/>
          <w:lang w:eastAsia="en-MY"/>
        </w:rPr>
        <w:t>Ferdinal</w:t>
      </w:r>
      <w:proofErr w:type="spellEnd"/>
      <w:r w:rsidRPr="00564A67">
        <w:rPr>
          <w:rFonts w:ascii="Arial" w:eastAsia="Times New Roman" w:hAnsi="Arial" w:cs="Arial"/>
          <w:sz w:val="22"/>
          <w:szCs w:val="22"/>
          <w:lang w:eastAsia="en-MY"/>
        </w:rPr>
        <w:t xml:space="preserve"> &amp; </w:t>
      </w:r>
      <w:proofErr w:type="spellStart"/>
      <w:r w:rsidRPr="00564A67">
        <w:rPr>
          <w:rFonts w:ascii="Arial" w:eastAsia="Times New Roman" w:hAnsi="Arial" w:cs="Arial"/>
          <w:sz w:val="22"/>
          <w:szCs w:val="22"/>
          <w:lang w:eastAsia="en-MY"/>
        </w:rPr>
        <w:t>Isramirawat</w:t>
      </w:r>
      <w:proofErr w:type="spellEnd"/>
      <w:r w:rsidRPr="00564A67">
        <w:rPr>
          <w:rFonts w:ascii="Arial" w:eastAsia="Times New Roman" w:hAnsi="Arial" w:cs="Arial"/>
          <w:sz w:val="22"/>
          <w:szCs w:val="22"/>
          <w:lang w:eastAsia="en-MY"/>
        </w:rPr>
        <w:t xml:space="preserve">. (2021). The impact of formative assessment on students' academic achievement: A case study of English students of Faculty of Humanities, </w:t>
      </w:r>
      <w:proofErr w:type="spellStart"/>
      <w:r w:rsidRPr="00564A67">
        <w:rPr>
          <w:rFonts w:ascii="Arial" w:eastAsia="Times New Roman" w:hAnsi="Arial" w:cs="Arial"/>
          <w:sz w:val="22"/>
          <w:szCs w:val="22"/>
          <w:lang w:eastAsia="en-MY"/>
        </w:rPr>
        <w:t>Andalas</w:t>
      </w:r>
      <w:proofErr w:type="spellEnd"/>
      <w:r w:rsidRPr="00564A67">
        <w:rPr>
          <w:rFonts w:ascii="Arial" w:eastAsia="Times New Roman" w:hAnsi="Arial" w:cs="Arial"/>
          <w:sz w:val="22"/>
          <w:szCs w:val="22"/>
          <w:lang w:eastAsia="en-MY"/>
        </w:rPr>
        <w:t xml:space="preserve"> University, Padang, Indonesia. </w:t>
      </w:r>
      <w:r w:rsidRPr="00D839B1">
        <w:rPr>
          <w:rFonts w:ascii="Arial" w:eastAsia="Times New Roman" w:hAnsi="Arial" w:cs="Arial"/>
          <w:i/>
          <w:iCs/>
          <w:sz w:val="22"/>
          <w:szCs w:val="22"/>
          <w:lang w:eastAsia="en-MY"/>
        </w:rPr>
        <w:t>Journal of English Language Teaching</w:t>
      </w:r>
      <w:r w:rsidRPr="00564A67">
        <w:rPr>
          <w:rFonts w:ascii="Arial" w:eastAsia="Times New Roman" w:hAnsi="Arial" w:cs="Arial"/>
          <w:sz w:val="22"/>
          <w:szCs w:val="22"/>
          <w:lang w:eastAsia="en-MY"/>
        </w:rPr>
        <w:t>, 10(1), 45–53. https://doi.org/10.24036/jelt.v10i1.112721</w:t>
      </w:r>
    </w:p>
    <w:p w14:paraId="5B56B693"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28A71D70" w14:textId="77777777"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proofErr w:type="spellStart"/>
      <w:r w:rsidRPr="00564A67">
        <w:rPr>
          <w:rFonts w:ascii="Arial" w:eastAsia="Times New Roman" w:hAnsi="Arial" w:cs="Arial"/>
          <w:sz w:val="22"/>
          <w:szCs w:val="22"/>
          <w:lang w:eastAsia="en-MY"/>
        </w:rPr>
        <w:t>Guskey</w:t>
      </w:r>
      <w:proofErr w:type="spellEnd"/>
      <w:r w:rsidRPr="00564A67">
        <w:rPr>
          <w:rFonts w:ascii="Arial" w:eastAsia="Times New Roman" w:hAnsi="Arial" w:cs="Arial"/>
          <w:sz w:val="22"/>
          <w:szCs w:val="22"/>
          <w:lang w:eastAsia="en-MY"/>
        </w:rPr>
        <w:t xml:space="preserve">, T. R. (2020). Summative and formative evaluations in the process of teacher change. </w:t>
      </w:r>
      <w:r w:rsidRPr="00D839B1">
        <w:rPr>
          <w:rFonts w:ascii="Arial" w:eastAsia="Times New Roman" w:hAnsi="Arial" w:cs="Arial"/>
          <w:i/>
          <w:iCs/>
          <w:sz w:val="22"/>
          <w:szCs w:val="22"/>
          <w:lang w:eastAsia="en-MY"/>
        </w:rPr>
        <w:t>Educational Measurement: Issues and Practice</w:t>
      </w:r>
      <w:r w:rsidRPr="00564A67">
        <w:rPr>
          <w:rFonts w:ascii="Arial" w:eastAsia="Times New Roman" w:hAnsi="Arial" w:cs="Arial"/>
          <w:sz w:val="22"/>
          <w:szCs w:val="22"/>
          <w:lang w:eastAsia="en-MY"/>
        </w:rPr>
        <w:t>, 39(3), 38–44.</w:t>
      </w:r>
    </w:p>
    <w:p w14:paraId="2E212B14"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497E6C7E" w14:textId="77777777"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proofErr w:type="spellStart"/>
      <w:r w:rsidRPr="00564A67">
        <w:rPr>
          <w:rFonts w:ascii="Arial" w:eastAsia="Times New Roman" w:hAnsi="Arial" w:cs="Arial"/>
          <w:sz w:val="22"/>
          <w:szCs w:val="22"/>
          <w:lang w:eastAsia="en-MY"/>
        </w:rPr>
        <w:t>Harlen</w:t>
      </w:r>
      <w:proofErr w:type="spellEnd"/>
      <w:r w:rsidRPr="00564A67">
        <w:rPr>
          <w:rFonts w:ascii="Arial" w:eastAsia="Times New Roman" w:hAnsi="Arial" w:cs="Arial"/>
          <w:sz w:val="22"/>
          <w:szCs w:val="22"/>
          <w:lang w:eastAsia="en-MY"/>
        </w:rPr>
        <w:t xml:space="preserve">, W. (2021). Assessment: Summative and formative approaches. </w:t>
      </w:r>
      <w:r w:rsidRPr="00D839B1">
        <w:rPr>
          <w:rFonts w:ascii="Arial" w:eastAsia="Times New Roman" w:hAnsi="Arial" w:cs="Arial"/>
          <w:i/>
          <w:iCs/>
          <w:sz w:val="22"/>
          <w:szCs w:val="22"/>
          <w:lang w:eastAsia="en-MY"/>
        </w:rPr>
        <w:t>Educational Leadership</w:t>
      </w:r>
      <w:r w:rsidRPr="00564A67">
        <w:rPr>
          <w:rFonts w:ascii="Arial" w:eastAsia="Times New Roman" w:hAnsi="Arial" w:cs="Arial"/>
          <w:sz w:val="22"/>
          <w:szCs w:val="22"/>
          <w:lang w:eastAsia="en-MY"/>
        </w:rPr>
        <w:t>, 78(6), 15–20.</w:t>
      </w:r>
    </w:p>
    <w:p w14:paraId="1214E987"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474FAC05" w14:textId="5F538F1C"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r w:rsidRPr="00564A67">
        <w:rPr>
          <w:rFonts w:ascii="Arial" w:eastAsia="Times New Roman" w:hAnsi="Arial" w:cs="Arial"/>
          <w:sz w:val="22"/>
          <w:szCs w:val="22"/>
          <w:lang w:eastAsia="en-MY"/>
        </w:rPr>
        <w:t xml:space="preserve">Khan, M. A. &amp; Asif, M. (2023). Effects of project-based learning on students’ academic achievement in the subject of social studies at the elementary level. </w:t>
      </w:r>
      <w:r w:rsidRPr="00D839B1">
        <w:rPr>
          <w:rFonts w:ascii="Arial" w:eastAsia="Times New Roman" w:hAnsi="Arial" w:cs="Arial"/>
          <w:i/>
          <w:iCs/>
          <w:sz w:val="22"/>
          <w:szCs w:val="22"/>
          <w:lang w:eastAsia="en-MY"/>
        </w:rPr>
        <w:t>CARC Research in Social Sciences</w:t>
      </w:r>
      <w:r w:rsidRPr="00564A67">
        <w:rPr>
          <w:rFonts w:ascii="Arial" w:eastAsia="Times New Roman" w:hAnsi="Arial" w:cs="Arial"/>
          <w:sz w:val="22"/>
          <w:szCs w:val="22"/>
          <w:lang w:eastAsia="en-MY"/>
        </w:rPr>
        <w:t>, 2(4). https://doi.org/10.58329/criss.v2i4.88</w:t>
      </w:r>
    </w:p>
    <w:p w14:paraId="56871CB3"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1864D38D" w14:textId="7B3AFF83"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proofErr w:type="spellStart"/>
      <w:r w:rsidRPr="00564A67">
        <w:rPr>
          <w:rFonts w:ascii="Arial" w:eastAsia="Times New Roman" w:hAnsi="Arial" w:cs="Arial"/>
          <w:sz w:val="22"/>
          <w:szCs w:val="22"/>
          <w:lang w:eastAsia="en-MY"/>
        </w:rPr>
        <w:t>Mohameed</w:t>
      </w:r>
      <w:proofErr w:type="spellEnd"/>
      <w:r w:rsidRPr="00564A67">
        <w:rPr>
          <w:rFonts w:ascii="Arial" w:eastAsia="Times New Roman" w:hAnsi="Arial" w:cs="Arial"/>
          <w:sz w:val="22"/>
          <w:szCs w:val="22"/>
          <w:lang w:eastAsia="en-MY"/>
        </w:rPr>
        <w:t xml:space="preserve">, R. O. &amp; </w:t>
      </w:r>
      <w:proofErr w:type="spellStart"/>
      <w:r w:rsidRPr="00564A67">
        <w:rPr>
          <w:rFonts w:ascii="Arial" w:eastAsia="Times New Roman" w:hAnsi="Arial" w:cs="Arial"/>
          <w:sz w:val="22"/>
          <w:szCs w:val="22"/>
          <w:lang w:eastAsia="en-MY"/>
        </w:rPr>
        <w:t>Fratta</w:t>
      </w:r>
      <w:proofErr w:type="spellEnd"/>
      <w:r w:rsidRPr="00564A67">
        <w:rPr>
          <w:rFonts w:ascii="Arial" w:eastAsia="Times New Roman" w:hAnsi="Arial" w:cs="Arial"/>
          <w:sz w:val="22"/>
          <w:szCs w:val="22"/>
          <w:lang w:eastAsia="en-MY"/>
        </w:rPr>
        <w:t>, D. (2024). Critical evaluation of students’ learning in a soil mechanics course. In Proceedings of the 17th Pan-American Conference on Soil Mechanics and Geotechnical Engineering (XVII PCSMGE), and 2nd Latin-American Regional Conference of the International Association for Engineering Geology and the Environment (IAEG).</w:t>
      </w:r>
    </w:p>
    <w:p w14:paraId="6F147780"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7F395AF0" w14:textId="060085A9"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r w:rsidRPr="00564A67">
        <w:rPr>
          <w:rFonts w:ascii="Arial" w:eastAsia="Times New Roman" w:hAnsi="Arial" w:cs="Arial"/>
          <w:sz w:val="22"/>
          <w:szCs w:val="22"/>
          <w:lang w:eastAsia="en-MY"/>
        </w:rPr>
        <w:t>Muhammad</w:t>
      </w:r>
      <w:r w:rsidR="00D839B1">
        <w:rPr>
          <w:rFonts w:ascii="Arial" w:eastAsia="Times New Roman" w:hAnsi="Arial" w:cs="Arial"/>
          <w:sz w:val="22"/>
          <w:szCs w:val="22"/>
          <w:lang w:eastAsia="en-MY"/>
        </w:rPr>
        <w:t>,</w:t>
      </w:r>
      <w:r w:rsidRPr="00564A67">
        <w:rPr>
          <w:rFonts w:ascii="Arial" w:eastAsia="Times New Roman" w:hAnsi="Arial" w:cs="Arial"/>
          <w:sz w:val="22"/>
          <w:szCs w:val="22"/>
          <w:lang w:eastAsia="en-MY"/>
        </w:rPr>
        <w:t xml:space="preserve"> N</w:t>
      </w:r>
      <w:r w:rsidR="00D839B1">
        <w:rPr>
          <w:rFonts w:ascii="Arial" w:eastAsia="Times New Roman" w:hAnsi="Arial" w:cs="Arial"/>
          <w:sz w:val="22"/>
          <w:szCs w:val="22"/>
          <w:lang w:eastAsia="en-MY"/>
        </w:rPr>
        <w:t>. N.</w:t>
      </w:r>
      <w:r w:rsidRPr="00564A67">
        <w:rPr>
          <w:rFonts w:ascii="Arial" w:eastAsia="Times New Roman" w:hAnsi="Arial" w:cs="Arial"/>
          <w:sz w:val="22"/>
          <w:szCs w:val="22"/>
          <w:lang w:eastAsia="en-MY"/>
        </w:rPr>
        <w:t xml:space="preserve"> &amp; Fareed, N. (2024). Teachers’ perspective towards assessment techniques: Balancing formative and summative approaches at secondary level. </w:t>
      </w:r>
      <w:r w:rsidRPr="00D839B1">
        <w:rPr>
          <w:rFonts w:ascii="Arial" w:eastAsia="Times New Roman" w:hAnsi="Arial" w:cs="Arial"/>
          <w:i/>
          <w:iCs/>
          <w:sz w:val="22"/>
          <w:szCs w:val="22"/>
          <w:lang w:eastAsia="en-MY"/>
        </w:rPr>
        <w:lastRenderedPageBreak/>
        <w:t>Journal of Development and Social Sciences,</w:t>
      </w:r>
      <w:r w:rsidRPr="00564A67">
        <w:rPr>
          <w:rFonts w:ascii="Arial" w:eastAsia="Times New Roman" w:hAnsi="Arial" w:cs="Arial"/>
          <w:sz w:val="22"/>
          <w:szCs w:val="22"/>
          <w:lang w:eastAsia="en-MY"/>
        </w:rPr>
        <w:t xml:space="preserve"> 5,</w:t>
      </w:r>
      <w:r w:rsidR="00D839B1">
        <w:rPr>
          <w:rFonts w:ascii="Arial" w:eastAsia="Times New Roman" w:hAnsi="Arial" w:cs="Arial"/>
          <w:sz w:val="22"/>
          <w:szCs w:val="22"/>
          <w:lang w:eastAsia="en-MY"/>
        </w:rPr>
        <w:t xml:space="preserve"> </w:t>
      </w:r>
      <w:r w:rsidRPr="00564A67">
        <w:rPr>
          <w:rFonts w:ascii="Arial" w:eastAsia="Times New Roman" w:hAnsi="Arial" w:cs="Arial"/>
          <w:sz w:val="22"/>
          <w:szCs w:val="22"/>
          <w:lang w:eastAsia="en-MY"/>
        </w:rPr>
        <w:t>411–426. https://doi.org/10.47205/jdss.2024(5-III)37</w:t>
      </w:r>
    </w:p>
    <w:p w14:paraId="5662A9B0"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2214B28F" w14:textId="5D14534C" w:rsidR="00564A67" w:rsidRDefault="00564A67" w:rsidP="00564A67">
      <w:pPr>
        <w:widowControl/>
        <w:spacing w:line="480" w:lineRule="auto"/>
        <w:ind w:left="720" w:right="-1"/>
        <w:outlineLvl w:val="2"/>
        <w:rPr>
          <w:rFonts w:ascii="Arial" w:eastAsia="Times New Roman" w:hAnsi="Arial" w:cs="Arial"/>
          <w:sz w:val="22"/>
          <w:szCs w:val="22"/>
          <w:lang w:eastAsia="en-MY"/>
        </w:rPr>
      </w:pPr>
      <w:r w:rsidRPr="00564A67">
        <w:rPr>
          <w:rFonts w:ascii="Arial" w:eastAsia="Times New Roman" w:hAnsi="Arial" w:cs="Arial"/>
          <w:sz w:val="22"/>
          <w:szCs w:val="22"/>
          <w:lang w:val="fi-FI" w:eastAsia="en-MY"/>
        </w:rPr>
        <w:t xml:space="preserve">Papadakis, S., Kalogiannakis, M. &amp; Zaranis, N. (2021). </w:t>
      </w:r>
      <w:r w:rsidRPr="00564A67">
        <w:rPr>
          <w:rFonts w:ascii="Arial" w:eastAsia="Times New Roman" w:hAnsi="Arial" w:cs="Arial"/>
          <w:sz w:val="22"/>
          <w:szCs w:val="22"/>
          <w:lang w:eastAsia="en-MY"/>
        </w:rPr>
        <w:t xml:space="preserve">The effectiveness of computer-based learning in improving students' academic achievement in mathematics. </w:t>
      </w:r>
      <w:r w:rsidRPr="00D839B1">
        <w:rPr>
          <w:rFonts w:ascii="Arial" w:eastAsia="Times New Roman" w:hAnsi="Arial" w:cs="Arial"/>
          <w:i/>
          <w:iCs/>
          <w:sz w:val="22"/>
          <w:szCs w:val="22"/>
          <w:lang w:eastAsia="en-MY"/>
        </w:rPr>
        <w:t>Education and Information Technologies</w:t>
      </w:r>
      <w:r w:rsidRPr="00564A67">
        <w:rPr>
          <w:rFonts w:ascii="Arial" w:eastAsia="Times New Roman" w:hAnsi="Arial" w:cs="Arial"/>
          <w:sz w:val="22"/>
          <w:szCs w:val="22"/>
          <w:lang w:eastAsia="en-MY"/>
        </w:rPr>
        <w:t xml:space="preserve">, 26(1), 651–670. </w:t>
      </w:r>
      <w:hyperlink r:id="rId12" w:history="1">
        <w:r w:rsidRPr="00DC21F0">
          <w:rPr>
            <w:rStyle w:val="Hyperlink"/>
            <w:rFonts w:ascii="Arial" w:eastAsia="Times New Roman" w:hAnsi="Arial" w:cs="Arial"/>
            <w:sz w:val="22"/>
            <w:szCs w:val="22"/>
            <w:lang w:eastAsia="en-MY"/>
          </w:rPr>
          <w:t>https://doi.org/10.1007/s10639-020-10210-1</w:t>
        </w:r>
      </w:hyperlink>
    </w:p>
    <w:p w14:paraId="492C4EF2" w14:textId="77777777"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p>
    <w:p w14:paraId="0F12E7D3" w14:textId="77777777"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r w:rsidRPr="00564A67">
        <w:rPr>
          <w:rFonts w:ascii="Arial" w:eastAsia="Times New Roman" w:hAnsi="Arial" w:cs="Arial"/>
          <w:sz w:val="22"/>
          <w:szCs w:val="22"/>
          <w:lang w:eastAsia="en-MY"/>
        </w:rPr>
        <w:t xml:space="preserve">Shepard, L. A. (2020). Classroom assessment to support teaching and learning. </w:t>
      </w:r>
      <w:r w:rsidRPr="00D839B1">
        <w:rPr>
          <w:rFonts w:ascii="Arial" w:eastAsia="Times New Roman" w:hAnsi="Arial" w:cs="Arial"/>
          <w:i/>
          <w:iCs/>
          <w:sz w:val="22"/>
          <w:szCs w:val="22"/>
          <w:lang w:eastAsia="en-MY"/>
        </w:rPr>
        <w:t>The Future of Children</w:t>
      </w:r>
      <w:r w:rsidRPr="00564A67">
        <w:rPr>
          <w:rFonts w:ascii="Arial" w:eastAsia="Times New Roman" w:hAnsi="Arial" w:cs="Arial"/>
          <w:sz w:val="22"/>
          <w:szCs w:val="22"/>
          <w:lang w:eastAsia="en-MY"/>
        </w:rPr>
        <w:t>, 30(1), 29–46.</w:t>
      </w:r>
    </w:p>
    <w:p w14:paraId="63545541"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35578305" w14:textId="6FCC7F92" w:rsidR="00564A67" w:rsidRPr="00564A67" w:rsidRDefault="00564A67" w:rsidP="00564A67">
      <w:pPr>
        <w:widowControl/>
        <w:spacing w:line="480" w:lineRule="auto"/>
        <w:ind w:left="720" w:right="-1"/>
        <w:outlineLvl w:val="2"/>
        <w:rPr>
          <w:rFonts w:ascii="Arial" w:eastAsia="Times New Roman" w:hAnsi="Arial" w:cs="Arial"/>
          <w:sz w:val="22"/>
          <w:szCs w:val="22"/>
          <w:lang w:eastAsia="en-MY"/>
        </w:rPr>
      </w:pPr>
      <w:r w:rsidRPr="00564A67">
        <w:rPr>
          <w:rFonts w:ascii="Arial" w:eastAsia="Times New Roman" w:hAnsi="Arial" w:cs="Arial"/>
          <w:sz w:val="22"/>
          <w:szCs w:val="22"/>
          <w:lang w:eastAsia="en-MY"/>
        </w:rPr>
        <w:t xml:space="preserve">Siddiqui, A., Lashari, A. A. &amp; </w:t>
      </w:r>
      <w:proofErr w:type="spellStart"/>
      <w:r w:rsidRPr="00564A67">
        <w:rPr>
          <w:rFonts w:ascii="Arial" w:eastAsia="Times New Roman" w:hAnsi="Arial" w:cs="Arial"/>
          <w:sz w:val="22"/>
          <w:szCs w:val="22"/>
          <w:lang w:eastAsia="en-MY"/>
        </w:rPr>
        <w:t>Dahani</w:t>
      </w:r>
      <w:proofErr w:type="spellEnd"/>
      <w:r w:rsidRPr="00564A67">
        <w:rPr>
          <w:rFonts w:ascii="Arial" w:eastAsia="Times New Roman" w:hAnsi="Arial" w:cs="Arial"/>
          <w:sz w:val="22"/>
          <w:szCs w:val="22"/>
          <w:lang w:eastAsia="en-MY"/>
        </w:rPr>
        <w:t xml:space="preserve">, A. B. (2024). A critical appraisal on perspective relations between modernism and postmodernism: Highlighting the case of ELT pedagogical practices. </w:t>
      </w:r>
      <w:r w:rsidRPr="00D839B1">
        <w:rPr>
          <w:rFonts w:ascii="Arial" w:eastAsia="Times New Roman" w:hAnsi="Arial" w:cs="Arial"/>
          <w:i/>
          <w:iCs/>
          <w:sz w:val="22"/>
          <w:szCs w:val="22"/>
          <w:lang w:eastAsia="en-MY"/>
        </w:rPr>
        <w:t>Journal of Arts and Linguistics Studies</w:t>
      </w:r>
      <w:r w:rsidRPr="00564A67">
        <w:rPr>
          <w:rFonts w:ascii="Arial" w:eastAsia="Times New Roman" w:hAnsi="Arial" w:cs="Arial"/>
          <w:sz w:val="22"/>
          <w:szCs w:val="22"/>
          <w:lang w:eastAsia="en-MY"/>
        </w:rPr>
        <w:t>, 2(1), 325–341.</w:t>
      </w:r>
    </w:p>
    <w:p w14:paraId="794A1993"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2AC41689" w14:textId="1346F2A3" w:rsidR="00564A67" w:rsidRPr="00564A67" w:rsidRDefault="00564A67" w:rsidP="00564A67">
      <w:pPr>
        <w:widowControl/>
        <w:spacing w:line="480" w:lineRule="auto"/>
        <w:ind w:left="567" w:right="-1"/>
        <w:outlineLvl w:val="2"/>
        <w:rPr>
          <w:rFonts w:ascii="Arial" w:eastAsia="Times New Roman" w:hAnsi="Arial" w:cs="Arial"/>
          <w:sz w:val="22"/>
          <w:szCs w:val="22"/>
          <w:lang w:eastAsia="en-MY"/>
        </w:rPr>
      </w:pPr>
      <w:r w:rsidRPr="00564A67">
        <w:rPr>
          <w:rFonts w:ascii="Arial" w:eastAsia="Times New Roman" w:hAnsi="Arial" w:cs="Arial"/>
          <w:sz w:val="22"/>
          <w:szCs w:val="22"/>
          <w:lang w:eastAsia="en-MY"/>
        </w:rPr>
        <w:t xml:space="preserve">Suleiman, A. A. &amp; Alhassan, M. (2014). Integrated and effective assessment tool to evaluate engineering courses. </w:t>
      </w:r>
      <w:r w:rsidRPr="00D839B1">
        <w:rPr>
          <w:rFonts w:ascii="Arial" w:eastAsia="Times New Roman" w:hAnsi="Arial" w:cs="Arial"/>
          <w:i/>
          <w:iCs/>
          <w:sz w:val="22"/>
          <w:szCs w:val="22"/>
          <w:lang w:eastAsia="en-MY"/>
        </w:rPr>
        <w:t>American Society for Engineering Education</w:t>
      </w:r>
      <w:r w:rsidRPr="00564A67">
        <w:rPr>
          <w:rFonts w:ascii="Arial" w:eastAsia="Times New Roman" w:hAnsi="Arial" w:cs="Arial"/>
          <w:sz w:val="22"/>
          <w:szCs w:val="22"/>
          <w:lang w:eastAsia="en-MY"/>
        </w:rPr>
        <w:t>, 24.764.1.</w:t>
      </w:r>
    </w:p>
    <w:p w14:paraId="3FA1629B" w14:textId="77777777" w:rsidR="00564A67" w:rsidRPr="00564A67" w:rsidRDefault="00564A67" w:rsidP="00564A67">
      <w:pPr>
        <w:spacing w:line="480" w:lineRule="auto"/>
        <w:ind w:right="-1"/>
        <w:outlineLvl w:val="2"/>
        <w:rPr>
          <w:rFonts w:ascii="Arial" w:eastAsia="Times New Roman" w:hAnsi="Arial" w:cs="Arial"/>
          <w:sz w:val="22"/>
          <w:szCs w:val="22"/>
          <w:lang w:eastAsia="en-MY"/>
        </w:rPr>
      </w:pPr>
    </w:p>
    <w:p w14:paraId="2D50B02C" w14:textId="77777777" w:rsidR="00564A67" w:rsidRPr="00564A67" w:rsidRDefault="00564A67" w:rsidP="00564A67">
      <w:pPr>
        <w:widowControl/>
        <w:spacing w:line="480" w:lineRule="auto"/>
        <w:ind w:left="567" w:right="-1"/>
        <w:outlineLvl w:val="2"/>
        <w:rPr>
          <w:rFonts w:ascii="Arial" w:eastAsia="Times New Roman" w:hAnsi="Arial" w:cs="Arial"/>
          <w:sz w:val="22"/>
          <w:szCs w:val="22"/>
          <w:lang w:eastAsia="en-MY"/>
        </w:rPr>
      </w:pPr>
      <w:r w:rsidRPr="00564A67">
        <w:rPr>
          <w:rFonts w:ascii="Arial" w:eastAsia="Times New Roman" w:hAnsi="Arial" w:cs="Arial"/>
          <w:sz w:val="22"/>
          <w:szCs w:val="22"/>
          <w:lang w:eastAsia="en-MY"/>
        </w:rPr>
        <w:t xml:space="preserve">Torrance, H. (2012). Formative assessment at the crossroads: </w:t>
      </w:r>
      <w:proofErr w:type="spellStart"/>
      <w:r w:rsidRPr="00564A67">
        <w:rPr>
          <w:rFonts w:ascii="Arial" w:eastAsia="Times New Roman" w:hAnsi="Arial" w:cs="Arial"/>
          <w:sz w:val="22"/>
          <w:szCs w:val="22"/>
          <w:lang w:eastAsia="en-MY"/>
        </w:rPr>
        <w:t>Conformative</w:t>
      </w:r>
      <w:proofErr w:type="spellEnd"/>
      <w:r w:rsidRPr="00564A67">
        <w:rPr>
          <w:rFonts w:ascii="Arial" w:eastAsia="Times New Roman" w:hAnsi="Arial" w:cs="Arial"/>
          <w:sz w:val="22"/>
          <w:szCs w:val="22"/>
          <w:lang w:eastAsia="en-MY"/>
        </w:rPr>
        <w:t xml:space="preserve">, deformative and transformative assessment. </w:t>
      </w:r>
      <w:r w:rsidRPr="00D839B1">
        <w:rPr>
          <w:rFonts w:ascii="Arial" w:eastAsia="Times New Roman" w:hAnsi="Arial" w:cs="Arial"/>
          <w:i/>
          <w:iCs/>
          <w:sz w:val="22"/>
          <w:szCs w:val="22"/>
          <w:lang w:eastAsia="en-MY"/>
        </w:rPr>
        <w:t>Oxford Review of Education</w:t>
      </w:r>
      <w:r w:rsidRPr="00564A67">
        <w:rPr>
          <w:rFonts w:ascii="Arial" w:eastAsia="Times New Roman" w:hAnsi="Arial" w:cs="Arial"/>
          <w:sz w:val="22"/>
          <w:szCs w:val="22"/>
          <w:lang w:eastAsia="en-MY"/>
        </w:rPr>
        <w:t>, 46(2), 139–152. https://doi.org/10.1080/03054985.2019.1702019</w:t>
      </w:r>
    </w:p>
    <w:p w14:paraId="0B8355FD" w14:textId="77777777" w:rsidR="00564A67" w:rsidRPr="007D157C" w:rsidRDefault="00564A67" w:rsidP="00564A67">
      <w:pPr>
        <w:ind w:left="1134" w:right="-1" w:hanging="1134"/>
        <w:rPr>
          <w:rFonts w:ascii="Arial" w:hAnsi="Arial" w:cs="Arial"/>
        </w:rPr>
      </w:pPr>
    </w:p>
    <w:p w14:paraId="28127BF0" w14:textId="77777777" w:rsidR="009553C0" w:rsidRDefault="009553C0">
      <w:pPr>
        <w:spacing w:line="480" w:lineRule="auto"/>
        <w:jc w:val="center"/>
        <w:rPr>
          <w:rFonts w:ascii="Times New Roman" w:eastAsia="Times New Roman" w:hAnsi="Times New Roman" w:cs="Times New Roman"/>
          <w:b/>
          <w:sz w:val="24"/>
          <w:szCs w:val="24"/>
        </w:rPr>
      </w:pPr>
    </w:p>
    <w:p w14:paraId="25322B34" w14:textId="77777777" w:rsidR="009553C0" w:rsidRDefault="009553C0">
      <w:pPr>
        <w:spacing w:line="480" w:lineRule="auto"/>
        <w:ind w:left="567" w:hanging="567"/>
        <w:rPr>
          <w:rFonts w:ascii="Arial" w:eastAsia="Arial" w:hAnsi="Arial" w:cs="Arial"/>
          <w:sz w:val="22"/>
          <w:szCs w:val="22"/>
        </w:rPr>
      </w:pPr>
    </w:p>
    <w:p w14:paraId="10B03AD1" w14:textId="77777777" w:rsidR="009553C0" w:rsidRDefault="009553C0">
      <w:pPr>
        <w:spacing w:line="480" w:lineRule="auto"/>
        <w:ind w:left="567" w:hanging="567"/>
        <w:rPr>
          <w:rFonts w:ascii="Arial" w:eastAsia="Arial" w:hAnsi="Arial" w:cs="Arial"/>
          <w:sz w:val="22"/>
          <w:szCs w:val="22"/>
        </w:rPr>
      </w:pPr>
    </w:p>
    <w:sectPr w:rsidR="009553C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6846C" w14:textId="77777777" w:rsidR="0093374E" w:rsidRDefault="0093374E">
      <w:r>
        <w:separator/>
      </w:r>
    </w:p>
  </w:endnote>
  <w:endnote w:type="continuationSeparator" w:id="0">
    <w:p w14:paraId="5E853E9F" w14:textId="77777777" w:rsidR="0093374E" w:rsidRDefault="0093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A0A4C" w14:textId="77777777" w:rsidR="009553C0" w:rsidRDefault="009553C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C4FF" w14:textId="77777777" w:rsidR="009553C0" w:rsidRDefault="0070025C">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E638B">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1BBE5530" w14:textId="77777777" w:rsidR="009553C0" w:rsidRDefault="009553C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2E796" w14:textId="77777777" w:rsidR="009553C0" w:rsidRDefault="009553C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30379" w14:textId="77777777" w:rsidR="0093374E" w:rsidRDefault="0093374E">
      <w:r>
        <w:separator/>
      </w:r>
    </w:p>
  </w:footnote>
  <w:footnote w:type="continuationSeparator" w:id="0">
    <w:p w14:paraId="2E813C95" w14:textId="77777777" w:rsidR="0093374E" w:rsidRDefault="0093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44B13" w14:textId="77777777" w:rsidR="009553C0" w:rsidRDefault="009553C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DA6E7" w14:textId="77777777" w:rsidR="009553C0" w:rsidRDefault="009553C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A048" w14:textId="77777777" w:rsidR="009553C0" w:rsidRDefault="009553C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81763"/>
    <w:multiLevelType w:val="hybridMultilevel"/>
    <w:tmpl w:val="BF5EF6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90B645B"/>
    <w:multiLevelType w:val="multilevel"/>
    <w:tmpl w:val="A86237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9174450"/>
    <w:multiLevelType w:val="multilevel"/>
    <w:tmpl w:val="051C4F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C0"/>
    <w:rsid w:val="000B32DF"/>
    <w:rsid w:val="001E638B"/>
    <w:rsid w:val="004876C7"/>
    <w:rsid w:val="00564A67"/>
    <w:rsid w:val="005C7AE9"/>
    <w:rsid w:val="00661239"/>
    <w:rsid w:val="006E209F"/>
    <w:rsid w:val="0070025C"/>
    <w:rsid w:val="007A1AC3"/>
    <w:rsid w:val="008B6D35"/>
    <w:rsid w:val="0093374E"/>
    <w:rsid w:val="00952ACD"/>
    <w:rsid w:val="009553C0"/>
    <w:rsid w:val="009765D6"/>
    <w:rsid w:val="00AE0F0E"/>
    <w:rsid w:val="00C55A65"/>
    <w:rsid w:val="00C644EF"/>
    <w:rsid w:val="00D839B1"/>
    <w:rsid w:val="00DF6A3E"/>
    <w:rsid w:val="00E46EF3"/>
    <w:rsid w:val="00EF70A7"/>
    <w:rsid w:val="00FB057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0F224"/>
  <w15:docId w15:val="{99103464-DF8D-4572-AE15-91701C2A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MY"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86"/>
    <w:rPr>
      <w:kern w:val="2"/>
      <w:lang w:eastAsia="ko-K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9F44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542EB"/>
    <w:pPr>
      <w:widowControl/>
      <w:spacing w:before="100" w:beforeAutospacing="1" w:after="100" w:afterAutospacing="1"/>
      <w:jc w:val="left"/>
      <w:outlineLvl w:val="2"/>
    </w:pPr>
    <w:rPr>
      <w:rFonts w:ascii="Times New Roman" w:eastAsia="Times New Roman" w:hAnsi="Times New Roman" w:cs="Times New Roman"/>
      <w:b/>
      <w:bCs/>
      <w:kern w:val="0"/>
      <w:sz w:val="27"/>
      <w:szCs w:val="27"/>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LightShading1">
    <w:name w:val="Light Shading1"/>
    <w:basedOn w:val="TableNormal"/>
    <w:uiPriority w:val="60"/>
    <w:rsid w:val="00155586"/>
    <w:rPr>
      <w:color w:val="000000" w:themeColor="text1" w:themeShade="BF"/>
      <w:kern w:val="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55586"/>
    <w:pPr>
      <w:ind w:left="720"/>
      <w:contextualSpacing/>
    </w:pPr>
  </w:style>
  <w:style w:type="paragraph" w:styleId="Header">
    <w:name w:val="header"/>
    <w:basedOn w:val="Normal"/>
    <w:link w:val="HeaderChar"/>
    <w:uiPriority w:val="99"/>
    <w:unhideWhenUsed/>
    <w:rsid w:val="00155586"/>
    <w:pPr>
      <w:tabs>
        <w:tab w:val="center" w:pos="4680"/>
        <w:tab w:val="right" w:pos="9360"/>
      </w:tabs>
    </w:pPr>
  </w:style>
  <w:style w:type="character" w:customStyle="1" w:styleId="HeaderChar">
    <w:name w:val="Header Char"/>
    <w:basedOn w:val="DefaultParagraphFont"/>
    <w:link w:val="Header"/>
    <w:uiPriority w:val="99"/>
    <w:rsid w:val="00155586"/>
    <w:rPr>
      <w:kern w:val="2"/>
      <w:sz w:val="20"/>
      <w:lang w:eastAsia="ko-KR"/>
    </w:rPr>
  </w:style>
  <w:style w:type="paragraph" w:styleId="Footer">
    <w:name w:val="footer"/>
    <w:basedOn w:val="Normal"/>
    <w:link w:val="FooterChar"/>
    <w:uiPriority w:val="99"/>
    <w:unhideWhenUsed/>
    <w:rsid w:val="00155586"/>
    <w:pPr>
      <w:tabs>
        <w:tab w:val="center" w:pos="4680"/>
        <w:tab w:val="right" w:pos="9360"/>
      </w:tabs>
    </w:pPr>
  </w:style>
  <w:style w:type="character" w:customStyle="1" w:styleId="FooterChar">
    <w:name w:val="Footer Char"/>
    <w:basedOn w:val="DefaultParagraphFont"/>
    <w:link w:val="Footer"/>
    <w:uiPriority w:val="99"/>
    <w:rsid w:val="00155586"/>
    <w:rPr>
      <w:kern w:val="2"/>
      <w:sz w:val="20"/>
      <w:lang w:eastAsia="ko-KR"/>
    </w:rPr>
  </w:style>
  <w:style w:type="character" w:styleId="LineNumber">
    <w:name w:val="line number"/>
    <w:basedOn w:val="DefaultParagraphFont"/>
    <w:uiPriority w:val="99"/>
    <w:semiHidden/>
    <w:unhideWhenUsed/>
    <w:rsid w:val="00B83644"/>
  </w:style>
  <w:style w:type="paragraph" w:styleId="BalloonText">
    <w:name w:val="Balloon Text"/>
    <w:basedOn w:val="Normal"/>
    <w:link w:val="BalloonTextChar"/>
    <w:uiPriority w:val="99"/>
    <w:semiHidden/>
    <w:unhideWhenUsed/>
    <w:rsid w:val="007A0081"/>
    <w:rPr>
      <w:rFonts w:ascii="Tahoma" w:hAnsi="Tahoma" w:cs="Tahoma"/>
      <w:sz w:val="16"/>
      <w:szCs w:val="16"/>
    </w:rPr>
  </w:style>
  <w:style w:type="character" w:customStyle="1" w:styleId="BalloonTextChar">
    <w:name w:val="Balloon Text Char"/>
    <w:basedOn w:val="DefaultParagraphFont"/>
    <w:link w:val="BalloonText"/>
    <w:uiPriority w:val="99"/>
    <w:semiHidden/>
    <w:rsid w:val="007A0081"/>
    <w:rPr>
      <w:rFonts w:ascii="Tahoma" w:hAnsi="Tahoma" w:cs="Tahoma"/>
      <w:kern w:val="2"/>
      <w:sz w:val="16"/>
      <w:szCs w:val="16"/>
      <w:lang w:eastAsia="ko-KR"/>
    </w:rPr>
  </w:style>
  <w:style w:type="character" w:customStyle="1" w:styleId="a151">
    <w:name w:val="a151"/>
    <w:basedOn w:val="DefaultParagraphFont"/>
    <w:rsid w:val="00A141E4"/>
  </w:style>
  <w:style w:type="paragraph" w:styleId="NormalWeb">
    <w:name w:val="Normal (Web)"/>
    <w:basedOn w:val="Normal"/>
    <w:uiPriority w:val="99"/>
    <w:semiHidden/>
    <w:unhideWhenUsed/>
    <w:rsid w:val="00B82268"/>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Hyperlink">
    <w:name w:val="Hyperlink"/>
    <w:basedOn w:val="DefaultParagraphFont"/>
    <w:uiPriority w:val="99"/>
    <w:unhideWhenUsed/>
    <w:rsid w:val="00B82268"/>
    <w:rPr>
      <w:color w:val="0000FF"/>
      <w:u w:val="single"/>
    </w:rPr>
  </w:style>
  <w:style w:type="character" w:customStyle="1" w:styleId="Heading3Char">
    <w:name w:val="Heading 3 Char"/>
    <w:basedOn w:val="DefaultParagraphFont"/>
    <w:link w:val="Heading3"/>
    <w:uiPriority w:val="9"/>
    <w:rsid w:val="001542EB"/>
    <w:rPr>
      <w:rFonts w:ascii="Times New Roman" w:eastAsia="Times New Roman" w:hAnsi="Times New Roman" w:cs="Times New Roman"/>
      <w:b/>
      <w:bCs/>
      <w:sz w:val="27"/>
      <w:szCs w:val="27"/>
      <w:lang w:eastAsia="en-US"/>
    </w:rPr>
  </w:style>
  <w:style w:type="character" w:styleId="Emphasis">
    <w:name w:val="Emphasis"/>
    <w:basedOn w:val="DefaultParagraphFont"/>
    <w:uiPriority w:val="20"/>
    <w:qFormat/>
    <w:rsid w:val="001542EB"/>
    <w:rPr>
      <w:i/>
      <w:iCs/>
    </w:rPr>
  </w:style>
  <w:style w:type="character" w:customStyle="1" w:styleId="Heading2Char">
    <w:name w:val="Heading 2 Char"/>
    <w:basedOn w:val="DefaultParagraphFont"/>
    <w:link w:val="Heading2"/>
    <w:uiPriority w:val="9"/>
    <w:semiHidden/>
    <w:rsid w:val="009F44E4"/>
    <w:rPr>
      <w:rFonts w:asciiTheme="majorHAnsi" w:eastAsiaTheme="majorEastAsia" w:hAnsiTheme="majorHAnsi" w:cstheme="majorBidi"/>
      <w:color w:val="2E74B5" w:themeColor="accent1" w:themeShade="BF"/>
      <w:kern w:val="2"/>
      <w:sz w:val="26"/>
      <w:szCs w:val="26"/>
      <w:lang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uiPriority w:val="22"/>
    <w:qFormat/>
    <w:rsid w:val="00564A67"/>
    <w:rPr>
      <w:b/>
      <w:bCs/>
    </w:rPr>
  </w:style>
  <w:style w:type="character" w:styleId="UnresolvedMention">
    <w:name w:val="Unresolved Mention"/>
    <w:basedOn w:val="DefaultParagraphFont"/>
    <w:uiPriority w:val="99"/>
    <w:semiHidden/>
    <w:unhideWhenUsed/>
    <w:rsid w:val="00564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639-020-1021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RESEARCH\@2025\Academic%20writing\IRAS%20ECG353\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HP\Documents\RESEARCH\@2025\Academic%20writing\IRAS%20ECG353\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100">
                <a:solidFill>
                  <a:sysClr val="windowText" lastClr="000000"/>
                </a:solidFill>
              </a:rPr>
              <a:t>Semester 20224 and 20234</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Semester 20234 and 20224</c:v>
                </c:pt>
              </c:strCache>
            </c:strRef>
          </c:tx>
          <c:dPt>
            <c:idx val="0"/>
            <c:bubble3D val="0"/>
            <c:spPr>
              <a:pattFill prst="wdDnDiag">
                <a:fgClr>
                  <a:sysClr val="windowText" lastClr="000000"/>
                </a:fgClr>
                <a:bgClr>
                  <a:schemeClr val="bg1"/>
                </a:bgClr>
              </a:pattFill>
              <a:ln w="9525" cap="flat" cmpd="sng" algn="ctr">
                <a:solidFill>
                  <a:schemeClr val="accent1">
                    <a:shade val="95000"/>
                  </a:schemeClr>
                </a:solidFill>
                <a:round/>
              </a:ln>
              <a:effectLst/>
            </c:spPr>
            <c:extLst>
              <c:ext xmlns:c16="http://schemas.microsoft.com/office/drawing/2014/chart" uri="{C3380CC4-5D6E-409C-BE32-E72D297353CC}">
                <c16:uniqueId val="{00000001-61A4-42C3-B305-DC148B86AC11}"/>
              </c:ext>
            </c:extLst>
          </c:dPt>
          <c:dPt>
            <c:idx val="1"/>
            <c:bubble3D val="0"/>
            <c:spPr>
              <a:pattFill prst="pct10">
                <a:fgClr>
                  <a:sysClr val="windowText" lastClr="000000"/>
                </a:fgClr>
                <a:bgClr>
                  <a:schemeClr val="bg1"/>
                </a:bgClr>
              </a:pattFill>
              <a:ln w="9525" cap="flat" cmpd="sng" algn="ctr">
                <a:solidFill>
                  <a:schemeClr val="accent2">
                    <a:shade val="95000"/>
                  </a:schemeClr>
                </a:solidFill>
                <a:round/>
              </a:ln>
              <a:effectLst/>
            </c:spPr>
            <c:extLst>
              <c:ext xmlns:c16="http://schemas.microsoft.com/office/drawing/2014/chart" uri="{C3380CC4-5D6E-409C-BE32-E72D297353CC}">
                <c16:uniqueId val="{00000003-61A4-42C3-B305-DC148B86AC11}"/>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61A4-42C3-B305-DC148B86AC11}"/>
              </c:ext>
            </c:extLst>
          </c:dPt>
          <c:dLbls>
            <c:dLbl>
              <c:idx val="0"/>
              <c:layout>
                <c:manualLayout>
                  <c:x val="0.13925628624273009"/>
                  <c:y val="3.7483201734811386E-2"/>
                </c:manualLayout>
              </c:layout>
              <c:tx>
                <c:rich>
                  <a:bodyPr/>
                  <a:lstStyle/>
                  <a:p>
                    <a:fld id="{14E94872-74DA-4B19-A0FA-5F1BBB9C8448}" type="CATEGORYNAME">
                      <a:rPr lang="en-US" sz="800"/>
                      <a:pPr/>
                      <a:t>[CATEGORY NAME]</a:t>
                    </a:fld>
                    <a:r>
                      <a:rPr lang="en-US" sz="800" baseline="0"/>
                      <a:t>, </a:t>
                    </a:r>
                    <a:fld id="{01FC84A8-A39D-40F2-ADC2-60C74B3ECAE5}" type="VALUE">
                      <a:rPr lang="en-US" sz="800" baseline="0"/>
                      <a:pPr/>
                      <a:t>[VALUE]</a:t>
                    </a:fld>
                    <a:endParaRPr lang="en-US" sz="800" baseline="0"/>
                  </a:p>
                </c:rich>
              </c:tx>
              <c:showLegendKey val="0"/>
              <c:showVal val="1"/>
              <c:showCatName val="1"/>
              <c:showSerName val="0"/>
              <c:showPercent val="0"/>
              <c:showBubbleSize val="0"/>
              <c:extLst>
                <c:ext xmlns:c15="http://schemas.microsoft.com/office/drawing/2012/chart" uri="{CE6537A1-D6FC-4f65-9D91-7224C49458BB}">
                  <c15:layout>
                    <c:manualLayout>
                      <c:w val="0.22716562491544223"/>
                      <c:h val="0.1984332923005126"/>
                    </c:manualLayout>
                  </c15:layout>
                  <c15:dlblFieldTable/>
                  <c15:showDataLabelsRange val="0"/>
                </c:ext>
                <c:ext xmlns:c16="http://schemas.microsoft.com/office/drawing/2014/chart" uri="{C3380CC4-5D6E-409C-BE32-E72D297353CC}">
                  <c16:uniqueId val="{00000001-61A4-42C3-B305-DC148B86AC11}"/>
                </c:ext>
              </c:extLst>
            </c:dLbl>
            <c:dLbl>
              <c:idx val="1"/>
              <c:layout>
                <c:manualLayout>
                  <c:x val="-0.10245456431348146"/>
                  <c:y val="5.2161366131017607E-2"/>
                </c:manualLayout>
              </c:layout>
              <c:tx>
                <c:rich>
                  <a:bodyPr/>
                  <a:lstStyle/>
                  <a:p>
                    <a:fld id="{30526B37-EC2A-4769-A8DD-5E6B37D9AF05}" type="CATEGORYNAME">
                      <a:rPr lang="en-US" sz="800"/>
                      <a:pPr/>
                      <a:t>[CATEGORY NAME]</a:t>
                    </a:fld>
                    <a:r>
                      <a:rPr lang="en-US" sz="800" baseline="0"/>
                      <a:t>, </a:t>
                    </a:r>
                    <a:fld id="{525A276A-CD89-4A28-8595-2EC49B8561D5}" type="VALUE">
                      <a:rPr lang="en-US" sz="800" baseline="0"/>
                      <a:pPr/>
                      <a:t>[VALUE]</a:t>
                    </a:fld>
                    <a:endParaRPr lang="en-US" sz="800"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A4-42C3-B305-DC148B86AC11}"/>
                </c:ext>
              </c:extLst>
            </c:dLbl>
            <c:dLbl>
              <c:idx val="2"/>
              <c:layout>
                <c:manualLayout>
                  <c:x val="-0.14277782287523338"/>
                  <c:y val="-5.3549021521992245E-3"/>
                </c:manualLayout>
              </c:layout>
              <c:tx>
                <c:rich>
                  <a:bodyPr/>
                  <a:lstStyle/>
                  <a:p>
                    <a:fld id="{762E75B1-2322-4D45-B38D-7C5C87361BFD}" type="CATEGORYNAME">
                      <a:rPr lang="en-US" sz="800"/>
                      <a:pPr/>
                      <a:t>[CATEGORY NAME]</a:t>
                    </a:fld>
                    <a:r>
                      <a:rPr lang="en-US" sz="800" baseline="0"/>
                      <a:t>, </a:t>
                    </a:r>
                    <a:fld id="{E80FA477-7D99-4049-8E33-AAF71A3F0982}" type="VALUE">
                      <a:rPr lang="en-US" sz="800" baseline="0"/>
                      <a:pPr/>
                      <a:t>[VALUE]</a:t>
                    </a:fld>
                    <a:endParaRPr lang="en-US" sz="800" baseline="0"/>
                  </a:p>
                </c:rich>
              </c:tx>
              <c:showLegendKey val="0"/>
              <c:showVal val="1"/>
              <c:showCatName val="1"/>
              <c:showSerName val="0"/>
              <c:showPercent val="0"/>
              <c:showBubbleSize val="0"/>
              <c:extLst>
                <c:ext xmlns:c15="http://schemas.microsoft.com/office/drawing/2012/chart" uri="{CE6537A1-D6FC-4f65-9D91-7224C49458BB}">
                  <c15:layout>
                    <c:manualLayout>
                      <c:w val="0.23491408934707902"/>
                      <c:h val="0.19531321058408674"/>
                    </c:manualLayout>
                  </c15:layout>
                  <c15:dlblFieldTable/>
                  <c15:showDataLabelsRange val="0"/>
                </c:ext>
                <c:ext xmlns:c16="http://schemas.microsoft.com/office/drawing/2014/chart" uri="{C3380CC4-5D6E-409C-BE32-E72D297353CC}">
                  <c16:uniqueId val="{00000005-61A4-42C3-B305-DC148B86AC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Sheet1!$A$2:$A$4</c:f>
              <c:strCache>
                <c:ptCount val="3"/>
                <c:pt idx="0">
                  <c:v>Final Examination</c:v>
                </c:pt>
                <c:pt idx="1">
                  <c:v>Test</c:v>
                </c:pt>
                <c:pt idx="2">
                  <c:v>Group Assignment</c:v>
                </c:pt>
              </c:strCache>
            </c:strRef>
          </c:cat>
          <c:val>
            <c:numRef>
              <c:f>Sheet1!$B$2:$B$4</c:f>
              <c:numCache>
                <c:formatCode>0%</c:formatCode>
                <c:ptCount val="3"/>
                <c:pt idx="0">
                  <c:v>0.6</c:v>
                </c:pt>
                <c:pt idx="1">
                  <c:v>0.1</c:v>
                </c:pt>
                <c:pt idx="2">
                  <c:v>0.3</c:v>
                </c:pt>
              </c:numCache>
            </c:numRef>
          </c:val>
          <c:extLst>
            <c:ext xmlns:c16="http://schemas.microsoft.com/office/drawing/2014/chart" uri="{C3380CC4-5D6E-409C-BE32-E72D297353CC}">
              <c16:uniqueId val="{00000006-61A4-42C3-B305-DC148B86AC11}"/>
            </c:ext>
          </c:extLst>
        </c:ser>
        <c:dLbls>
          <c:showLegendKey val="0"/>
          <c:showVal val="1"/>
          <c:showCatName val="1"/>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100">
                <a:solidFill>
                  <a:sysClr val="windowText" lastClr="000000"/>
                </a:solidFill>
              </a:rPr>
              <a:t>Semester 20444</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Semester 20234 and 20224</c:v>
                </c:pt>
              </c:strCache>
            </c:strRef>
          </c:tx>
          <c:dPt>
            <c:idx val="0"/>
            <c:bubble3D val="0"/>
            <c:spPr>
              <a:pattFill prst="wdDnDiag">
                <a:fgClr>
                  <a:sysClr val="windowText" lastClr="000000"/>
                </a:fgClr>
                <a:bgClr>
                  <a:schemeClr val="bg1"/>
                </a:bgClr>
              </a:pattFill>
              <a:ln w="9525" cap="flat" cmpd="sng" algn="ctr">
                <a:solidFill>
                  <a:schemeClr val="accent1">
                    <a:shade val="95000"/>
                  </a:schemeClr>
                </a:solidFill>
                <a:round/>
              </a:ln>
              <a:effectLst/>
            </c:spPr>
            <c:extLst>
              <c:ext xmlns:c16="http://schemas.microsoft.com/office/drawing/2014/chart" uri="{C3380CC4-5D6E-409C-BE32-E72D297353CC}">
                <c16:uniqueId val="{00000001-AC05-41A2-9685-CC768B648C8B}"/>
              </c:ext>
            </c:extLst>
          </c:dPt>
          <c:dPt>
            <c:idx val="1"/>
            <c:bubble3D val="0"/>
            <c:spPr>
              <a:pattFill prst="pct10">
                <a:fgClr>
                  <a:sysClr val="windowText" lastClr="000000"/>
                </a:fgClr>
                <a:bgClr>
                  <a:schemeClr val="bg1"/>
                </a:bgClr>
              </a:pattFill>
              <a:ln w="9525" cap="flat" cmpd="sng" algn="ctr">
                <a:solidFill>
                  <a:schemeClr val="accent2">
                    <a:shade val="95000"/>
                  </a:schemeClr>
                </a:solidFill>
                <a:round/>
              </a:ln>
              <a:effectLst/>
            </c:spPr>
            <c:extLst>
              <c:ext xmlns:c16="http://schemas.microsoft.com/office/drawing/2014/chart" uri="{C3380CC4-5D6E-409C-BE32-E72D297353CC}">
                <c16:uniqueId val="{00000003-AC05-41A2-9685-CC768B648C8B}"/>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AC05-41A2-9685-CC768B648C8B}"/>
              </c:ext>
            </c:extLst>
          </c:dPt>
          <c:dLbls>
            <c:dLbl>
              <c:idx val="0"/>
              <c:layout>
                <c:manualLayout>
                  <c:x val="0.15107879096052376"/>
                  <c:y val="3.7483302077062741E-2"/>
                </c:manualLayout>
              </c:layout>
              <c:tx>
                <c:rich>
                  <a:bodyPr/>
                  <a:lstStyle/>
                  <a:p>
                    <a:fld id="{14E94872-74DA-4B19-A0FA-5F1BBB9C8448}" type="CATEGORYNAME">
                      <a:rPr lang="en-US" sz="800"/>
                      <a:pPr/>
                      <a:t>[CATEGORY NAME]</a:t>
                    </a:fld>
                    <a:r>
                      <a:rPr lang="en-US" sz="800" baseline="0"/>
                      <a:t>, </a:t>
                    </a:r>
                    <a:fld id="{01FC84A8-A39D-40F2-ADC2-60C74B3ECAE5}" type="VALUE">
                      <a:rPr lang="en-US" sz="800" baseline="0"/>
                      <a:pPr/>
                      <a:t>[VALUE]</a:t>
                    </a:fld>
                    <a:endParaRPr lang="en-US" sz="800" baseline="0"/>
                  </a:p>
                </c:rich>
              </c:tx>
              <c:showLegendKey val="0"/>
              <c:showVal val="1"/>
              <c:showCatName val="1"/>
              <c:showSerName val="0"/>
              <c:showPercent val="0"/>
              <c:showBubbleSize val="0"/>
              <c:extLst>
                <c:ext xmlns:c15="http://schemas.microsoft.com/office/drawing/2012/chart" uri="{CE6537A1-D6FC-4f65-9D91-7224C49458BB}">
                  <c15:layout>
                    <c:manualLayout>
                      <c:w val="0.25140985704671082"/>
                      <c:h val="0.20121526992373606"/>
                    </c:manualLayout>
                  </c15:layout>
                  <c15:dlblFieldTable/>
                  <c15:showDataLabelsRange val="0"/>
                </c:ext>
                <c:ext xmlns:c16="http://schemas.microsoft.com/office/drawing/2014/chart" uri="{C3380CC4-5D6E-409C-BE32-E72D297353CC}">
                  <c16:uniqueId val="{00000001-AC05-41A2-9685-CC768B648C8B}"/>
                </c:ext>
              </c:extLst>
            </c:dLbl>
            <c:dLbl>
              <c:idx val="1"/>
              <c:layout>
                <c:manualLayout>
                  <c:x val="-0.10903271512362224"/>
                  <c:y val="3.3459353152152448E-2"/>
                </c:manualLayout>
              </c:layout>
              <c:tx>
                <c:rich>
                  <a:bodyPr/>
                  <a:lstStyle/>
                  <a:p>
                    <a:fld id="{30526B37-EC2A-4769-A8DD-5E6B37D9AF05}" type="CATEGORYNAME">
                      <a:rPr lang="en-US" sz="800"/>
                      <a:pPr/>
                      <a:t>[CATEGORY NAME]</a:t>
                    </a:fld>
                    <a:r>
                      <a:rPr lang="en-US" sz="800" baseline="0"/>
                      <a:t>, </a:t>
                    </a:r>
                    <a:fld id="{525A276A-CD89-4A28-8595-2EC49B8561D5}" type="VALUE">
                      <a:rPr lang="en-US" sz="800" baseline="0"/>
                      <a:pPr/>
                      <a:t>[VALUE]</a:t>
                    </a:fld>
                    <a:endParaRPr lang="en-US" sz="800"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C05-41A2-9685-CC768B648C8B}"/>
                </c:ext>
              </c:extLst>
            </c:dLbl>
            <c:dLbl>
              <c:idx val="2"/>
              <c:layout>
                <c:manualLayout>
                  <c:x val="-0.14832637009057573"/>
                  <c:y val="-2.390456120610427E-2"/>
                </c:manualLayout>
              </c:layout>
              <c:tx>
                <c:rich>
                  <a:bodyPr/>
                  <a:lstStyle/>
                  <a:p>
                    <a:fld id="{762E75B1-2322-4D45-B38D-7C5C87361BFD}" type="CATEGORYNAME">
                      <a:rPr lang="en-US" sz="800"/>
                      <a:pPr/>
                      <a:t>[CATEGORY NAME]</a:t>
                    </a:fld>
                    <a:r>
                      <a:rPr lang="en-US" sz="800" baseline="0"/>
                      <a:t>, </a:t>
                    </a:r>
                    <a:fld id="{E80FA477-7D99-4049-8E33-AAF71A3F0982}" type="VALUE">
                      <a:rPr lang="en-US" sz="800" baseline="0"/>
                      <a:pPr/>
                      <a:t>[VALUE]</a:t>
                    </a:fld>
                    <a:endParaRPr lang="en-US" sz="800" baseline="0"/>
                  </a:p>
                </c:rich>
              </c:tx>
              <c:showLegendKey val="0"/>
              <c:showVal val="1"/>
              <c:showCatName val="1"/>
              <c:showSerName val="0"/>
              <c:showPercent val="0"/>
              <c:showBubbleSize val="0"/>
              <c:extLst>
                <c:ext xmlns:c15="http://schemas.microsoft.com/office/drawing/2012/chart" uri="{CE6537A1-D6FC-4f65-9D91-7224C49458BB}">
                  <c15:layout>
                    <c:manualLayout>
                      <c:w val="0.2220043572984749"/>
                      <c:h val="0.20121519856746878"/>
                    </c:manualLayout>
                  </c15:layout>
                  <c15:dlblFieldTable/>
                  <c15:showDataLabelsRange val="0"/>
                </c:ext>
                <c:ext xmlns:c16="http://schemas.microsoft.com/office/drawing/2014/chart" uri="{C3380CC4-5D6E-409C-BE32-E72D297353CC}">
                  <c16:uniqueId val="{00000005-AC05-41A2-9685-CC768B648C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Sheet1!$A$2:$A$4</c:f>
              <c:strCache>
                <c:ptCount val="3"/>
                <c:pt idx="0">
                  <c:v>Final Examination</c:v>
                </c:pt>
                <c:pt idx="1">
                  <c:v>Test</c:v>
                </c:pt>
                <c:pt idx="2">
                  <c:v>Group Assignment</c:v>
                </c:pt>
              </c:strCache>
            </c:strRef>
          </c:cat>
          <c:val>
            <c:numRef>
              <c:f>Sheet1!$B$2:$B$4</c:f>
              <c:numCache>
                <c:formatCode>0%</c:formatCode>
                <c:ptCount val="3"/>
                <c:pt idx="0">
                  <c:v>0.6</c:v>
                </c:pt>
                <c:pt idx="1">
                  <c:v>0.2</c:v>
                </c:pt>
                <c:pt idx="2">
                  <c:v>0.2</c:v>
                </c:pt>
              </c:numCache>
            </c:numRef>
          </c:val>
          <c:extLst>
            <c:ext xmlns:c16="http://schemas.microsoft.com/office/drawing/2014/chart" uri="{C3380CC4-5D6E-409C-BE32-E72D297353CC}">
              <c16:uniqueId val="{00000006-AC05-41A2-9685-CC768B648C8B}"/>
            </c:ext>
          </c:extLst>
        </c:ser>
        <c:dLbls>
          <c:showLegendKey val="0"/>
          <c:showVal val="1"/>
          <c:showCatName val="1"/>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Sheet1!$O$6</c:f>
              <c:strCache>
                <c:ptCount val="1"/>
                <c:pt idx="0">
                  <c:v>20224</c:v>
                </c:pt>
              </c:strCache>
            </c:strRef>
          </c:tx>
          <c:spPr>
            <a:pattFill prst="wdUpDiag">
              <a:fgClr>
                <a:schemeClr val="accent6"/>
              </a:fgClr>
              <a:bgClr>
                <a:schemeClr val="bg1"/>
              </a:bgClr>
            </a:pattFill>
            <a:ln w="9525" cap="flat" cmpd="sng" algn="ctr">
              <a:solidFill>
                <a:schemeClr val="accent3"/>
              </a:solidFill>
              <a:miter lim="800000"/>
            </a:ln>
            <a:effectLst>
              <a:glow rad="63500">
                <a:schemeClr val="accent3">
                  <a:satMod val="175000"/>
                  <a:alpha val="25000"/>
                </a:schemeClr>
              </a:glow>
            </a:effectLst>
          </c:spPr>
          <c:invertIfNegative val="0"/>
          <c:cat>
            <c:strRef>
              <c:f>Sheet1!$Q$3:$V$3</c:f>
              <c:strCache>
                <c:ptCount val="6"/>
                <c:pt idx="0">
                  <c:v>A+,A</c:v>
                </c:pt>
                <c:pt idx="1">
                  <c:v>A-,B+,B</c:v>
                </c:pt>
                <c:pt idx="2">
                  <c:v>B-,C+,C</c:v>
                </c:pt>
                <c:pt idx="3">
                  <c:v>C-,D+,D</c:v>
                </c:pt>
                <c:pt idx="4">
                  <c:v>E</c:v>
                </c:pt>
                <c:pt idx="5">
                  <c:v>F</c:v>
                </c:pt>
              </c:strCache>
            </c:strRef>
          </c:cat>
          <c:val>
            <c:numRef>
              <c:f>Sheet1!$Z$6:$AE$6</c:f>
              <c:numCache>
                <c:formatCode>0.0</c:formatCode>
                <c:ptCount val="6"/>
                <c:pt idx="0">
                  <c:v>2.5</c:v>
                </c:pt>
                <c:pt idx="1">
                  <c:v>20.833333333333336</c:v>
                </c:pt>
                <c:pt idx="2">
                  <c:v>31.666666666666664</c:v>
                </c:pt>
                <c:pt idx="3">
                  <c:v>24.166666666666668</c:v>
                </c:pt>
                <c:pt idx="4">
                  <c:v>17.5</c:v>
                </c:pt>
                <c:pt idx="5">
                  <c:v>3.3333333333333335</c:v>
                </c:pt>
              </c:numCache>
            </c:numRef>
          </c:val>
          <c:extLst>
            <c:ext xmlns:c16="http://schemas.microsoft.com/office/drawing/2014/chart" uri="{C3380CC4-5D6E-409C-BE32-E72D297353CC}">
              <c16:uniqueId val="{00000000-9E4C-4359-9EC2-449D173A8EE9}"/>
            </c:ext>
          </c:extLst>
        </c:ser>
        <c:ser>
          <c:idx val="1"/>
          <c:order val="1"/>
          <c:tx>
            <c:strRef>
              <c:f>Sheet1!$O$5</c:f>
              <c:strCache>
                <c:ptCount val="1"/>
                <c:pt idx="0">
                  <c:v>20234</c:v>
                </c:pt>
              </c:strCache>
            </c:strRef>
          </c:tx>
          <c:spPr>
            <a:pattFill prst="wdDnDiag">
              <a:fgClr>
                <a:schemeClr val="accent2"/>
              </a:fgClr>
              <a:bgClr>
                <a:schemeClr val="bg1"/>
              </a:bgClr>
            </a:pattFill>
            <a:ln w="9525" cap="flat" cmpd="sng" algn="ctr">
              <a:solidFill>
                <a:schemeClr val="accent2"/>
              </a:solidFill>
              <a:miter lim="800000"/>
            </a:ln>
            <a:effectLst>
              <a:glow rad="63500">
                <a:schemeClr val="accent2">
                  <a:satMod val="175000"/>
                  <a:alpha val="25000"/>
                </a:schemeClr>
              </a:glow>
            </a:effectLst>
          </c:spPr>
          <c:invertIfNegative val="0"/>
          <c:cat>
            <c:strRef>
              <c:f>Sheet1!$Q$3:$V$3</c:f>
              <c:strCache>
                <c:ptCount val="6"/>
                <c:pt idx="0">
                  <c:v>A+,A</c:v>
                </c:pt>
                <c:pt idx="1">
                  <c:v>A-,B+,B</c:v>
                </c:pt>
                <c:pt idx="2">
                  <c:v>B-,C+,C</c:v>
                </c:pt>
                <c:pt idx="3">
                  <c:v>C-,D+,D</c:v>
                </c:pt>
                <c:pt idx="4">
                  <c:v>E</c:v>
                </c:pt>
                <c:pt idx="5">
                  <c:v>F</c:v>
                </c:pt>
              </c:strCache>
            </c:strRef>
          </c:cat>
          <c:val>
            <c:numRef>
              <c:f>Sheet1!$Z$5:$AE$5</c:f>
              <c:numCache>
                <c:formatCode>0.0</c:formatCode>
                <c:ptCount val="6"/>
                <c:pt idx="0">
                  <c:v>13.043478260869565</c:v>
                </c:pt>
                <c:pt idx="1">
                  <c:v>36.231884057971016</c:v>
                </c:pt>
                <c:pt idx="2">
                  <c:v>33.333333333333329</c:v>
                </c:pt>
                <c:pt idx="3">
                  <c:v>9.6618357487922708</c:v>
                </c:pt>
                <c:pt idx="4">
                  <c:v>6.2801932367149762</c:v>
                </c:pt>
                <c:pt idx="5">
                  <c:v>1.4492753623188406</c:v>
                </c:pt>
              </c:numCache>
            </c:numRef>
          </c:val>
          <c:extLst>
            <c:ext xmlns:c16="http://schemas.microsoft.com/office/drawing/2014/chart" uri="{C3380CC4-5D6E-409C-BE32-E72D297353CC}">
              <c16:uniqueId val="{00000001-9E4C-4359-9EC2-449D173A8EE9}"/>
            </c:ext>
          </c:extLst>
        </c:ser>
        <c:ser>
          <c:idx val="0"/>
          <c:order val="2"/>
          <c:tx>
            <c:strRef>
              <c:f>Sheet1!$O$4</c:f>
              <c:strCache>
                <c:ptCount val="1"/>
                <c:pt idx="0">
                  <c:v>20244</c:v>
                </c:pt>
              </c:strCache>
            </c:strRef>
          </c:tx>
          <c:spPr>
            <a:pattFill prst="ltHorz">
              <a:fgClr>
                <a:srgbClr val="7030A0"/>
              </a:fgClr>
              <a:bgClr>
                <a:schemeClr val="bg1"/>
              </a:bgClr>
            </a:pattFill>
            <a:ln w="9525" cap="flat" cmpd="sng" algn="ctr">
              <a:solidFill>
                <a:schemeClr val="accent1"/>
              </a:solidFill>
              <a:miter lim="800000"/>
            </a:ln>
            <a:effectLst>
              <a:glow rad="63500">
                <a:schemeClr val="accent1">
                  <a:satMod val="175000"/>
                  <a:alpha val="25000"/>
                </a:schemeClr>
              </a:glow>
            </a:effectLst>
          </c:spPr>
          <c:invertIfNegative val="0"/>
          <c:cat>
            <c:strRef>
              <c:f>Sheet1!$Q$3:$V$3</c:f>
              <c:strCache>
                <c:ptCount val="6"/>
                <c:pt idx="0">
                  <c:v>A+,A</c:v>
                </c:pt>
                <c:pt idx="1">
                  <c:v>A-,B+,B</c:v>
                </c:pt>
                <c:pt idx="2">
                  <c:v>B-,C+,C</c:v>
                </c:pt>
                <c:pt idx="3">
                  <c:v>C-,D+,D</c:v>
                </c:pt>
                <c:pt idx="4">
                  <c:v>E</c:v>
                </c:pt>
                <c:pt idx="5">
                  <c:v>F</c:v>
                </c:pt>
              </c:strCache>
            </c:strRef>
          </c:cat>
          <c:val>
            <c:numRef>
              <c:f>Sheet1!$Z$4:$AE$4</c:f>
              <c:numCache>
                <c:formatCode>0.0</c:formatCode>
                <c:ptCount val="6"/>
                <c:pt idx="0">
                  <c:v>12.365591397849462</c:v>
                </c:pt>
                <c:pt idx="1">
                  <c:v>41.935483870967744</c:v>
                </c:pt>
                <c:pt idx="2">
                  <c:v>39.784946236559136</c:v>
                </c:pt>
                <c:pt idx="3">
                  <c:v>3.225806451612903</c:v>
                </c:pt>
                <c:pt idx="4">
                  <c:v>2.6881720430107525</c:v>
                </c:pt>
                <c:pt idx="5">
                  <c:v>0</c:v>
                </c:pt>
              </c:numCache>
            </c:numRef>
          </c:val>
          <c:extLst>
            <c:ext xmlns:c16="http://schemas.microsoft.com/office/drawing/2014/chart" uri="{C3380CC4-5D6E-409C-BE32-E72D297353CC}">
              <c16:uniqueId val="{00000002-9E4C-4359-9EC2-449D173A8EE9}"/>
            </c:ext>
          </c:extLst>
        </c:ser>
        <c:dLbls>
          <c:showLegendKey val="0"/>
          <c:showVal val="0"/>
          <c:showCatName val="0"/>
          <c:showSerName val="0"/>
          <c:showPercent val="0"/>
          <c:showBubbleSize val="0"/>
        </c:dLbls>
        <c:gapWidth val="315"/>
        <c:overlap val="-40"/>
        <c:axId val="930998367"/>
        <c:axId val="932287359"/>
      </c:barChart>
      <c:catAx>
        <c:axId val="930998367"/>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1200" b="1" i="0" u="none" strike="noStrike" kern="1200" baseline="0">
                    <a:solidFill>
                      <a:schemeClr val="bg1"/>
                    </a:solidFill>
                    <a:latin typeface="+mn-lt"/>
                    <a:ea typeface="+mn-ea"/>
                    <a:cs typeface="+mn-cs"/>
                  </a:defRPr>
                </a:pPr>
                <a:r>
                  <a:rPr lang="en-US" sz="1200"/>
                  <a:t>GRADE ACHIEVEMENT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en-US"/>
          </a:p>
        </c:txPr>
        <c:crossAx val="932287359"/>
        <c:crosses val="autoZero"/>
        <c:auto val="1"/>
        <c:lblAlgn val="ctr"/>
        <c:lblOffset val="100"/>
        <c:noMultiLvlLbl val="0"/>
      </c:catAx>
      <c:valAx>
        <c:axId val="932287359"/>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1200" b="1" i="0" u="none" strike="noStrike" kern="1200" baseline="0">
                    <a:solidFill>
                      <a:schemeClr val="bg1"/>
                    </a:solidFill>
                    <a:latin typeface="+mn-lt"/>
                    <a:ea typeface="+mn-ea"/>
                    <a:cs typeface="+mn-cs"/>
                  </a:defRPr>
                </a:pPr>
                <a:r>
                  <a:rPr lang="en-US" sz="1200"/>
                  <a:t>% OF STUDENTS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bg1"/>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en-US"/>
          </a:p>
        </c:txPr>
        <c:crossAx val="93099836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sz="1400">
          <a:solidFill>
            <a:schemeClr val="bg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PO1/CO1</c:v>
          </c:tx>
          <c:spPr>
            <a:pattFill prst="dkVert">
              <a:fgClr>
                <a:schemeClr val="accent2"/>
              </a:fgClr>
              <a:bgClr>
                <a:schemeClr val="bg1"/>
              </a:bgClr>
            </a:pattFill>
            <a:ln w="9525" cap="flat" cmpd="sng" algn="ctr">
              <a:solidFill>
                <a:schemeClr val="accent1"/>
              </a:solidFill>
              <a:miter lim="800000"/>
            </a:ln>
            <a:effectLst>
              <a:glow rad="63500">
                <a:schemeClr val="accent1">
                  <a:satMod val="175000"/>
                  <a:alpha val="25000"/>
                </a:schemeClr>
              </a:glow>
            </a:effectLst>
          </c:spPr>
          <c:invertIfNegative val="0"/>
          <c:cat>
            <c:strRef>
              <c:f>Sheet1!$C$43:$D$45</c:f>
              <c:strCache>
                <c:ptCount val="3"/>
                <c:pt idx="0">
                  <c:v>20224</c:v>
                </c:pt>
                <c:pt idx="1">
                  <c:v>20234</c:v>
                </c:pt>
                <c:pt idx="2">
                  <c:v>20244</c:v>
                </c:pt>
              </c:strCache>
            </c:strRef>
          </c:cat>
          <c:val>
            <c:numRef>
              <c:f>Sheet1!$E$43:$E$45</c:f>
              <c:numCache>
                <c:formatCode>0</c:formatCode>
                <c:ptCount val="3"/>
                <c:pt idx="0">
                  <c:v>53.110861111111141</c:v>
                </c:pt>
                <c:pt idx="1">
                  <c:v>55.652818035426556</c:v>
                </c:pt>
                <c:pt idx="2">
                  <c:v>64.149163679808836</c:v>
                </c:pt>
              </c:numCache>
            </c:numRef>
          </c:val>
          <c:extLst>
            <c:ext xmlns:c16="http://schemas.microsoft.com/office/drawing/2014/chart" uri="{C3380CC4-5D6E-409C-BE32-E72D297353CC}">
              <c16:uniqueId val="{00000000-6C17-497B-9467-81135045A1A4}"/>
            </c:ext>
          </c:extLst>
        </c:ser>
        <c:ser>
          <c:idx val="1"/>
          <c:order val="1"/>
          <c:tx>
            <c:v>PO3/CO2</c:v>
          </c:tx>
          <c:spPr>
            <a:pattFill prst="wdDnDiag">
              <a:fgClr>
                <a:schemeClr val="accent2"/>
              </a:fgClr>
              <a:bgClr>
                <a:schemeClr val="bg1"/>
              </a:bgClr>
            </a:pattFill>
            <a:ln w="9525" cap="flat" cmpd="sng" algn="ctr">
              <a:solidFill>
                <a:schemeClr val="accent2"/>
              </a:solidFill>
              <a:miter lim="800000"/>
            </a:ln>
            <a:effectLst>
              <a:glow rad="63500">
                <a:schemeClr val="accent2">
                  <a:satMod val="175000"/>
                  <a:alpha val="25000"/>
                </a:schemeClr>
              </a:glow>
            </a:effectLst>
          </c:spPr>
          <c:invertIfNegative val="0"/>
          <c:cat>
            <c:strRef>
              <c:f>Sheet1!$C$43:$D$45</c:f>
              <c:strCache>
                <c:ptCount val="3"/>
                <c:pt idx="0">
                  <c:v>20224</c:v>
                </c:pt>
                <c:pt idx="1">
                  <c:v>20234</c:v>
                </c:pt>
                <c:pt idx="2">
                  <c:v>20244</c:v>
                </c:pt>
              </c:strCache>
            </c:strRef>
          </c:cat>
          <c:val>
            <c:numRef>
              <c:f>Sheet1!$F$43:$F$45</c:f>
              <c:numCache>
                <c:formatCode>0</c:formatCode>
                <c:ptCount val="3"/>
                <c:pt idx="0">
                  <c:v>48.302738095238105</c:v>
                </c:pt>
                <c:pt idx="1">
                  <c:v>59.972808833678428</c:v>
                </c:pt>
                <c:pt idx="2">
                  <c:v>65.60886072708648</c:v>
                </c:pt>
              </c:numCache>
            </c:numRef>
          </c:val>
          <c:extLst>
            <c:ext xmlns:c16="http://schemas.microsoft.com/office/drawing/2014/chart" uri="{C3380CC4-5D6E-409C-BE32-E72D297353CC}">
              <c16:uniqueId val="{00000001-6C17-497B-9467-81135045A1A4}"/>
            </c:ext>
          </c:extLst>
        </c:ser>
        <c:dLbls>
          <c:showLegendKey val="0"/>
          <c:showVal val="0"/>
          <c:showCatName val="0"/>
          <c:showSerName val="0"/>
          <c:showPercent val="0"/>
          <c:showBubbleSize val="0"/>
        </c:dLbls>
        <c:gapWidth val="315"/>
        <c:overlap val="-40"/>
        <c:axId val="1014230783"/>
        <c:axId val="791402543"/>
      </c:barChart>
      <c:catAx>
        <c:axId val="1014230783"/>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1200" b="1" i="0" u="none" strike="noStrike" kern="1200" baseline="0">
                    <a:solidFill>
                      <a:schemeClr val="bg1"/>
                    </a:solidFill>
                    <a:latin typeface="+mn-lt"/>
                    <a:ea typeface="+mn-ea"/>
                    <a:cs typeface="+mn-cs"/>
                  </a:defRPr>
                </a:pPr>
                <a:r>
                  <a:rPr lang="en-US"/>
                  <a:t>SEMESTER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en-US"/>
          </a:p>
        </c:txPr>
        <c:crossAx val="791402543"/>
        <c:crosses val="autoZero"/>
        <c:auto val="1"/>
        <c:lblAlgn val="ctr"/>
        <c:lblOffset val="100"/>
        <c:noMultiLvlLbl val="0"/>
      </c:catAx>
      <c:valAx>
        <c:axId val="791402543"/>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1200" b="1" i="0" u="none" strike="noStrike" kern="1200" baseline="0">
                    <a:solidFill>
                      <a:schemeClr val="bg1"/>
                    </a:solidFill>
                    <a:latin typeface="+mn-lt"/>
                    <a:ea typeface="+mn-ea"/>
                    <a:cs typeface="+mn-cs"/>
                  </a:defRPr>
                </a:pPr>
                <a:r>
                  <a:rPr lang="en-US"/>
                  <a:t>AVERAGE ATTAINMENT(%)</a:t>
                </a:r>
              </a:p>
            </c:rich>
          </c:tx>
          <c:layout>
            <c:manualLayout>
              <c:xMode val="edge"/>
              <c:yMode val="edge"/>
              <c:x val="2.0956123117223315E-2"/>
              <c:y val="1.3482397043077642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bg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en-US"/>
          </a:p>
        </c:txPr>
        <c:crossAx val="10142307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sz="1200">
          <a:solidFill>
            <a:schemeClr val="bg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g6223u+PXwQKqPJ62zNEW71PDQ==">AMUW2mUIGH0RWhjP1XuJjhGj0I8Ay3F8weAkNf4h/dWkDRKLQh9sa9bgAo8rLGczzbwlpZymnJoG/V3WC1kj391kbsiOdnmPEupO6lRVofkPUz+LfxaP67CgdSYjFfqkFEAdPeb/rBZT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3236</Words>
  <Characters>20102</Characters>
  <Application>Microsoft Office Word</Application>
  <DocSecurity>0</DocSecurity>
  <Lines>418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DIANA BINTI CHE LAT</cp:lastModifiedBy>
  <cp:revision>9</cp:revision>
  <dcterms:created xsi:type="dcterms:W3CDTF">2025-05-14T06:51:00Z</dcterms:created>
  <dcterms:modified xsi:type="dcterms:W3CDTF">2025-05-16T03:30:00Z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1c2eca72-0233-4a30-b389-e6c077c618ed</vt:lpwstr>
  </property>
</Properties>
</file>