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E9790B" w:rsidRDefault="00685492" w:rsidP="00685492">
      <w:pPr>
        <w:jc w:val="center"/>
        <w:rPr>
          <w:rFonts w:ascii="Times New Roman" w:hAnsi="Times New Roman" w:cs="Times New Roman"/>
          <w:b/>
          <w:sz w:val="24"/>
          <w:szCs w:val="24"/>
        </w:rPr>
      </w:pPr>
      <w:r w:rsidRPr="00E9790B">
        <w:rPr>
          <w:rFonts w:ascii="Times New Roman" w:hAnsi="Times New Roman" w:cs="Times New Roman"/>
          <w:b/>
          <w:sz w:val="24"/>
          <w:szCs w:val="24"/>
        </w:rPr>
        <w:t>ANAL</w:t>
      </w:r>
      <w:r w:rsidR="00242DF9">
        <w:rPr>
          <w:rFonts w:ascii="Times New Roman" w:hAnsi="Times New Roman" w:cs="Times New Roman"/>
          <w:b/>
          <w:sz w:val="24"/>
          <w:szCs w:val="24"/>
        </w:rPr>
        <w:t>I</w:t>
      </w:r>
      <w:bookmarkStart w:id="0" w:name="_GoBack"/>
      <w:bookmarkEnd w:id="0"/>
      <w:r w:rsidRPr="00E9790B">
        <w:rPr>
          <w:rFonts w:ascii="Times New Roman" w:hAnsi="Times New Roman" w:cs="Times New Roman"/>
          <w:b/>
          <w:sz w:val="24"/>
          <w:szCs w:val="24"/>
        </w:rPr>
        <w:t>SIS KAJIAN SASTERA: SEMIOTIK DALAM NOVEL ANWAR RIDHWAN</w:t>
      </w:r>
    </w:p>
    <w:p w:rsidR="00685492" w:rsidRPr="00E9790B" w:rsidRDefault="00685492" w:rsidP="00685492">
      <w:pPr>
        <w:jc w:val="center"/>
        <w:rPr>
          <w:rFonts w:ascii="Times New Roman" w:hAnsi="Times New Roman" w:cs="Times New Roman"/>
          <w:b/>
          <w:sz w:val="24"/>
          <w:szCs w:val="24"/>
        </w:rPr>
      </w:pPr>
    </w:p>
    <w:p w:rsidR="00685492" w:rsidRPr="00E9790B" w:rsidRDefault="00685492"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Centre for Language Studies</w:t>
      </w:r>
    </w:p>
    <w:p w:rsidR="00685492" w:rsidRPr="00E9790B" w:rsidRDefault="00685492"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Faculty of Arts &amp; Social Sciences</w:t>
      </w:r>
    </w:p>
    <w:p w:rsidR="00685492" w:rsidRPr="00E9790B" w:rsidRDefault="00685492" w:rsidP="00685492">
      <w:pPr>
        <w:spacing w:after="0" w:line="240" w:lineRule="auto"/>
        <w:jc w:val="center"/>
        <w:rPr>
          <w:rFonts w:ascii="Times New Roman" w:hAnsi="Times New Roman" w:cs="Times New Roman"/>
          <w:i/>
          <w:sz w:val="24"/>
          <w:szCs w:val="24"/>
        </w:rPr>
      </w:pPr>
      <w:r w:rsidRPr="00E9790B">
        <w:rPr>
          <w:rFonts w:ascii="Times New Roman" w:hAnsi="Times New Roman" w:cs="Times New Roman"/>
          <w:sz w:val="24"/>
          <w:szCs w:val="24"/>
        </w:rPr>
        <w:t xml:space="preserve">National University of Singapore </w:t>
      </w:r>
    </w:p>
    <w:p w:rsidR="00685492" w:rsidRPr="00E9790B" w:rsidRDefault="003B2F3C" w:rsidP="00685492">
      <w:pPr>
        <w:jc w:val="center"/>
        <w:rPr>
          <w:rFonts w:ascii="Times New Roman" w:hAnsi="Times New Roman" w:cs="Times New Roman"/>
          <w:b/>
          <w:i/>
          <w:sz w:val="24"/>
          <w:szCs w:val="24"/>
        </w:rPr>
      </w:pPr>
      <w:hyperlink r:id="rId8" w:history="1">
        <w:r w:rsidR="00685492" w:rsidRPr="00E9790B">
          <w:rPr>
            <w:rStyle w:val="Hyperlink"/>
            <w:rFonts w:ascii="Times New Roman" w:hAnsi="Times New Roman" w:cs="Times New Roman"/>
            <w:b/>
            <w:i/>
            <w:color w:val="auto"/>
            <w:sz w:val="24"/>
            <w:szCs w:val="24"/>
          </w:rPr>
          <w:t>clssjw@nus.edu.sg</w:t>
        </w:r>
      </w:hyperlink>
      <w:r w:rsidR="00685492" w:rsidRPr="00E9790B">
        <w:rPr>
          <w:rFonts w:ascii="Times New Roman" w:hAnsi="Times New Roman" w:cs="Times New Roman"/>
          <w:b/>
          <w:i/>
          <w:sz w:val="24"/>
          <w:szCs w:val="24"/>
        </w:rPr>
        <w:t xml:space="preserve"> </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85492">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 2012/1957, hlm.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 Kualiti suntingan bermaksud ketepatan dalam ejaan sesuatu bahasa. 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 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 xml:space="preserve">dalam sorotan kajian. 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 Keempat-empat sudut pandangan ini beroperasi sebagai kayu pengukur bagi sebuah tulisan yang berpegang pada kerangka semiotik. 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 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 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 xml:space="preserve">tahap tinggi yang dipelopori oleh Roland Barthes, di luar skop analitik buku ini. Perhitungan ikon, indeks dan simbol dalam analisis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 Kajian semiotik, Anwar Ridhwan, Novel Melayu, Mitologi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Pr="00E9790B" w:rsidRDefault="00685492" w:rsidP="00685492">
      <w:pPr>
        <w:jc w:val="center"/>
        <w:rPr>
          <w:rFonts w:ascii="Times New Roman" w:hAnsi="Times New Roman" w:cs="Times New Roman"/>
          <w:b/>
          <w:i/>
          <w:sz w:val="24"/>
          <w:szCs w:val="24"/>
        </w:rPr>
      </w:pPr>
      <w:r w:rsidRPr="00E9790B">
        <w:rPr>
          <w:rFonts w:ascii="Times New Roman" w:hAnsi="Times New Roman" w:cs="Times New Roman"/>
          <w:b/>
          <w:sz w:val="24"/>
          <w:szCs w:val="24"/>
        </w:rPr>
        <w:lastRenderedPageBreak/>
        <w:t>ANALYSIS OF LITERATURE RESEARCH: SEMIOTIK DALAM NOVEL ANWAR RIDHWAN</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85492">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 2012/1957, p.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Research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resolution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viewpoints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004A0FE9" w:rsidRPr="00E9790B">
        <w:rPr>
          <w:rFonts w:ascii="Times New Roman" w:hAnsi="Times New Roman" w:cs="Times New Roman"/>
          <w:b w:val="0"/>
          <w:color w:val="auto"/>
          <w:sz w:val="24"/>
          <w:szCs w:val="24"/>
        </w:rPr>
        <w:t>,</w:t>
      </w:r>
      <w:r w:rsidRPr="00E9790B">
        <w:rPr>
          <w:rFonts w:ascii="Times New Roman" w:hAnsi="Times New Roman" w:cs="Times New Roman"/>
          <w:b w:val="0"/>
          <w:color w:val="auto"/>
          <w:sz w:val="24"/>
          <w:szCs w:val="24"/>
        </w:rPr>
        <w:t xml:space="preserve"> </w:t>
      </w:r>
      <w:r w:rsidR="004A0FE9" w:rsidRPr="00E9790B">
        <w:rPr>
          <w:rFonts w:ascii="Times New Roman" w:hAnsi="Times New Roman" w:cs="Times New Roman"/>
          <w:b w:val="0"/>
          <w:color w:val="auto"/>
          <w:sz w:val="24"/>
          <w:szCs w:val="24"/>
        </w:rPr>
        <w:t>e.g.</w:t>
      </w:r>
      <w:r w:rsidRPr="00E9790B">
        <w:rPr>
          <w:rFonts w:ascii="Times New Roman" w:hAnsi="Times New Roman" w:cs="Times New Roman"/>
          <w:b w:val="0"/>
          <w:color w:val="auto"/>
          <w:sz w:val="24"/>
          <w:szCs w:val="24"/>
        </w:rPr>
        <w:t xml:space="preserve"> a mere counting of icon, index and symbols in the analyses,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 Semiotic research, Anwar Ridhwan, Malay novel, Mythology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
    <w:p w:rsidR="00E8494C" w:rsidRPr="00E9790B" w:rsidRDefault="00E8494C"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lastRenderedPageBreak/>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adalah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sastera memang diakuri (Belsey, 2002). 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 xml:space="preserve">karya bahasa Melayu.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sebuah buku kritikan sastera Melayu terbitan tahun 2014. Binaan utama buku ini terdiri daripada enam bab, yang dilengkapi dengan senarai bibliografi dan satu rujukan indeks. 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E9790B">
        <w:rPr>
          <w:rFonts w:ascii="Times New Roman" w:hAnsi="Times New Roman" w:cs="Times New Roman"/>
          <w:i/>
          <w:sz w:val="24"/>
          <w:szCs w:val="24"/>
        </w:rPr>
        <w:t>Bab Pertama</w:t>
      </w:r>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lima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dibukukan. Barisan penyelia ini terdiri daripada Mohd. Sahlan Mohd. Saman, Mohammad Mokhtar Abu Hassan, Anuar Hj. Rethwan, Zahir Ahmad dan Pawang Buaya Nik Mamat. 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Terdapat tiga masalah yang perlu diperjelaskan bagi kutipan di atas. Pertama masalah </w:t>
      </w:r>
      <w:r w:rsidR="001B4B3A" w:rsidRPr="00E9790B">
        <w:rPr>
          <w:rFonts w:ascii="Times New Roman" w:hAnsi="Times New Roman" w:cs="Times New Roman"/>
          <w:sz w:val="24"/>
          <w:szCs w:val="24"/>
        </w:rPr>
        <w:t xml:space="preserve">kejituan dalam </w:t>
      </w:r>
      <w:r w:rsidRPr="00E9790B">
        <w:rPr>
          <w:rFonts w:ascii="Times New Roman" w:hAnsi="Times New Roman" w:cs="Times New Roman"/>
          <w:sz w:val="24"/>
          <w:szCs w:val="24"/>
        </w:rPr>
        <w:t xml:space="preserve">kajian muncul kerana bukan kesemua nama yang bergelar tokoh sarjana itu sememangnya tokoh sarjana. </w:t>
      </w:r>
      <w:r w:rsidR="001B4B3A" w:rsidRPr="00E9790B">
        <w:rPr>
          <w:rFonts w:ascii="Times New Roman" w:hAnsi="Times New Roman" w:cs="Times New Roman"/>
          <w:sz w:val="24"/>
          <w:szCs w:val="24"/>
        </w:rPr>
        <w:t>Sorotan</w:t>
      </w:r>
      <w:r w:rsidRPr="00E9790B">
        <w:rPr>
          <w:rFonts w:ascii="Times New Roman" w:hAnsi="Times New Roman" w:cs="Times New Roman"/>
          <w:sz w:val="24"/>
          <w:szCs w:val="24"/>
        </w:rPr>
        <w:t xml:space="preserve"> yang lebih teliti pada bahagian </w:t>
      </w:r>
      <w:r w:rsidRPr="00E9790B">
        <w:rPr>
          <w:rFonts w:ascii="Times New Roman" w:hAnsi="Times New Roman" w:cs="Times New Roman"/>
          <w:i/>
          <w:sz w:val="24"/>
          <w:szCs w:val="24"/>
        </w:rPr>
        <w:t xml:space="preserve">Bibliografi </w:t>
      </w:r>
      <w:r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r w:rsidR="00A85CEE" w:rsidRPr="00E9790B">
        <w:rPr>
          <w:rFonts w:ascii="Times New Roman" w:hAnsi="Times New Roman" w:cs="Times New Roman"/>
          <w:sz w:val="24"/>
          <w:szCs w:val="24"/>
        </w:rPr>
        <w:t xml:space="preserve">Sebaliknya, </w:t>
      </w:r>
      <w:r w:rsidR="004F4B53" w:rsidRPr="00E9790B">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cakupan tokoh semiotik yang digalurkan oleh </w:t>
      </w:r>
      <w:r w:rsidRPr="00E9790B">
        <w:rPr>
          <w:rFonts w:ascii="Times New Roman" w:hAnsi="Times New Roman" w:cs="Times New Roman"/>
          <w:sz w:val="24"/>
          <w:szCs w:val="24"/>
        </w:rPr>
        <w:lastRenderedPageBreak/>
        <w:t xml:space="preserve">penulis, sumbangan Ferdinand de Saussure tidak diberikan penekanan dalam kajian ini. Walaupun nama Ferdinand de Saussure disebut pada halaman kedua, ketiga, serta kelima di dalam buku di samping pengunaan istilah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yang juga dimasukkan ke dalam indeks, buku Saussure (1983) telah ditinggalkan </w:t>
      </w:r>
      <w:r w:rsidR="00B2673A" w:rsidRPr="00E9790B">
        <w:rPr>
          <w:rFonts w:ascii="Times New Roman" w:hAnsi="Times New Roman" w:cs="Times New Roman"/>
          <w:sz w:val="24"/>
          <w:szCs w:val="24"/>
        </w:rPr>
        <w:t xml:space="preserve">sama sekali </w:t>
      </w:r>
      <w:r w:rsidRPr="00E9790B">
        <w:rPr>
          <w:rFonts w:ascii="Times New Roman" w:hAnsi="Times New Roman" w:cs="Times New Roman"/>
          <w:sz w:val="24"/>
          <w:szCs w:val="24"/>
        </w:rPr>
        <w:t xml:space="preserve">daripada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Gejala buku yang berteorikan ilmu semiotik tetapi tidak mengandungi karya Saussure dalam rujukannya </w:t>
      </w:r>
      <w:r w:rsidR="00B2673A" w:rsidRPr="00E9790B">
        <w:rPr>
          <w:rFonts w:ascii="Times New Roman" w:hAnsi="Times New Roman" w:cs="Times New Roman"/>
          <w:sz w:val="24"/>
          <w:szCs w:val="24"/>
        </w:rPr>
        <w:t>memperlihatkan</w:t>
      </w:r>
      <w:r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Pr="00E9790B">
        <w:rPr>
          <w:rFonts w:ascii="Times New Roman" w:hAnsi="Times New Roman" w:cs="Times New Roman"/>
          <w:sz w:val="24"/>
          <w:szCs w:val="24"/>
        </w:rPr>
        <w:t xml:space="preserve"> dari sudut suntingan ilmiah. Dakwaan kerangka semiotik yang digunakan bersusurkan mazhab Amerika Syarikat tidak masuk akal kerana istilah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telah diindekskan ke dalam buku </w:t>
      </w:r>
      <w:r w:rsidRPr="00E9790B">
        <w:rPr>
          <w:rFonts w:ascii="Times New Roman" w:hAnsi="Times New Roman" w:cs="Times New Roman"/>
        </w:rPr>
        <w:t>(Tengku Intan Marlina, 2014, hlm. 399)</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Perlu ditegaskan bahawa selain daripada Perice, Saussure merupakan bapa semiotik kerana buku beliau menjadi pegangan asas pakar semiotik Roland Barthes sebelum </w:t>
      </w:r>
      <w:r w:rsidR="00B2673A" w:rsidRPr="00E9790B">
        <w:rPr>
          <w:rFonts w:ascii="Times New Roman" w:hAnsi="Times New Roman" w:cs="Times New Roman"/>
          <w:sz w:val="24"/>
          <w:szCs w:val="24"/>
        </w:rPr>
        <w:t>pemahaman</w:t>
      </w:r>
      <w:r w:rsidRPr="00E9790B">
        <w:rPr>
          <w:rFonts w:ascii="Times New Roman" w:hAnsi="Times New Roman" w:cs="Times New Roman"/>
          <w:sz w:val="24"/>
          <w:szCs w:val="24"/>
        </w:rPr>
        <w:t xml:space="preserve"> semiotik ini dikembangkan ke tahap analisis yang lebih tinggi seperti konsep mitologi (Howells &amp; Negreiros, 2012/2003). 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bermarkas di benua Eropah. Dengan ini, sumbangan konsep semiotik dalam kajian Saussure telahpun berakar umbi di Eropah, baik sebagai saripati mazhab struktural mahupun sebagai papan loncatan mazhab pascastruktural (Belsey, 2002). Memang tidak dapat dinafikan </w:t>
      </w:r>
      <w:r w:rsidR="00F03686" w:rsidRPr="00E9790B">
        <w:rPr>
          <w:rFonts w:ascii="Times New Roman" w:hAnsi="Times New Roman" w:cs="Times New Roman"/>
          <w:sz w:val="24"/>
          <w:szCs w:val="24"/>
        </w:rPr>
        <w:t xml:space="preserve">bahawa sumbangan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tidak dapat diabaikan memandangkan buku ini menggunakan penerbitan pakar Belanda.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 xml:space="preserve">lebih mutakhir. (Mawar Safei dan Mawar Shafei ialah nama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firstRow="1" w:lastRow="0" w:firstColumn="1" w:lastColumn="0" w:noHBand="0" w:noVBand="1"/>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685492">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 hlm. 369)</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Sistem rujukan Jadual 1 adalah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 Selain daripada itu item ke-7 harus mendahului item ke-6 sebab kedudukan vokal /o/ yang lebih awal daripada vokal /u/.</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ASAS PENILAIAN ILMIAH</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Rencana ini akan menilai kualiti ilmiah penerbitan buku ini. Kriteria penilaian buku pada tahap awal ini bersifat penilaian asas yang membabitkan kemahiran penulisan karya akademik. Kriteria pertama ialah kualiti suntingan teks. Penilaian suntingan ditinjau dari segi ketepatan ejaan memandangkan kesilapan ejaan akan mengganggu pemahaman sesuatu teks lantas menghambat penghayatan idea dan hujah yang ingin diketengahkan. Dalam erti kata yang lain, kriteria pertama kualiti suntingan mencakup</w:t>
      </w:r>
      <w:r w:rsidR="00CC6B99" w:rsidRPr="00E9790B">
        <w:rPr>
          <w:rFonts w:ascii="Times New Roman" w:hAnsi="Times New Roman" w:cs="Times New Roman"/>
          <w:sz w:val="24"/>
          <w:szCs w:val="24"/>
        </w:rPr>
        <w:t>i</w:t>
      </w:r>
      <w:r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binaan signifier</w:t>
      </w:r>
      <w:r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 Sejauh manakah kerangka teori bersinambungan dengan dapatan kajian adalah penting. 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men</w:t>
      </w:r>
      <w:r w:rsidR="00857C59" w:rsidRPr="00E9790B">
        <w:rPr>
          <w:rFonts w:ascii="Times New Roman" w:hAnsi="Times New Roman" w:cs="Times New Roman"/>
          <w:sz w:val="24"/>
          <w:szCs w:val="24"/>
        </w:rPr>
        <w:t>gandungi nilai</w:t>
      </w:r>
      <w:r w:rsidRPr="00E9790B">
        <w:rPr>
          <w:rFonts w:ascii="Times New Roman" w:hAnsi="Times New Roman" w:cs="Times New Roman"/>
          <w:sz w:val="24"/>
          <w:szCs w:val="24"/>
        </w:rPr>
        <w:t xml:space="preserve"> boleh percaya dalam penerbitan ilmiah. Sebarang hasil penemuan </w:t>
      </w:r>
      <w:r w:rsidR="00857C59" w:rsidRPr="00E9790B">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kajian boleh diketengahkan sebagai </w:t>
      </w:r>
      <w:r w:rsidR="00857C59" w:rsidRPr="00E9790B">
        <w:rPr>
          <w:rFonts w:ascii="Times New Roman" w:hAnsi="Times New Roman" w:cs="Times New Roman"/>
          <w:sz w:val="24"/>
          <w:szCs w:val="24"/>
        </w:rPr>
        <w:t>pemaparan</w:t>
      </w:r>
      <w:r w:rsidRPr="00E9790B">
        <w:rPr>
          <w:rFonts w:ascii="Times New Roman" w:hAnsi="Times New Roman" w:cs="Times New Roman"/>
          <w:sz w:val="24"/>
          <w:szCs w:val="24"/>
        </w:rPr>
        <w:t xml:space="preserve"> ufuk baharu, ataupun bukti ba</w:t>
      </w:r>
      <w:r w:rsidR="00857C59" w:rsidRPr="00E9790B">
        <w:rPr>
          <w:rFonts w:ascii="Times New Roman" w:hAnsi="Times New Roman" w:cs="Times New Roman"/>
          <w:sz w:val="24"/>
          <w:szCs w:val="24"/>
        </w:rPr>
        <w:t>ha</w:t>
      </w:r>
      <w:r w:rsidRPr="00E9790B">
        <w:rPr>
          <w:rFonts w:ascii="Times New Roman" w:hAnsi="Times New Roman" w:cs="Times New Roman"/>
          <w:sz w:val="24"/>
          <w:szCs w:val="24"/>
        </w:rPr>
        <w:t>ru demi pembetulan sebarang mitos lama yang ke</w:t>
      </w:r>
      <w:r w:rsidR="00857C59" w:rsidRPr="00E9790B">
        <w:rPr>
          <w:rFonts w:ascii="Times New Roman" w:hAnsi="Times New Roman" w:cs="Times New Roman"/>
          <w:sz w:val="24"/>
          <w:szCs w:val="24"/>
        </w:rPr>
        <w:t>lupasan</w:t>
      </w:r>
      <w:r w:rsidRPr="00E9790B">
        <w:rPr>
          <w:rFonts w:ascii="Times New Roman" w:hAnsi="Times New Roman" w:cs="Times New Roman"/>
          <w:sz w:val="24"/>
          <w:szCs w:val="24"/>
        </w:rPr>
        <w:t xml:space="preserve"> nilai kebenaran. Masalah mencampuradukkan dua tiga teori untuk dijadikan landasan kosa ilmu dalam buku ini menyiratkan risiko pemahaman yang kemungkinan </w:t>
      </w:r>
      <w:r w:rsidR="00857C59" w:rsidRPr="00E9790B">
        <w:rPr>
          <w:rFonts w:ascii="Times New Roman" w:hAnsi="Times New Roman" w:cs="Times New Roman"/>
          <w:sz w:val="24"/>
          <w:szCs w:val="24"/>
        </w:rPr>
        <w:t>berubah menjadi semakin</w:t>
      </w:r>
      <w:r w:rsidRPr="00E9790B">
        <w:rPr>
          <w:rFonts w:ascii="Times New Roman" w:hAnsi="Times New Roman" w:cs="Times New Roman"/>
          <w:sz w:val="24"/>
          <w:szCs w:val="24"/>
        </w:rPr>
        <w:t xml:space="preserve"> kekabur-kaburan. Perkara ini diperhatikan dalam usaha padanan pragmatik van Zoest ke dalam sistem penandaan Peirce yang telah kemudiannya digandingkan dengan istilah Morris (lihat di bawah).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Seperkara itu, masalah takrifan dasar muncul apabila penulis cuba meninjau sintaktis secara berasingan daripada semantik. Akibatnya penulis menimbulkan tanda tanya klasik bagaimana makna boleh dimengertikan tanpa ayat. Deal (2015) menunjukkan bahawa syarat dasar analysis semantik membabitkan bingkai dan acuan sintaksis sebagai rangkaian makna. Sintaksis atau binaan ayat diperlukan dalam proses perungkaian maklumat baru. Tanpa ayat atau binaan frasa makna logikal tidak wujud dan sebarang pengertian teks tidak akan terhurai dengan sempurna. Baik pemahaman makna sesuatu perkataan sekalipun </w:t>
      </w:r>
      <w:r w:rsidR="00BC75E4" w:rsidRPr="00E9790B">
        <w:rPr>
          <w:rFonts w:ascii="Times New Roman" w:hAnsi="Times New Roman" w:cs="Times New Roman"/>
          <w:sz w:val="24"/>
          <w:szCs w:val="24"/>
        </w:rPr>
        <w:t xml:space="preserve">proses </w:t>
      </w:r>
      <w:r w:rsidRPr="00E9790B">
        <w:rPr>
          <w:rFonts w:ascii="Times New Roman" w:hAnsi="Times New Roman" w:cs="Times New Roman"/>
          <w:sz w:val="24"/>
          <w:szCs w:val="24"/>
        </w:rPr>
        <w:t>penghuraian sesuatu imbuhan melibatkan pernyataan makna dalam bentuk ayat atau frasa</w:t>
      </w:r>
      <w:r w:rsidR="00BC75E4" w:rsidRPr="00E9790B">
        <w:rPr>
          <w:rFonts w:ascii="Times New Roman" w:hAnsi="Times New Roman" w:cs="Times New Roman"/>
          <w:sz w:val="24"/>
          <w:szCs w:val="24"/>
        </w:rPr>
        <w:t xml:space="preserve"> sebagai syarat operan</w:t>
      </w:r>
      <w:r w:rsidRPr="00E9790B">
        <w:rPr>
          <w:rFonts w:ascii="Times New Roman" w:hAnsi="Times New Roman" w:cs="Times New Roman"/>
          <w:sz w:val="24"/>
          <w:szCs w:val="24"/>
        </w:rPr>
        <w:t xml:space="preserve"> (Sew, 2011).</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 xml:space="preserve">. Sebarang rujukan bahan yang dibuat dalam teks seharusnya disenaraikan dalam bibliografi. Ketertiban mengatur sumber rujukan mengikut abjad huruf rumi juga harus diperhatikan. 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685492">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2: </w:t>
      </w:r>
      <w:r w:rsidRPr="00E9790B">
        <w:rPr>
          <w:rFonts w:ascii="Times New Roman" w:hAnsi="Times New Roman" w:cs="Times New Roman"/>
          <w:i/>
        </w:rPr>
        <w:t xml:space="preserve">Bibliografi </w:t>
      </w:r>
      <w:r w:rsidRPr="00E9790B">
        <w:rPr>
          <w:rFonts w:ascii="Times New Roman" w:hAnsi="Times New Roman" w:cs="Times New Roman"/>
        </w:rPr>
        <w:t>(Tengku Intan Marlina, 2014, hlm. 372-373)</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Berpandukan butiran bibliografi di dalam Jadual 2, adalah jelas bahawa item 49 sepatutnya berada di kedudukan sesudah item 51.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Kriteria keempat menimbulkan tanda tanya sejauh manakan tinjauan semiotik penulis ini mampu menggarapkan aspek semiotik yang dikembangkan oleh Barthes (2012/1957) ke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Dalam data bibliografi penulis, dua karya Barthes disenaraikan sebagai rujukan. Penulisan yang berdasarkan teori semiotik sebagai pangkalan kajian seraya memuatkan cakupan wacana pada tahap novel tidak seharusnya terkongkong dengan analisis frasa dan ayat. Kajian semiotik novel harus meninjau ideologi yang bersumberkan binaan lambang sebagai dasar mesej yang disengajakan oleh pengarang melalui binaan watak, tema dan penggarapan isu-isu di sebalik proses berkarya demi </w:t>
      </w:r>
      <w:r w:rsidR="00FA64D6" w:rsidRPr="00E9790B">
        <w:rPr>
          <w:rFonts w:ascii="Times New Roman" w:hAnsi="Times New Roman" w:cs="Times New Roman"/>
          <w:sz w:val="24"/>
          <w:szCs w:val="24"/>
        </w:rPr>
        <w:t xml:space="preserve">proses </w:t>
      </w:r>
      <w:r w:rsidRPr="00E9790B">
        <w:rPr>
          <w:rFonts w:ascii="Times New Roman" w:hAnsi="Times New Roman" w:cs="Times New Roman"/>
          <w:sz w:val="24"/>
          <w:szCs w:val="24"/>
        </w:rPr>
        <w:t xml:space="preserve">pensejarahan plot. Konsep mitologi yang dipelopori oleh Barthes adalah penting dari segi pendedahan ideologi siratan kelas menengah dalam karya kreatif bertulis seperti novel.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Penilaian seterusnya membabitkan beberapa bab terpilih dalam buku. Huraian yang diberikan menggunakan dua sudut pandangan. Pertama sebagai pembaca kerana menurut Barthes, segala usaha kreatif hanya berkesahihan dalam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Dengan ini, fahaman semiotik yang asli menjelaskan bahawa memang tidak ada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sebab pengarang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merupakan</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 xml:space="preserve">. Kedua, buku ini juga dinilai dari sudut pengkaji yang membawa bersama disiplin semiotik agar penilaian ini menurut prinsip ilmiah yang boleh dipercayai. Pada masa yang sama perbandingan semiotik dijalankan supaya para pengkaji mengelakkan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limau. Sebagai suatu persilangan budaya, konsep Melayu yang dicadangkan adalah agar 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lastRenderedPageBreak/>
        <w:t>SEMIOTIK DAN KEGUNAANNYA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Dalam bab pertama,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dikatakan berasal dari zaman Yunani khususnya buku </w:t>
      </w:r>
      <w:r w:rsidRPr="00E9790B">
        <w:rPr>
          <w:rFonts w:ascii="Times New Roman" w:hAnsi="Times New Roman" w:cs="Times New Roman"/>
          <w:i/>
          <w:sz w:val="24"/>
          <w:szCs w:val="24"/>
        </w:rPr>
        <w:t>Cratylus</w:t>
      </w:r>
      <w:r w:rsidRPr="00E9790B">
        <w:rPr>
          <w:rFonts w:ascii="Times New Roman" w:hAnsi="Times New Roman" w:cs="Times New Roman"/>
          <w:sz w:val="24"/>
          <w:szCs w:val="24"/>
        </w:rPr>
        <w:t xml:space="preserve"> karangan Plato yang menyabitkan tentangan golongan Stoics. Sebagai suatu pengamatan awal, dakwaan bahawa kajian semiotik bermula dari zaman Yunani adalah tidak benar kerana seseorang itu perlu mengambil kira evolusi pembentukan tulisan Cina. Tulisan Cina ialah bentuk semiotik yang bersifat legisign. Legisign merupakan lambang yang membawa sesuatu rujukan atau idea dalam fahaman semiotik yang asas. Dengan ini setiap perkataan Cina melambangkan idea tertentu sebagai kosa pengetahuan.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sama ada nama dan sesuatu objek rujukan memiliki hubungan wewenang atau konvensi disebut secara seimbas lalu sebelum ia dikaitkan dengan 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 Penulis juga menerangkan usaha Michael Riffaterre yang mengaitkan ilmu semiotik dengan puisi. Puisi dikatakan mampu menunjukkan penggantian erti, penyimpangan erti dan penciptaan erti.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Kesalahan ejaan pertama didapati pada halaman kedua iaitu nama Ferdinand dieja sebagai *Fredinand (Tengku Intan Marlina, 2014, hlm. 2). Dua lagi kesalahan ejaan muncul apabila penulis membuat kutipan tambahan dalam bahasa Inggeris − </w:t>
      </w:r>
      <w:r w:rsidRPr="00E9790B">
        <w:rPr>
          <w:rFonts w:ascii="Times New Roman" w:hAnsi="Times New Roman" w:cs="Times New Roman"/>
          <w:i/>
          <w:sz w:val="24"/>
          <w:szCs w:val="24"/>
        </w:rPr>
        <w:t>displacing of meaning</w:t>
      </w:r>
      <w:r w:rsidRPr="00E9790B">
        <w:rPr>
          <w:rFonts w:ascii="Times New Roman" w:hAnsi="Times New Roman" w:cs="Times New Roman"/>
          <w:sz w:val="24"/>
          <w:szCs w:val="24"/>
        </w:rPr>
        <w:t xml:space="preserve"> telah dicetak sebagai </w:t>
      </w:r>
      <w:r w:rsidRPr="00E9790B">
        <w:rPr>
          <w:rFonts w:ascii="Times New Roman" w:hAnsi="Times New Roman" w:cs="Times New Roman"/>
          <w:i/>
          <w:sz w:val="24"/>
          <w:szCs w:val="24"/>
        </w:rPr>
        <w:t>dispalcing</w:t>
      </w:r>
      <w:r w:rsidRPr="00E9790B">
        <w:rPr>
          <w:rFonts w:ascii="Times New Roman" w:hAnsi="Times New Roman" w:cs="Times New Roman"/>
          <w:sz w:val="24"/>
          <w:szCs w:val="24"/>
        </w:rPr>
        <w:t xml:space="preserve"> [sic.] </w:t>
      </w:r>
      <w:r w:rsidRPr="00E9790B">
        <w:rPr>
          <w:rFonts w:ascii="Times New Roman" w:hAnsi="Times New Roman" w:cs="Times New Roman"/>
          <w:i/>
          <w:sz w:val="24"/>
          <w:szCs w:val="24"/>
        </w:rPr>
        <w:t>of meaning;</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distorting of meaning</w:t>
      </w:r>
      <w:r w:rsidRPr="00E9790B">
        <w:rPr>
          <w:rFonts w:ascii="Times New Roman" w:hAnsi="Times New Roman" w:cs="Times New Roman"/>
          <w:sz w:val="24"/>
          <w:szCs w:val="24"/>
        </w:rPr>
        <w:t xml:space="preserve"> telah dieja sebagai </w:t>
      </w:r>
      <w:r w:rsidRPr="00E9790B">
        <w:rPr>
          <w:rFonts w:ascii="Times New Roman" w:hAnsi="Times New Roman" w:cs="Times New Roman"/>
          <w:i/>
          <w:sz w:val="24"/>
          <w:szCs w:val="24"/>
        </w:rPr>
        <w:t>ditrorting</w:t>
      </w:r>
      <w:r w:rsidRPr="00E9790B">
        <w:rPr>
          <w:rFonts w:ascii="Times New Roman" w:hAnsi="Times New Roman" w:cs="Times New Roman"/>
          <w:sz w:val="24"/>
          <w:szCs w:val="24"/>
        </w:rPr>
        <w:t xml:space="preserve"> [sic.]</w:t>
      </w:r>
      <w:r w:rsidRPr="00E9790B">
        <w:rPr>
          <w:rFonts w:ascii="Times New Roman" w:hAnsi="Times New Roman" w:cs="Times New Roman"/>
          <w:i/>
          <w:sz w:val="24"/>
          <w:szCs w:val="24"/>
        </w:rPr>
        <w:t xml:space="preserve"> of meaning</w:t>
      </w:r>
      <w:r w:rsidRPr="00E9790B">
        <w:rPr>
          <w:rFonts w:ascii="Times New Roman" w:hAnsi="Times New Roman" w:cs="Times New Roman"/>
          <w:sz w:val="24"/>
          <w:szCs w:val="24"/>
        </w:rPr>
        <w:t xml:space="preserve"> (</w:t>
      </w:r>
      <w:r w:rsidR="00E76FE5" w:rsidRPr="00E9790B">
        <w:rPr>
          <w:rFonts w:ascii="Times New Roman" w:hAnsi="Times New Roman" w:cs="Times New Roman"/>
          <w:sz w:val="24"/>
          <w:szCs w:val="24"/>
        </w:rPr>
        <w:t>i</w:t>
      </w:r>
      <w:r w:rsidR="00355CFE" w:rsidRPr="00E9790B">
        <w:rPr>
          <w:rFonts w:ascii="Times New Roman" w:hAnsi="Times New Roman" w:cs="Times New Roman"/>
          <w:sz w:val="24"/>
          <w:szCs w:val="24"/>
        </w:rPr>
        <w:t>bid.</w:t>
      </w:r>
      <w:r w:rsidRPr="00E9790B">
        <w:rPr>
          <w:rFonts w:ascii="Times New Roman" w:hAnsi="Times New Roman" w:cs="Times New Roman"/>
          <w:sz w:val="24"/>
          <w:szCs w:val="24"/>
        </w:rPr>
        <w:t xml:space="preserve">, hlm. 6). Selain daripada itu, </w:t>
      </w:r>
      <w:r w:rsidRPr="00E9790B">
        <w:rPr>
          <w:rFonts w:ascii="Times New Roman" w:hAnsi="Times New Roman" w:cs="Times New Roman"/>
          <w:i/>
          <w:sz w:val="24"/>
          <w:szCs w:val="24"/>
        </w:rPr>
        <w:t>Bab 1</w:t>
      </w:r>
      <w:r w:rsidRPr="00E9790B">
        <w:rPr>
          <w:rFonts w:ascii="Times New Roman" w:hAnsi="Times New Roman" w:cs="Times New Roman"/>
          <w:sz w:val="24"/>
          <w:szCs w:val="24"/>
        </w:rPr>
        <w:t xml:space="preserve"> ada menyebut sumbangan Daniel Chandler dalam kajian semiotik yang berjudul </w:t>
      </w:r>
      <w:r w:rsidRPr="00E9790B">
        <w:rPr>
          <w:rFonts w:ascii="Times New Roman" w:hAnsi="Times New Roman" w:cs="Times New Roman"/>
          <w:i/>
          <w:sz w:val="24"/>
          <w:szCs w:val="24"/>
        </w:rPr>
        <w:t xml:space="preserve">Semiotics: The basics </w:t>
      </w:r>
      <w:r w:rsidRPr="00E9790B">
        <w:rPr>
          <w:rFonts w:ascii="Times New Roman" w:hAnsi="Times New Roman" w:cs="Times New Roman"/>
          <w:sz w:val="24"/>
          <w:szCs w:val="24"/>
        </w:rPr>
        <w:t xml:space="preserve">terbitan tahun 2002. Walaupun judul buku ini ada disebutkan dalam bab pertama butiran </w:t>
      </w:r>
      <w:r w:rsidR="00355CFE"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tentang judul ini tidak pernah muncul dalam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Perlu disebutkan bahawa Chandler telah mengemaskinikan buku beliau dan kini buku tersebut diterbitkan ke dalam edisi kedua (2007).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Satu masalah yang serius muncul apabila apabila penulis memberikan pandangan berikut:</w:t>
      </w:r>
    </w:p>
    <w:p w:rsidR="00685492" w:rsidRPr="00E9790B" w:rsidRDefault="00685492" w:rsidP="00685492">
      <w:pPr>
        <w:ind w:left="720" w:right="1080"/>
        <w:jc w:val="both"/>
        <w:rPr>
          <w:rFonts w:ascii="Times New Roman" w:hAnsi="Times New Roman" w:cs="Times New Roman"/>
          <w:sz w:val="24"/>
          <w:szCs w:val="24"/>
        </w:rPr>
      </w:pPr>
      <w:r w:rsidRPr="00E9790B">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hlm. 7).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Satu persoalan timbul daripada kutipan di atas. Adakah bidang semiotik terus goyah sebelum laman web Daniel Chandler? Kajian semiotik sudah lama mantap dan jurnal-jurnal semiotik seperti </w:t>
      </w:r>
      <w:r w:rsidRPr="00E9790B">
        <w:rPr>
          <w:rFonts w:ascii="Times New Roman" w:hAnsi="Times New Roman" w:cs="Times New Roman"/>
          <w:i/>
          <w:sz w:val="24"/>
          <w:szCs w:val="24"/>
        </w:rPr>
        <w:t>Semiotica</w:t>
      </w:r>
      <w:r w:rsidRPr="00E9790B">
        <w:rPr>
          <w:rFonts w:ascii="Times New Roman" w:hAnsi="Times New Roman" w:cs="Times New Roman"/>
          <w:sz w:val="24"/>
          <w:szCs w:val="24"/>
        </w:rPr>
        <w:t xml:space="preserve"> (keluaran 207 pada 2015) dan </w:t>
      </w:r>
      <w:r w:rsidRPr="00E9790B">
        <w:rPr>
          <w:rFonts w:ascii="Times New Roman" w:hAnsi="Times New Roman" w:cs="Times New Roman"/>
          <w:i/>
          <w:sz w:val="24"/>
          <w:szCs w:val="24"/>
        </w:rPr>
        <w:t>Social Semiotics</w:t>
      </w:r>
      <w:r w:rsidRPr="00E9790B">
        <w:rPr>
          <w:rFonts w:ascii="Times New Roman" w:hAnsi="Times New Roman" w:cs="Times New Roman"/>
          <w:sz w:val="24"/>
          <w:szCs w:val="24"/>
        </w:rPr>
        <w:t xml:space="preserve"> (berusia 25 tahun dengan 5 keluaran setahun). Jurnal-jurnal ini telah menerbitkan pandangan yang beraneka rupa dalam bidang ini. Mungkin maksud penulis ialah laman web Chandler memantapkan fahaman semiotik dirinya. Ferdinand de Saussure bukan ahli semiotik dan bukunya, yang berdasarkan nota kuliah </w:t>
      </w:r>
      <w:r w:rsidRPr="00E9790B">
        <w:rPr>
          <w:rFonts w:ascii="Times New Roman" w:hAnsi="Times New Roman" w:cs="Times New Roman"/>
          <w:sz w:val="24"/>
          <w:szCs w:val="24"/>
        </w:rPr>
        <w:lastRenderedPageBreak/>
        <w:t>sempat dirakamkan oleh pelajar beliau, hanya diterbitkan selepas kematiannya. Idea tentang rangkaian rujukan berdasarkan tanda dan proses pelambangan yang diilhamkan oleh Saussure, sebagai ahli bahasa dan ilmu filologi, telah memberikan manfaat besar kepada pengkaji sistem tanda seperti ahli bahasa struktural Leonard Bloomfield dan Noam Chomsky serta ahli semiotik seperti Roland Barthes dan Jacques Derrida.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 xml:space="preserve">aparan penanda boleh dikemukakan sebagai pemahaman rintis tentang makna semula jadi (Chandler, 2007/2002). Berdasarkan penghayatan tanda yang wujud dalam lingkungan pengamatan penonton atau pembaca makna yang bersifat magis </w:t>
      </w:r>
      <w:r w:rsidR="00ED34F1" w:rsidRPr="00E9790B">
        <w:rPr>
          <w:rFonts w:ascii="Times New Roman" w:hAnsi="Times New Roman" w:cs="Times New Roman"/>
          <w:sz w:val="24"/>
          <w:szCs w:val="24"/>
        </w:rPr>
        <w:t>lagi</w:t>
      </w:r>
      <w:r w:rsidRPr="00E9790B">
        <w:rPr>
          <w:rFonts w:ascii="Times New Roman" w:hAnsi="Times New Roman" w:cs="Times New Roman"/>
          <w:sz w:val="24"/>
          <w:szCs w:val="24"/>
        </w:rPr>
        <w:t xml:space="preserve"> unik akan terbentuk. Kesan makna yang terjalin ini timbul serta-merta dan tidak telus dengan sebarang unsur luaran. Pada saat ini, menurut Barthes, pengarang teks akan ‘mati’ dan hilang daripada teks yang disediakannya. </w:t>
      </w:r>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kita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menegakkan seseorang pengarang pada sesuatu teks adalah sama seperti mengehadkan tafsiran teks tersebut. Oleh sebab itu, adalah lebih baik bagi kita untuk menolak pengagihan 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xml:space="preserve">, iaitu makna mutlak ke atas sesuatu teks (Barthes, 2002).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ED34F1" w:rsidRPr="00E9790B">
        <w:rPr>
          <w:rFonts w:ascii="Times New Roman" w:hAnsi="Times New Roman" w:cs="Times New Roman"/>
          <w:sz w:val="24"/>
          <w:szCs w:val="24"/>
        </w:rPr>
        <w:t xml:space="preserve">satu </w:t>
      </w:r>
      <w:r w:rsidRPr="00E9790B">
        <w:rPr>
          <w:rFonts w:ascii="Times New Roman" w:hAnsi="Times New Roman" w:cs="Times New Roman"/>
          <w:sz w:val="24"/>
          <w:szCs w:val="24"/>
        </w:rPr>
        <w:t>orang sahaja, iaitu pembaca (ibid. hlm.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menghasikan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Bab 3). 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kecerdasan (Kincheloe, 2004). </w:t>
      </w:r>
    </w:p>
    <w:p w:rsidR="00685492" w:rsidRPr="00E9790B" w:rsidRDefault="002A0748" w:rsidP="00685492">
      <w:pPr>
        <w:jc w:val="both"/>
        <w:rPr>
          <w:rFonts w:ascii="Times New Roman" w:hAnsi="Times New Roman" w:cs="Times New Roman"/>
          <w:sz w:val="24"/>
          <w:szCs w:val="24"/>
        </w:rPr>
      </w:pPr>
      <w:r w:rsidRPr="00E9790B">
        <w:rPr>
          <w:rFonts w:ascii="Times New Roman" w:hAnsi="Times New Roman" w:cs="Times New Roman"/>
          <w:sz w:val="24"/>
          <w:szCs w:val="24"/>
        </w:rPr>
        <w:t>Sudut pandangan</w:t>
      </w:r>
      <w:r w:rsidR="00685492" w:rsidRPr="00E9790B">
        <w:rPr>
          <w:rFonts w:ascii="Times New Roman" w:hAnsi="Times New Roman" w:cs="Times New Roman"/>
          <w:sz w:val="24"/>
          <w:szCs w:val="24"/>
        </w:rPr>
        <w:t xml:space="preserve"> </w:t>
      </w:r>
      <w:r w:rsidRPr="00E9790B">
        <w:rPr>
          <w:rFonts w:ascii="Times New Roman" w:hAnsi="Times New Roman" w:cs="Times New Roman"/>
          <w:sz w:val="24"/>
          <w:szCs w:val="24"/>
        </w:rPr>
        <w:t xml:space="preserve">yang </w:t>
      </w:r>
      <w:r w:rsidR="00685492" w:rsidRPr="00E9790B">
        <w:rPr>
          <w:rFonts w:ascii="Times New Roman" w:hAnsi="Times New Roman" w:cs="Times New Roman"/>
          <w:sz w:val="24"/>
          <w:szCs w:val="24"/>
        </w:rPr>
        <w:t xml:space="preserve">kurang </w:t>
      </w:r>
      <w:r w:rsidRPr="00E9790B">
        <w:rPr>
          <w:rFonts w:ascii="Times New Roman" w:hAnsi="Times New Roman" w:cs="Times New Roman"/>
          <w:sz w:val="24"/>
          <w:szCs w:val="24"/>
        </w:rPr>
        <w:t xml:space="preserve">jelas </w:t>
      </w:r>
      <w:r w:rsidR="00685492" w:rsidRPr="00E9790B">
        <w:rPr>
          <w:rFonts w:ascii="Times New Roman" w:hAnsi="Times New Roman" w:cs="Times New Roman"/>
          <w:sz w:val="24"/>
          <w:szCs w:val="24"/>
        </w:rPr>
        <w:t xml:space="preserve">dan rujukan bukan ilmiah muncul dengan penerangan konsep indeksikal yang bersifat rujukan deiktis di dalam bab pertama. Fahaman deiktis dalam buku ini </w:t>
      </w:r>
      <w:r w:rsidRPr="00E9790B">
        <w:rPr>
          <w:rFonts w:ascii="Times New Roman" w:hAnsi="Times New Roman" w:cs="Times New Roman"/>
          <w:sz w:val="24"/>
          <w:szCs w:val="24"/>
        </w:rPr>
        <w:t>mengelirukan</w:t>
      </w:r>
      <w:r w:rsidR="00685492" w:rsidRPr="00E9790B">
        <w:rPr>
          <w:rFonts w:ascii="Times New Roman" w:hAnsi="Times New Roman" w:cs="Times New Roman"/>
          <w:sz w:val="24"/>
          <w:szCs w:val="24"/>
        </w:rPr>
        <w:t xml:space="preserve"> </w:t>
      </w:r>
      <w:r w:rsidRPr="00E9790B">
        <w:rPr>
          <w:rFonts w:ascii="Times New Roman" w:hAnsi="Times New Roman" w:cs="Times New Roman"/>
          <w:sz w:val="24"/>
          <w:szCs w:val="24"/>
        </w:rPr>
        <w:t xml:space="preserve">pemahaman </w:t>
      </w:r>
      <w:r w:rsidR="00685492" w:rsidRPr="00E9790B">
        <w:rPr>
          <w:rFonts w:ascii="Times New Roman" w:hAnsi="Times New Roman" w:cs="Times New Roman"/>
          <w:sz w:val="24"/>
          <w:szCs w:val="24"/>
        </w:rPr>
        <w:t>dan lebih bersifat terjemahan silang. Kutipan yang berkenaan diturunkan seperti berikut (Tengku Intan Marlina, 2014, hlm. 23):</w:t>
      </w:r>
    </w:p>
    <w:p w:rsidR="00685492" w:rsidRPr="00E9790B" w:rsidRDefault="00685492" w:rsidP="00685492">
      <w:pPr>
        <w:ind w:left="900" w:right="1080"/>
        <w:jc w:val="both"/>
        <w:rPr>
          <w:rFonts w:ascii="Times New Roman" w:hAnsi="Times New Roman" w:cs="Times New Roman"/>
          <w:sz w:val="24"/>
          <w:szCs w:val="24"/>
        </w:rPr>
      </w:pPr>
      <w:r w:rsidRPr="00E9790B">
        <w:rPr>
          <w:rFonts w:ascii="Times New Roman" w:hAnsi="Times New Roman" w:cs="Times New Roman"/>
          <w:sz w:val="24"/>
          <w:szCs w:val="24"/>
        </w:rPr>
        <w:t xml:space="preserve">Istilah deiktis dan anaforis dapat digunakan dengan baik untuk membezakan tanda-tanda indeksikal dalam teks. Semua perkataan deiktis yang diucap atau ditulis, seperti ‘itu’, ‘ini’, ‘di situ’, dan ‘hari ini’ merupakan indeks </w:t>
      </w:r>
      <w:r w:rsidRPr="00E9790B">
        <w:rPr>
          <w:rFonts w:ascii="Times New Roman" w:hAnsi="Times New Roman" w:cs="Times New Roman"/>
          <w:sz w:val="24"/>
          <w:szCs w:val="24"/>
        </w:rPr>
        <w:lastRenderedPageBreak/>
        <w:t>(Aart van Zoest, 1990:9). Begitu juga dalam bahasa Inggeris: ‘That’, ‘this’, ‘here’ and ‘there’ are indexical words (Chandler, 2002, hlm. 37).</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Tiga persoalan boleh ditimbulkan tentang kutipan di atas. Pertama, benarkah van Zoest berkata bahawa </w:t>
      </w:r>
      <w:r w:rsidRPr="00E9790B">
        <w:rPr>
          <w:rFonts w:ascii="Times New Roman" w:hAnsi="Times New Roman" w:cs="Times New Roman"/>
          <w:i/>
          <w:sz w:val="24"/>
          <w:szCs w:val="24"/>
        </w:rPr>
        <w:t>itu, ini, di situ</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hari ini</w:t>
      </w:r>
      <w:r w:rsidRPr="00E9790B">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tentang novel Melayu. Dengan mengapitkan Chandler dan van Zoest, suatu rujukan silang antara gaya bahasa kata penunjuk </w:t>
      </w:r>
      <w:r w:rsidR="002A0748" w:rsidRPr="00E9790B">
        <w:rPr>
          <w:rFonts w:ascii="Times New Roman" w:hAnsi="Times New Roman" w:cs="Times New Roman"/>
          <w:sz w:val="24"/>
          <w:szCs w:val="24"/>
        </w:rPr>
        <w:t xml:space="preserve">(demonstrative) </w:t>
      </w:r>
      <w:r w:rsidRPr="00E9790B">
        <w:rPr>
          <w:rFonts w:ascii="Times New Roman" w:hAnsi="Times New Roman" w:cs="Times New Roman"/>
          <w:sz w:val="24"/>
          <w:szCs w:val="24"/>
        </w:rPr>
        <w:t xml:space="preserve">bahasa Belanda dengan gaya bahasa kata penunjuk bahasa Inggeris telah berlaku. Belum tentu kaedah ini menjamin kebenarannya sekiranya dipadankan ke dalam sistem tatabahasa kata penunjuk bahasa Melayu. (Ketiga, 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D31C58" w:rsidRPr="00E9790B">
        <w:rPr>
          <w:rFonts w:ascii="Times New Roman" w:hAnsi="Times New Roman" w:cs="Times New Roman"/>
          <w:sz w:val="24"/>
          <w:szCs w:val="24"/>
        </w:rPr>
        <w:t xml:space="preserve"> kerana kecuaian teknikal ini menjelmakan masalah ciplak</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akan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 Sebab itu muncul konsep makna kontekstual yang bertunjang daripada kaca mata penutur atau penonton dalam kajian audiens pascastruktural. 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 Sememangnya penanda semiotik tidak mengandungi sebarang makna</w:t>
      </w:r>
      <w:r w:rsidR="00536BC9" w:rsidRPr="00E9790B">
        <w:rPr>
          <w:rFonts w:ascii="Times New Roman" w:hAnsi="Times New Roman" w:cs="Times New Roman"/>
          <w:sz w:val="24"/>
          <w:szCs w:val="24"/>
        </w:rPr>
        <w:t xml:space="preserve"> di dalamnya kerana jati diri penanda ini</w:t>
      </w:r>
      <w:r w:rsidRPr="00E9790B">
        <w:rPr>
          <w:rFonts w:ascii="Times New Roman" w:hAnsi="Times New Roman" w:cs="Times New Roman"/>
          <w:sz w:val="24"/>
          <w:szCs w:val="24"/>
        </w:rPr>
        <w:t xml:space="preserve"> adalah geronggong. Oleh sebab itu, makna apa jua sekalipun boleh dimengerti berdasarkan tafsiran pengkaji sendiri.</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Konsep sintaksis dirujuki dalam perbincangan bab pertama. Fahaman tersebut digunakan untuk menghuraikan maksud satu perenggan yang dikutip daripada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(Tengku Intan Marlina, 2014, hlm. 36). Pengarang menerangkan semula perenggan pilihannya dalam bahasa Melayu. Tidak ada usaha untuk memperlihatkan perkaitan sintaksis sebagai untaian ayat selaku lambang bagi pemikiran yang disengajakan (Sew, 201</w:t>
      </w:r>
      <w:r w:rsidR="0036423B" w:rsidRPr="00E9790B">
        <w:rPr>
          <w:rFonts w:ascii="Times New Roman" w:hAnsi="Times New Roman" w:cs="Times New Roman"/>
          <w:sz w:val="24"/>
          <w:szCs w:val="24"/>
        </w:rPr>
        <w:t>5a</w:t>
      </w:r>
      <w:r w:rsidRPr="00E9790B">
        <w:rPr>
          <w:rFonts w:ascii="Times New Roman" w:hAnsi="Times New Roman" w:cs="Times New Roman"/>
          <w:sz w:val="24"/>
          <w:szCs w:val="24"/>
        </w:rPr>
        <w:t xml:space="preserve">). Kegagalan penulis menunjukkan sintaksis sebagai penanda mitologi dalam kajian semiotik (Barthes, 2012/1957) merupakan kelemahan dasar </w:t>
      </w:r>
      <w:r w:rsidR="0036423B" w:rsidRPr="00E9790B">
        <w:rPr>
          <w:rFonts w:ascii="Times New Roman" w:hAnsi="Times New Roman" w:cs="Times New Roman"/>
          <w:sz w:val="24"/>
          <w:szCs w:val="24"/>
        </w:rPr>
        <w:t xml:space="preserve">dalam </w:t>
      </w:r>
      <w:r w:rsidRPr="00E9790B">
        <w:rPr>
          <w:rFonts w:ascii="Times New Roman" w:hAnsi="Times New Roman" w:cs="Times New Roman"/>
          <w:sz w:val="24"/>
          <w:szCs w:val="24"/>
        </w:rPr>
        <w:t>perbincangan semiotik dalam buku ini. Aspek teori semiotik ini penting untuk memahami teks sebagai kenderaan pemikiran yang sengaja melekakan pembaca agar seseorang itu terlupa akan sejarah sebab musababnya.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Sememangnya, semua novel terdiri daripada binaan ayat yang beraneka ragam. Peraturan pola ayat atau rumus penerbitan kosa kata yang digunakan dalam ungkapan ayat bahasa Melayu moden sebenarnya telahpun dipelopori sejak zaman pendita Za’ba. Seterusnya, nahu atau peraturan pembentukan ayat mengalami proses pembaikan dan kemas kini yang mutakhir oleh tokoh</w:t>
      </w:r>
      <w:r w:rsidR="0036423B" w:rsidRPr="00E9790B">
        <w:rPr>
          <w:rFonts w:ascii="Times New Roman" w:hAnsi="Times New Roman" w:cs="Times New Roman"/>
          <w:sz w:val="24"/>
          <w:szCs w:val="24"/>
        </w:rPr>
        <w:t>-tokoh</w:t>
      </w:r>
      <w:r w:rsidRPr="00E9790B">
        <w:rPr>
          <w:rFonts w:ascii="Times New Roman" w:hAnsi="Times New Roman" w:cs="Times New Roman"/>
          <w:sz w:val="24"/>
          <w:szCs w:val="24"/>
        </w:rPr>
        <w:t xml:space="preserve"> bahasa. Dalam perkembangan pembelajaran bahasa Melayu mutakhir, nahu pelajar bahasa Melayu menjadi bahan kajian ke arah kerangka penilaian progresif dalam pemerolehan bahasa Melayu (Sew, 2015</w:t>
      </w:r>
      <w:r w:rsidR="0036423B" w:rsidRPr="00E9790B">
        <w:rPr>
          <w:rFonts w:ascii="Times New Roman" w:hAnsi="Times New Roman" w:cs="Times New Roman"/>
          <w:sz w:val="24"/>
          <w:szCs w:val="24"/>
        </w:rPr>
        <w:t>b</w:t>
      </w:r>
      <w:r w:rsidRPr="00E9790B">
        <w:rPr>
          <w:rFonts w:ascii="Times New Roman" w:hAnsi="Times New Roman" w:cs="Times New Roman"/>
          <w:sz w:val="24"/>
          <w:szCs w:val="24"/>
        </w:rPr>
        <w:t xml:space="preserve">). Sintaksis bahasa Melayu dalam erti kata lain menjadi kerangka </w:t>
      </w:r>
      <w:r w:rsidRPr="00E9790B">
        <w:rPr>
          <w:rFonts w:ascii="Times New Roman" w:hAnsi="Times New Roman" w:cs="Times New Roman"/>
          <w:sz w:val="24"/>
          <w:szCs w:val="24"/>
        </w:rPr>
        <w:lastRenderedPageBreak/>
        <w:t>pembinaan semua novel Me</w:t>
      </w:r>
      <w:r w:rsidR="008D1E4B" w:rsidRPr="00E9790B">
        <w:rPr>
          <w:rFonts w:ascii="Times New Roman" w:hAnsi="Times New Roman" w:cs="Times New Roman"/>
          <w:sz w:val="24"/>
          <w:szCs w:val="24"/>
        </w:rPr>
        <w:t>layu, sama ada penulis memilih pen</w:t>
      </w:r>
      <w:r w:rsidRPr="00E9790B">
        <w:rPr>
          <w:rFonts w:ascii="Times New Roman" w:hAnsi="Times New Roman" w:cs="Times New Roman"/>
          <w:sz w:val="24"/>
          <w:szCs w:val="24"/>
        </w:rPr>
        <w:t>akrif</w:t>
      </w:r>
      <w:r w:rsidR="008D1E4B" w:rsidRPr="00E9790B">
        <w:rPr>
          <w:rFonts w:ascii="Times New Roman" w:hAnsi="Times New Roman" w:cs="Times New Roman"/>
          <w:sz w:val="24"/>
          <w:szCs w:val="24"/>
        </w:rPr>
        <w:t>an</w:t>
      </w:r>
      <w:r w:rsidRPr="00E9790B">
        <w:rPr>
          <w:rFonts w:ascii="Times New Roman" w:hAnsi="Times New Roman" w:cs="Times New Roman"/>
          <w:sz w:val="24"/>
          <w:szCs w:val="24"/>
        </w:rPr>
        <w:t xml:space="preserve"> sintaksis</w:t>
      </w:r>
      <w:r w:rsidR="008D1E4B" w:rsidRPr="00E9790B">
        <w:rPr>
          <w:rFonts w:ascii="Times New Roman" w:hAnsi="Times New Roman" w:cs="Times New Roman"/>
          <w:sz w:val="24"/>
          <w:szCs w:val="24"/>
        </w:rPr>
        <w:t>,</w:t>
      </w:r>
      <w:r w:rsidRPr="00E9790B">
        <w:rPr>
          <w:rFonts w:ascii="Times New Roman" w:hAnsi="Times New Roman" w:cs="Times New Roman"/>
          <w:sz w:val="24"/>
          <w:szCs w:val="24"/>
        </w:rPr>
        <w:t xml:space="preserve"> baik fahaman Charles Moris, atau fahaman Noam Chomsky dalam perbincangan. Apa jua sekalipun fahaman kedua-dua </w:t>
      </w:r>
      <w:r w:rsidR="008D1E4B" w:rsidRPr="00E9790B">
        <w:rPr>
          <w:rFonts w:ascii="Times New Roman" w:hAnsi="Times New Roman" w:cs="Times New Roman"/>
          <w:sz w:val="24"/>
          <w:szCs w:val="24"/>
        </w:rPr>
        <w:t xml:space="preserve">ahli bahasa </w:t>
      </w:r>
      <w:r w:rsidRPr="00E9790B">
        <w:rPr>
          <w:rFonts w:ascii="Times New Roman" w:hAnsi="Times New Roman" w:cs="Times New Roman"/>
          <w:sz w:val="24"/>
          <w:szCs w:val="24"/>
        </w:rPr>
        <w:t xml:space="preserve">orang putih ini, saripati tatabahasa Melayu tetap tidak akan berubah. </w:t>
      </w:r>
      <w:r w:rsidR="008D1E4B" w:rsidRPr="00E9790B">
        <w:rPr>
          <w:rFonts w:ascii="Times New Roman" w:hAnsi="Times New Roman" w:cs="Times New Roman"/>
          <w:sz w:val="24"/>
          <w:szCs w:val="24"/>
        </w:rPr>
        <w:t>Penggunaan dan aturan</w:t>
      </w:r>
      <w:r w:rsidRPr="00E9790B">
        <w:rPr>
          <w:rFonts w:ascii="Times New Roman" w:hAnsi="Times New Roman" w:cs="Times New Roman"/>
          <w:sz w:val="24"/>
          <w:szCs w:val="24"/>
        </w:rPr>
        <w:t xml:space="preserve"> tatabahasa berdasarkan kepentingan </w:t>
      </w:r>
      <w:r w:rsidR="008D1E4B" w:rsidRPr="00E9790B">
        <w:rPr>
          <w:rFonts w:ascii="Times New Roman" w:hAnsi="Times New Roman" w:cs="Times New Roman"/>
          <w:sz w:val="24"/>
          <w:szCs w:val="24"/>
        </w:rPr>
        <w:t xml:space="preserve">manusia untuk </w:t>
      </w:r>
      <w:r w:rsidRPr="00E9790B">
        <w:rPr>
          <w:rFonts w:ascii="Times New Roman" w:hAnsi="Times New Roman" w:cs="Times New Roman"/>
          <w:sz w:val="24"/>
          <w:szCs w:val="24"/>
        </w:rPr>
        <w:t xml:space="preserve">berkomunikasi </w:t>
      </w:r>
      <w:r w:rsidR="00E63989" w:rsidRPr="00E9790B">
        <w:rPr>
          <w:rFonts w:ascii="Times New Roman" w:hAnsi="Times New Roman" w:cs="Times New Roman"/>
          <w:sz w:val="24"/>
          <w:szCs w:val="24"/>
        </w:rPr>
        <w:t>se</w:t>
      </w:r>
      <w:r w:rsidRPr="00E9790B">
        <w:rPr>
          <w:rFonts w:ascii="Times New Roman" w:hAnsi="Times New Roman" w:cs="Times New Roman"/>
          <w:sz w:val="24"/>
          <w:szCs w:val="24"/>
        </w:rPr>
        <w:t xml:space="preserve">cara </w:t>
      </w:r>
      <w:r w:rsidR="00E63989" w:rsidRPr="00E9790B">
        <w:rPr>
          <w:rFonts w:ascii="Times New Roman" w:hAnsi="Times New Roman" w:cs="Times New Roman"/>
          <w:sz w:val="24"/>
          <w:szCs w:val="24"/>
        </w:rPr>
        <w:t>berbudi bahasa</w:t>
      </w:r>
      <w:r w:rsidRPr="00E9790B">
        <w:rPr>
          <w:rFonts w:ascii="Times New Roman" w:hAnsi="Times New Roman" w:cs="Times New Roman"/>
          <w:sz w:val="24"/>
          <w:szCs w:val="24"/>
        </w:rPr>
        <w:t xml:space="preserve"> </w:t>
      </w:r>
      <w:r w:rsidR="008D1E4B" w:rsidRPr="00E9790B">
        <w:rPr>
          <w:rFonts w:ascii="Times New Roman" w:hAnsi="Times New Roman" w:cs="Times New Roman"/>
          <w:sz w:val="24"/>
          <w:szCs w:val="24"/>
        </w:rPr>
        <w:t xml:space="preserve">akan </w:t>
      </w:r>
      <w:r w:rsidRPr="00E9790B">
        <w:rPr>
          <w:rFonts w:ascii="Times New Roman" w:hAnsi="Times New Roman" w:cs="Times New Roman"/>
          <w:sz w:val="24"/>
          <w:szCs w:val="24"/>
        </w:rPr>
        <w:t>menyiratkan penguasaan nahu budaya (Sew, 2015</w:t>
      </w:r>
      <w:r w:rsidR="008D1E4B" w:rsidRPr="00E9790B">
        <w:rPr>
          <w:rFonts w:ascii="Times New Roman" w:hAnsi="Times New Roman" w:cs="Times New Roman"/>
          <w:sz w:val="24"/>
          <w:szCs w:val="24"/>
        </w:rPr>
        <w:t>c</w:t>
      </w:r>
      <w:r w:rsidRPr="00E9790B">
        <w:rPr>
          <w:rFonts w:ascii="Times New Roman" w:hAnsi="Times New Roman" w:cs="Times New Roman"/>
          <w:sz w:val="24"/>
          <w:szCs w:val="24"/>
        </w:rPr>
        <w:t>). Novel yang berbeza</w:t>
      </w:r>
      <w:r w:rsidR="008D1E4B" w:rsidRPr="00E9790B">
        <w:rPr>
          <w:rFonts w:ascii="Times New Roman" w:hAnsi="Times New Roman" w:cs="Times New Roman"/>
          <w:sz w:val="24"/>
          <w:szCs w:val="24"/>
        </w:rPr>
        <w:t>-beza</w:t>
      </w:r>
      <w:r w:rsidRPr="00E9790B">
        <w:rPr>
          <w:rFonts w:ascii="Times New Roman" w:hAnsi="Times New Roman" w:cs="Times New Roman"/>
          <w:sz w:val="24"/>
          <w:szCs w:val="24"/>
        </w:rPr>
        <w:t xml:space="preserve"> muncul bukan disebabkan untaian sintaksis tetapi </w:t>
      </w:r>
      <w:r w:rsidR="008D1E4B" w:rsidRPr="00E9790B">
        <w:rPr>
          <w:rFonts w:ascii="Times New Roman" w:hAnsi="Times New Roman" w:cs="Times New Roman"/>
          <w:sz w:val="24"/>
          <w:szCs w:val="24"/>
        </w:rPr>
        <w:t xml:space="preserve">aturan </w:t>
      </w:r>
      <w:r w:rsidR="00E63989" w:rsidRPr="00E9790B">
        <w:rPr>
          <w:rFonts w:ascii="Times New Roman" w:hAnsi="Times New Roman" w:cs="Times New Roman"/>
          <w:sz w:val="24"/>
          <w:szCs w:val="24"/>
        </w:rPr>
        <w:t>berserta</w:t>
      </w:r>
      <w:r w:rsidR="008D1E4B" w:rsidRPr="00E9790B">
        <w:rPr>
          <w:rFonts w:ascii="Times New Roman" w:hAnsi="Times New Roman" w:cs="Times New Roman"/>
          <w:sz w:val="24"/>
          <w:szCs w:val="24"/>
        </w:rPr>
        <w:t xml:space="preserve"> </w:t>
      </w:r>
      <w:r w:rsidRPr="00E9790B">
        <w:rPr>
          <w:rFonts w:ascii="Times New Roman" w:hAnsi="Times New Roman" w:cs="Times New Roman"/>
          <w:sz w:val="24"/>
          <w:szCs w:val="24"/>
        </w:rPr>
        <w:t xml:space="preserve">pemilihan kosa kata yang </w:t>
      </w:r>
      <w:r w:rsidR="008D1E4B" w:rsidRPr="00E9790B">
        <w:rPr>
          <w:rFonts w:ascii="Times New Roman" w:hAnsi="Times New Roman" w:cs="Times New Roman"/>
          <w:sz w:val="24"/>
          <w:szCs w:val="24"/>
        </w:rPr>
        <w:t>menampilkan</w:t>
      </w:r>
      <w:r w:rsidRPr="00E9790B">
        <w:rPr>
          <w:rFonts w:ascii="Times New Roman" w:hAnsi="Times New Roman" w:cs="Times New Roman"/>
          <w:sz w:val="24"/>
          <w:szCs w:val="24"/>
        </w:rPr>
        <w:t xml:space="preserve"> nilai budaya</w:t>
      </w:r>
      <w:r w:rsidR="008D1E4B" w:rsidRPr="00E9790B">
        <w:rPr>
          <w:rFonts w:ascii="Times New Roman" w:hAnsi="Times New Roman" w:cs="Times New Roman"/>
          <w:sz w:val="24"/>
          <w:szCs w:val="24"/>
        </w:rPr>
        <w:t xml:space="preserve"> </w:t>
      </w:r>
      <w:r w:rsidR="00187F5F" w:rsidRPr="00E9790B">
        <w:rPr>
          <w:rFonts w:ascii="Times New Roman" w:hAnsi="Times New Roman" w:cs="Times New Roman"/>
          <w:sz w:val="24"/>
          <w:szCs w:val="24"/>
        </w:rPr>
        <w:t>yang</w:t>
      </w:r>
      <w:r w:rsidR="008D1E4B" w:rsidRPr="00E9790B">
        <w:rPr>
          <w:rFonts w:ascii="Times New Roman" w:hAnsi="Times New Roman" w:cs="Times New Roman"/>
          <w:sz w:val="24"/>
          <w:szCs w:val="24"/>
        </w:rPr>
        <w:t xml:space="preserve"> </w:t>
      </w:r>
      <w:r w:rsidR="00187F5F" w:rsidRPr="00E9790B">
        <w:rPr>
          <w:rFonts w:ascii="Times New Roman" w:hAnsi="Times New Roman" w:cs="Times New Roman"/>
          <w:sz w:val="24"/>
          <w:szCs w:val="24"/>
        </w:rPr>
        <w:t>halus</w:t>
      </w:r>
      <w:r w:rsidRPr="00E9790B">
        <w:rPr>
          <w:rFonts w:ascii="Times New Roman" w:hAnsi="Times New Roman" w:cs="Times New Roman"/>
          <w:sz w:val="24"/>
          <w:szCs w:val="24"/>
        </w:rPr>
        <w:t>, tema yang mencerminkan norma</w:t>
      </w:r>
      <w:r w:rsidR="008D1E4B" w:rsidRPr="00E9790B">
        <w:rPr>
          <w:rFonts w:ascii="Times New Roman" w:hAnsi="Times New Roman" w:cs="Times New Roman"/>
          <w:sz w:val="24"/>
          <w:szCs w:val="24"/>
        </w:rPr>
        <w:t>-norma</w:t>
      </w:r>
      <w:r w:rsidRPr="00E9790B">
        <w:rPr>
          <w:rFonts w:ascii="Times New Roman" w:hAnsi="Times New Roman" w:cs="Times New Roman"/>
          <w:sz w:val="24"/>
          <w:szCs w:val="24"/>
        </w:rPr>
        <w:t xml:space="preserve"> setempat, watak</w:t>
      </w:r>
      <w:r w:rsidR="008D1E4B" w:rsidRPr="00E9790B">
        <w:rPr>
          <w:rFonts w:ascii="Times New Roman" w:hAnsi="Times New Roman" w:cs="Times New Roman"/>
          <w:sz w:val="24"/>
          <w:szCs w:val="24"/>
        </w:rPr>
        <w:t>-watak</w:t>
      </w:r>
      <w:r w:rsidRPr="00E9790B">
        <w:rPr>
          <w:rFonts w:ascii="Times New Roman" w:hAnsi="Times New Roman" w:cs="Times New Roman"/>
          <w:sz w:val="24"/>
          <w:szCs w:val="24"/>
        </w:rPr>
        <w:t xml:space="preserve"> arkitaip, pandangan universal </w:t>
      </w:r>
      <w:r w:rsidR="008D1E4B" w:rsidRPr="00E9790B">
        <w:rPr>
          <w:rFonts w:ascii="Times New Roman" w:hAnsi="Times New Roman" w:cs="Times New Roman"/>
          <w:sz w:val="24"/>
          <w:szCs w:val="24"/>
        </w:rPr>
        <w:t xml:space="preserve">serta nilai peribadi </w:t>
      </w:r>
      <w:r w:rsidRPr="00E9790B">
        <w:rPr>
          <w:rFonts w:ascii="Times New Roman" w:hAnsi="Times New Roman" w:cs="Times New Roman"/>
          <w:sz w:val="24"/>
          <w:szCs w:val="24"/>
        </w:rPr>
        <w:t xml:space="preserve">yang digandingi dengan latar belakang kolokial, pegangan agama dan </w:t>
      </w:r>
      <w:r w:rsidR="008D1E4B" w:rsidRPr="00E9790B">
        <w:rPr>
          <w:rFonts w:ascii="Times New Roman" w:hAnsi="Times New Roman" w:cs="Times New Roman"/>
          <w:sz w:val="24"/>
          <w:szCs w:val="24"/>
        </w:rPr>
        <w:t>anutan</w:t>
      </w:r>
      <w:r w:rsidRPr="00E9790B">
        <w:rPr>
          <w:rFonts w:ascii="Times New Roman" w:hAnsi="Times New Roman" w:cs="Times New Roman"/>
          <w:sz w:val="24"/>
          <w:szCs w:val="24"/>
        </w:rPr>
        <w:t xml:space="preserve"> politik harian yang </w:t>
      </w:r>
      <w:r w:rsidR="008D1E4B"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8D1E4B" w:rsidRPr="00E9790B">
        <w:rPr>
          <w:rFonts w:ascii="Times New Roman" w:hAnsi="Times New Roman" w:cs="Times New Roman"/>
          <w:sz w:val="24"/>
          <w:szCs w:val="24"/>
        </w:rPr>
        <w:t>di hati</w:t>
      </w:r>
      <w:r w:rsidRPr="00E9790B">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E9790B">
        <w:rPr>
          <w:rFonts w:ascii="Times New Roman" w:hAnsi="Times New Roman" w:cs="Times New Roman"/>
          <w:sz w:val="24"/>
          <w:szCs w:val="24"/>
        </w:rPr>
        <w:t>modal</w:t>
      </w:r>
      <w:r w:rsidRPr="00E9790B">
        <w:rPr>
          <w:rFonts w:ascii="Times New Roman" w:hAnsi="Times New Roman" w:cs="Times New Roman"/>
          <w:sz w:val="24"/>
          <w:szCs w:val="24"/>
        </w:rPr>
        <w:t xml:space="preserve"> </w:t>
      </w:r>
      <w:r w:rsidR="00187F5F" w:rsidRPr="00E9790B">
        <w:rPr>
          <w:rFonts w:ascii="Times New Roman" w:hAnsi="Times New Roman" w:cs="Times New Roman"/>
          <w:sz w:val="24"/>
          <w:szCs w:val="24"/>
        </w:rPr>
        <w:t>pen</w:t>
      </w:r>
      <w:r w:rsidRPr="00E9790B">
        <w:rPr>
          <w:rFonts w:ascii="Times New Roman" w:hAnsi="Times New Roman" w:cs="Times New Roman"/>
          <w:sz w:val="24"/>
          <w:szCs w:val="24"/>
        </w:rPr>
        <w:t xml:space="preserve">ulisan mahupun sebagai persembahan seni di skrin atau pentas (Howells &amp; Negreiros, 2012/2003).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Penulis buku mengetengahkan rumusan </w:t>
      </w:r>
      <w:r w:rsidR="000C36F8" w:rsidRPr="00E9790B">
        <w:rPr>
          <w:rFonts w:ascii="Times New Roman" w:hAnsi="Times New Roman" w:cs="Times New Roman"/>
          <w:sz w:val="24"/>
          <w:szCs w:val="24"/>
        </w:rPr>
        <w:t xml:space="preserve">semiotik </w:t>
      </w:r>
      <w:r w:rsidRPr="00E9790B">
        <w:rPr>
          <w:rFonts w:ascii="Times New Roman" w:hAnsi="Times New Roman" w:cs="Times New Roman"/>
          <w:sz w:val="24"/>
          <w:szCs w:val="24"/>
        </w:rPr>
        <w:t xml:space="preserve">dengan menggabungkan konsep semiotik Pierce bersama fahaman pragmatik van Zoest dan dikaitkan dengan dengan teori semiotik Morris dalam sebuah gambar rajah (Tengku Intan Marlina, 2014, hlm. 49). Seterusnya, dijelaskan oleh penulis bahawa karyanya memperguna teori semiotik Morris pada tiga buah novel Anwar Ridhwan. Menurut penulis (ibid. 50): </w:t>
      </w:r>
    </w:p>
    <w:p w:rsidR="00685492" w:rsidRPr="00E9790B" w:rsidRDefault="00685492" w:rsidP="00685492">
      <w:pPr>
        <w:ind w:left="720" w:right="720"/>
        <w:jc w:val="both"/>
        <w:rPr>
          <w:rFonts w:ascii="Times New Roman" w:hAnsi="Times New Roman" w:cs="Times New Roman"/>
          <w:sz w:val="24"/>
          <w:szCs w:val="24"/>
        </w:rPr>
      </w:pPr>
      <w:r w:rsidRPr="00E9790B">
        <w:rPr>
          <w:rFonts w:ascii="Times New Roman" w:hAnsi="Times New Roman" w:cs="Times New Roman"/>
          <w:sz w:val="24"/>
          <w:szCs w:val="24"/>
        </w:rPr>
        <w:t>…ketiga-tiga novel kajian diteliti melalui peringkat sintaksis terlebih dahulu untuk melihat tanda daripada struktur ayat. Kemudiannya beralih ke peringkat semantik 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akan berlaku ataupun sebuah dokumentasi sejarah yang merakam peristiwa melampau yang benar-benar berlaku? Di mana letaknya konsep fiksi dalam novel sebagai imaginasi intertekstual yang kreatif? Konsep ‘kematian’ pengarang sebagai dasar kelahiran pembaca yang dijelaskan oleh </w:t>
      </w:r>
      <w:r w:rsidRPr="00E9790B">
        <w:rPr>
          <w:rFonts w:ascii="Times New Roman" w:hAnsi="Times New Roman" w:cs="Times New Roman"/>
          <w:sz w:val="24"/>
          <w:szCs w:val="24"/>
        </w:rPr>
        <w:lastRenderedPageBreak/>
        <w:t>Roland Barthes perlu diambil kira dalam perbincangan penulis. Sistem pemikiran struktu</w:t>
      </w:r>
      <w:r w:rsidR="000C36F8" w:rsidRPr="00E9790B">
        <w:rPr>
          <w:rFonts w:ascii="Times New Roman" w:hAnsi="Times New Roman" w:cs="Times New Roman"/>
          <w:sz w:val="24"/>
          <w:szCs w:val="24"/>
        </w:rPr>
        <w:t>ra</w:t>
      </w:r>
      <w:r w:rsidRPr="00E9790B">
        <w:rPr>
          <w:rFonts w:ascii="Times New Roman" w:hAnsi="Times New Roman" w:cs="Times New Roman"/>
          <w:sz w:val="24"/>
          <w:szCs w:val="24"/>
        </w:rPr>
        <w:t xml:space="preserve">l dalam minda setiap orang berdasarkan unsur budaya jati tidak harus tersisih daripada fahaman dan pemikiran tentang teks (Anwar Ridhwan, 2012). </w:t>
      </w:r>
    </w:p>
    <w:p w:rsidR="000C36F8" w:rsidRPr="00E9790B" w:rsidRDefault="000C36F8"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i/>
          <w:sz w:val="24"/>
          <w:szCs w:val="24"/>
        </w:rPr>
        <w:t>Bab 2</w:t>
      </w:r>
      <w:r w:rsidRPr="00E9790B">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Anwar Ridhwan dari peringkat sarjana muda ke ijazah falsafah kedoktoran. Analisis tentang skop kajian sarjana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memberikan suatu gambaran yang jelas. Pengalaman Dr. Anwar bekerja di Tokyo dan kembali berkhidmat semula di Dewan Bahasa dan Pustaka telah membantu pembaca memahami unsur budaya ketimuran yang mendalam dalam novel-novel Anwar Ridhwan.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Perlu dijelaskan bahawa penulis menggunakan istilah ikon bagi Anwar Ridhwan. Sebagai contoh, berikut merupakan sedutan daripada Bab 2 yang menunjukkan penggunaan ikon secara beleluasa:</w:t>
      </w:r>
    </w:p>
    <w:p w:rsidR="00685492" w:rsidRPr="00E9790B" w:rsidRDefault="00685492" w:rsidP="00685492">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Persatuan…(Tengku Intan Marlina, 2014, hlm. 59).</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E9790B">
        <w:rPr>
          <w:rFonts w:ascii="Times New Roman" w:hAnsi="Times New Roman" w:cs="Times New Roman"/>
          <w:i/>
          <w:sz w:val="24"/>
          <w:szCs w:val="24"/>
        </w:rPr>
        <w:t>Bab 1</w:t>
      </w:r>
      <w:r w:rsidRPr="00E9790B">
        <w:rPr>
          <w:rFonts w:ascii="Times New Roman" w:hAnsi="Times New Roman" w:cs="Times New Roman"/>
          <w:sz w:val="24"/>
          <w:szCs w:val="24"/>
        </w:rPr>
        <w:t xml:space="preserve"> (hlm. 17); atau ikon sebagai manusia sensasi dalam konsep budaya popular. Istilah </w:t>
      </w:r>
      <w:r w:rsidRPr="00E9790B">
        <w:rPr>
          <w:rFonts w:ascii="Times New Roman" w:hAnsi="Times New Roman" w:cs="Times New Roman"/>
          <w:i/>
          <w:sz w:val="24"/>
          <w:szCs w:val="24"/>
        </w:rPr>
        <w:t>lambang ikonik</w:t>
      </w:r>
      <w:r w:rsidRPr="00E9790B">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sastera</w:t>
      </w:r>
      <w:r w:rsidR="00B710A5" w:rsidRPr="00E9790B">
        <w:rPr>
          <w:rFonts w:ascii="Times New Roman" w:hAnsi="Times New Roman" w:cs="Times New Roman"/>
          <w:sz w:val="24"/>
          <w:szCs w:val="24"/>
        </w:rPr>
        <w:t xml:space="preserve"> yang diusahakan</w:t>
      </w:r>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Daripada keterangan yang diberikan dalam </w:t>
      </w:r>
      <w:r w:rsidRPr="00E9790B">
        <w:rPr>
          <w:rFonts w:ascii="Times New Roman" w:hAnsi="Times New Roman" w:cs="Times New Roman"/>
          <w:i/>
          <w:sz w:val="24"/>
          <w:szCs w:val="24"/>
        </w:rPr>
        <w:t>Bab 2</w:t>
      </w:r>
      <w:r w:rsidRPr="00E9790B">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pengarah jabatan merujuk kepada watak kemanusiaannya </w:t>
      </w:r>
      <w:r w:rsidR="00E52AD9" w:rsidRPr="00E9790B">
        <w:rPr>
          <w:rFonts w:ascii="Times New Roman" w:hAnsi="Times New Roman" w:cs="Times New Roman"/>
          <w:sz w:val="24"/>
          <w:szCs w:val="24"/>
        </w:rPr>
        <w:t xml:space="preserve">dan </w:t>
      </w:r>
      <w:r w:rsidRPr="00E9790B">
        <w:rPr>
          <w:rFonts w:ascii="Times New Roman" w:hAnsi="Times New Roman" w:cs="Times New Roman"/>
          <w:sz w:val="24"/>
          <w:szCs w:val="24"/>
        </w:rPr>
        <w:t>bukannya satu objek</w:t>
      </w:r>
      <w:r w:rsidR="00E52AD9" w:rsidRPr="00E9790B">
        <w:rPr>
          <w:rFonts w:ascii="Times New Roman" w:hAnsi="Times New Roman" w:cs="Times New Roman"/>
          <w:sz w:val="24"/>
          <w:szCs w:val="24"/>
        </w:rPr>
        <w:t xml:space="preserve"> atau</w:t>
      </w:r>
      <w:r w:rsidRPr="00E9790B">
        <w:rPr>
          <w:rFonts w:ascii="Times New Roman" w:hAnsi="Times New Roman" w:cs="Times New Roman"/>
          <w:sz w:val="24"/>
          <w:szCs w:val="24"/>
        </w:rPr>
        <w:t xml:space="preserve"> perlambangan </w:t>
      </w:r>
      <w:r w:rsidR="00E52AD9" w:rsidRPr="00E9790B">
        <w:rPr>
          <w:rFonts w:ascii="Times New Roman" w:hAnsi="Times New Roman" w:cs="Times New Roman"/>
          <w:sz w:val="24"/>
          <w:szCs w:val="24"/>
        </w:rPr>
        <w:t xml:space="preserve">terkemuka </w:t>
      </w:r>
      <w:r w:rsidRPr="00E9790B">
        <w:rPr>
          <w:rFonts w:ascii="Times New Roman" w:hAnsi="Times New Roman" w:cs="Times New Roman"/>
          <w:sz w:val="24"/>
          <w:szCs w:val="24"/>
        </w:rPr>
        <w:t xml:space="preserve">yang mewakili sesuatu genre/golongan tertentu.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Maksud ikon dalam konteks bab 2 lebih merupakan tokoh.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E9790B">
        <w:rPr>
          <w:rFonts w:ascii="Times New Roman" w:hAnsi="Times New Roman" w:cs="Times New Roman"/>
          <w:sz w:val="24"/>
          <w:szCs w:val="24"/>
        </w:rPr>
        <w:t xml:space="preserve">di </w:t>
      </w:r>
      <w:r w:rsidRPr="00E9790B">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Haji Omar 2015); Woody Allen sebagai ikon bintang dan pengarah filem yang memecah kaedah khayalan biasa</w:t>
      </w:r>
      <w:r w:rsidR="00FB71FE" w:rsidRPr="00E9790B">
        <w:rPr>
          <w:rFonts w:ascii="Times New Roman" w:hAnsi="Times New Roman" w:cs="Times New Roman"/>
          <w:sz w:val="24"/>
          <w:szCs w:val="24"/>
        </w:rPr>
        <w:t xml:space="preserve"> menerusi filem</w:t>
      </w:r>
      <w:r w:rsidR="00283EFD" w:rsidRPr="00E9790B">
        <w:rPr>
          <w:rFonts w:ascii="Times New Roman" w:hAnsi="Times New Roman" w:cs="Times New Roman"/>
          <w:sz w:val="24"/>
          <w:szCs w:val="24"/>
        </w:rPr>
        <w:t>,</w:t>
      </w:r>
      <w:r w:rsidR="00FB71FE" w:rsidRPr="00E9790B">
        <w:rPr>
          <w:rFonts w:ascii="Times New Roman" w:hAnsi="Times New Roman" w:cs="Times New Roman"/>
          <w:sz w:val="24"/>
          <w:szCs w:val="24"/>
        </w:rPr>
        <w:t xml:space="preserve"> </w:t>
      </w:r>
      <w:r w:rsidR="00283EFD" w:rsidRPr="00E9790B">
        <w:rPr>
          <w:rFonts w:ascii="Times New Roman" w:hAnsi="Times New Roman" w:cs="Times New Roman"/>
          <w:sz w:val="24"/>
          <w:szCs w:val="24"/>
        </w:rPr>
        <w:t>antara lain,</w:t>
      </w:r>
      <w:r w:rsidR="00283EFD" w:rsidRPr="00E9790B">
        <w:rPr>
          <w:rFonts w:ascii="Times New Roman" w:hAnsi="Times New Roman" w:cs="Times New Roman"/>
          <w:i/>
          <w:sz w:val="24"/>
          <w:szCs w:val="24"/>
        </w:rPr>
        <w:t xml:space="preserve"> </w:t>
      </w:r>
      <w:r w:rsidR="00FB71FE" w:rsidRPr="00E9790B">
        <w:rPr>
          <w:rFonts w:ascii="Times New Roman" w:hAnsi="Times New Roman" w:cs="Times New Roman"/>
          <w:i/>
          <w:sz w:val="24"/>
          <w:szCs w:val="24"/>
        </w:rPr>
        <w:t>Purple Rose</w:t>
      </w:r>
      <w:r w:rsidR="0091506D" w:rsidRPr="00E9790B">
        <w:rPr>
          <w:rFonts w:ascii="Times New Roman" w:hAnsi="Times New Roman" w:cs="Times New Roman"/>
          <w:i/>
          <w:sz w:val="24"/>
          <w:szCs w:val="24"/>
        </w:rPr>
        <w:t xml:space="preserve"> of Cairo</w:t>
      </w:r>
      <w:r w:rsidRPr="00E9790B">
        <w:rPr>
          <w:rFonts w:ascii="Times New Roman" w:hAnsi="Times New Roman" w:cs="Times New Roman"/>
          <w:sz w:val="24"/>
          <w:szCs w:val="24"/>
        </w:rPr>
        <w:t>; Steven Tyler dan Joan Jett sebagai ikon ahli muzik rock yang mempopular genre rock di seluruh dunia; dan Oprah Winfrey dan Barbara Walters sebagai ikon pengacara T.V. yang sudah tidak terasing lagi.</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Dari sudut pandangan pengkaji semiotik, tindakan mengikonkan seseorang lebih merupakan ketaksuban sehingga </w:t>
      </w:r>
      <w:r w:rsidR="002F3CA4" w:rsidRPr="00E9790B">
        <w:rPr>
          <w:rFonts w:ascii="Times New Roman" w:hAnsi="Times New Roman" w:cs="Times New Roman"/>
          <w:sz w:val="24"/>
          <w:szCs w:val="24"/>
        </w:rPr>
        <w:t>timbulnya kesilapan untuk</w:t>
      </w:r>
      <w:r w:rsidRPr="00E9790B">
        <w:rPr>
          <w:rFonts w:ascii="Times New Roman" w:hAnsi="Times New Roman" w:cs="Times New Roman"/>
          <w:sz w:val="24"/>
          <w:szCs w:val="24"/>
        </w:rPr>
        <w:t xml:space="preserve"> menerapkan istilah sesuatu teori</w:t>
      </w:r>
      <w:r w:rsidR="002F3CA4" w:rsidRPr="00E9790B">
        <w:rPr>
          <w:rFonts w:ascii="Times New Roman" w:hAnsi="Times New Roman" w:cs="Times New Roman"/>
          <w:sz w:val="24"/>
          <w:szCs w:val="24"/>
        </w:rPr>
        <w:t xml:space="preserve"> secara wewenang</w:t>
      </w:r>
      <w:r w:rsidRPr="00E9790B">
        <w:rPr>
          <w:rFonts w:ascii="Times New Roman" w:hAnsi="Times New Roman" w:cs="Times New Roman"/>
          <w:sz w:val="24"/>
          <w:szCs w:val="24"/>
        </w:rPr>
        <w:t xml:space="preserve">. </w:t>
      </w:r>
      <w:r w:rsidR="002F3CA4" w:rsidRPr="00E9790B">
        <w:rPr>
          <w:rFonts w:ascii="Times New Roman" w:hAnsi="Times New Roman" w:cs="Times New Roman"/>
          <w:sz w:val="24"/>
          <w:szCs w:val="24"/>
        </w:rPr>
        <w:t>Permainan istilah dalam sesuatu</w:t>
      </w:r>
      <w:r w:rsidRPr="00E9790B">
        <w:rPr>
          <w:rFonts w:ascii="Times New Roman" w:hAnsi="Times New Roman" w:cs="Times New Roman"/>
          <w:sz w:val="24"/>
          <w:szCs w:val="24"/>
        </w:rPr>
        <w:t xml:space="preserve"> teori yang telah salah </w:t>
      </w:r>
      <w:r w:rsidR="002F3CA4" w:rsidRPr="00E9790B">
        <w:rPr>
          <w:rFonts w:ascii="Times New Roman" w:hAnsi="Times New Roman" w:cs="Times New Roman"/>
          <w:sz w:val="24"/>
          <w:szCs w:val="24"/>
        </w:rPr>
        <w:t>dari penggunaanya</w:t>
      </w:r>
      <w:r w:rsidRPr="00E9790B">
        <w:rPr>
          <w:rFonts w:ascii="Times New Roman" w:hAnsi="Times New Roman" w:cs="Times New Roman"/>
          <w:sz w:val="24"/>
          <w:szCs w:val="24"/>
        </w:rPr>
        <w:t xml:space="preserve"> adalah serupa dengan pembiakan </w:t>
      </w:r>
      <w:r w:rsidR="002F3CA4" w:rsidRPr="00E9790B">
        <w:rPr>
          <w:rFonts w:ascii="Times New Roman" w:hAnsi="Times New Roman" w:cs="Times New Roman"/>
          <w:sz w:val="24"/>
          <w:szCs w:val="24"/>
        </w:rPr>
        <w:t xml:space="preserve">proses </w:t>
      </w:r>
      <w:r w:rsidRPr="00E9790B">
        <w:rPr>
          <w:rFonts w:ascii="Times New Roman" w:hAnsi="Times New Roman" w:cs="Times New Roman"/>
          <w:sz w:val="24"/>
          <w:szCs w:val="24"/>
        </w:rPr>
        <w:t xml:space="preserve">mitologi, yakni gaya komunikasi yang mendukung mesej tertentu (Barthes, 2012/1957, hlm. 217). Sebaliknya, dari sudut pandangan pembaca biasa, Anwar Ridhwan lebih mirip tokoh sastera yang pernah menerima Anugerah Sasterawan Negara Ke-10. Namun begitu, pandangan ini tetap bersifat </w:t>
      </w:r>
      <w:r w:rsidR="00897A1E" w:rsidRPr="00E9790B">
        <w:rPr>
          <w:rFonts w:ascii="Times New Roman" w:hAnsi="Times New Roman" w:cs="Times New Roman"/>
          <w:sz w:val="24"/>
          <w:szCs w:val="24"/>
        </w:rPr>
        <w:t>membawa kepentingan</w:t>
      </w:r>
      <w:r w:rsidRPr="00E9790B">
        <w:rPr>
          <w:rFonts w:ascii="Times New Roman" w:hAnsi="Times New Roman" w:cs="Times New Roman"/>
          <w:sz w:val="24"/>
          <w:szCs w:val="24"/>
        </w:rPr>
        <w:t xml:space="preserve"> peribadi seorang pembaca memandangkan terdapat </w:t>
      </w:r>
      <w:r w:rsidR="006A592B" w:rsidRPr="00E9790B">
        <w:rPr>
          <w:rFonts w:ascii="Times New Roman" w:hAnsi="Times New Roman" w:cs="Times New Roman"/>
          <w:sz w:val="24"/>
          <w:szCs w:val="24"/>
        </w:rPr>
        <w:t>dua belas</w:t>
      </w:r>
      <w:r w:rsidRPr="00E9790B">
        <w:rPr>
          <w:rFonts w:ascii="Times New Roman" w:hAnsi="Times New Roman" w:cs="Times New Roman"/>
          <w:sz w:val="24"/>
          <w:szCs w:val="24"/>
        </w:rPr>
        <w:t xml:space="preserve"> orang sasterawan </w:t>
      </w:r>
      <w:r w:rsidR="006A592B" w:rsidRPr="00E9790B">
        <w:rPr>
          <w:rFonts w:ascii="Times New Roman" w:hAnsi="Times New Roman" w:cs="Times New Roman"/>
          <w:sz w:val="24"/>
          <w:szCs w:val="24"/>
        </w:rPr>
        <w:t xml:space="preserve">dan sasterawati </w:t>
      </w:r>
      <w:r w:rsidRPr="00E9790B">
        <w:rPr>
          <w:rFonts w:ascii="Times New Roman" w:hAnsi="Times New Roman" w:cs="Times New Roman"/>
          <w:sz w:val="24"/>
          <w:szCs w:val="24"/>
        </w:rPr>
        <w:t xml:space="preserve">lain yang menerima Anugerah Sasterawan Negara.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Berdasarkan Bab 2, pengarang membuat kajian yang rapi terhadap penerbitan Anwar Ridhwan secara agak menyeluruh. Karya yang dihasilkan dikelaskan ke dalam beberapa kategori termasuk novel, cerpen, puisi, skrip drama. Keterangan yang terperinci memperlihatkan kekuatan pengarang mengkaji laporan panel dan media massa tentang kekuatan sesuatu karya yang memenagi hadiah sastera pada peringkat kebangsaan dan antarabangsa. Kekuatan bahagian ini terserlah dengan maklumat tentang karya yang telah diterjemahkan ke dalam bahasa Russia, Perancis, Inggeris, Cina dan Vietnam. Hanya sebuah karya yang tertinggal daripada perbincangan penulis, iaitu buku yang berjudul </w:t>
      </w:r>
      <w:r w:rsidRPr="00E9790B">
        <w:rPr>
          <w:rFonts w:ascii="Times New Roman" w:hAnsi="Times New Roman" w:cs="Times New Roman"/>
          <w:i/>
          <w:sz w:val="24"/>
          <w:szCs w:val="24"/>
        </w:rPr>
        <w:t>Wajah Timur Lidah Barat</w:t>
      </w:r>
      <w:r w:rsidRPr="00E9790B">
        <w:rPr>
          <w:rFonts w:ascii="Times New Roman" w:hAnsi="Times New Roman" w:cs="Times New Roman"/>
          <w:sz w:val="24"/>
          <w:szCs w:val="24"/>
        </w:rPr>
        <w:t xml:space="preserve"> (Anwar Ridhwan, 2012). Kemungkinan besar, buku ini diabaikan sebab skop kajian buku ini di luar cakupan karya kreatif. Walau bagaimanapun, Bab 2 buku menjadi rujukan dasar yang menyeluruh bagi pemahaman riwayat kepengarangan Anwar Ridhwan.</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Bab ketiga merupakan bahagian yang paling tebal dalam buku yang dikaji kerana ia mengandungi 130 halaman. Dalam bab ini, penulis memberikan sinopsis dan analisis semiotik ke atas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Tidak cukup dengan menjadikan kesemua watak manusia sebagai ikon, penulis buku ini juga menggunakan istilah ikon metafora seperti berikut:</w:t>
      </w:r>
    </w:p>
    <w:p w:rsidR="00685492" w:rsidRPr="00E9790B" w:rsidRDefault="00685492" w:rsidP="00685492">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pedang yang panjang untuk menyokong badannya berdiri……(Tengku Intan Marlina, 2014, hlm. 81, penekanan italik telah ditambah).</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Penulisan sedemikian menimbulkan masalah yang besar dalam pemahaman kajian sastera yang cuba dipaparkan. Dari sudut pembacaan biasa, penggunaan ikon tidak diperlukan kerana ia tidak 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 Selain daripada itu, penghilangan istilah ikon yang dimasukkan secara berleluasa akan melicinkan bacaan sekaligus menjimatkan kertas. Penerbitan buku merupakan proses penghakis sumber alam dan suntingan yang rapi amat penting agar kertas putih hanya dimanfaatkan 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Masih dari sudut pandangan pembaca biasa, proses mengikonkan watak manusia yang berjela-jela dibiarkan begitu sahaja. Penulis buku ini hanya memberikan perhitungan dalam bentuk sebuah rajah pada akhir bab ketiga. Kesimpulan yang diberikan ialah terdapat 40 ikon (20%) dan ikon menduduki tempat kedua dalam binaan novel </w:t>
      </w:r>
      <w:r w:rsidRPr="00E9790B">
        <w:rPr>
          <w:rFonts w:ascii="Times New Roman" w:hAnsi="Times New Roman" w:cs="Times New Roman"/>
          <w:i/>
          <w:sz w:val="24"/>
          <w:szCs w:val="24"/>
        </w:rPr>
        <w:t xml:space="preserve">Hari-hari terakhir seorang seniman </w:t>
      </w:r>
      <w:r w:rsidRPr="00E9790B">
        <w:rPr>
          <w:rFonts w:ascii="Times New Roman" w:hAnsi="Times New Roman" w:cs="Times New Roman"/>
          <w:sz w:val="24"/>
          <w:szCs w:val="24"/>
        </w:rPr>
        <w:t>(Tengku Intan Marlina, 2014, hlm. 202)</w:t>
      </w:r>
      <w:r w:rsidRPr="00E9790B">
        <w:rPr>
          <w:rFonts w:ascii="Times New Roman" w:hAnsi="Times New Roman" w:cs="Times New Roman"/>
          <w:i/>
          <w:sz w:val="24"/>
          <w:szCs w:val="24"/>
        </w:rPr>
        <w:t xml:space="preserve">. </w:t>
      </w:r>
      <w:r w:rsidRPr="00E9790B">
        <w:rPr>
          <w:rFonts w:ascii="Times New Roman" w:hAnsi="Times New Roman" w:cs="Times New Roman"/>
          <w:sz w:val="24"/>
          <w:szCs w:val="24"/>
        </w:rPr>
        <w:t xml:space="preserve">Tidak dijelaskan sama ada, 40 ikon yang dimaksudkan bererti 40 jenis ikon atau 40 kali penggunaan ikon tertentu dilakukan oleh pengarang teks. Secara jelas, huraian yang lebih terperinci diperlukan, sebagai misalannya, sebuah jadual yang mengandungi senarai ikon-ikon seperti Mat Jenin dan kekerapan ikon ini muncul dalam teks (sebanyak 40 kali).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Dari sudut penilaian kajian sastera, 40 ikon tidak masuk akal seolah-olah penulis buku ini belum memahami konsep ikon.</w:t>
      </w:r>
      <w:r w:rsidRPr="00E9790B">
        <w:rPr>
          <w:rStyle w:val="EndnoteReference"/>
          <w:rFonts w:ascii="Times New Roman" w:hAnsi="Times New Roman" w:cs="Times New Roman"/>
          <w:sz w:val="24"/>
          <w:szCs w:val="24"/>
        </w:rPr>
        <w:t xml:space="preserve">1 </w:t>
      </w:r>
      <w:r w:rsidRPr="00E9790B">
        <w:rPr>
          <w:rFonts w:ascii="Times New Roman" w:hAnsi="Times New Roman" w:cs="Times New Roman"/>
          <w:sz w:val="24"/>
          <w:szCs w:val="24"/>
        </w:rPr>
        <w:t xml:space="preserve">Ikon merupakan rujukan yang mengandungi sifat kemiripan dengan objek sebenar. Watak novel Maria Zaitun dalam novel </w:t>
      </w:r>
      <w:r w:rsidRPr="00E9790B">
        <w:rPr>
          <w:rFonts w:ascii="Times New Roman" w:hAnsi="Times New Roman" w:cs="Times New Roman"/>
          <w:i/>
          <w:sz w:val="24"/>
          <w:szCs w:val="24"/>
        </w:rPr>
        <w:t>Salam Maria</w:t>
      </w:r>
      <w:r w:rsidRPr="00E9790B">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 (2006). Huraian ke atas sesuatu ikon dalam novel perlu dijalankan secara terperinci sebagaimana huraian Maria Zaitun oleh Wong (2011). Sebaliknya, analisis menghitung ikon ialah tugas ahli ekonomi dan tukang matematiks.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Secara tegasnya, pemilihan 40 ikon dalam analisis buku yang sedang dipertikaikan akan mensyaratkan bahawa 40 tema analisis yang berbeza-beza diperlukan. Sebagai misalannya, sekiranya Pak Hassan benar-benar bertaraf ikon</w:t>
      </w:r>
      <w:r w:rsidR="00282CA8" w:rsidRPr="00E9790B">
        <w:rPr>
          <w:rFonts w:ascii="Times New Roman" w:hAnsi="Times New Roman" w:cs="Times New Roman"/>
          <w:sz w:val="24"/>
          <w:szCs w:val="24"/>
        </w:rPr>
        <w:t xml:space="preserve"> dalam novel yang dikaji</w:t>
      </w:r>
      <w:r w:rsidRPr="00E9790B">
        <w:rPr>
          <w:rFonts w:ascii="Times New Roman" w:hAnsi="Times New Roman" w:cs="Times New Roman"/>
          <w:sz w:val="24"/>
          <w:szCs w:val="24"/>
        </w:rPr>
        <w:t xml:space="preserve">, tema warga tua yang kehilangan kehebatan diri dan ahli keluarga perlu diperbincang. Lebih penting lagi bagaimana seseorang menghadapi ancaman nyanyuk sebagai penyakit minda pada akhir hayat perlu dikaji sebagai lanjutan pengikonan Pak Hassan. Perubahan psikologi daripada seorang yang disegani kepada seorang yang dikasihani malahan diperolok-olokkan oleh budak-budak semasa mereka mencari sarang burung perlu difikirkan sebagai tamparan hebat kepada setiap warga emas pada hari-hari terakhir masing-masing.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(Shakila Abdul Manan, 2011</w:t>
      </w:r>
      <w:r w:rsidR="00643B88" w:rsidRPr="00E9790B">
        <w:rPr>
          <w:rFonts w:ascii="Times New Roman" w:hAnsi="Times New Roman" w:cs="Times New Roman"/>
          <w:sz w:val="24"/>
          <w:szCs w:val="24"/>
        </w:rPr>
        <w:t>, lihat konsep skrip budaya dalam Sew 2015c</w:t>
      </w:r>
      <w:r w:rsidRPr="00E9790B">
        <w:rPr>
          <w:rFonts w:ascii="Times New Roman" w:hAnsi="Times New Roman" w:cs="Times New Roman"/>
          <w:sz w:val="24"/>
          <w:szCs w:val="24"/>
        </w:rPr>
        <w:t xml:space="preserve">). Pada saat-saat terakhir, perwatakan Selamah tidak kurang seperti seorang puteri yang meminta dirinya didudukkan walaupun sedang menderita ketumpahan darah selepas kelahiran </w:t>
      </w:r>
      <w:r w:rsidR="00282CA8" w:rsidRPr="00E9790B">
        <w:rPr>
          <w:rFonts w:ascii="Times New Roman" w:hAnsi="Times New Roman" w:cs="Times New Roman"/>
          <w:sz w:val="24"/>
          <w:szCs w:val="24"/>
        </w:rPr>
        <w:t xml:space="preserve">seorang </w:t>
      </w:r>
      <w:r w:rsidRPr="00E9790B">
        <w:rPr>
          <w:rFonts w:ascii="Times New Roman" w:hAnsi="Times New Roman" w:cs="Times New Roman"/>
          <w:sz w:val="24"/>
          <w:szCs w:val="24"/>
        </w:rPr>
        <w:t xml:space="preserve">anak lelaki.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terus hidup bersama</w:t>
      </w:r>
      <w:r w:rsidR="00F85817" w:rsidRPr="00E9790B">
        <w:rPr>
          <w:rFonts w:ascii="Times New Roman" w:hAnsi="Times New Roman" w:cs="Times New Roman"/>
          <w:sz w:val="24"/>
          <w:szCs w:val="24"/>
        </w:rPr>
        <w:t xml:space="preserve"> dengan</w:t>
      </w:r>
      <w:r w:rsidRPr="00E9790B">
        <w:rPr>
          <w:rFonts w:ascii="Times New Roman" w:hAnsi="Times New Roman" w:cs="Times New Roman"/>
          <w:sz w:val="24"/>
          <w:szCs w:val="24"/>
        </w:rPr>
        <w:t xml:space="preserve"> watak lelaki seperti Pak Hasan, Mat Junuh dan Aziz yang gagal mengenali ancaman bahaya kerana </w:t>
      </w:r>
      <w:r w:rsidR="00F85817" w:rsidRPr="00E9790B">
        <w:rPr>
          <w:rFonts w:ascii="Times New Roman" w:hAnsi="Times New Roman" w:cs="Times New Roman"/>
          <w:sz w:val="24"/>
          <w:szCs w:val="24"/>
        </w:rPr>
        <w:t xml:space="preserve">mereka </w:t>
      </w:r>
      <w:r w:rsidRPr="00E9790B">
        <w:rPr>
          <w:rFonts w:ascii="Times New Roman" w:hAnsi="Times New Roman" w:cs="Times New Roman"/>
          <w:sz w:val="24"/>
          <w:szCs w:val="24"/>
        </w:rPr>
        <w:t xml:space="preserve">membiarkan perogol mengintai dari perigi dekat dengan rumah sehingga </w:t>
      </w:r>
      <w:r w:rsidR="00F85817" w:rsidRPr="00E9790B">
        <w:rPr>
          <w:rFonts w:ascii="Times New Roman" w:hAnsi="Times New Roman" w:cs="Times New Roman"/>
          <w:sz w:val="24"/>
          <w:szCs w:val="24"/>
        </w:rPr>
        <w:t xml:space="preserve">perogol itu </w:t>
      </w:r>
      <w:r w:rsidRPr="00E9790B">
        <w:rPr>
          <w:rFonts w:ascii="Times New Roman" w:hAnsi="Times New Roman" w:cs="Times New Roman"/>
          <w:sz w:val="24"/>
          <w:szCs w:val="24"/>
        </w:rPr>
        <w:t xml:space="preserve">sempat bermaharaja lela di depan rumah pada petang yang malang </w:t>
      </w:r>
      <w:r w:rsidR="00F85817" w:rsidRPr="00E9790B">
        <w:rPr>
          <w:rFonts w:ascii="Times New Roman" w:hAnsi="Times New Roman" w:cs="Times New Roman"/>
          <w:sz w:val="24"/>
          <w:szCs w:val="24"/>
        </w:rPr>
        <w:t>tersebut</w:t>
      </w:r>
      <w:r w:rsidRPr="00E9790B">
        <w:rPr>
          <w:rFonts w:ascii="Times New Roman" w:hAnsi="Times New Roman" w:cs="Times New Roman"/>
          <w:sz w:val="24"/>
          <w:szCs w:val="24"/>
        </w:rPr>
        <w:t>.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ba</w:t>
      </w:r>
      <w:r w:rsidR="00F85817" w:rsidRPr="00E9790B">
        <w:rPr>
          <w:rFonts w:ascii="Times New Roman" w:hAnsi="Times New Roman" w:cs="Times New Roman"/>
          <w:sz w:val="24"/>
          <w:szCs w:val="24"/>
        </w:rPr>
        <w:t>ha</w:t>
      </w:r>
      <w:r w:rsidRPr="00E9790B">
        <w:rPr>
          <w:rFonts w:ascii="Times New Roman" w:hAnsi="Times New Roman" w:cs="Times New Roman"/>
          <w:sz w:val="24"/>
          <w:szCs w:val="24"/>
        </w:rPr>
        <w:t>ru (lihat Ratna Roshida 2010).</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E9790B">
        <w:rPr>
          <w:rFonts w:ascii="Times New Roman" w:hAnsi="Times New Roman" w:cs="Times New Roman"/>
          <w:sz w:val="24"/>
          <w:szCs w:val="24"/>
        </w:rPr>
        <w:t>lantunan</w:t>
      </w:r>
      <w:r w:rsidRPr="00E9790B">
        <w:rPr>
          <w:rFonts w:ascii="Times New Roman" w:hAnsi="Times New Roman" w:cs="Times New Roman"/>
          <w:sz w:val="24"/>
          <w:szCs w:val="24"/>
        </w:rPr>
        <w:t xml:space="preserve"> </w:t>
      </w:r>
      <w:r w:rsidR="00D27C25" w:rsidRPr="00E9790B">
        <w:rPr>
          <w:rFonts w:ascii="Times New Roman" w:hAnsi="Times New Roman" w:cs="Times New Roman"/>
          <w:sz w:val="24"/>
          <w:szCs w:val="24"/>
        </w:rPr>
        <w:t>pem</w:t>
      </w:r>
      <w:r w:rsidR="00F85817" w:rsidRPr="00E9790B">
        <w:rPr>
          <w:rFonts w:ascii="Times New Roman" w:hAnsi="Times New Roman" w:cs="Times New Roman"/>
          <w:sz w:val="24"/>
          <w:szCs w:val="24"/>
        </w:rPr>
        <w:t>ikiran</w:t>
      </w:r>
      <w:r w:rsidRPr="00E9790B">
        <w:rPr>
          <w:rFonts w:ascii="Times New Roman" w:hAnsi="Times New Roman" w:cs="Times New Roman"/>
          <w:sz w:val="24"/>
          <w:szCs w:val="24"/>
        </w:rPr>
        <w:t xml:space="preserve"> dalam perkembangan sastera Melayu mutakhir. Selain daripada penggunaan tiga istilah Peirce, yakni ikon, indeks dan </w:t>
      </w:r>
      <w:r w:rsidR="00F85817" w:rsidRPr="00E9790B">
        <w:rPr>
          <w:rFonts w:ascii="Times New Roman" w:hAnsi="Times New Roman" w:cs="Times New Roman"/>
          <w:sz w:val="24"/>
          <w:szCs w:val="24"/>
        </w:rPr>
        <w:t>symbol secara amat kerap</w:t>
      </w:r>
      <w:r w:rsidRPr="00E9790B">
        <w:rPr>
          <w:rFonts w:ascii="Times New Roman" w:hAnsi="Times New Roman" w:cs="Times New Roman"/>
          <w:sz w:val="24"/>
          <w:szCs w:val="24"/>
        </w:rPr>
        <w:t xml:space="preserve">, penyelitan frasa </w:t>
      </w:r>
      <w:r w:rsidRPr="00E9790B">
        <w:rPr>
          <w:rFonts w:ascii="Times New Roman" w:hAnsi="Times New Roman" w:cs="Times New Roman"/>
          <w:i/>
          <w:sz w:val="24"/>
          <w:szCs w:val="24"/>
        </w:rPr>
        <w:t>tanda sintaksis</w:t>
      </w:r>
      <w:r w:rsidRPr="00E9790B">
        <w:rPr>
          <w:rFonts w:ascii="Times New Roman" w:hAnsi="Times New Roman" w:cs="Times New Roman"/>
          <w:sz w:val="24"/>
          <w:szCs w:val="24"/>
        </w:rPr>
        <w:t xml:space="preserve"> menjadikan analisis dalam buku ini </w:t>
      </w:r>
      <w:r w:rsidR="00F85817" w:rsidRPr="00E9790B">
        <w:rPr>
          <w:rFonts w:ascii="Times New Roman" w:hAnsi="Times New Roman" w:cs="Times New Roman"/>
          <w:sz w:val="24"/>
          <w:szCs w:val="24"/>
        </w:rPr>
        <w:t xml:space="preserve">juga </w:t>
      </w:r>
      <w:r w:rsidRPr="00E9790B">
        <w:rPr>
          <w:rFonts w:ascii="Times New Roman" w:hAnsi="Times New Roman" w:cs="Times New Roman"/>
          <w:sz w:val="24"/>
          <w:szCs w:val="24"/>
        </w:rPr>
        <w:t xml:space="preserve">bercelaru dari sudut semiotik. Penulis buku ini juga menggunakan istilah </w:t>
      </w:r>
      <w:r w:rsidRPr="00E9790B">
        <w:rPr>
          <w:rFonts w:ascii="Times New Roman" w:hAnsi="Times New Roman" w:cs="Times New Roman"/>
          <w:i/>
          <w:sz w:val="24"/>
          <w:szCs w:val="24"/>
        </w:rPr>
        <w:t>argument</w:t>
      </w:r>
      <w:r w:rsidRPr="00E9790B">
        <w:rPr>
          <w:rFonts w:ascii="Times New Roman" w:hAnsi="Times New Roman" w:cs="Times New Roman"/>
          <w:sz w:val="24"/>
          <w:szCs w:val="24"/>
        </w:rPr>
        <w:t xml:space="preserve"> yang mengandungi maksud semantik kognitif dalam kajian linguistik (Sew, 2011). Penelitian semula istilah </w:t>
      </w:r>
      <w:r w:rsidRPr="00E9790B">
        <w:rPr>
          <w:rFonts w:ascii="Times New Roman" w:hAnsi="Times New Roman" w:cs="Times New Roman"/>
          <w:i/>
          <w:sz w:val="24"/>
          <w:szCs w:val="24"/>
        </w:rPr>
        <w:t>argument</w:t>
      </w:r>
      <w:r w:rsidRPr="00E9790B">
        <w:rPr>
          <w:rFonts w:ascii="Times New Roman" w:hAnsi="Times New Roman" w:cs="Times New Roman"/>
          <w:sz w:val="24"/>
          <w:szCs w:val="24"/>
        </w:rPr>
        <w:t xml:space="preserve"> yang dinyatakan sebenarnya lebih merupakan maksud </w:t>
      </w:r>
      <w:r w:rsidRPr="00E9790B">
        <w:rPr>
          <w:rFonts w:ascii="Times New Roman" w:hAnsi="Times New Roman" w:cs="Times New Roman"/>
          <w:i/>
          <w:sz w:val="24"/>
          <w:szCs w:val="24"/>
        </w:rPr>
        <w:t>hujah</w:t>
      </w:r>
      <w:r w:rsidRPr="00E9790B">
        <w:rPr>
          <w:rFonts w:ascii="Times New Roman" w:hAnsi="Times New Roman" w:cs="Times New Roman"/>
          <w:sz w:val="24"/>
          <w:szCs w:val="24"/>
        </w:rPr>
        <w:t xml:space="preserve"> atau </w:t>
      </w:r>
      <w:r w:rsidRPr="00E9790B">
        <w:rPr>
          <w:rFonts w:ascii="Times New Roman" w:hAnsi="Times New Roman" w:cs="Times New Roman"/>
          <w:i/>
          <w:sz w:val="24"/>
          <w:szCs w:val="24"/>
        </w:rPr>
        <w:t>bukti</w:t>
      </w:r>
      <w:r w:rsidRPr="00E9790B">
        <w:rPr>
          <w:rFonts w:ascii="Times New Roman" w:hAnsi="Times New Roman" w:cs="Times New Roman"/>
          <w:sz w:val="24"/>
          <w:szCs w:val="24"/>
        </w:rPr>
        <w:t xml:space="preserve"> dalam perbincangan. Kekeliruan yang tidak </w:t>
      </w:r>
      <w:r w:rsidR="00052DD5" w:rsidRPr="00E9790B">
        <w:rPr>
          <w:rFonts w:ascii="Times New Roman" w:hAnsi="Times New Roman" w:cs="Times New Roman"/>
          <w:sz w:val="24"/>
          <w:szCs w:val="24"/>
        </w:rPr>
        <w:t>ada sebab musabab</w:t>
      </w:r>
      <w:r w:rsidRPr="00E9790B">
        <w:rPr>
          <w:rFonts w:ascii="Times New Roman" w:hAnsi="Times New Roman" w:cs="Times New Roman"/>
          <w:sz w:val="24"/>
          <w:szCs w:val="24"/>
        </w:rPr>
        <w:t xml:space="preserve"> seperti ini harus dielakkan dalam analisis sastera.</w:t>
      </w: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lastRenderedPageBreak/>
        <w:t>KESIMPULAN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Penelitian awal buku ini menimbulkan beberapa keraguan. Pertama, apakah kekuatan penilaian semiotik sesuatu novel yang terhad pada perhitungan ikon, indeks dan symbol? Kesemua novel yang diteliti menunjukkan indeks sebagai unsur semiotik yang paling besar dari segi kuantiti. Adakah ini ciri novel Melayu pengarang tertentu atau ciri kesemua novel Melayu secara lazim? Mengapa setiap watak dalam novel harus menjadi ikon? Adakah pengikonan watak manusia dapat menerbitkan penemuan baharu dalam kajian sastera? Sekiranya penemuan yang serupa boleh dicapai tanpa proses pengikonan, aspek teori semiotik yang digunakan gagal menghasilkan sebarang kesinambungan bagi penjanaan ufuk minda yang baharu.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sastera semiotik saranan Barthes, analisis yang bertuankan pengarang masih bukan analisis semiotik selagi pengarang tidak ‘dimatikan’. Seiring dengan pandangan ini, </w:t>
      </w:r>
      <w:r w:rsidR="00AB11DF" w:rsidRPr="00E9790B">
        <w:rPr>
          <w:rFonts w:ascii="Times New Roman" w:hAnsi="Times New Roman" w:cs="Times New Roman"/>
          <w:sz w:val="24"/>
          <w:szCs w:val="24"/>
        </w:rPr>
        <w:t xml:space="preserve">satu </w:t>
      </w:r>
      <w:r w:rsidRPr="00E9790B">
        <w:rPr>
          <w:rFonts w:ascii="Times New Roman" w:hAnsi="Times New Roman" w:cs="Times New Roman"/>
          <w:sz w:val="24"/>
          <w:szCs w:val="24"/>
        </w:rPr>
        <w:t xml:space="preserve">persoalan </w:t>
      </w:r>
      <w:r w:rsidR="00AB11DF" w:rsidRPr="00E9790B">
        <w:rPr>
          <w:rFonts w:ascii="Times New Roman" w:hAnsi="Times New Roman" w:cs="Times New Roman"/>
          <w:sz w:val="24"/>
          <w:szCs w:val="24"/>
        </w:rPr>
        <w:t xml:space="preserve">dasar yakni </w:t>
      </w:r>
      <w:r w:rsidRPr="00E9790B">
        <w:rPr>
          <w:rFonts w:ascii="Times New Roman" w:hAnsi="Times New Roman" w:cs="Times New Roman"/>
          <w:sz w:val="24"/>
          <w:szCs w:val="24"/>
        </w:rPr>
        <w:t xml:space="preserve">mengapa pengarang novel juga menjadi ikon dalam Bab kedua buku ini ditimbulkan. Pengarang buku ini menjadi ikon sebagai lambang mutlak </w:t>
      </w:r>
      <w:r w:rsidR="00AB11DF" w:rsidRPr="00E9790B">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fenomenon </w:t>
      </w:r>
      <w:r w:rsidR="00AB11DF" w:rsidRPr="00E9790B">
        <w:rPr>
          <w:rFonts w:ascii="Times New Roman" w:hAnsi="Times New Roman" w:cs="Times New Roman"/>
          <w:sz w:val="24"/>
          <w:szCs w:val="24"/>
        </w:rPr>
        <w:t xml:space="preserve">atau darjat </w:t>
      </w:r>
      <w:r w:rsidRPr="00E9790B">
        <w:rPr>
          <w:rFonts w:ascii="Times New Roman" w:hAnsi="Times New Roman" w:cs="Times New Roman"/>
          <w:sz w:val="24"/>
          <w:szCs w:val="24"/>
        </w:rPr>
        <w:t>apa? Persoalan ini penting kerana ia menuntut agar setiap proses pengikonan diberikan sorotan tema dan renungan sosial yang sewajarnya. Penggunaan istilah kerangka ilmu semiotik hanya berguna pada tahap pemahaman asas. Tunjangan analisis baharu daripada istilah ini harus di</w:t>
      </w:r>
      <w:r w:rsidR="00AB11DF" w:rsidRPr="00E9790B">
        <w:rPr>
          <w:rFonts w:ascii="Times New Roman" w:hAnsi="Times New Roman" w:cs="Times New Roman"/>
          <w:sz w:val="24"/>
          <w:szCs w:val="24"/>
        </w:rPr>
        <w:t>baik biak</w:t>
      </w:r>
      <w:r w:rsidRPr="00E9790B">
        <w:rPr>
          <w:rFonts w:ascii="Times New Roman" w:hAnsi="Times New Roman" w:cs="Times New Roman"/>
          <w:sz w:val="24"/>
          <w:szCs w:val="24"/>
        </w:rPr>
        <w:t xml:space="preserve"> pada tahap yang lebih tinggi; sama ada dengan menggunakan kanta Barthes, Derrida atau ahli semiotik yang lain.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Sebagaimana yang telah dijelaskan, penerbitan buku ini juga mengandungi masalah suntingan yang harus dikemaskinikan. Isu seperti kesalahan ejaan dan kekurangan dari segi sistem aturan butiran bibliografi perlu dilestarikan oleh </w:t>
      </w:r>
      <w:r w:rsidR="00AB11DF" w:rsidRPr="00E9790B">
        <w:rPr>
          <w:rFonts w:ascii="Times New Roman" w:hAnsi="Times New Roman" w:cs="Times New Roman"/>
          <w:sz w:val="24"/>
          <w:szCs w:val="24"/>
        </w:rPr>
        <w:t xml:space="preserve">pembaca naskhah praterbit </w:t>
      </w:r>
      <w:r w:rsidR="002E1F5F">
        <w:rPr>
          <w:rFonts w:ascii="Times New Roman" w:hAnsi="Times New Roman" w:cs="Times New Roman"/>
          <w:sz w:val="24"/>
          <w:szCs w:val="24"/>
        </w:rPr>
        <w:t>dan editor</w:t>
      </w:r>
      <w:r w:rsidRPr="00E9790B">
        <w:rPr>
          <w:rFonts w:ascii="Times New Roman" w:hAnsi="Times New Roman" w:cs="Times New Roman"/>
          <w:sz w:val="24"/>
          <w:szCs w:val="24"/>
        </w:rPr>
        <w:t xml:space="preserve"> di samping penulis buku. Sememangnya rencana ini bersifat perbincangan ilmiah demi kemajuan persuratan Melayu dan bukan sebagai tohmahan akademik. Segala yang baik datang daripada yang Maha Esa, dan sebarang kekurangan dalam rencana ini milik saya sendiri.</w:t>
      </w:r>
    </w:p>
    <w:p w:rsidR="00685492" w:rsidRPr="00E9790B" w:rsidRDefault="00685492" w:rsidP="00685492">
      <w:pPr>
        <w:jc w:val="both"/>
        <w:rPr>
          <w:rFonts w:ascii="Times New Roman" w:hAnsi="Times New Roman" w:cs="Times New Roman"/>
          <w:sz w:val="24"/>
          <w:szCs w:val="24"/>
        </w:rPr>
      </w:pPr>
    </w:p>
    <w:p w:rsidR="00BC112B" w:rsidRPr="00E9790B" w:rsidRDefault="00BC112B" w:rsidP="00685492">
      <w:pPr>
        <w:jc w:val="both"/>
        <w:rPr>
          <w:rFonts w:ascii="Times New Roman" w:hAnsi="Times New Roman" w:cs="Times New Roman"/>
          <w:sz w:val="24"/>
          <w:szCs w:val="24"/>
        </w:rPr>
      </w:pPr>
    </w:p>
    <w:p w:rsidR="00BC112B" w:rsidRPr="00E9790B" w:rsidRDefault="00685492" w:rsidP="00685492">
      <w:pPr>
        <w:rPr>
          <w:rFonts w:ascii="Times New Roman" w:hAnsi="Times New Roman" w:cs="Times New Roman"/>
          <w:b/>
          <w:sz w:val="24"/>
          <w:szCs w:val="24"/>
        </w:rPr>
      </w:pPr>
      <w:r w:rsidRPr="00E9790B">
        <w:rPr>
          <w:rFonts w:ascii="Times New Roman" w:hAnsi="Times New Roman" w:cs="Times New Roman"/>
          <w:b/>
          <w:sz w:val="24"/>
          <w:szCs w:val="24"/>
        </w:rPr>
        <w:t>NOTA</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1. Jumlah perhitungan ikon, indeks dan s</w:t>
      </w:r>
      <w:r w:rsidR="009F3E51" w:rsidRPr="00E9790B">
        <w:rPr>
          <w:rFonts w:ascii="Times New Roman" w:hAnsi="Times New Roman" w:cs="Times New Roman"/>
          <w:sz w:val="24"/>
          <w:szCs w:val="24"/>
        </w:rPr>
        <w:t>i</w:t>
      </w:r>
      <w:r w:rsidRPr="00E9790B">
        <w:rPr>
          <w:rFonts w:ascii="Times New Roman" w:hAnsi="Times New Roman" w:cs="Times New Roman"/>
          <w:sz w:val="24"/>
          <w:szCs w:val="24"/>
        </w:rPr>
        <w:t xml:space="preserve">mbol dalam novel </w:t>
      </w:r>
      <w:r w:rsidRPr="00E9790B">
        <w:rPr>
          <w:rFonts w:ascii="Times New Roman" w:hAnsi="Times New Roman" w:cs="Times New Roman"/>
          <w:i/>
          <w:sz w:val="24"/>
          <w:szCs w:val="24"/>
        </w:rPr>
        <w:t xml:space="preserve">Hari-hari terakhir seorang seniman </w:t>
      </w:r>
      <w:r w:rsidRPr="00E9790B">
        <w:rPr>
          <w:rFonts w:ascii="Times New Roman" w:hAnsi="Times New Roman" w:cs="Times New Roman"/>
          <w:sz w:val="24"/>
          <w:szCs w:val="24"/>
        </w:rPr>
        <w:t xml:space="preserve">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w:t>
      </w:r>
      <w:r w:rsidR="00C666DF" w:rsidRPr="00E9790B">
        <w:rPr>
          <w:rFonts w:ascii="Times New Roman" w:hAnsi="Times New Roman" w:cs="Times New Roman"/>
          <w:sz w:val="24"/>
          <w:szCs w:val="24"/>
        </w:rPr>
        <w:t>pembaikan</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b/>
          <w:sz w:val="24"/>
          <w:szCs w:val="24"/>
        </w:rPr>
      </w:pPr>
      <w:r w:rsidRPr="00E9790B">
        <w:rPr>
          <w:rFonts w:ascii="Times New Roman" w:hAnsi="Times New Roman" w:cs="Times New Roman"/>
          <w:b/>
          <w:sz w:val="24"/>
          <w:szCs w:val="24"/>
        </w:rPr>
        <w:lastRenderedPageBreak/>
        <w:t>BIBLIOGRAFI</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sz w:val="24"/>
          <w:szCs w:val="24"/>
          <w:lang w:val="en-SG"/>
        </w:rPr>
        <w:t>Asmah Haji Omar. 2015. Kampar dalam geolinguistik dan geobudaya Melayu.</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15</w:t>
      </w:r>
      <w:r w:rsidRPr="00E9790B">
        <w:rPr>
          <w:rFonts w:ascii="Times New Roman" w:hAnsi="Times New Roman" w:cs="Times New Roman"/>
          <w:sz w:val="24"/>
          <w:szCs w:val="24"/>
          <w:lang w:val="en-SG"/>
        </w:rPr>
        <w:t>(2): 201-218.</w:t>
      </w:r>
    </w:p>
    <w:p w:rsidR="00685492" w:rsidRPr="00E9790B" w:rsidRDefault="00685492" w:rsidP="00685492">
      <w:pPr>
        <w:spacing w:after="0"/>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2012/1957. </w:t>
      </w:r>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 R. Howard &amp; A. Lavers (penterjemah).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The death of the Author. Dlm. </w:t>
      </w:r>
      <w:r w:rsidRPr="00E9790B">
        <w:rPr>
          <w:rFonts w:ascii="Times New Roman" w:hAnsi="Times New Roman" w:cs="Times New Roman"/>
          <w:i/>
          <w:sz w:val="24"/>
          <w:szCs w:val="24"/>
          <w:lang w:val="en-SG"/>
        </w:rPr>
        <w:t>The death and resurrection of the Author?</w:t>
      </w:r>
      <w:r w:rsidRPr="00E9790B">
        <w:rPr>
          <w:rFonts w:ascii="Times New Roman" w:hAnsi="Times New Roman" w:cs="Times New Roman"/>
          <w:sz w:val="24"/>
          <w:szCs w:val="24"/>
          <w:lang w:val="en-SG"/>
        </w:rPr>
        <w:t xml:space="preserve"> disunting oleh  W. Irwinm, 3-7. Westport: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Chandler, D. 2007/2002. </w:t>
      </w:r>
      <w:r w:rsidRPr="00E9790B">
        <w:rPr>
          <w:rFonts w:ascii="Times New Roman" w:hAnsi="Times New Roman" w:cs="Times New Roman"/>
          <w:i/>
          <w:sz w:val="24"/>
          <w:szCs w:val="24"/>
        </w:rPr>
        <w:t>Semiotics: The basics</w:t>
      </w:r>
      <w:r w:rsidRPr="00E9790B">
        <w:rPr>
          <w:rFonts w:ascii="Times New Roman" w:hAnsi="Times New Roman" w:cs="Times New Roman"/>
          <w:sz w:val="24"/>
          <w:szCs w:val="24"/>
        </w:rPr>
        <w:t>, 2</w:t>
      </w:r>
      <w:r w:rsidRPr="00E9790B">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ed. London: Routledge.</w:t>
      </w:r>
    </w:p>
    <w:p w:rsidR="00685492" w:rsidRPr="00E9790B" w:rsidRDefault="00685492" w:rsidP="00685492">
      <w:pPr>
        <w:rPr>
          <w:rFonts w:ascii="Times New Roman" w:hAnsi="Times New Roman" w:cs="Times New Roman"/>
          <w:sz w:val="24"/>
          <w:szCs w:val="24"/>
          <w:lang w:val="en-GB"/>
        </w:rPr>
      </w:pPr>
      <w:r w:rsidRPr="00E9790B">
        <w:rPr>
          <w:rFonts w:ascii="Times New Roman" w:hAnsi="Times New Roman" w:cs="Times New Roman"/>
          <w:sz w:val="24"/>
          <w:szCs w:val="24"/>
        </w:rPr>
        <w:t xml:space="preserve">Deal, A.R. 2016.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E9790B">
        <w:rPr>
          <w:rFonts w:ascii="Times New Roman" w:hAnsi="Times New Roman" w:cs="Times New Roman"/>
          <w:i/>
          <w:sz w:val="24"/>
          <w:szCs w:val="24"/>
          <w:lang w:val="en-GB"/>
        </w:rPr>
        <w:t>52</w:t>
      </w:r>
      <w:r w:rsidRPr="00E9790B">
        <w:rPr>
          <w:rFonts w:ascii="Times New Roman" w:hAnsi="Times New Roman" w:cs="Times New Roman"/>
          <w:sz w:val="24"/>
          <w:szCs w:val="24"/>
          <w:lang w:val="en-GB"/>
        </w:rPr>
        <w:t xml:space="preserve">(3): </w:t>
      </w:r>
      <w:r w:rsidR="00351A7E" w:rsidRPr="00E9790B">
        <w:rPr>
          <w:rFonts w:ascii="Times New Roman" w:hAnsi="Times New Roman" w:cs="Times New Roman"/>
          <w:sz w:val="24"/>
          <w:szCs w:val="24"/>
          <w:lang w:val="en-GB"/>
        </w:rPr>
        <w:t>akan datang</w:t>
      </w:r>
      <w:r w:rsidRPr="00E9790B">
        <w:rPr>
          <w:rFonts w:ascii="Times New Roman" w:hAnsi="Times New Roman" w:cs="Times New Roman"/>
          <w:sz w:val="24"/>
          <w:szCs w:val="24"/>
          <w:lang w:val="en-GB"/>
        </w:rPr>
        <w:t>.</w:t>
      </w:r>
    </w:p>
    <w:p w:rsidR="00685492" w:rsidRPr="00E9790B"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r w:rsidRPr="00E9790B">
        <w:rPr>
          <w:rFonts w:ascii="Times New Roman" w:hAnsi="Times New Roman" w:cs="Times New Roman"/>
          <w:i/>
          <w:sz w:val="24"/>
          <w:szCs w:val="24"/>
        </w:rPr>
        <w:t>Visual culture</w:t>
      </w:r>
      <w:r w:rsidRPr="00E9790B">
        <w:rPr>
          <w:rFonts w:ascii="Times New Roman" w:hAnsi="Times New Roman" w:cs="Times New Roman"/>
          <w:sz w:val="24"/>
          <w:szCs w:val="24"/>
        </w:rPr>
        <w:t>. Cambridge: Polity.</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E9790B">
        <w:rPr>
          <w:rFonts w:ascii="TimesNewRoman,Italic" w:hAnsi="TimesNewRoman,Italic" w:cs="TimesNewRoman,Italic"/>
          <w:i/>
          <w:iCs/>
        </w:rPr>
        <w:t>GEMA Online Journal of Language Studies 6</w:t>
      </w:r>
      <w:r w:rsidRPr="00E9790B">
        <w:rPr>
          <w:rFonts w:ascii="TimesNewRoman,Italic" w:hAnsi="TimesNewRoman,Italic" w:cs="TimesNewRoman,Italic"/>
          <w:iCs/>
        </w:rPr>
        <w:t>(1): 11-20.</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Pr="00E9790B" w:rsidRDefault="00685492" w:rsidP="00685492">
      <w:pPr>
        <w:jc w:val="both"/>
      </w:pPr>
      <w:r w:rsidRPr="00E9790B">
        <w:rPr>
          <w:rFonts w:ascii="Times New Roman" w:hAnsi="Times New Roman" w:cs="Times New Roman"/>
          <w:sz w:val="24"/>
          <w:szCs w:val="24"/>
        </w:rPr>
        <w:t xml:space="preserve">Kincheloe, J.L. (ed.).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Peirce, C.S. 1965. </w:t>
      </w:r>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 I &amp; II). Cambridge MA: Harvard University Press.</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Ratna Roshida Ab Bakar. 2010. Memahami watak Sa’aman dalam Keluarga Gerilya: Satu pendekatan logoterapi Frankl. </w:t>
      </w:r>
      <w:r w:rsidRPr="00E9790B">
        <w:rPr>
          <w:rFonts w:ascii="Times New Roman" w:hAnsi="Times New Roman" w:cs="Times New Roman"/>
          <w:i/>
          <w:sz w:val="24"/>
          <w:szCs w:val="24"/>
        </w:rPr>
        <w:t>Akademika 79</w:t>
      </w:r>
      <w:r w:rsidRPr="00E9790B">
        <w:rPr>
          <w:rFonts w:ascii="Times New Roman" w:hAnsi="Times New Roman" w:cs="Times New Roman"/>
          <w:sz w:val="24"/>
          <w:szCs w:val="24"/>
        </w:rPr>
        <w:t>(1): 65-72.</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Saussure, F. de. 1983. </w:t>
      </w:r>
      <w:r w:rsidRPr="00E9790B">
        <w:rPr>
          <w:rFonts w:ascii="Times New Roman" w:hAnsi="Times New Roman" w:cs="Times New Roman"/>
          <w:i/>
          <w:sz w:val="24"/>
          <w:szCs w:val="24"/>
        </w:rPr>
        <w:t>Course in general linguistics</w:t>
      </w:r>
      <w:r w:rsidRPr="00E9790B">
        <w:rPr>
          <w:rFonts w:ascii="Times New Roman" w:hAnsi="Times New Roman" w:cs="Times New Roman"/>
          <w:sz w:val="24"/>
          <w:szCs w:val="24"/>
        </w:rPr>
        <w:t>.  R. Harris (penterjemah). London: Duckworth.</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E9790B">
        <w:rPr>
          <w:rFonts w:ascii="Times New Roman" w:hAnsi="Times New Roman" w:cs="Times New Roman"/>
          <w:i/>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Kajian Malaysia 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r w:rsidRPr="00E9790B">
        <w:rPr>
          <w:rFonts w:ascii="Times New Roman" w:hAnsi="Times New Roman" w:cs="Times New Roman"/>
          <w:sz w:val="24"/>
          <w:szCs w:val="24"/>
        </w:rPr>
        <w:t xml:space="preserve">. Aspects of cultural intelligence in idiomatic Asian cultural scripts. </w:t>
      </w:r>
      <w:hyperlink r:id="rId9" w:history="1">
        <w:r w:rsidRPr="00E9790B">
          <w:rPr>
            <w:rStyle w:val="Emphasis"/>
            <w:rFonts w:ascii="Times New Roman" w:hAnsi="Times New Roman" w:cs="Times New Roman"/>
            <w:sz w:val="24"/>
            <w:szCs w:val="24"/>
          </w:rPr>
          <w:t>WORD 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lastRenderedPageBreak/>
        <w:t xml:space="preserve">Sew, J.W. 2009. </w:t>
      </w:r>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 Kuala Lumpur: Penerbit Universiti Malaya.</w:t>
      </w:r>
    </w:p>
    <w:p w:rsidR="00685492" w:rsidRPr="00E9790B"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Pandangan alternatif pada analisis semantik kognitif imbuhan BeR-. </w:t>
      </w:r>
      <w:r w:rsidRPr="00E9790B">
        <w:rPr>
          <w:rFonts w:ascii="TimesNewRoman,Italic" w:hAnsi="TimesNewRoman,Italic" w:cs="TimesNewRoman,Italic"/>
          <w:i/>
          <w:iCs/>
        </w:rPr>
        <w:t>GEMA Online Journal of Language Studies 11</w:t>
      </w:r>
      <w:r w:rsidRPr="00E9790B">
        <w:rPr>
          <w:rFonts w:ascii="TimesNewRoman,Italic" w:hAnsi="TimesNewRoman,Italic" w:cs="TimesNewRoman,Italic"/>
          <w:iCs/>
        </w:rPr>
        <w:t>(2): 155-170</w:t>
      </w:r>
      <w:r w:rsidRPr="00E9790B">
        <w:rPr>
          <w:rFonts w:ascii="Times New Roman" w:hAnsi="Times New Roman" w:cs="Times New Roman"/>
          <w:sz w:val="24"/>
          <w:szCs w:val="24"/>
        </w:rPr>
        <w:t>.</w:t>
      </w:r>
    </w:p>
    <w:p w:rsidR="00685492" w:rsidRPr="00E9790B" w:rsidRDefault="00685492" w:rsidP="00685492">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 xml:space="preserve">Shakila Abdul Manan. 2011. Doing gender in literature. Dlm.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disunting oleh C. Ng, N. Endut &amp; R. Shuib, 65-79. Pulau Pinang: Universiti Sains Malaysia. </w:t>
      </w:r>
    </w:p>
    <w:p w:rsidR="00685492" w:rsidRPr="00E9790B" w:rsidRDefault="00685492" w:rsidP="00685492">
      <w:pPr>
        <w:spacing w:after="0"/>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Tengku Intan Marlina.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Kuala Lumpur: Dewan Bahasa &amp; Pustaka.</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E9790B">
        <w:rPr>
          <w:rFonts w:ascii="Times New Roman" w:hAnsi="Times New Roman" w:cs="Times New Roman"/>
          <w:sz w:val="24"/>
          <w:szCs w:val="24"/>
        </w:rPr>
        <w:t xml:space="preserve">Wong, S.K. 2011. </w:t>
      </w:r>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r w:rsidRPr="00E9790B">
        <w:rPr>
          <w:rFonts w:ascii="Cambria-BoldItalic" w:hAnsi="Cambria-BoldItalic" w:cs="Cambria-BoldItalic"/>
          <w:bCs/>
          <w:iCs/>
          <w:sz w:val="24"/>
          <w:szCs w:val="24"/>
        </w:rPr>
        <w:t xml:space="preserve"> Dlm.</w:t>
      </w:r>
      <w:r w:rsidRPr="00E9790B">
        <w:rPr>
          <w:rFonts w:ascii="Times New Roman" w:hAnsi="Times New Roman" w:cs="Times New Roman"/>
          <w:i/>
          <w:sz w:val="24"/>
          <w:szCs w:val="24"/>
        </w:rPr>
        <w:t xml:space="preserve"> Melayu: Politics, Poetics and Paradoxes of Malayness</w:t>
      </w:r>
      <w:r w:rsidRPr="00E9790B">
        <w:rPr>
          <w:rFonts w:ascii="Times New Roman" w:hAnsi="Times New Roman" w:cs="Times New Roman"/>
          <w:sz w:val="24"/>
          <w:szCs w:val="24"/>
        </w:rPr>
        <w:t xml:space="preserve"> disunting oleh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Pr="00E9790B" w:rsidRDefault="003B2F3C"/>
    <w:sectPr w:rsidR="004171BF" w:rsidRPr="00E9790B"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F3C" w:rsidRDefault="003B2F3C" w:rsidP="00C666DF">
      <w:pPr>
        <w:spacing w:after="0" w:line="240" w:lineRule="auto"/>
      </w:pPr>
      <w:r>
        <w:separator/>
      </w:r>
    </w:p>
  </w:endnote>
  <w:endnote w:type="continuationSeparator" w:id="0">
    <w:p w:rsidR="003B2F3C" w:rsidRDefault="003B2F3C"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F3C" w:rsidRDefault="003B2F3C" w:rsidP="00C666DF">
      <w:pPr>
        <w:spacing w:after="0" w:line="240" w:lineRule="auto"/>
      </w:pPr>
      <w:r>
        <w:separator/>
      </w:r>
    </w:p>
  </w:footnote>
  <w:footnote w:type="continuationSeparator" w:id="0">
    <w:p w:rsidR="003B2F3C" w:rsidRDefault="003B2F3C"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0529F1"/>
    <w:rsid w:val="00052DD5"/>
    <w:rsid w:val="000550B1"/>
    <w:rsid w:val="000A1944"/>
    <w:rsid w:val="000B2088"/>
    <w:rsid w:val="000C36F8"/>
    <w:rsid w:val="00116E2A"/>
    <w:rsid w:val="00187F5F"/>
    <w:rsid w:val="001B4B3A"/>
    <w:rsid w:val="002224B5"/>
    <w:rsid w:val="00242DF9"/>
    <w:rsid w:val="00252AEE"/>
    <w:rsid w:val="0026278D"/>
    <w:rsid w:val="00282CA8"/>
    <w:rsid w:val="00283EFD"/>
    <w:rsid w:val="002A0748"/>
    <w:rsid w:val="002A0CE7"/>
    <w:rsid w:val="002E1F5F"/>
    <w:rsid w:val="002F3CA4"/>
    <w:rsid w:val="003434A0"/>
    <w:rsid w:val="00351A7E"/>
    <w:rsid w:val="00355CFE"/>
    <w:rsid w:val="0036423B"/>
    <w:rsid w:val="00385E5F"/>
    <w:rsid w:val="003B2F3C"/>
    <w:rsid w:val="003C2F83"/>
    <w:rsid w:val="003F5AC5"/>
    <w:rsid w:val="004173C0"/>
    <w:rsid w:val="00427A19"/>
    <w:rsid w:val="00436F15"/>
    <w:rsid w:val="004853C1"/>
    <w:rsid w:val="00497F46"/>
    <w:rsid w:val="004A0FE9"/>
    <w:rsid w:val="004A72B7"/>
    <w:rsid w:val="004E5708"/>
    <w:rsid w:val="004F4B53"/>
    <w:rsid w:val="005046B6"/>
    <w:rsid w:val="00517B2F"/>
    <w:rsid w:val="00536BC9"/>
    <w:rsid w:val="00573F7E"/>
    <w:rsid w:val="005E5332"/>
    <w:rsid w:val="00631C7D"/>
    <w:rsid w:val="00643B88"/>
    <w:rsid w:val="006561F9"/>
    <w:rsid w:val="00685492"/>
    <w:rsid w:val="00687BC1"/>
    <w:rsid w:val="006A592B"/>
    <w:rsid w:val="00726733"/>
    <w:rsid w:val="0076410D"/>
    <w:rsid w:val="00771B18"/>
    <w:rsid w:val="00775111"/>
    <w:rsid w:val="0079332C"/>
    <w:rsid w:val="00797E14"/>
    <w:rsid w:val="007E0563"/>
    <w:rsid w:val="008173D9"/>
    <w:rsid w:val="00857C59"/>
    <w:rsid w:val="00884417"/>
    <w:rsid w:val="00897A1E"/>
    <w:rsid w:val="008D1E4B"/>
    <w:rsid w:val="0091506D"/>
    <w:rsid w:val="009173A2"/>
    <w:rsid w:val="00927A22"/>
    <w:rsid w:val="00935F05"/>
    <w:rsid w:val="00953A44"/>
    <w:rsid w:val="009A3F9F"/>
    <w:rsid w:val="009D46D2"/>
    <w:rsid w:val="009F3E51"/>
    <w:rsid w:val="009F5044"/>
    <w:rsid w:val="00A2513D"/>
    <w:rsid w:val="00A85CEE"/>
    <w:rsid w:val="00AB11DF"/>
    <w:rsid w:val="00AC7BA4"/>
    <w:rsid w:val="00B2673A"/>
    <w:rsid w:val="00B710A5"/>
    <w:rsid w:val="00BC112B"/>
    <w:rsid w:val="00BC75E4"/>
    <w:rsid w:val="00BD190B"/>
    <w:rsid w:val="00C4677F"/>
    <w:rsid w:val="00C666DF"/>
    <w:rsid w:val="00C758FA"/>
    <w:rsid w:val="00C9791E"/>
    <w:rsid w:val="00CC6B99"/>
    <w:rsid w:val="00D27C25"/>
    <w:rsid w:val="00D31C58"/>
    <w:rsid w:val="00DC0599"/>
    <w:rsid w:val="00E22B46"/>
    <w:rsid w:val="00E52AD9"/>
    <w:rsid w:val="00E63989"/>
    <w:rsid w:val="00E76FE5"/>
    <w:rsid w:val="00E8494C"/>
    <w:rsid w:val="00E90EF7"/>
    <w:rsid w:val="00E9790B"/>
    <w:rsid w:val="00EC0D1E"/>
    <w:rsid w:val="00ED34F1"/>
    <w:rsid w:val="00EF6EC0"/>
    <w:rsid w:val="00F0180B"/>
    <w:rsid w:val="00F03686"/>
    <w:rsid w:val="00F85817"/>
    <w:rsid w:val="00FA64D6"/>
    <w:rsid w:val="00FB71FE"/>
    <w:rsid w:val="00FC25E2"/>
    <w:rsid w:val="00FC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ssjw@nus.edu.s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andfonline.com/eprint/CYINCSd6zPqA2yzQ3y92/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5AB6-A3BC-4149-81BE-5047529F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2</cp:revision>
  <dcterms:created xsi:type="dcterms:W3CDTF">2016-03-20T01:28:00Z</dcterms:created>
  <dcterms:modified xsi:type="dcterms:W3CDTF">2016-03-20T01:28:00Z</dcterms:modified>
</cp:coreProperties>
</file>