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6B5F" w14:textId="78BA3D36" w:rsidR="008E08C1" w:rsidRDefault="005240D5" w:rsidP="00050C23">
      <w:pPr>
        <w:spacing w:after="0" w:line="240" w:lineRule="auto"/>
        <w:contextualSpacing/>
        <w:jc w:val="center"/>
        <w:rPr>
          <w:rFonts w:ascii="Times New Roman" w:hAnsi="Times New Roman" w:cs="Times New Roman"/>
          <w:b/>
          <w:bCs/>
          <w:noProof w:val="0"/>
          <w:sz w:val="28"/>
          <w:szCs w:val="28"/>
        </w:rPr>
      </w:pPr>
      <w:proofErr w:type="spellStart"/>
      <w:r w:rsidRPr="005240D5">
        <w:rPr>
          <w:rFonts w:ascii="Times New Roman" w:hAnsi="Times New Roman" w:cs="Times New Roman"/>
          <w:b/>
          <w:bCs/>
          <w:noProof w:val="0"/>
          <w:sz w:val="28"/>
          <w:szCs w:val="28"/>
        </w:rPr>
        <w:t>Analyzing</w:t>
      </w:r>
      <w:proofErr w:type="spellEnd"/>
      <w:r w:rsidRPr="005240D5">
        <w:rPr>
          <w:rFonts w:ascii="Times New Roman" w:hAnsi="Times New Roman" w:cs="Times New Roman"/>
          <w:b/>
          <w:bCs/>
          <w:noProof w:val="0"/>
          <w:sz w:val="28"/>
          <w:szCs w:val="28"/>
        </w:rPr>
        <w:t xml:space="preserve"> </w:t>
      </w:r>
      <w:proofErr w:type="spellStart"/>
      <w:r w:rsidRPr="005240D5">
        <w:rPr>
          <w:rFonts w:ascii="Times New Roman" w:hAnsi="Times New Roman" w:cs="Times New Roman"/>
          <w:b/>
          <w:bCs/>
          <w:noProof w:val="0"/>
          <w:sz w:val="28"/>
          <w:szCs w:val="28"/>
        </w:rPr>
        <w:t>Social</w:t>
      </w:r>
      <w:proofErr w:type="spellEnd"/>
      <w:r w:rsidRPr="005240D5">
        <w:rPr>
          <w:rFonts w:ascii="Times New Roman" w:hAnsi="Times New Roman" w:cs="Times New Roman"/>
          <w:b/>
          <w:bCs/>
          <w:noProof w:val="0"/>
          <w:sz w:val="28"/>
          <w:szCs w:val="28"/>
        </w:rPr>
        <w:t xml:space="preserve"> </w:t>
      </w:r>
      <w:proofErr w:type="spellStart"/>
      <w:r w:rsidRPr="005240D5">
        <w:rPr>
          <w:rFonts w:ascii="Times New Roman" w:hAnsi="Times New Roman" w:cs="Times New Roman"/>
          <w:b/>
          <w:bCs/>
          <w:noProof w:val="0"/>
          <w:sz w:val="28"/>
          <w:szCs w:val="28"/>
        </w:rPr>
        <w:t>Viability</w:t>
      </w:r>
      <w:proofErr w:type="spellEnd"/>
      <w:r w:rsidRPr="005240D5">
        <w:rPr>
          <w:rFonts w:ascii="Times New Roman" w:hAnsi="Times New Roman" w:cs="Times New Roman"/>
          <w:b/>
          <w:bCs/>
          <w:noProof w:val="0"/>
          <w:sz w:val="28"/>
          <w:szCs w:val="28"/>
        </w:rPr>
        <w:t xml:space="preserve"> </w:t>
      </w:r>
      <w:proofErr w:type="spellStart"/>
      <w:r>
        <w:rPr>
          <w:rFonts w:ascii="Times New Roman" w:hAnsi="Times New Roman" w:cs="Times New Roman"/>
          <w:b/>
          <w:bCs/>
          <w:noProof w:val="0"/>
          <w:sz w:val="28"/>
          <w:szCs w:val="28"/>
        </w:rPr>
        <w:t>o</w:t>
      </w:r>
      <w:r w:rsidRPr="005240D5">
        <w:rPr>
          <w:rFonts w:ascii="Times New Roman" w:hAnsi="Times New Roman" w:cs="Times New Roman"/>
          <w:b/>
          <w:bCs/>
          <w:noProof w:val="0"/>
          <w:sz w:val="28"/>
          <w:szCs w:val="28"/>
        </w:rPr>
        <w:t>f</w:t>
      </w:r>
      <w:proofErr w:type="spellEnd"/>
      <w:r w:rsidRPr="005240D5">
        <w:rPr>
          <w:rFonts w:ascii="Times New Roman" w:hAnsi="Times New Roman" w:cs="Times New Roman"/>
          <w:b/>
          <w:bCs/>
          <w:noProof w:val="0"/>
          <w:sz w:val="28"/>
          <w:szCs w:val="28"/>
        </w:rPr>
        <w:t xml:space="preserve"> </w:t>
      </w:r>
      <w:proofErr w:type="spellStart"/>
      <w:r>
        <w:rPr>
          <w:rFonts w:ascii="Times New Roman" w:hAnsi="Times New Roman" w:cs="Times New Roman"/>
          <w:b/>
          <w:bCs/>
          <w:noProof w:val="0"/>
          <w:sz w:val="28"/>
          <w:szCs w:val="28"/>
        </w:rPr>
        <w:t>t</w:t>
      </w:r>
      <w:r w:rsidRPr="005240D5">
        <w:rPr>
          <w:rFonts w:ascii="Times New Roman" w:hAnsi="Times New Roman" w:cs="Times New Roman"/>
          <w:b/>
          <w:bCs/>
          <w:noProof w:val="0"/>
          <w:sz w:val="28"/>
          <w:szCs w:val="28"/>
        </w:rPr>
        <w:t>he</w:t>
      </w:r>
      <w:proofErr w:type="spellEnd"/>
      <w:r w:rsidRPr="005240D5">
        <w:rPr>
          <w:rFonts w:ascii="Times New Roman" w:hAnsi="Times New Roman" w:cs="Times New Roman"/>
          <w:b/>
          <w:bCs/>
          <w:noProof w:val="0"/>
          <w:sz w:val="28"/>
          <w:szCs w:val="28"/>
        </w:rPr>
        <w:t xml:space="preserve"> </w:t>
      </w:r>
      <w:proofErr w:type="spellStart"/>
      <w:r w:rsidRPr="005240D5">
        <w:rPr>
          <w:rFonts w:ascii="Times New Roman" w:hAnsi="Times New Roman" w:cs="Times New Roman"/>
          <w:b/>
          <w:bCs/>
          <w:noProof w:val="0"/>
          <w:sz w:val="28"/>
          <w:szCs w:val="28"/>
        </w:rPr>
        <w:t>Commercial</w:t>
      </w:r>
      <w:proofErr w:type="spellEnd"/>
      <w:r w:rsidRPr="005240D5">
        <w:rPr>
          <w:rFonts w:ascii="Times New Roman" w:hAnsi="Times New Roman" w:cs="Times New Roman"/>
          <w:b/>
          <w:bCs/>
          <w:noProof w:val="0"/>
          <w:sz w:val="28"/>
          <w:szCs w:val="28"/>
        </w:rPr>
        <w:t xml:space="preserve"> </w:t>
      </w:r>
      <w:proofErr w:type="spellStart"/>
      <w:r w:rsidRPr="005240D5">
        <w:rPr>
          <w:rFonts w:ascii="Times New Roman" w:hAnsi="Times New Roman" w:cs="Times New Roman"/>
          <w:b/>
          <w:bCs/>
          <w:noProof w:val="0"/>
          <w:sz w:val="28"/>
          <w:szCs w:val="28"/>
        </w:rPr>
        <w:t>Real</w:t>
      </w:r>
      <w:proofErr w:type="spellEnd"/>
      <w:r w:rsidRPr="005240D5">
        <w:rPr>
          <w:rFonts w:ascii="Times New Roman" w:hAnsi="Times New Roman" w:cs="Times New Roman"/>
          <w:b/>
          <w:bCs/>
          <w:noProof w:val="0"/>
          <w:sz w:val="28"/>
          <w:szCs w:val="28"/>
        </w:rPr>
        <w:t xml:space="preserve"> </w:t>
      </w:r>
      <w:proofErr w:type="spellStart"/>
      <w:r w:rsidRPr="005240D5">
        <w:rPr>
          <w:rFonts w:ascii="Times New Roman" w:hAnsi="Times New Roman" w:cs="Times New Roman"/>
          <w:b/>
          <w:bCs/>
          <w:noProof w:val="0"/>
          <w:sz w:val="28"/>
          <w:szCs w:val="28"/>
        </w:rPr>
        <w:t>Estate</w:t>
      </w:r>
      <w:proofErr w:type="spellEnd"/>
      <w:r w:rsidRPr="005240D5">
        <w:rPr>
          <w:rFonts w:ascii="Times New Roman" w:hAnsi="Times New Roman" w:cs="Times New Roman"/>
          <w:b/>
          <w:bCs/>
          <w:noProof w:val="0"/>
          <w:sz w:val="28"/>
          <w:szCs w:val="28"/>
        </w:rPr>
        <w:t xml:space="preserve"> </w:t>
      </w:r>
      <w:proofErr w:type="spellStart"/>
      <w:r w:rsidRPr="005240D5">
        <w:rPr>
          <w:rFonts w:ascii="Times New Roman" w:hAnsi="Times New Roman" w:cs="Times New Roman"/>
          <w:b/>
          <w:bCs/>
          <w:noProof w:val="0"/>
          <w:sz w:val="28"/>
          <w:szCs w:val="28"/>
        </w:rPr>
        <w:t>Waqf</w:t>
      </w:r>
      <w:proofErr w:type="spellEnd"/>
      <w:r w:rsidRPr="005240D5">
        <w:rPr>
          <w:rFonts w:ascii="Times New Roman" w:hAnsi="Times New Roman" w:cs="Times New Roman"/>
          <w:b/>
          <w:bCs/>
          <w:noProof w:val="0"/>
          <w:sz w:val="28"/>
          <w:szCs w:val="28"/>
        </w:rPr>
        <w:t xml:space="preserve"> </w:t>
      </w:r>
      <w:r>
        <w:rPr>
          <w:rFonts w:ascii="Times New Roman" w:hAnsi="Times New Roman" w:cs="Times New Roman"/>
          <w:b/>
          <w:bCs/>
          <w:noProof w:val="0"/>
          <w:sz w:val="28"/>
          <w:szCs w:val="28"/>
        </w:rPr>
        <w:t>i</w:t>
      </w:r>
      <w:r w:rsidRPr="005240D5">
        <w:rPr>
          <w:rFonts w:ascii="Times New Roman" w:hAnsi="Times New Roman" w:cs="Times New Roman"/>
          <w:b/>
          <w:bCs/>
          <w:noProof w:val="0"/>
          <w:sz w:val="28"/>
          <w:szCs w:val="28"/>
        </w:rPr>
        <w:t>n Malaysia</w:t>
      </w:r>
    </w:p>
    <w:p w14:paraId="18EF85C2" w14:textId="77777777" w:rsidR="00050C23" w:rsidRPr="001B49B0" w:rsidRDefault="00050C23" w:rsidP="00050C23">
      <w:pPr>
        <w:spacing w:after="0" w:line="240" w:lineRule="auto"/>
        <w:contextualSpacing/>
        <w:jc w:val="center"/>
        <w:rPr>
          <w:rFonts w:ascii="Times New Roman" w:hAnsi="Times New Roman" w:cs="Times New Roman"/>
          <w:noProof w:val="0"/>
          <w:sz w:val="24"/>
          <w:szCs w:val="24"/>
        </w:rPr>
      </w:pPr>
    </w:p>
    <w:p w14:paraId="1D0A25DE" w14:textId="42F0FF2F" w:rsidR="001B49B0" w:rsidRPr="001B49B0" w:rsidRDefault="001B49B0" w:rsidP="00050C23">
      <w:pPr>
        <w:spacing w:after="0" w:line="240" w:lineRule="auto"/>
        <w:contextualSpacing/>
        <w:jc w:val="center"/>
        <w:rPr>
          <w:rFonts w:ascii="Times New Roman" w:hAnsi="Times New Roman" w:cs="Times New Roman"/>
          <w:noProof w:val="0"/>
          <w:sz w:val="24"/>
          <w:szCs w:val="24"/>
        </w:rPr>
      </w:pPr>
      <w:r w:rsidRPr="001B49B0">
        <w:rPr>
          <w:rFonts w:ascii="Times New Roman" w:hAnsi="Times New Roman" w:cs="Times New Roman"/>
          <w:noProof w:val="0"/>
          <w:sz w:val="24"/>
          <w:szCs w:val="24"/>
        </w:rPr>
        <w:t>(</w:t>
      </w:r>
      <w:r w:rsidRPr="001B49B0">
        <w:rPr>
          <w:rFonts w:ascii="Times New Roman" w:hAnsi="Times New Roman" w:cs="Times New Roman"/>
          <w:noProof w:val="0"/>
          <w:sz w:val="24"/>
          <w:szCs w:val="24"/>
        </w:rPr>
        <w:t>Analisis Ke</w:t>
      </w:r>
      <w:r w:rsidR="00414029">
        <w:rPr>
          <w:rFonts w:ascii="Times New Roman" w:hAnsi="Times New Roman" w:cs="Times New Roman"/>
          <w:noProof w:val="0"/>
          <w:sz w:val="24"/>
          <w:szCs w:val="24"/>
        </w:rPr>
        <w:t xml:space="preserve">sediaan </w:t>
      </w:r>
      <w:r w:rsidRPr="001B49B0">
        <w:rPr>
          <w:rFonts w:ascii="Times New Roman" w:hAnsi="Times New Roman" w:cs="Times New Roman"/>
          <w:noProof w:val="0"/>
          <w:sz w:val="24"/>
          <w:szCs w:val="24"/>
        </w:rPr>
        <w:t xml:space="preserve">Sosial bagi </w:t>
      </w:r>
      <w:r>
        <w:rPr>
          <w:rFonts w:ascii="Times New Roman" w:hAnsi="Times New Roman" w:cs="Times New Roman"/>
          <w:noProof w:val="0"/>
          <w:sz w:val="24"/>
          <w:szCs w:val="24"/>
        </w:rPr>
        <w:t>W</w:t>
      </w:r>
      <w:r w:rsidRPr="001B49B0">
        <w:rPr>
          <w:rFonts w:ascii="Times New Roman" w:hAnsi="Times New Roman" w:cs="Times New Roman"/>
          <w:noProof w:val="0"/>
          <w:sz w:val="24"/>
          <w:szCs w:val="24"/>
        </w:rPr>
        <w:t xml:space="preserve">akaf </w:t>
      </w:r>
      <w:r>
        <w:rPr>
          <w:rFonts w:ascii="Times New Roman" w:hAnsi="Times New Roman" w:cs="Times New Roman"/>
          <w:noProof w:val="0"/>
          <w:sz w:val="24"/>
          <w:szCs w:val="24"/>
        </w:rPr>
        <w:t>H</w:t>
      </w:r>
      <w:r w:rsidRPr="001B49B0">
        <w:rPr>
          <w:rFonts w:ascii="Times New Roman" w:hAnsi="Times New Roman" w:cs="Times New Roman"/>
          <w:noProof w:val="0"/>
          <w:sz w:val="24"/>
          <w:szCs w:val="24"/>
        </w:rPr>
        <w:t xml:space="preserve">artanah </w:t>
      </w:r>
      <w:r>
        <w:rPr>
          <w:rFonts w:ascii="Times New Roman" w:hAnsi="Times New Roman" w:cs="Times New Roman"/>
          <w:noProof w:val="0"/>
          <w:sz w:val="24"/>
          <w:szCs w:val="24"/>
        </w:rPr>
        <w:t>K</w:t>
      </w:r>
      <w:r w:rsidRPr="001B49B0">
        <w:rPr>
          <w:rFonts w:ascii="Times New Roman" w:hAnsi="Times New Roman" w:cs="Times New Roman"/>
          <w:noProof w:val="0"/>
          <w:sz w:val="24"/>
          <w:szCs w:val="24"/>
        </w:rPr>
        <w:t>omersial di Malaysia</w:t>
      </w:r>
      <w:r w:rsidRPr="001B49B0">
        <w:rPr>
          <w:rFonts w:ascii="Times New Roman" w:hAnsi="Times New Roman" w:cs="Times New Roman"/>
          <w:noProof w:val="0"/>
          <w:sz w:val="24"/>
          <w:szCs w:val="24"/>
        </w:rPr>
        <w:t>)</w:t>
      </w:r>
    </w:p>
    <w:p w14:paraId="5150131B" w14:textId="77777777" w:rsidR="00050C23" w:rsidRPr="005240D5" w:rsidRDefault="00050C23" w:rsidP="00050C23">
      <w:pPr>
        <w:spacing w:after="0" w:line="240" w:lineRule="auto"/>
        <w:contextualSpacing/>
        <w:jc w:val="center"/>
        <w:rPr>
          <w:rFonts w:ascii="Times New Roman" w:hAnsi="Times New Roman" w:cs="Times New Roman"/>
          <w:b/>
          <w:bCs/>
          <w:noProof w:val="0"/>
          <w:sz w:val="28"/>
          <w:szCs w:val="28"/>
        </w:rPr>
      </w:pPr>
    </w:p>
    <w:p w14:paraId="2B49E56A" w14:textId="103DA251" w:rsidR="001873EE" w:rsidRDefault="001873EE" w:rsidP="001873EE">
      <w:pPr>
        <w:spacing w:after="0" w:line="240" w:lineRule="auto"/>
        <w:jc w:val="center"/>
        <w:rPr>
          <w:rFonts w:ascii="Times New Roman" w:hAnsi="Times New Roman" w:cs="Times New Roman"/>
          <w:sz w:val="24"/>
        </w:rPr>
      </w:pPr>
      <w:r w:rsidRPr="00630A7B">
        <w:rPr>
          <w:rFonts w:ascii="Times New Roman" w:hAnsi="Times New Roman" w:cs="Times New Roman"/>
          <w:sz w:val="24"/>
        </w:rPr>
        <w:t>Mohd Izzat Amsyar Mohd Arif</w:t>
      </w:r>
      <w:r>
        <w:rPr>
          <w:rFonts w:ascii="Times New Roman" w:hAnsi="Times New Roman" w:cs="Times New Roman"/>
          <w:sz w:val="24"/>
        </w:rPr>
        <w:t xml:space="preserve">, </w:t>
      </w:r>
      <w:r w:rsidRPr="00630A7B">
        <w:rPr>
          <w:rFonts w:ascii="Times New Roman" w:hAnsi="Times New Roman" w:cs="Times New Roman"/>
          <w:sz w:val="24"/>
        </w:rPr>
        <w:t>Ruzian Markom</w:t>
      </w:r>
      <w:r>
        <w:rPr>
          <w:rFonts w:ascii="Times New Roman" w:hAnsi="Times New Roman" w:cs="Times New Roman"/>
          <w:sz w:val="24"/>
        </w:rPr>
        <w:t xml:space="preserve">, </w:t>
      </w:r>
      <w:r w:rsidRPr="00630A7B">
        <w:rPr>
          <w:rFonts w:ascii="Times New Roman" w:hAnsi="Times New Roman" w:cs="Times New Roman"/>
          <w:sz w:val="24"/>
        </w:rPr>
        <w:t>Faezy Adenan</w:t>
      </w:r>
      <w:r>
        <w:rPr>
          <w:rFonts w:ascii="Times New Roman" w:hAnsi="Times New Roman" w:cs="Times New Roman"/>
          <w:sz w:val="24"/>
        </w:rPr>
        <w:t xml:space="preserve">, </w:t>
      </w:r>
      <w:r w:rsidRPr="005E4CA0">
        <w:rPr>
          <w:rFonts w:ascii="Times New Roman" w:hAnsi="Times New Roman" w:cs="Times New Roman"/>
          <w:sz w:val="24"/>
        </w:rPr>
        <w:t>Muhammad Syahrul Deen Ahmad Rosli</w:t>
      </w:r>
      <w:r>
        <w:rPr>
          <w:rFonts w:ascii="Times New Roman" w:hAnsi="Times New Roman" w:cs="Times New Roman"/>
          <w:sz w:val="24"/>
        </w:rPr>
        <w:t xml:space="preserve"> &amp; </w:t>
      </w:r>
      <w:r w:rsidRPr="00361212">
        <w:rPr>
          <w:rFonts w:ascii="Times New Roman" w:hAnsi="Times New Roman" w:cs="Times New Roman"/>
          <w:sz w:val="24"/>
        </w:rPr>
        <w:t>Suhaizad Saifuddin</w:t>
      </w:r>
    </w:p>
    <w:p w14:paraId="7B63F2CE" w14:textId="77777777" w:rsidR="005F4DE6" w:rsidRPr="005240D5" w:rsidRDefault="005F4DE6" w:rsidP="005240D5">
      <w:pPr>
        <w:spacing w:line="360" w:lineRule="auto"/>
        <w:contextualSpacing/>
        <w:rPr>
          <w:rFonts w:ascii="Times New Roman" w:hAnsi="Times New Roman" w:cs="Times New Roman"/>
          <w:noProof w:val="0"/>
          <w:sz w:val="24"/>
          <w:szCs w:val="24"/>
        </w:rPr>
      </w:pPr>
    </w:p>
    <w:p w14:paraId="33A4A43F" w14:textId="7740D9F5" w:rsidR="00745D83" w:rsidRDefault="00745D83" w:rsidP="005240D5">
      <w:pPr>
        <w:spacing w:line="360" w:lineRule="auto"/>
        <w:contextualSpacing/>
        <w:jc w:val="center"/>
        <w:rPr>
          <w:rFonts w:ascii="Times New Roman" w:hAnsi="Times New Roman" w:cs="Times New Roman"/>
          <w:noProof w:val="0"/>
        </w:rPr>
      </w:pPr>
      <w:r w:rsidRPr="0055119E">
        <w:rPr>
          <w:rFonts w:ascii="Times New Roman" w:hAnsi="Times New Roman" w:cs="Times New Roman"/>
          <w:noProof w:val="0"/>
        </w:rPr>
        <w:t>ABSTRACT</w:t>
      </w:r>
    </w:p>
    <w:p w14:paraId="5C1CFB1C" w14:textId="77777777" w:rsidR="00C638BE" w:rsidRPr="0055119E" w:rsidRDefault="00C638BE" w:rsidP="005240D5">
      <w:pPr>
        <w:spacing w:line="360" w:lineRule="auto"/>
        <w:contextualSpacing/>
        <w:jc w:val="center"/>
        <w:rPr>
          <w:rFonts w:ascii="Times New Roman" w:hAnsi="Times New Roman" w:cs="Times New Roman"/>
          <w:noProof w:val="0"/>
        </w:rPr>
      </w:pPr>
    </w:p>
    <w:p w14:paraId="760CB3A3" w14:textId="49B2C4EE" w:rsidR="006A132D" w:rsidRPr="00B12CE6" w:rsidRDefault="00C02C54" w:rsidP="005240D5">
      <w:pPr>
        <w:spacing w:line="360" w:lineRule="auto"/>
        <w:ind w:right="521"/>
        <w:contextualSpacing/>
        <w:jc w:val="both"/>
        <w:rPr>
          <w:rFonts w:ascii="Times New Roman" w:hAnsi="Times New Roman" w:cs="Times New Roman"/>
          <w:i/>
          <w:iCs/>
          <w:noProof w:val="0"/>
          <w:sz w:val="20"/>
          <w:szCs w:val="20"/>
        </w:rPr>
      </w:pPr>
      <w:proofErr w:type="spellStart"/>
      <w:r w:rsidRPr="00B12CE6">
        <w:rPr>
          <w:rFonts w:ascii="Times New Roman" w:hAnsi="Times New Roman" w:cs="Times New Roman"/>
          <w:i/>
          <w:iCs/>
          <w:noProof w:val="0"/>
          <w:sz w:val="20"/>
          <w:szCs w:val="20"/>
        </w:rPr>
        <w:t>The</w:t>
      </w:r>
      <w:proofErr w:type="spellEnd"/>
      <w:r w:rsidRPr="00B12CE6">
        <w:rPr>
          <w:rFonts w:ascii="Times New Roman" w:hAnsi="Times New Roman" w:cs="Times New Roman"/>
          <w:i/>
          <w:iCs/>
          <w:noProof w:val="0"/>
          <w:sz w:val="20"/>
          <w:szCs w:val="20"/>
        </w:rPr>
        <w:t xml:space="preserve"> </w:t>
      </w:r>
      <w:proofErr w:type="spellStart"/>
      <w:r w:rsidRPr="00B12CE6">
        <w:rPr>
          <w:rFonts w:ascii="Times New Roman" w:hAnsi="Times New Roman" w:cs="Times New Roman"/>
          <w:i/>
          <w:iCs/>
          <w:noProof w:val="0"/>
          <w:sz w:val="20"/>
          <w:szCs w:val="20"/>
        </w:rPr>
        <w:t>housing</w:t>
      </w:r>
      <w:proofErr w:type="spellEnd"/>
      <w:r w:rsidRPr="00B12CE6">
        <w:rPr>
          <w:rFonts w:ascii="Times New Roman" w:hAnsi="Times New Roman" w:cs="Times New Roman"/>
          <w:i/>
          <w:iCs/>
          <w:noProof w:val="0"/>
          <w:sz w:val="20"/>
          <w:szCs w:val="20"/>
        </w:rPr>
        <w:t xml:space="preserve"> </w:t>
      </w:r>
      <w:proofErr w:type="spellStart"/>
      <w:r w:rsidRPr="00B12CE6">
        <w:rPr>
          <w:rFonts w:ascii="Times New Roman" w:hAnsi="Times New Roman" w:cs="Times New Roman"/>
          <w:i/>
          <w:iCs/>
          <w:noProof w:val="0"/>
          <w:sz w:val="20"/>
          <w:szCs w:val="20"/>
        </w:rPr>
        <w:t>crisis</w:t>
      </w:r>
      <w:proofErr w:type="spellEnd"/>
      <w:r w:rsidRPr="00B12CE6">
        <w:rPr>
          <w:rFonts w:ascii="Times New Roman" w:hAnsi="Times New Roman" w:cs="Times New Roman"/>
          <w:i/>
          <w:iCs/>
          <w:noProof w:val="0"/>
          <w:sz w:val="20"/>
          <w:szCs w:val="20"/>
        </w:rPr>
        <w:t xml:space="preserve"> in Malaysia, characterized by prohibitive costs and supply-demand disequilibrium, necessitates innovative and context-specific solutions. Commercial real estate waqf, an Islamic endowment model, has emerged as a potentially efficacious remedy to address the country's intractable housing challenges. This study investigates factors influencing </w:t>
      </w:r>
      <w:r w:rsidR="007C4A83" w:rsidRPr="00B12CE6">
        <w:rPr>
          <w:rFonts w:ascii="Times New Roman" w:hAnsi="Times New Roman" w:cs="Times New Roman"/>
          <w:i/>
          <w:iCs/>
          <w:noProof w:val="0"/>
          <w:sz w:val="20"/>
          <w:szCs w:val="20"/>
        </w:rPr>
        <w:t xml:space="preserve">the </w:t>
      </w:r>
      <w:r w:rsidRPr="00B12CE6">
        <w:rPr>
          <w:rFonts w:ascii="Times New Roman" w:hAnsi="Times New Roman" w:cs="Times New Roman"/>
          <w:i/>
          <w:iCs/>
          <w:noProof w:val="0"/>
          <w:sz w:val="20"/>
          <w:szCs w:val="20"/>
        </w:rPr>
        <w:t xml:space="preserve">societal embrace of commercial property waqf in Selangor, using robust quantitative techniques. A sufficiently powered sample size was determined through statistical power analyses to enhance generalizability. Using </w:t>
      </w:r>
      <w:r w:rsidR="007C4A83" w:rsidRPr="00B12CE6">
        <w:rPr>
          <w:rFonts w:ascii="Times New Roman" w:hAnsi="Times New Roman" w:cs="Times New Roman"/>
          <w:i/>
          <w:iCs/>
          <w:noProof w:val="0"/>
          <w:sz w:val="20"/>
          <w:szCs w:val="20"/>
        </w:rPr>
        <w:t>PLS-SEM</w:t>
      </w:r>
      <w:r w:rsidRPr="00B12CE6">
        <w:rPr>
          <w:rFonts w:ascii="Times New Roman" w:hAnsi="Times New Roman" w:cs="Times New Roman"/>
          <w:i/>
          <w:iCs/>
          <w:noProof w:val="0"/>
          <w:sz w:val="20"/>
          <w:szCs w:val="20"/>
        </w:rPr>
        <w:t xml:space="preserve"> modeling, the impact of four determinants was assessed: community understanding and acceptance; religious beliefs and cultural norms; trust in management; and socioeconomic status. Our findings reveal community understanding and religious/cultural factors significantly increase receptiveness to commercial waqf, aligning with research on attitudinal drivers. Effective governance through managerial trust and transparency also plays a pivotal role in engendering community confidence. However, counterintuitively, socioeconomic status does not significantly influence waqf embrace, suggesting potential mainstream appeal across diverse strata. While valuable, this study acknowledges contextual limitations as findings are confined to Selangor. Further nationwide research could enrich generalizability. Overall, this timely investigation underscores </w:t>
      </w:r>
      <w:r w:rsidR="007C4A83" w:rsidRPr="00B12CE6">
        <w:rPr>
          <w:rFonts w:ascii="Times New Roman" w:hAnsi="Times New Roman" w:cs="Times New Roman"/>
          <w:i/>
          <w:iCs/>
          <w:noProof w:val="0"/>
          <w:sz w:val="20"/>
          <w:szCs w:val="20"/>
        </w:rPr>
        <w:t>W</w:t>
      </w:r>
      <w:r w:rsidRPr="00B12CE6">
        <w:rPr>
          <w:rFonts w:ascii="Times New Roman" w:hAnsi="Times New Roman" w:cs="Times New Roman"/>
          <w:i/>
          <w:iCs/>
          <w:noProof w:val="0"/>
          <w:sz w:val="20"/>
          <w:szCs w:val="20"/>
        </w:rPr>
        <w:t>aqf's promise in addressing housing needs, while emphasizing sociocultural and governance elements essential for successful implementation. Mainstreaming commercial waqf necessitates nuanced, community-centric solutions addressing contextual specificities.</w:t>
      </w:r>
    </w:p>
    <w:p w14:paraId="4C2AC60B" w14:textId="77777777" w:rsidR="00DA5135" w:rsidRDefault="00DA5135" w:rsidP="005240D5">
      <w:pPr>
        <w:spacing w:line="360" w:lineRule="auto"/>
        <w:ind w:right="521"/>
        <w:contextualSpacing/>
        <w:jc w:val="both"/>
        <w:rPr>
          <w:rFonts w:ascii="Times New Roman" w:hAnsi="Times New Roman" w:cs="Times New Roman"/>
          <w:i/>
          <w:iCs/>
          <w:noProof w:val="0"/>
          <w:sz w:val="20"/>
          <w:szCs w:val="20"/>
        </w:rPr>
      </w:pPr>
    </w:p>
    <w:p w14:paraId="22312823" w14:textId="5AE7E292" w:rsidR="006A132D" w:rsidRPr="00186DFF" w:rsidRDefault="006A132D" w:rsidP="005240D5">
      <w:pPr>
        <w:spacing w:line="360" w:lineRule="auto"/>
        <w:ind w:right="521"/>
        <w:contextualSpacing/>
        <w:jc w:val="both"/>
        <w:rPr>
          <w:rFonts w:ascii="Times New Roman" w:hAnsi="Times New Roman" w:cs="Times New Roman"/>
          <w:i/>
          <w:iCs/>
          <w:noProof w:val="0"/>
          <w:sz w:val="20"/>
          <w:szCs w:val="20"/>
        </w:rPr>
      </w:pPr>
      <w:proofErr w:type="spellStart"/>
      <w:r w:rsidRPr="00186DFF">
        <w:rPr>
          <w:rFonts w:ascii="Times New Roman" w:hAnsi="Times New Roman" w:cs="Times New Roman"/>
          <w:i/>
          <w:iCs/>
          <w:noProof w:val="0"/>
          <w:sz w:val="20"/>
          <w:szCs w:val="20"/>
        </w:rPr>
        <w:t>Keywords</w:t>
      </w:r>
      <w:proofErr w:type="spellEnd"/>
      <w:r w:rsidRPr="00186DFF">
        <w:rPr>
          <w:rFonts w:ascii="Times New Roman" w:hAnsi="Times New Roman" w:cs="Times New Roman"/>
          <w:i/>
          <w:iCs/>
          <w:noProof w:val="0"/>
          <w:sz w:val="20"/>
          <w:szCs w:val="20"/>
        </w:rPr>
        <w:t xml:space="preserve">: </w:t>
      </w:r>
      <w:proofErr w:type="spellStart"/>
      <w:r w:rsidRPr="00186DFF">
        <w:rPr>
          <w:rFonts w:ascii="Times New Roman" w:hAnsi="Times New Roman" w:cs="Times New Roman"/>
          <w:i/>
          <w:iCs/>
          <w:noProof w:val="0"/>
          <w:sz w:val="20"/>
          <w:szCs w:val="20"/>
        </w:rPr>
        <w:t>Commercial</w:t>
      </w:r>
      <w:proofErr w:type="spellEnd"/>
      <w:r w:rsidRPr="00186DFF">
        <w:rPr>
          <w:rFonts w:ascii="Times New Roman" w:hAnsi="Times New Roman" w:cs="Times New Roman"/>
          <w:i/>
          <w:iCs/>
          <w:noProof w:val="0"/>
          <w:sz w:val="20"/>
          <w:szCs w:val="20"/>
        </w:rPr>
        <w:t xml:space="preserve"> </w:t>
      </w:r>
      <w:proofErr w:type="spellStart"/>
      <w:r w:rsidRPr="00186DFF">
        <w:rPr>
          <w:rFonts w:ascii="Times New Roman" w:hAnsi="Times New Roman" w:cs="Times New Roman"/>
          <w:i/>
          <w:iCs/>
          <w:noProof w:val="0"/>
          <w:sz w:val="20"/>
          <w:szCs w:val="20"/>
        </w:rPr>
        <w:t>Waqf</w:t>
      </w:r>
      <w:proofErr w:type="spellEnd"/>
      <w:r w:rsidR="00DA5135">
        <w:rPr>
          <w:rFonts w:ascii="Times New Roman" w:hAnsi="Times New Roman" w:cs="Times New Roman"/>
          <w:i/>
          <w:iCs/>
          <w:noProof w:val="0"/>
          <w:sz w:val="20"/>
          <w:szCs w:val="20"/>
        </w:rPr>
        <w:t>;</w:t>
      </w:r>
      <w:r w:rsidRPr="00186DFF">
        <w:rPr>
          <w:rFonts w:ascii="Times New Roman" w:hAnsi="Times New Roman" w:cs="Times New Roman"/>
          <w:i/>
          <w:iCs/>
          <w:noProof w:val="0"/>
          <w:sz w:val="20"/>
          <w:szCs w:val="20"/>
        </w:rPr>
        <w:t xml:space="preserve"> </w:t>
      </w:r>
      <w:proofErr w:type="spellStart"/>
      <w:r w:rsidRPr="00186DFF">
        <w:rPr>
          <w:rFonts w:ascii="Times New Roman" w:hAnsi="Times New Roman" w:cs="Times New Roman"/>
          <w:i/>
          <w:iCs/>
          <w:noProof w:val="0"/>
          <w:sz w:val="20"/>
          <w:szCs w:val="20"/>
        </w:rPr>
        <w:t>Community</w:t>
      </w:r>
      <w:proofErr w:type="spellEnd"/>
      <w:r w:rsidRPr="00186DFF">
        <w:rPr>
          <w:rFonts w:ascii="Times New Roman" w:hAnsi="Times New Roman" w:cs="Times New Roman"/>
          <w:i/>
          <w:iCs/>
          <w:noProof w:val="0"/>
          <w:sz w:val="20"/>
          <w:szCs w:val="20"/>
        </w:rPr>
        <w:t xml:space="preserve"> </w:t>
      </w:r>
      <w:proofErr w:type="spellStart"/>
      <w:r w:rsidRPr="00186DFF">
        <w:rPr>
          <w:rFonts w:ascii="Times New Roman" w:hAnsi="Times New Roman" w:cs="Times New Roman"/>
          <w:i/>
          <w:iCs/>
          <w:noProof w:val="0"/>
          <w:sz w:val="20"/>
          <w:szCs w:val="20"/>
        </w:rPr>
        <w:t>Acceptance</w:t>
      </w:r>
      <w:proofErr w:type="spellEnd"/>
      <w:r w:rsidR="00DA5135">
        <w:rPr>
          <w:rFonts w:ascii="Times New Roman" w:hAnsi="Times New Roman" w:cs="Times New Roman"/>
          <w:i/>
          <w:iCs/>
          <w:noProof w:val="0"/>
          <w:sz w:val="20"/>
          <w:szCs w:val="20"/>
        </w:rPr>
        <w:t>;</w:t>
      </w:r>
      <w:r w:rsidRPr="00186DFF">
        <w:rPr>
          <w:rFonts w:ascii="Times New Roman" w:hAnsi="Times New Roman" w:cs="Times New Roman"/>
          <w:i/>
          <w:iCs/>
          <w:noProof w:val="0"/>
          <w:sz w:val="20"/>
          <w:szCs w:val="20"/>
        </w:rPr>
        <w:t xml:space="preserve"> </w:t>
      </w:r>
      <w:proofErr w:type="spellStart"/>
      <w:r w:rsidRPr="00186DFF">
        <w:rPr>
          <w:rFonts w:ascii="Times New Roman" w:hAnsi="Times New Roman" w:cs="Times New Roman"/>
          <w:i/>
          <w:iCs/>
          <w:noProof w:val="0"/>
          <w:sz w:val="20"/>
          <w:szCs w:val="20"/>
        </w:rPr>
        <w:t>Housing</w:t>
      </w:r>
      <w:proofErr w:type="spellEnd"/>
      <w:r w:rsidR="00DA5135">
        <w:rPr>
          <w:rFonts w:ascii="Times New Roman" w:hAnsi="Times New Roman" w:cs="Times New Roman"/>
          <w:i/>
          <w:iCs/>
          <w:noProof w:val="0"/>
          <w:sz w:val="20"/>
          <w:szCs w:val="20"/>
        </w:rPr>
        <w:t>;</w:t>
      </w:r>
      <w:r w:rsidRPr="00186DFF">
        <w:rPr>
          <w:rFonts w:ascii="Times New Roman" w:hAnsi="Times New Roman" w:cs="Times New Roman"/>
          <w:i/>
          <w:iCs/>
          <w:noProof w:val="0"/>
          <w:sz w:val="20"/>
          <w:szCs w:val="20"/>
        </w:rPr>
        <w:t xml:space="preserve"> Islamic </w:t>
      </w:r>
      <w:proofErr w:type="spellStart"/>
      <w:r w:rsidRPr="00186DFF">
        <w:rPr>
          <w:rFonts w:ascii="Times New Roman" w:hAnsi="Times New Roman" w:cs="Times New Roman"/>
          <w:i/>
          <w:iCs/>
          <w:noProof w:val="0"/>
          <w:sz w:val="20"/>
          <w:szCs w:val="20"/>
        </w:rPr>
        <w:t>Instruments</w:t>
      </w:r>
      <w:proofErr w:type="spellEnd"/>
      <w:r w:rsidR="00DA5135">
        <w:rPr>
          <w:rFonts w:ascii="Times New Roman" w:hAnsi="Times New Roman" w:cs="Times New Roman"/>
          <w:i/>
          <w:iCs/>
          <w:noProof w:val="0"/>
          <w:sz w:val="20"/>
          <w:szCs w:val="20"/>
        </w:rPr>
        <w:t>;</w:t>
      </w:r>
      <w:r w:rsidRPr="00186DFF">
        <w:rPr>
          <w:rFonts w:ascii="Times New Roman" w:hAnsi="Times New Roman" w:cs="Times New Roman"/>
          <w:i/>
          <w:iCs/>
          <w:noProof w:val="0"/>
          <w:sz w:val="20"/>
          <w:szCs w:val="20"/>
        </w:rPr>
        <w:t xml:space="preserve"> </w:t>
      </w:r>
      <w:proofErr w:type="spellStart"/>
      <w:r w:rsidRPr="00186DFF">
        <w:rPr>
          <w:rFonts w:ascii="Times New Roman" w:hAnsi="Times New Roman" w:cs="Times New Roman"/>
          <w:i/>
          <w:iCs/>
          <w:noProof w:val="0"/>
          <w:sz w:val="20"/>
          <w:szCs w:val="20"/>
        </w:rPr>
        <w:t>Governance</w:t>
      </w:r>
      <w:proofErr w:type="spellEnd"/>
      <w:r w:rsidRPr="00186DFF">
        <w:rPr>
          <w:rFonts w:ascii="Times New Roman" w:hAnsi="Times New Roman" w:cs="Times New Roman"/>
          <w:i/>
          <w:iCs/>
          <w:noProof w:val="0"/>
          <w:sz w:val="20"/>
          <w:szCs w:val="20"/>
        </w:rPr>
        <w:t xml:space="preserve">. </w:t>
      </w:r>
    </w:p>
    <w:p w14:paraId="6DE07F34" w14:textId="77777777" w:rsidR="005F4DE6" w:rsidRPr="005F4DE6" w:rsidRDefault="005F4DE6" w:rsidP="005240D5">
      <w:pPr>
        <w:spacing w:line="360" w:lineRule="auto"/>
        <w:ind w:left="567" w:right="521"/>
        <w:contextualSpacing/>
        <w:jc w:val="both"/>
        <w:rPr>
          <w:rFonts w:ascii="Times New Roman" w:hAnsi="Times New Roman" w:cs="Times New Roman"/>
          <w:noProof w:val="0"/>
        </w:rPr>
      </w:pPr>
    </w:p>
    <w:p w14:paraId="317BF4DA" w14:textId="6B6D8A60" w:rsidR="00F41E0E" w:rsidRDefault="00745D83" w:rsidP="0055119E">
      <w:pPr>
        <w:spacing w:line="360" w:lineRule="auto"/>
        <w:contextualSpacing/>
        <w:jc w:val="center"/>
        <w:rPr>
          <w:rFonts w:ascii="Times New Roman" w:hAnsi="Times New Roman" w:cs="Times New Roman"/>
          <w:noProof w:val="0"/>
          <w:sz w:val="24"/>
          <w:szCs w:val="24"/>
        </w:rPr>
      </w:pPr>
      <w:r w:rsidRPr="0055119E">
        <w:rPr>
          <w:rFonts w:ascii="Times New Roman" w:hAnsi="Times New Roman" w:cs="Times New Roman"/>
          <w:noProof w:val="0"/>
          <w:sz w:val="24"/>
          <w:szCs w:val="24"/>
        </w:rPr>
        <w:t>INTRODUCTION</w:t>
      </w:r>
    </w:p>
    <w:p w14:paraId="4F2743D7" w14:textId="77777777" w:rsidR="00DA5135" w:rsidRPr="0055119E" w:rsidRDefault="00DA5135" w:rsidP="0055119E">
      <w:pPr>
        <w:spacing w:line="360" w:lineRule="auto"/>
        <w:contextualSpacing/>
        <w:jc w:val="center"/>
        <w:rPr>
          <w:rFonts w:ascii="Times New Roman" w:hAnsi="Times New Roman" w:cs="Times New Roman"/>
          <w:noProof w:val="0"/>
          <w:sz w:val="24"/>
          <w:szCs w:val="24"/>
        </w:rPr>
      </w:pPr>
    </w:p>
    <w:p w14:paraId="1158EAF7" w14:textId="4387E782" w:rsidR="009A1C96" w:rsidRPr="009A1C96" w:rsidRDefault="009A1C96" w:rsidP="005240D5">
      <w:pPr>
        <w:spacing w:line="360" w:lineRule="auto"/>
        <w:contextualSpacing/>
        <w:jc w:val="both"/>
        <w:rPr>
          <w:rFonts w:ascii="Times New Roman" w:hAnsi="Times New Roman" w:cs="Times New Roman"/>
          <w:noProof w:val="0"/>
          <w:sz w:val="24"/>
          <w:szCs w:val="24"/>
        </w:rPr>
      </w:pPr>
      <w:proofErr w:type="spellStart"/>
      <w:r w:rsidRPr="009A1C96">
        <w:rPr>
          <w:rFonts w:ascii="Times New Roman" w:hAnsi="Times New Roman" w:cs="Times New Roman"/>
          <w:noProof w:val="0"/>
          <w:sz w:val="24"/>
          <w:szCs w:val="24"/>
        </w:rPr>
        <w:t>The</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current</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economic</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climate</w:t>
      </w:r>
      <w:proofErr w:type="spellEnd"/>
      <w:r w:rsidRPr="009A1C96">
        <w:rPr>
          <w:rFonts w:ascii="Times New Roman" w:hAnsi="Times New Roman" w:cs="Times New Roman"/>
          <w:noProof w:val="0"/>
          <w:sz w:val="24"/>
          <w:szCs w:val="24"/>
        </w:rPr>
        <w:t xml:space="preserve"> has exacerbated existing challenges in the housing sector. Myriad factors including rising housing costs</w:t>
      </w:r>
      <w:r w:rsidR="00C02C54">
        <w:rPr>
          <w:rFonts w:ascii="Times New Roman" w:hAnsi="Times New Roman" w:cs="Times New Roman"/>
          <w:noProof w:val="0"/>
          <w:sz w:val="24"/>
          <w:szCs w:val="24"/>
        </w:rPr>
        <w:t xml:space="preserve"> </w:t>
      </w:r>
      <w:r w:rsidR="00C02C54">
        <w:rPr>
          <w:rFonts w:ascii="Times New Roman" w:hAnsi="Times New Roman" w:cs="Times New Roman"/>
          <w:noProof w:val="0"/>
          <w:sz w:val="24"/>
          <w:szCs w:val="24"/>
        </w:rPr>
        <w:fldChar w:fldCharType="begin" w:fldLock="1"/>
      </w:r>
      <w:r w:rsidR="00C02C54">
        <w:rPr>
          <w:rFonts w:ascii="Times New Roman" w:hAnsi="Times New Roman" w:cs="Times New Roman"/>
          <w:noProof w:val="0"/>
          <w:sz w:val="24"/>
          <w:szCs w:val="24"/>
        </w:rPr>
        <w:instrText>ADDIN CSL_CITATION {"citationItems":[{"id":"ITEM-1","itemData":{"abstract":"Food scarcity is not an alien subject to people nowadays. Various plans and efforts have been made around the world to ensure adequate food supply including the waqf approach. This study is dedicated to developing and proposing the waqf model for food security. Waqf legislation and previous waqf models for livestock and agriculture were reviewed and studied before the Food Security Waqf Model (FSWM) was developed. The qualitative interview with an expert in the field of Islamic finance and Syariah has been employed to verify the validity of the proposed model. The experts support the suitability of FSWM in empowering food security through waqf. All expert panels also agreed that FSWM is practicable, compliant with waqf legislation, and feasible in general. They are also enthusiastic about the implementation of FSWM. The originality of this article lies in the proposed model, which is newly introduced in this study and has gone through the validity evaluation process by appointed expert panels. The model proposed in this study is expected to give an alternative pathway to the government in the effort of the national food security plan. By not undervaluing previous research models, this research model should give a new perspective to the academic literature on empowering food security through waqf.","author":[{"dropping-particle":"","family":"Isa","given":"Mohamad","non-dropping-particle":"","parse-names":false,"suffix":""},{"dropping-particle":"","family":"Jalil","given":"Abd","non-dropping-particle":"","parse-names":false,"suffix":""}],"container-title":"jurcon.ums.edu.my","id":"ITEM-1","issued":{"date-parts":[["0"]]},"title":"EMPOWERING FOOD SECURITY THROUGH WAQF","type":"report"},"uris":["http://www.mendeley.com/documents/?uuid=d288ffec-98ac-350e-a711-7d398a940e57"]}],"mendeley":{"formattedCitation":"(Isa &amp; Jalil, n.d.)","plainTextFormattedCitation":"(Isa &amp; Jalil, n.d.)","previouslyFormattedCitation":"(Isa &amp; Jalil, n.d.)"},"properties":{"noteIndex":0},"schema":"https://github.com/citation-style-language/schema/raw/master/csl-citation.json"}</w:instrText>
      </w:r>
      <w:r w:rsidR="00C02C54">
        <w:rPr>
          <w:rFonts w:ascii="Times New Roman" w:hAnsi="Times New Roman" w:cs="Times New Roman"/>
          <w:noProof w:val="0"/>
          <w:sz w:val="24"/>
          <w:szCs w:val="24"/>
        </w:rPr>
        <w:fldChar w:fldCharType="separate"/>
      </w:r>
      <w:r w:rsidR="00C02C54" w:rsidRPr="00C02C54">
        <w:rPr>
          <w:rFonts w:ascii="Times New Roman" w:hAnsi="Times New Roman" w:cs="Times New Roman"/>
          <w:sz w:val="24"/>
          <w:szCs w:val="24"/>
        </w:rPr>
        <w:t>(Isa &amp; Jalil, n.d.)</w:t>
      </w:r>
      <w:r w:rsidR="00C02C54">
        <w:rPr>
          <w:rFonts w:ascii="Times New Roman" w:hAnsi="Times New Roman" w:cs="Times New Roman"/>
          <w:noProof w:val="0"/>
          <w:sz w:val="24"/>
          <w:szCs w:val="24"/>
        </w:rPr>
        <w:fldChar w:fldCharType="end"/>
      </w:r>
      <w:r w:rsidRPr="009A1C96">
        <w:rPr>
          <w:rFonts w:ascii="Times New Roman" w:hAnsi="Times New Roman" w:cs="Times New Roman"/>
          <w:noProof w:val="0"/>
          <w:sz w:val="24"/>
          <w:szCs w:val="24"/>
        </w:rPr>
        <w:t>, constraints on funding sources, and imbalances between housing supply and demand have restricted access to affordable accommodation</w:t>
      </w:r>
      <w:r w:rsidR="007C4A83">
        <w:rPr>
          <w:rFonts w:ascii="Times New Roman" w:hAnsi="Times New Roman" w:cs="Times New Roman"/>
          <w:noProof w:val="0"/>
          <w:sz w:val="24"/>
          <w:szCs w:val="24"/>
        </w:rPr>
        <w:t xml:space="preserve"> </w:t>
      </w:r>
      <w:r w:rsidR="00C02C54">
        <w:rPr>
          <w:rFonts w:ascii="Times New Roman" w:hAnsi="Times New Roman" w:cs="Times New Roman"/>
          <w:noProof w:val="0"/>
          <w:sz w:val="24"/>
          <w:szCs w:val="24"/>
        </w:rPr>
        <w:fldChar w:fldCharType="begin" w:fldLock="1"/>
      </w:r>
      <w:r w:rsidR="00C02C54">
        <w:rPr>
          <w:rFonts w:ascii="Times New Roman" w:hAnsi="Times New Roman" w:cs="Times New Roman"/>
          <w:noProof w:val="0"/>
          <w:sz w:val="24"/>
          <w:szCs w:val="24"/>
        </w:rPr>
        <w:instrText>ADDIN CSL_CITATION {"citationItems":[{"id":"ITEM-1","itemData":{"author":[{"dropping-particle":"","family":"Hasbulah","given":"MH","non-dropping-particle":"","parse-names":false,"suffix":""},{"dropping-particle":"","family":"Mohamad","given":"N","non-dropping-particle":"","parse-names":false,"suffix":""},{"dropping-particle":"","family":"…","given":"NSN Saaidun - International Journal of","non-dropping-particle":"","parse-names":false,"suffix":""},{"dropping-particle":"","family":"2022","given":"undefined","non-dropping-particle":"","parse-names":false,"suffix":""}],"container-title":"academia.edu","id":"ITEM-1","issued":{"date-parts":[["0"]]},"title":"Potential of waqf instrument during Covid-19: a literature review on Majlis Agama Islam &amp; Adat Istiadat Melayu Perlis (MAIPs)","type":"article-journal"},"uris":["http://www.mendeley.com/documents/?uuid=fd0b5ea6-2ab8-33af-b5d0-5fd79a10c159"]}],"mendeley":{"formattedCitation":"(Hasbulah et al., n.d.)","plainTextFormattedCitation":"(Hasbulah et al., n.d.)"},"properties":{"noteIndex":0},"schema":"https://github.com/citation-style-language/schema/raw/master/csl-citation.json"}</w:instrText>
      </w:r>
      <w:r w:rsidR="00C02C54">
        <w:rPr>
          <w:rFonts w:ascii="Times New Roman" w:hAnsi="Times New Roman" w:cs="Times New Roman"/>
          <w:noProof w:val="0"/>
          <w:sz w:val="24"/>
          <w:szCs w:val="24"/>
        </w:rPr>
        <w:fldChar w:fldCharType="separate"/>
      </w:r>
      <w:r w:rsidR="00C02C54" w:rsidRPr="00C02C54">
        <w:rPr>
          <w:rFonts w:ascii="Times New Roman" w:hAnsi="Times New Roman" w:cs="Times New Roman"/>
          <w:sz w:val="24"/>
          <w:szCs w:val="24"/>
        </w:rPr>
        <w:t>(Hasbulah et al., n.d.)</w:t>
      </w:r>
      <w:r w:rsidR="00C02C54">
        <w:rPr>
          <w:rFonts w:ascii="Times New Roman" w:hAnsi="Times New Roman" w:cs="Times New Roman"/>
          <w:noProof w:val="0"/>
          <w:sz w:val="24"/>
          <w:szCs w:val="24"/>
        </w:rPr>
        <w:fldChar w:fldCharType="end"/>
      </w:r>
      <w:r w:rsidRPr="009A1C96">
        <w:rPr>
          <w:rFonts w:ascii="Times New Roman" w:hAnsi="Times New Roman" w:cs="Times New Roman"/>
          <w:noProof w:val="0"/>
          <w:sz w:val="24"/>
          <w:szCs w:val="24"/>
        </w:rPr>
        <w:t xml:space="preserve">. This situation underscores the need for alternative approaches to addressing the housing crisis. Waqf </w:t>
      </w:r>
      <w:r w:rsidR="007C4A83">
        <w:rPr>
          <w:rFonts w:ascii="Times New Roman" w:hAnsi="Times New Roman" w:cs="Times New Roman"/>
          <w:noProof w:val="0"/>
          <w:sz w:val="24"/>
          <w:szCs w:val="24"/>
        </w:rPr>
        <w:t xml:space="preserve">in </w:t>
      </w:r>
      <w:r w:rsidRPr="009A1C96">
        <w:rPr>
          <w:rFonts w:ascii="Times New Roman" w:hAnsi="Times New Roman" w:cs="Times New Roman"/>
          <w:noProof w:val="0"/>
          <w:sz w:val="24"/>
          <w:szCs w:val="24"/>
        </w:rPr>
        <w:t>residential and commercial real estate could ameliorate housing shortages resulting from precarious economic conditions.</w:t>
      </w:r>
    </w:p>
    <w:p w14:paraId="4AEF08B2" w14:textId="0DF69055" w:rsidR="009A1C96" w:rsidRDefault="009A1C96" w:rsidP="005240D5">
      <w:pPr>
        <w:spacing w:line="360" w:lineRule="auto"/>
        <w:ind w:firstLine="720"/>
        <w:contextualSpacing/>
        <w:jc w:val="both"/>
        <w:rPr>
          <w:rFonts w:ascii="Times New Roman" w:hAnsi="Times New Roman" w:cs="Times New Roman"/>
          <w:noProof w:val="0"/>
          <w:sz w:val="24"/>
          <w:szCs w:val="24"/>
        </w:rPr>
      </w:pPr>
      <w:proofErr w:type="spellStart"/>
      <w:r w:rsidRPr="009A1C96">
        <w:rPr>
          <w:rFonts w:ascii="Times New Roman" w:hAnsi="Times New Roman" w:cs="Times New Roman"/>
          <w:noProof w:val="0"/>
          <w:sz w:val="24"/>
          <w:szCs w:val="24"/>
        </w:rPr>
        <w:t>Waqf</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helps</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guarantee</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custody</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of</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rights</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and</w:t>
      </w:r>
      <w:proofErr w:type="spellEnd"/>
      <w:r w:rsidRPr="009A1C96">
        <w:rPr>
          <w:rFonts w:ascii="Times New Roman" w:hAnsi="Times New Roman" w:cs="Times New Roman"/>
          <w:noProof w:val="0"/>
          <w:sz w:val="24"/>
          <w:szCs w:val="24"/>
        </w:rPr>
        <w:t xml:space="preserve"> </w:t>
      </w:r>
      <w:proofErr w:type="spellStart"/>
      <w:r w:rsidRPr="009A1C96">
        <w:rPr>
          <w:rFonts w:ascii="Times New Roman" w:hAnsi="Times New Roman" w:cs="Times New Roman"/>
          <w:noProof w:val="0"/>
          <w:sz w:val="24"/>
          <w:szCs w:val="24"/>
        </w:rPr>
        <w:t>welfare</w:t>
      </w:r>
      <w:proofErr w:type="spellEnd"/>
      <w:r w:rsidRPr="009A1C96">
        <w:rPr>
          <w:rFonts w:ascii="Times New Roman" w:hAnsi="Times New Roman" w:cs="Times New Roman"/>
          <w:noProof w:val="0"/>
          <w:sz w:val="24"/>
          <w:szCs w:val="24"/>
        </w:rPr>
        <w:t xml:space="preserve"> for the poor, orphans, </w:t>
      </w:r>
      <w:r w:rsidR="007C4A83">
        <w:rPr>
          <w:rFonts w:ascii="Times New Roman" w:hAnsi="Times New Roman" w:cs="Times New Roman"/>
          <w:noProof w:val="0"/>
          <w:sz w:val="24"/>
          <w:szCs w:val="24"/>
        </w:rPr>
        <w:t xml:space="preserve">the </w:t>
      </w:r>
      <w:r w:rsidRPr="009A1C96">
        <w:rPr>
          <w:rFonts w:ascii="Times New Roman" w:hAnsi="Times New Roman" w:cs="Times New Roman"/>
          <w:noProof w:val="0"/>
          <w:sz w:val="24"/>
          <w:szCs w:val="24"/>
        </w:rPr>
        <w:t xml:space="preserve">needy, and society overall. It facilitates access to quality housing for the economically disadvantaged </w:t>
      </w:r>
      <w:r w:rsidRPr="009A1C96">
        <w:rPr>
          <w:rFonts w:ascii="Times New Roman" w:hAnsi="Times New Roman" w:cs="Times New Roman"/>
          <w:noProof w:val="0"/>
          <w:sz w:val="24"/>
          <w:szCs w:val="24"/>
        </w:rPr>
        <w:lastRenderedPageBreak/>
        <w:t>(asnaf) via charitable endowments. Moreover, waqf's commercial properties and housing can benefit communities through programs catering to diverse housing needs</w:t>
      </w:r>
      <w:r w:rsidR="001471A4">
        <w:rPr>
          <w:rFonts w:ascii="Times New Roman" w:hAnsi="Times New Roman" w:cs="Times New Roman"/>
          <w:noProof w:val="0"/>
          <w:sz w:val="24"/>
          <w:szCs w:val="24"/>
        </w:rPr>
        <w:t xml:space="preserve">. </w:t>
      </w:r>
      <w:r w:rsidRPr="009A1C96">
        <w:rPr>
          <w:rFonts w:ascii="Times New Roman" w:hAnsi="Times New Roman" w:cs="Times New Roman"/>
          <w:noProof w:val="0"/>
          <w:sz w:val="24"/>
          <w:szCs w:val="24"/>
        </w:rPr>
        <w:t>Waqf also enables robust asset stewardship and value-driven administration. Assets endowed are allocated long-term for philanthropic purposes.</w:t>
      </w:r>
    </w:p>
    <w:p w14:paraId="485BF8A6" w14:textId="37E7628F" w:rsidR="001A6CAC" w:rsidRPr="0039167F" w:rsidRDefault="001A6CAC" w:rsidP="005240D5">
      <w:pPr>
        <w:spacing w:line="360" w:lineRule="auto"/>
        <w:ind w:firstLine="720"/>
        <w:contextualSpacing/>
        <w:jc w:val="both"/>
        <w:rPr>
          <w:rFonts w:ascii="Times New Roman" w:hAnsi="Times New Roman" w:cs="Times New Roman"/>
          <w:noProof w:val="0"/>
          <w:sz w:val="24"/>
          <w:szCs w:val="24"/>
        </w:rPr>
      </w:pPr>
      <w:proofErr w:type="spellStart"/>
      <w:r w:rsidRPr="0039167F">
        <w:rPr>
          <w:rFonts w:ascii="Times New Roman" w:hAnsi="Times New Roman" w:cs="Times New Roman"/>
          <w:noProof w:val="0"/>
          <w:sz w:val="24"/>
          <w:szCs w:val="24"/>
        </w:rPr>
        <w:t>Therefore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care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waqf assets is important to ensure that the property is well managed and the benefits are enjoyed by the rightful. A value-based administration system such as trust, fairness, and sustainability is applied in the management of waqf property to ensure its effectiveness in the long term. Housing waqf and commercial real estate are considered to be the best instruments </w:t>
      </w:r>
      <w:r w:rsidR="006A132D">
        <w:rPr>
          <w:rFonts w:ascii="Times New Roman" w:hAnsi="Times New Roman" w:cs="Times New Roman"/>
          <w:noProof w:val="0"/>
          <w:sz w:val="24"/>
          <w:szCs w:val="24"/>
        </w:rPr>
        <w:t>for</w:t>
      </w:r>
      <w:r w:rsidRPr="0039167F">
        <w:rPr>
          <w:rFonts w:ascii="Times New Roman" w:hAnsi="Times New Roman" w:cs="Times New Roman"/>
          <w:noProof w:val="0"/>
          <w:sz w:val="24"/>
          <w:szCs w:val="24"/>
        </w:rPr>
        <w:t xml:space="preserve"> addressing the challenges of the current economic situation. The advantages of waqf in providing affordable housing and asnaf rights care make it a good choice in addressing housing problems. In addition, waqf also plays an important role in developing the commercial property sector by providing business opportunities and sustainable economic development. In this context, housing waqf and commercial real estate provide double benefits to society and promote overall socioeconomic sustainability.</w:t>
      </w:r>
    </w:p>
    <w:p w14:paraId="34DF9545" w14:textId="77777777" w:rsidR="001A6CAC" w:rsidRPr="0039167F" w:rsidRDefault="001A6CAC" w:rsidP="005240D5">
      <w:pPr>
        <w:spacing w:line="360" w:lineRule="auto"/>
        <w:contextualSpacing/>
        <w:jc w:val="both"/>
        <w:rPr>
          <w:rFonts w:ascii="Times New Roman" w:hAnsi="Times New Roman" w:cs="Times New Roman"/>
          <w:b/>
          <w:bCs/>
          <w:noProof w:val="0"/>
          <w:sz w:val="24"/>
          <w:szCs w:val="24"/>
        </w:rPr>
      </w:pPr>
    </w:p>
    <w:p w14:paraId="21353AE1" w14:textId="3881D1F0" w:rsidR="001A6CAC" w:rsidRPr="0055119E" w:rsidRDefault="00745D83" w:rsidP="0055119E">
      <w:pPr>
        <w:spacing w:line="360" w:lineRule="auto"/>
        <w:contextualSpacing/>
        <w:jc w:val="center"/>
        <w:rPr>
          <w:rFonts w:ascii="Times New Roman" w:hAnsi="Times New Roman" w:cs="Times New Roman"/>
          <w:noProof w:val="0"/>
          <w:sz w:val="24"/>
          <w:szCs w:val="24"/>
        </w:rPr>
      </w:pPr>
      <w:r w:rsidRPr="0055119E">
        <w:rPr>
          <w:rFonts w:ascii="Times New Roman" w:hAnsi="Times New Roman" w:cs="Times New Roman"/>
          <w:noProof w:val="0"/>
          <w:sz w:val="24"/>
          <w:szCs w:val="24"/>
        </w:rPr>
        <w:t>PROBLEM BACKGROUND</w:t>
      </w:r>
    </w:p>
    <w:p w14:paraId="2655CC40" w14:textId="62573DC1" w:rsidR="009A1C96" w:rsidRDefault="001A6CAC" w:rsidP="005240D5">
      <w:pPr>
        <w:spacing w:line="360" w:lineRule="auto"/>
        <w:contextualSpacing/>
        <w:jc w:val="both"/>
        <w:rPr>
          <w:rFonts w:ascii="Times New Roman" w:hAnsi="Times New Roman" w:cs="Times New Roman"/>
          <w:noProof w:val="0"/>
          <w:sz w:val="24"/>
          <w:szCs w:val="24"/>
        </w:rPr>
      </w:pP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w:t>
      </w:r>
      <w:r w:rsidR="006A132D">
        <w:rPr>
          <w:rFonts w:ascii="Times New Roman" w:hAnsi="Times New Roman" w:cs="Times New Roman"/>
          <w:noProof w:val="0"/>
          <w:sz w:val="24"/>
          <w:szCs w:val="24"/>
        </w:rPr>
        <w:t>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acceptance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desire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the community towards the agenda of waqf of commercial real estate has become an important subject in the academic literature related to the development of waqf</w:t>
      </w:r>
      <w:r w:rsidR="00FE1EAC">
        <w:rPr>
          <w:rFonts w:ascii="Times New Roman" w:hAnsi="Times New Roman" w:cs="Times New Roman"/>
          <w:noProof w:val="0"/>
          <w:sz w:val="24"/>
          <w:szCs w:val="24"/>
        </w:rPr>
        <w:t xml:space="preserve"> in Malaysia</w:t>
      </w:r>
      <w:r w:rsidRPr="0039167F">
        <w:rPr>
          <w:rFonts w:ascii="Times New Roman" w:hAnsi="Times New Roman" w:cs="Times New Roman"/>
          <w:noProof w:val="0"/>
          <w:sz w:val="24"/>
          <w:szCs w:val="24"/>
        </w:rPr>
        <w:t xml:space="preserve">. Community acceptance plays an important role in understanding the acceptance and effectiveness of the implementation of commercial real estate waqf. In this context, academic literature has involved studies that research and analyze the level of knowledge, awareness, religious and cultural factors, belief in management and transparency, as well as socioeconomic factors and community interests that influence society's acceptance of the commercial property waqf agenda. </w:t>
      </w:r>
    </w:p>
    <w:p w14:paraId="12C053EE" w14:textId="675FBB07" w:rsidR="008513A5" w:rsidRDefault="008513A5" w:rsidP="005240D5">
      <w:pPr>
        <w:spacing w:line="360" w:lineRule="auto"/>
        <w:ind w:firstLine="720"/>
        <w:contextualSpacing/>
        <w:jc w:val="both"/>
        <w:rPr>
          <w:rFonts w:ascii="Times New Roman" w:hAnsi="Times New Roman" w:cs="Times New Roman"/>
          <w:noProof w:val="0"/>
          <w:sz w:val="24"/>
          <w:szCs w:val="24"/>
        </w:rPr>
      </w:pPr>
      <w:proofErr w:type="spellStart"/>
      <w:r w:rsidRPr="008513A5">
        <w:rPr>
          <w:rFonts w:ascii="Times New Roman" w:hAnsi="Times New Roman" w:cs="Times New Roman"/>
          <w:noProof w:val="0"/>
          <w:sz w:val="24"/>
          <w:szCs w:val="24"/>
        </w:rPr>
        <w:t>While</w:t>
      </w:r>
      <w:proofErr w:type="spellEnd"/>
      <w:r w:rsidRPr="008513A5">
        <w:rPr>
          <w:rFonts w:ascii="Times New Roman" w:hAnsi="Times New Roman" w:cs="Times New Roman"/>
          <w:noProof w:val="0"/>
          <w:sz w:val="24"/>
          <w:szCs w:val="24"/>
        </w:rPr>
        <w:t xml:space="preserve"> </w:t>
      </w:r>
      <w:proofErr w:type="spellStart"/>
      <w:r w:rsidRPr="008513A5">
        <w:rPr>
          <w:rFonts w:ascii="Times New Roman" w:hAnsi="Times New Roman" w:cs="Times New Roman"/>
          <w:noProof w:val="0"/>
          <w:sz w:val="24"/>
          <w:szCs w:val="24"/>
        </w:rPr>
        <w:t>the</w:t>
      </w:r>
      <w:proofErr w:type="spellEnd"/>
      <w:r w:rsidRPr="008513A5">
        <w:rPr>
          <w:rFonts w:ascii="Times New Roman" w:hAnsi="Times New Roman" w:cs="Times New Roman"/>
          <w:noProof w:val="0"/>
          <w:sz w:val="24"/>
          <w:szCs w:val="24"/>
        </w:rPr>
        <w:t xml:space="preserve"> </w:t>
      </w:r>
      <w:proofErr w:type="spellStart"/>
      <w:r w:rsidRPr="008513A5">
        <w:rPr>
          <w:rFonts w:ascii="Times New Roman" w:hAnsi="Times New Roman" w:cs="Times New Roman"/>
          <w:noProof w:val="0"/>
          <w:sz w:val="24"/>
          <w:szCs w:val="24"/>
        </w:rPr>
        <w:t>theoretical</w:t>
      </w:r>
      <w:proofErr w:type="spellEnd"/>
      <w:r w:rsidRPr="008513A5">
        <w:rPr>
          <w:rFonts w:ascii="Times New Roman" w:hAnsi="Times New Roman" w:cs="Times New Roman"/>
          <w:noProof w:val="0"/>
          <w:sz w:val="24"/>
          <w:szCs w:val="24"/>
        </w:rPr>
        <w:t xml:space="preserve"> </w:t>
      </w:r>
      <w:proofErr w:type="spellStart"/>
      <w:r w:rsidRPr="008513A5">
        <w:rPr>
          <w:rFonts w:ascii="Times New Roman" w:hAnsi="Times New Roman" w:cs="Times New Roman"/>
          <w:noProof w:val="0"/>
          <w:sz w:val="24"/>
          <w:szCs w:val="24"/>
        </w:rPr>
        <w:t>underpinnings</w:t>
      </w:r>
      <w:proofErr w:type="spellEnd"/>
      <w:r w:rsidRPr="008513A5">
        <w:rPr>
          <w:rFonts w:ascii="Times New Roman" w:hAnsi="Times New Roman" w:cs="Times New Roman"/>
          <w:noProof w:val="0"/>
          <w:sz w:val="24"/>
          <w:szCs w:val="24"/>
        </w:rPr>
        <w:t xml:space="preserve"> </w:t>
      </w:r>
      <w:proofErr w:type="spellStart"/>
      <w:r w:rsidRPr="008513A5">
        <w:rPr>
          <w:rFonts w:ascii="Times New Roman" w:hAnsi="Times New Roman" w:cs="Times New Roman"/>
          <w:noProof w:val="0"/>
          <w:sz w:val="24"/>
          <w:szCs w:val="24"/>
        </w:rPr>
        <w:t>and</w:t>
      </w:r>
      <w:proofErr w:type="spellEnd"/>
      <w:r w:rsidRPr="008513A5">
        <w:rPr>
          <w:rFonts w:ascii="Times New Roman" w:hAnsi="Times New Roman" w:cs="Times New Roman"/>
          <w:noProof w:val="0"/>
          <w:sz w:val="24"/>
          <w:szCs w:val="24"/>
        </w:rPr>
        <w:t xml:space="preserve"> </w:t>
      </w:r>
      <w:proofErr w:type="spellStart"/>
      <w:r w:rsidRPr="008513A5">
        <w:rPr>
          <w:rFonts w:ascii="Times New Roman" w:hAnsi="Times New Roman" w:cs="Times New Roman"/>
          <w:noProof w:val="0"/>
          <w:sz w:val="24"/>
          <w:szCs w:val="24"/>
        </w:rPr>
        <w:t>conceptual</w:t>
      </w:r>
      <w:proofErr w:type="spellEnd"/>
      <w:r w:rsidRPr="008513A5">
        <w:rPr>
          <w:rFonts w:ascii="Times New Roman" w:hAnsi="Times New Roman" w:cs="Times New Roman"/>
          <w:noProof w:val="0"/>
          <w:sz w:val="24"/>
          <w:szCs w:val="24"/>
        </w:rPr>
        <w:t xml:space="preserve"> </w:t>
      </w:r>
      <w:proofErr w:type="spellStart"/>
      <w:r w:rsidRPr="008513A5">
        <w:rPr>
          <w:rFonts w:ascii="Times New Roman" w:hAnsi="Times New Roman" w:cs="Times New Roman"/>
          <w:noProof w:val="0"/>
          <w:sz w:val="24"/>
          <w:szCs w:val="24"/>
        </w:rPr>
        <w:t>models</w:t>
      </w:r>
      <w:proofErr w:type="spellEnd"/>
      <w:r w:rsidRPr="008513A5">
        <w:rPr>
          <w:rFonts w:ascii="Times New Roman" w:hAnsi="Times New Roman" w:cs="Times New Roman"/>
          <w:noProof w:val="0"/>
          <w:sz w:val="24"/>
          <w:szCs w:val="24"/>
        </w:rPr>
        <w:t xml:space="preserve"> </w:t>
      </w:r>
      <w:proofErr w:type="spellStart"/>
      <w:r w:rsidRPr="008513A5">
        <w:rPr>
          <w:rFonts w:ascii="Times New Roman" w:hAnsi="Times New Roman" w:cs="Times New Roman"/>
          <w:noProof w:val="0"/>
          <w:sz w:val="24"/>
          <w:szCs w:val="24"/>
        </w:rPr>
        <w:t>of</w:t>
      </w:r>
      <w:proofErr w:type="spellEnd"/>
      <w:r w:rsidRPr="008513A5">
        <w:rPr>
          <w:rFonts w:ascii="Times New Roman" w:hAnsi="Times New Roman" w:cs="Times New Roman"/>
          <w:noProof w:val="0"/>
          <w:sz w:val="24"/>
          <w:szCs w:val="24"/>
        </w:rPr>
        <w:t xml:space="preserve"> waqf instruments for real estate development have been extensively deliberated in the literature, there remains a paucity of empirical research examining the on-ground implementation and applicability of such frameworks within prevailing socioeconomic contexts. Although pioneering housing waqf projects like Waqf Siti Aisah in Malaysia have operationalized rental waqf models for impoverished beneficiaries (asnaf), scalable real estate waqf geared towards open market viability mandates rigorous feasibility analyses and risk management protocols. As Cizakca (1998) elucidated, realizing the socioeconomic potential of waqf requires transitioning from idealized theoretical constructs to creating actionable and pragmatically</w:t>
      </w:r>
      <w:r w:rsidR="007C4A83">
        <w:rPr>
          <w:rFonts w:ascii="Times New Roman" w:hAnsi="Times New Roman" w:cs="Times New Roman"/>
          <w:noProof w:val="0"/>
          <w:sz w:val="24"/>
          <w:szCs w:val="24"/>
        </w:rPr>
        <w:t xml:space="preserve"> customiz</w:t>
      </w:r>
      <w:r w:rsidRPr="008513A5">
        <w:rPr>
          <w:rFonts w:ascii="Times New Roman" w:hAnsi="Times New Roman" w:cs="Times New Roman"/>
          <w:noProof w:val="0"/>
          <w:sz w:val="24"/>
          <w:szCs w:val="24"/>
        </w:rPr>
        <w:t xml:space="preserve">able financing vehicles. Further research using mixed methodology combining qualitative case </w:t>
      </w:r>
      <w:r w:rsidRPr="008513A5">
        <w:rPr>
          <w:rFonts w:ascii="Times New Roman" w:hAnsi="Times New Roman" w:cs="Times New Roman"/>
          <w:noProof w:val="0"/>
          <w:sz w:val="24"/>
          <w:szCs w:val="24"/>
        </w:rPr>
        <w:lastRenderedPageBreak/>
        <w:t>studies and quantitative analytical techniques could enrich the evidence</w:t>
      </w:r>
      <w:r w:rsidR="007C4A83">
        <w:rPr>
          <w:rFonts w:ascii="Times New Roman" w:hAnsi="Times New Roman" w:cs="Times New Roman"/>
          <w:noProof w:val="0"/>
          <w:sz w:val="24"/>
          <w:szCs w:val="24"/>
        </w:rPr>
        <w:t xml:space="preserve"> </w:t>
      </w:r>
      <w:r w:rsidRPr="008513A5">
        <w:rPr>
          <w:rFonts w:ascii="Times New Roman" w:hAnsi="Times New Roman" w:cs="Times New Roman"/>
          <w:noProof w:val="0"/>
          <w:sz w:val="24"/>
          <w:szCs w:val="24"/>
        </w:rPr>
        <w:t>base around realistic and context-specific waqf financing mechanisms for contemporary real estate development. This would provide pathways for translating conceptual waqf models into scalable solutions balancing financial sustainability and social welfare goals.</w:t>
      </w:r>
    </w:p>
    <w:p w14:paraId="4698B941" w14:textId="5E845FBE" w:rsidR="009A1C96" w:rsidRPr="009A1C96" w:rsidRDefault="008513A5" w:rsidP="005240D5">
      <w:pPr>
        <w:spacing w:line="360" w:lineRule="auto"/>
        <w:ind w:firstLine="720"/>
        <w:contextualSpacing/>
        <w:jc w:val="both"/>
        <w:rPr>
          <w:rFonts w:ascii="Times New Roman" w:hAnsi="Times New Roman" w:cs="Times New Roman"/>
          <w:noProof w:val="0"/>
          <w:sz w:val="24"/>
          <w:szCs w:val="24"/>
          <w:lang w:val="en-MY"/>
        </w:rPr>
      </w:pPr>
      <w:r>
        <w:rPr>
          <w:rFonts w:ascii="Times New Roman" w:hAnsi="Times New Roman" w:cs="Times New Roman"/>
          <w:noProof w:val="0"/>
          <w:sz w:val="24"/>
          <w:szCs w:val="24"/>
          <w:lang w:val="en-MY"/>
        </w:rPr>
        <w:t xml:space="preserve">In </w:t>
      </w:r>
      <w:r w:rsidR="007C4A83">
        <w:rPr>
          <w:rFonts w:ascii="Times New Roman" w:hAnsi="Times New Roman" w:cs="Times New Roman"/>
          <w:noProof w:val="0"/>
          <w:sz w:val="24"/>
          <w:szCs w:val="24"/>
          <w:lang w:val="en-MY"/>
        </w:rPr>
        <w:t xml:space="preserve">the </w:t>
      </w:r>
      <w:r>
        <w:rPr>
          <w:rFonts w:ascii="Times New Roman" w:hAnsi="Times New Roman" w:cs="Times New Roman"/>
          <w:noProof w:val="0"/>
          <w:sz w:val="24"/>
          <w:szCs w:val="24"/>
          <w:lang w:val="en-MY"/>
        </w:rPr>
        <w:t xml:space="preserve">field of practices, waqf </w:t>
      </w:r>
      <w:r w:rsidR="009A1C96" w:rsidRPr="009A1C96">
        <w:rPr>
          <w:rFonts w:ascii="Times New Roman" w:hAnsi="Times New Roman" w:cs="Times New Roman"/>
          <w:noProof w:val="0"/>
          <w:sz w:val="24"/>
          <w:szCs w:val="24"/>
          <w:lang w:val="en-MY"/>
        </w:rPr>
        <w:t xml:space="preserve">faces myriad challenges in </w:t>
      </w:r>
      <w:r w:rsidR="007C4A83">
        <w:rPr>
          <w:rFonts w:ascii="Times New Roman" w:hAnsi="Times New Roman" w:cs="Times New Roman"/>
          <w:noProof w:val="0"/>
          <w:sz w:val="24"/>
          <w:szCs w:val="24"/>
          <w:lang w:val="en-MY"/>
        </w:rPr>
        <w:t xml:space="preserve">the </w:t>
      </w:r>
      <w:r w:rsidR="009A1C96" w:rsidRPr="009A1C96">
        <w:rPr>
          <w:rFonts w:ascii="Times New Roman" w:hAnsi="Times New Roman" w:cs="Times New Roman"/>
          <w:noProof w:val="0"/>
          <w:sz w:val="24"/>
          <w:szCs w:val="24"/>
          <w:lang w:val="en-MY"/>
        </w:rPr>
        <w:t xml:space="preserve">financing and administration of endowed properties. A primary obstacle is the lack of liquidity and funding for </w:t>
      </w:r>
      <w:r w:rsidR="007C4A83">
        <w:rPr>
          <w:rFonts w:ascii="Times New Roman" w:hAnsi="Times New Roman" w:cs="Times New Roman"/>
          <w:noProof w:val="0"/>
          <w:sz w:val="24"/>
          <w:szCs w:val="24"/>
          <w:lang w:val="en-MY"/>
        </w:rPr>
        <w:t xml:space="preserve">the </w:t>
      </w:r>
      <w:r w:rsidR="009A1C96" w:rsidRPr="009A1C96">
        <w:rPr>
          <w:rFonts w:ascii="Times New Roman" w:hAnsi="Times New Roman" w:cs="Times New Roman"/>
          <w:noProof w:val="0"/>
          <w:sz w:val="24"/>
          <w:szCs w:val="24"/>
          <w:lang w:val="en-MY"/>
        </w:rPr>
        <w:t>maintenance, rehabilitation, and development of waqf properties (Ali, 2020). Often, waqf assets are locked</w:t>
      </w:r>
      <w:r w:rsidR="007C4A83">
        <w:rPr>
          <w:rFonts w:ascii="Times New Roman" w:hAnsi="Times New Roman" w:cs="Times New Roman"/>
          <w:noProof w:val="0"/>
          <w:sz w:val="24"/>
          <w:szCs w:val="24"/>
          <w:lang w:val="en-MY"/>
        </w:rPr>
        <w:t xml:space="preserve"> </w:t>
      </w:r>
      <w:r w:rsidR="009A1C96" w:rsidRPr="009A1C96">
        <w:rPr>
          <w:rFonts w:ascii="Times New Roman" w:hAnsi="Times New Roman" w:cs="Times New Roman"/>
          <w:noProof w:val="0"/>
          <w:sz w:val="24"/>
          <w:szCs w:val="24"/>
          <w:lang w:val="en-MY"/>
        </w:rPr>
        <w:t>in perpetually without avenues to unlock their economic potential (</w:t>
      </w:r>
      <w:proofErr w:type="spellStart"/>
      <w:r w:rsidR="009A1C96" w:rsidRPr="009A1C96">
        <w:rPr>
          <w:rFonts w:ascii="Times New Roman" w:hAnsi="Times New Roman" w:cs="Times New Roman"/>
          <w:noProof w:val="0"/>
          <w:sz w:val="24"/>
          <w:szCs w:val="24"/>
          <w:lang w:val="en-MY"/>
        </w:rPr>
        <w:t>Kahf</w:t>
      </w:r>
      <w:proofErr w:type="spellEnd"/>
      <w:r w:rsidR="009A1C96" w:rsidRPr="009A1C96">
        <w:rPr>
          <w:rFonts w:ascii="Times New Roman" w:hAnsi="Times New Roman" w:cs="Times New Roman"/>
          <w:noProof w:val="0"/>
          <w:sz w:val="24"/>
          <w:szCs w:val="24"/>
          <w:lang w:val="en-MY"/>
        </w:rPr>
        <w:t xml:space="preserve">, 2015). The prohibition of </w:t>
      </w:r>
      <w:r w:rsidR="007C4A83">
        <w:rPr>
          <w:rFonts w:ascii="Times New Roman" w:hAnsi="Times New Roman" w:cs="Times New Roman"/>
          <w:noProof w:val="0"/>
          <w:sz w:val="24"/>
          <w:szCs w:val="24"/>
          <w:lang w:val="en-MY"/>
        </w:rPr>
        <w:t xml:space="preserve">the </w:t>
      </w:r>
      <w:r w:rsidR="009A1C96" w:rsidRPr="009A1C96">
        <w:rPr>
          <w:rFonts w:ascii="Times New Roman" w:hAnsi="Times New Roman" w:cs="Times New Roman"/>
          <w:noProof w:val="0"/>
          <w:sz w:val="24"/>
          <w:szCs w:val="24"/>
          <w:lang w:val="en-MY"/>
        </w:rPr>
        <w:t>sale or mortgage of waqf restricts the ability to raise finances through these conventional means (Iman &amp; Mohammad, 2017). There is an over</w:t>
      </w:r>
      <w:r w:rsidR="007C4A83">
        <w:rPr>
          <w:rFonts w:ascii="Times New Roman" w:hAnsi="Times New Roman" w:cs="Times New Roman"/>
          <w:noProof w:val="0"/>
          <w:sz w:val="24"/>
          <w:szCs w:val="24"/>
          <w:lang w:val="en-MY"/>
        </w:rPr>
        <w:t>-</w:t>
      </w:r>
      <w:r w:rsidR="009A1C96" w:rsidRPr="009A1C96">
        <w:rPr>
          <w:rFonts w:ascii="Times New Roman" w:hAnsi="Times New Roman" w:cs="Times New Roman"/>
          <w:noProof w:val="0"/>
          <w:sz w:val="24"/>
          <w:szCs w:val="24"/>
          <w:lang w:val="en-MY"/>
        </w:rPr>
        <w:t>reliance on cash waqf despite its limitations (Mohsin, 2013). The lack of financial expertise among mutawallis (waqf managers) also constrains efficient financing (</w:t>
      </w:r>
      <w:proofErr w:type="spellStart"/>
      <w:r w:rsidR="009A1C96" w:rsidRPr="009A1C96">
        <w:rPr>
          <w:rFonts w:ascii="Times New Roman" w:hAnsi="Times New Roman" w:cs="Times New Roman"/>
          <w:noProof w:val="0"/>
          <w:sz w:val="24"/>
          <w:szCs w:val="24"/>
          <w:lang w:val="en-MY"/>
        </w:rPr>
        <w:t>Namim</w:t>
      </w:r>
      <w:proofErr w:type="spellEnd"/>
      <w:r w:rsidR="009A1C96" w:rsidRPr="009A1C96">
        <w:rPr>
          <w:rFonts w:ascii="Times New Roman" w:hAnsi="Times New Roman" w:cs="Times New Roman"/>
          <w:noProof w:val="0"/>
          <w:sz w:val="24"/>
          <w:szCs w:val="24"/>
          <w:lang w:val="en-MY"/>
        </w:rPr>
        <w:t>, 2019).</w:t>
      </w:r>
    </w:p>
    <w:p w14:paraId="66FFE4C0" w14:textId="6E319CA6" w:rsidR="009A1C96" w:rsidRPr="009A1C96" w:rsidRDefault="009A1C96" w:rsidP="005240D5">
      <w:pPr>
        <w:spacing w:line="360" w:lineRule="auto"/>
        <w:ind w:firstLine="720"/>
        <w:contextualSpacing/>
        <w:jc w:val="both"/>
        <w:rPr>
          <w:rFonts w:ascii="Times New Roman" w:hAnsi="Times New Roman" w:cs="Times New Roman"/>
          <w:noProof w:val="0"/>
          <w:sz w:val="24"/>
          <w:szCs w:val="24"/>
          <w:lang w:val="en-MY"/>
        </w:rPr>
      </w:pPr>
      <w:r w:rsidRPr="009A1C96">
        <w:rPr>
          <w:rFonts w:ascii="Times New Roman" w:hAnsi="Times New Roman" w:cs="Times New Roman"/>
          <w:noProof w:val="0"/>
          <w:sz w:val="24"/>
          <w:szCs w:val="24"/>
          <w:lang w:val="en-MY"/>
        </w:rPr>
        <w:t xml:space="preserve">Further, complex laws and regulations surrounding waqf inhibit innovative financing solutions (Omar, 2015). Ambiguities in </w:t>
      </w:r>
      <w:r w:rsidR="007C4A83">
        <w:rPr>
          <w:rFonts w:ascii="Times New Roman" w:hAnsi="Times New Roman" w:cs="Times New Roman"/>
          <w:noProof w:val="0"/>
          <w:sz w:val="24"/>
          <w:szCs w:val="24"/>
          <w:lang w:val="en-MY"/>
        </w:rPr>
        <w:t xml:space="preserve">the </w:t>
      </w:r>
      <w:r w:rsidRPr="009A1C96">
        <w:rPr>
          <w:rFonts w:ascii="Times New Roman" w:hAnsi="Times New Roman" w:cs="Times New Roman"/>
          <w:noProof w:val="0"/>
          <w:sz w:val="24"/>
          <w:szCs w:val="24"/>
          <w:lang w:val="en-MY"/>
        </w:rPr>
        <w:t>interpretation of waqf laws across jurisdictions hamper growth (</w:t>
      </w:r>
      <w:proofErr w:type="spellStart"/>
      <w:r w:rsidRPr="009A1C96">
        <w:rPr>
          <w:rFonts w:ascii="Times New Roman" w:hAnsi="Times New Roman" w:cs="Times New Roman"/>
          <w:noProof w:val="0"/>
          <w:sz w:val="24"/>
          <w:szCs w:val="24"/>
          <w:lang w:val="en-MY"/>
        </w:rPr>
        <w:t>Kahf</w:t>
      </w:r>
      <w:proofErr w:type="spellEnd"/>
      <w:r w:rsidRPr="009A1C96">
        <w:rPr>
          <w:rFonts w:ascii="Times New Roman" w:hAnsi="Times New Roman" w:cs="Times New Roman"/>
          <w:noProof w:val="0"/>
          <w:sz w:val="24"/>
          <w:szCs w:val="24"/>
          <w:lang w:val="en-MY"/>
        </w:rPr>
        <w:t xml:space="preserve">, 2015). There is also resistance from waqf authorities towards financial engineering instruments (like sukuk) (Iman &amp; Mohammad, 2017). Comprehensive legal reforms, capacity building of mutawallis, and adoption of Islamic instruments like </w:t>
      </w:r>
      <w:proofErr w:type="spellStart"/>
      <w:r w:rsidRPr="007C4A83">
        <w:rPr>
          <w:rFonts w:ascii="Times New Roman" w:hAnsi="Times New Roman" w:cs="Times New Roman"/>
          <w:i/>
          <w:iCs/>
          <w:noProof w:val="0"/>
          <w:sz w:val="24"/>
          <w:szCs w:val="24"/>
          <w:lang w:val="en-MY"/>
        </w:rPr>
        <w:t>ijara</w:t>
      </w:r>
      <w:proofErr w:type="spellEnd"/>
      <w:r w:rsidRPr="009A1C96">
        <w:rPr>
          <w:rFonts w:ascii="Times New Roman" w:hAnsi="Times New Roman" w:cs="Times New Roman"/>
          <w:noProof w:val="0"/>
          <w:sz w:val="24"/>
          <w:szCs w:val="24"/>
          <w:lang w:val="en-MY"/>
        </w:rPr>
        <w:t xml:space="preserve"> could </w:t>
      </w:r>
      <w:proofErr w:type="spellStart"/>
      <w:r w:rsidRPr="009A1C96">
        <w:rPr>
          <w:rFonts w:ascii="Times New Roman" w:hAnsi="Times New Roman" w:cs="Times New Roman"/>
          <w:noProof w:val="0"/>
          <w:sz w:val="24"/>
          <w:szCs w:val="24"/>
          <w:lang w:val="en-MY"/>
        </w:rPr>
        <w:t>catalyze</w:t>
      </w:r>
      <w:proofErr w:type="spellEnd"/>
      <w:r w:rsidRPr="009A1C96">
        <w:rPr>
          <w:rFonts w:ascii="Times New Roman" w:hAnsi="Times New Roman" w:cs="Times New Roman"/>
          <w:noProof w:val="0"/>
          <w:sz w:val="24"/>
          <w:szCs w:val="24"/>
          <w:lang w:val="en-MY"/>
        </w:rPr>
        <w:t xml:space="preserve"> innovative waqf financing models. Robust waqf financing is imperative to unlock waqf’s socioeconomic potential.</w:t>
      </w:r>
    </w:p>
    <w:p w14:paraId="7595140A" w14:textId="04B62DA7" w:rsidR="006E4D4E" w:rsidRPr="0039167F" w:rsidRDefault="009A1C96" w:rsidP="00DA5135">
      <w:pPr>
        <w:spacing w:line="360" w:lineRule="auto"/>
        <w:ind w:firstLine="720"/>
        <w:contextualSpacing/>
        <w:jc w:val="both"/>
        <w:rPr>
          <w:rFonts w:ascii="Times New Roman" w:hAnsi="Times New Roman" w:cs="Times New Roman"/>
          <w:noProof w:val="0"/>
          <w:sz w:val="24"/>
          <w:szCs w:val="24"/>
        </w:rPr>
      </w:pPr>
      <w:proofErr w:type="spellStart"/>
      <w:r>
        <w:rPr>
          <w:rFonts w:ascii="Times New Roman" w:hAnsi="Times New Roman" w:cs="Times New Roman"/>
          <w:noProof w:val="0"/>
          <w:sz w:val="24"/>
          <w:szCs w:val="24"/>
        </w:rPr>
        <w:t>Hence</w:t>
      </w:r>
      <w:proofErr w:type="spellEnd"/>
      <w:r>
        <w:rPr>
          <w:rFonts w:ascii="Times New Roman" w:hAnsi="Times New Roman" w:cs="Times New Roman"/>
          <w:noProof w:val="0"/>
          <w:sz w:val="24"/>
          <w:szCs w:val="24"/>
        </w:rPr>
        <w:t xml:space="preserve">, </w:t>
      </w:r>
      <w:proofErr w:type="spellStart"/>
      <w:r w:rsidR="00745D83">
        <w:rPr>
          <w:rFonts w:ascii="Times New Roman" w:hAnsi="Times New Roman" w:cs="Times New Roman"/>
          <w:noProof w:val="0"/>
          <w:sz w:val="24"/>
          <w:szCs w:val="24"/>
        </w:rPr>
        <w:t>t</w:t>
      </w:r>
      <w:r w:rsidR="001A6CAC" w:rsidRPr="0039167F">
        <w:rPr>
          <w:rFonts w:ascii="Times New Roman" w:hAnsi="Times New Roman" w:cs="Times New Roman"/>
          <w:noProof w:val="0"/>
          <w:sz w:val="24"/>
          <w:szCs w:val="24"/>
        </w:rPr>
        <w:t>h</w:t>
      </w:r>
      <w:r>
        <w:rPr>
          <w:rFonts w:ascii="Times New Roman" w:hAnsi="Times New Roman" w:cs="Times New Roman"/>
          <w:noProof w:val="0"/>
          <w:sz w:val="24"/>
          <w:szCs w:val="24"/>
        </w:rPr>
        <w:t>e</w:t>
      </w:r>
      <w:proofErr w:type="spellEnd"/>
      <w:r w:rsidR="001A6CAC" w:rsidRPr="0039167F">
        <w:rPr>
          <w:rFonts w:ascii="Times New Roman" w:hAnsi="Times New Roman" w:cs="Times New Roman"/>
          <w:noProof w:val="0"/>
          <w:sz w:val="24"/>
          <w:szCs w:val="24"/>
        </w:rPr>
        <w:t xml:space="preserve"> </w:t>
      </w:r>
      <w:proofErr w:type="spellStart"/>
      <w:r w:rsidR="001A6CAC" w:rsidRPr="0039167F">
        <w:rPr>
          <w:rFonts w:ascii="Times New Roman" w:hAnsi="Times New Roman" w:cs="Times New Roman"/>
          <w:noProof w:val="0"/>
          <w:sz w:val="24"/>
          <w:szCs w:val="24"/>
        </w:rPr>
        <w:t>study</w:t>
      </w:r>
      <w:proofErr w:type="spellEnd"/>
      <w:r w:rsidR="001A6CAC" w:rsidRPr="0039167F">
        <w:rPr>
          <w:rFonts w:ascii="Times New Roman" w:hAnsi="Times New Roman" w:cs="Times New Roman"/>
          <w:noProof w:val="0"/>
          <w:sz w:val="24"/>
          <w:szCs w:val="24"/>
        </w:rPr>
        <w:t xml:space="preserve"> </w:t>
      </w:r>
      <w:proofErr w:type="spellStart"/>
      <w:r w:rsidR="001A6CAC" w:rsidRPr="0039167F">
        <w:rPr>
          <w:rFonts w:ascii="Times New Roman" w:hAnsi="Times New Roman" w:cs="Times New Roman"/>
          <w:noProof w:val="0"/>
          <w:sz w:val="24"/>
          <w:szCs w:val="24"/>
        </w:rPr>
        <w:t>plays</w:t>
      </w:r>
      <w:proofErr w:type="spellEnd"/>
      <w:r w:rsidR="001A6CAC" w:rsidRPr="0039167F">
        <w:rPr>
          <w:rFonts w:ascii="Times New Roman" w:hAnsi="Times New Roman" w:cs="Times New Roman"/>
          <w:noProof w:val="0"/>
          <w:sz w:val="24"/>
          <w:szCs w:val="24"/>
        </w:rPr>
        <w:t xml:space="preserve"> a role in the context of effective and sustainable waqf development. The importance of this study covers the social, cultural, economic, and religious aspects that influence the acceptance and application of commercial real estate waqf by the community.  This study can also identify and overcome the challenges and shortcomings in the implementation of the waqf. Knowledge of negative acceptance or misunderstanding that may arise in the community can help to plan effective communication strategies to improve acceptance and convey the benefits and purpose of commercial property waqf to the community. This can also provide an impetus for researchers and practitioners to study the impact and effectiveness of commercial real estate waqf in achieving the desired social and economic goals. By understanding the acceptance of society, we can assess the extent to which commercial real estate waqf provides benefits to society as a whole, including aspects of housing, community development, and economic sustainability.  </w:t>
      </w:r>
      <w:proofErr w:type="spellStart"/>
      <w:r w:rsidR="006E4D4E" w:rsidRPr="0039167F">
        <w:rPr>
          <w:rFonts w:ascii="Times New Roman" w:hAnsi="Times New Roman" w:cs="Times New Roman"/>
          <w:noProof w:val="0"/>
          <w:sz w:val="24"/>
          <w:szCs w:val="24"/>
        </w:rPr>
        <w:t>The</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importance</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of</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the</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study</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on</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the</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acceptance</w:t>
      </w:r>
      <w:proofErr w:type="spellEnd"/>
      <w:r w:rsidR="006E4D4E" w:rsidRPr="0039167F">
        <w:rPr>
          <w:rFonts w:ascii="Times New Roman" w:hAnsi="Times New Roman" w:cs="Times New Roman"/>
          <w:noProof w:val="0"/>
          <w:sz w:val="24"/>
          <w:szCs w:val="24"/>
        </w:rPr>
        <w:t xml:space="preserve"> and </w:t>
      </w:r>
      <w:proofErr w:type="spellStart"/>
      <w:r w:rsidR="006E4D4E" w:rsidRPr="0039167F">
        <w:rPr>
          <w:rFonts w:ascii="Times New Roman" w:hAnsi="Times New Roman" w:cs="Times New Roman"/>
          <w:noProof w:val="0"/>
          <w:sz w:val="24"/>
          <w:szCs w:val="24"/>
        </w:rPr>
        <w:t>desire</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of</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society</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towards</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the</w:t>
      </w:r>
      <w:proofErr w:type="spellEnd"/>
      <w:r w:rsidR="006E4D4E" w:rsidRPr="0039167F">
        <w:rPr>
          <w:rFonts w:ascii="Times New Roman" w:hAnsi="Times New Roman" w:cs="Times New Roman"/>
          <w:noProof w:val="0"/>
          <w:sz w:val="24"/>
          <w:szCs w:val="24"/>
        </w:rPr>
        <w:t xml:space="preserve"> agenda </w:t>
      </w:r>
      <w:proofErr w:type="spellStart"/>
      <w:r w:rsidR="006E4D4E" w:rsidRPr="0039167F">
        <w:rPr>
          <w:rFonts w:ascii="Times New Roman" w:hAnsi="Times New Roman" w:cs="Times New Roman"/>
          <w:noProof w:val="0"/>
          <w:sz w:val="24"/>
          <w:szCs w:val="24"/>
        </w:rPr>
        <w:t>of</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waqf</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of</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commercial</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real</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estate</w:t>
      </w:r>
      <w:proofErr w:type="spellEnd"/>
      <w:r w:rsidR="006E4D4E" w:rsidRPr="0039167F">
        <w:rPr>
          <w:rFonts w:ascii="Times New Roman" w:hAnsi="Times New Roman" w:cs="Times New Roman"/>
          <w:noProof w:val="0"/>
          <w:sz w:val="24"/>
          <w:szCs w:val="24"/>
        </w:rPr>
        <w:t xml:space="preserve"> (can </w:t>
      </w:r>
      <w:proofErr w:type="spellStart"/>
      <w:r w:rsidR="006E4D4E" w:rsidRPr="0039167F">
        <w:rPr>
          <w:rFonts w:ascii="Times New Roman" w:hAnsi="Times New Roman" w:cs="Times New Roman"/>
          <w:noProof w:val="0"/>
          <w:sz w:val="24"/>
          <w:szCs w:val="24"/>
        </w:rPr>
        <w:t>be</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seen</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from</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several</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perspectives</w:t>
      </w:r>
      <w:proofErr w:type="spellEnd"/>
      <w:r w:rsidR="006E4D4E" w:rsidRPr="0039167F">
        <w:rPr>
          <w:rFonts w:ascii="Times New Roman" w:hAnsi="Times New Roman" w:cs="Times New Roman"/>
          <w:noProof w:val="0"/>
          <w:sz w:val="24"/>
          <w:szCs w:val="24"/>
        </w:rPr>
        <w:t xml:space="preserve">, as </w:t>
      </w:r>
      <w:proofErr w:type="spellStart"/>
      <w:r w:rsidR="006E4D4E" w:rsidRPr="0039167F">
        <w:rPr>
          <w:rFonts w:ascii="Times New Roman" w:hAnsi="Times New Roman" w:cs="Times New Roman"/>
          <w:noProof w:val="0"/>
          <w:sz w:val="24"/>
          <w:szCs w:val="24"/>
        </w:rPr>
        <w:t>described</w:t>
      </w:r>
      <w:proofErr w:type="spellEnd"/>
      <w:r w:rsidR="006E4D4E" w:rsidRPr="0039167F">
        <w:rPr>
          <w:rFonts w:ascii="Times New Roman" w:hAnsi="Times New Roman" w:cs="Times New Roman"/>
          <w:noProof w:val="0"/>
          <w:sz w:val="24"/>
          <w:szCs w:val="24"/>
        </w:rPr>
        <w:t xml:space="preserve"> </w:t>
      </w:r>
      <w:proofErr w:type="spellStart"/>
      <w:r w:rsidR="006E4D4E" w:rsidRPr="0039167F">
        <w:rPr>
          <w:rFonts w:ascii="Times New Roman" w:hAnsi="Times New Roman" w:cs="Times New Roman"/>
          <w:noProof w:val="0"/>
          <w:sz w:val="24"/>
          <w:szCs w:val="24"/>
        </w:rPr>
        <w:t>below</w:t>
      </w:r>
      <w:proofErr w:type="spellEnd"/>
      <w:r w:rsidR="00745D83">
        <w:rPr>
          <w:rFonts w:ascii="Times New Roman" w:hAnsi="Times New Roman" w:cs="Times New Roman"/>
          <w:noProof w:val="0"/>
          <w:sz w:val="24"/>
          <w:szCs w:val="24"/>
        </w:rPr>
        <w:t>.</w:t>
      </w:r>
    </w:p>
    <w:p w14:paraId="030B7B61" w14:textId="77777777" w:rsidR="006E4D4E" w:rsidRDefault="006E4D4E" w:rsidP="005240D5">
      <w:pPr>
        <w:spacing w:line="360" w:lineRule="auto"/>
        <w:contextualSpacing/>
        <w:jc w:val="both"/>
        <w:rPr>
          <w:rFonts w:ascii="Times New Roman" w:hAnsi="Times New Roman" w:cs="Times New Roman"/>
          <w:noProof w:val="0"/>
          <w:sz w:val="24"/>
          <w:szCs w:val="24"/>
        </w:rPr>
      </w:pPr>
    </w:p>
    <w:p w14:paraId="560CEAF7" w14:textId="77777777" w:rsidR="00DA5135" w:rsidRPr="0039167F" w:rsidRDefault="00DA5135" w:rsidP="005240D5">
      <w:pPr>
        <w:spacing w:line="360" w:lineRule="auto"/>
        <w:contextualSpacing/>
        <w:jc w:val="both"/>
        <w:rPr>
          <w:rFonts w:ascii="Times New Roman" w:hAnsi="Times New Roman" w:cs="Times New Roman"/>
          <w:noProof w:val="0"/>
          <w:sz w:val="24"/>
          <w:szCs w:val="24"/>
        </w:rPr>
      </w:pPr>
    </w:p>
    <w:p w14:paraId="6010E90B" w14:textId="2ED6FE49" w:rsidR="006E4D4E" w:rsidRDefault="009F584A" w:rsidP="0055119E">
      <w:pPr>
        <w:spacing w:line="360" w:lineRule="auto"/>
        <w:contextualSpacing/>
        <w:jc w:val="center"/>
        <w:rPr>
          <w:rFonts w:ascii="Times New Roman" w:hAnsi="Times New Roman" w:cs="Times New Roman"/>
          <w:noProof w:val="0"/>
          <w:sz w:val="24"/>
          <w:szCs w:val="24"/>
        </w:rPr>
      </w:pPr>
      <w:r w:rsidRPr="009F584A">
        <w:rPr>
          <w:rFonts w:ascii="Times New Roman" w:hAnsi="Times New Roman" w:cs="Times New Roman"/>
          <w:noProof w:val="0"/>
          <w:sz w:val="20"/>
          <w:szCs w:val="20"/>
        </w:rPr>
        <w:t>COMMUNITY UNDERSTANDING AND ACCEPTANCE FACTOR (CUA)</w:t>
      </w:r>
      <w:bookmarkStart w:id="0" w:name="_Hlk137416897"/>
      <w:bookmarkEnd w:id="0"/>
    </w:p>
    <w:p w14:paraId="7C510037" w14:textId="77777777" w:rsidR="00DA5135" w:rsidRPr="0055119E" w:rsidRDefault="00DA5135" w:rsidP="0055119E">
      <w:pPr>
        <w:spacing w:line="360" w:lineRule="auto"/>
        <w:contextualSpacing/>
        <w:jc w:val="center"/>
        <w:rPr>
          <w:rFonts w:ascii="Times New Roman" w:hAnsi="Times New Roman" w:cs="Times New Roman"/>
          <w:noProof w:val="0"/>
          <w:sz w:val="24"/>
          <w:szCs w:val="24"/>
        </w:rPr>
      </w:pPr>
    </w:p>
    <w:p w14:paraId="0D1209D0" w14:textId="23CD6762" w:rsidR="005F7407" w:rsidRPr="0039167F" w:rsidRDefault="005F7407" w:rsidP="005240D5">
      <w:pPr>
        <w:spacing w:line="360" w:lineRule="auto"/>
        <w:contextualSpacing/>
        <w:jc w:val="both"/>
        <w:rPr>
          <w:rFonts w:ascii="Times New Roman" w:hAnsi="Times New Roman" w:cs="Times New Roman"/>
          <w:noProof w:val="0"/>
          <w:sz w:val="24"/>
          <w:szCs w:val="24"/>
        </w:rPr>
      </w:pP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community's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understanding</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acceptance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concept</w:t>
      </w:r>
      <w:proofErr w:type="spellEnd"/>
      <w:r w:rsidRPr="0039167F">
        <w:rPr>
          <w:rFonts w:ascii="Times New Roman" w:hAnsi="Times New Roman" w:cs="Times New Roman"/>
          <w:noProof w:val="0"/>
          <w:sz w:val="24"/>
          <w:szCs w:val="24"/>
        </w:rPr>
        <w:t xml:space="preserve"> of waqf and its benefits in the context of commercial real estate can help to increase the contribution, participation</w:t>
      </w:r>
      <w:r w:rsidR="006A132D">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and community support towards the implementation of the waqf. Good knowledge and high awareness of waqf commercial properties will strengthen the community's commitment to contribute and engage in waqf activities. The public's understanding and acceptance of commercial property waqf plays an important role in the effectiveness and success of the implementation of the waqf. The importance of understanding and acceptance of society can be seen from several aspects. A good understanding of the concept of waqf and its benefits in the context of commercial real estate enables society to reali</w:t>
      </w:r>
      <w:r w:rsidR="006A132D">
        <w:rPr>
          <w:rFonts w:ascii="Times New Roman" w:hAnsi="Times New Roman" w:cs="Times New Roman"/>
          <w:noProof w:val="0"/>
          <w:sz w:val="24"/>
          <w:szCs w:val="24"/>
        </w:rPr>
        <w:t>z</w:t>
      </w:r>
      <w:r w:rsidRPr="0039167F">
        <w:rPr>
          <w:rFonts w:ascii="Times New Roman" w:hAnsi="Times New Roman" w:cs="Times New Roman"/>
          <w:noProof w:val="0"/>
          <w:sz w:val="24"/>
          <w:szCs w:val="24"/>
        </w:rPr>
        <w:t xml:space="preserve">e the value and potential of socio-economic development that can be achieved through commercial real estate waqf. This understanding also provides awareness to the community on the importance of strengthening contributions and involvement in the implementation of waqf, especially in the financing and management of commercial property projects. In addition, the public's acceptance of commercial real estate waqf affects the sustainability and effectiveness of the implementation of the waqf. Strong community support will facilitate fundraising, asset management, and utilization of waqf proceeds for the benefit of society as a whole. This acceptance also ensures the integrity of the management and the distribution of waqf benefits to the entitled recipients. </w:t>
      </w:r>
    </w:p>
    <w:p w14:paraId="55966566" w14:textId="40194AA1" w:rsidR="0039167F" w:rsidRPr="0039167F" w:rsidRDefault="006E4D4E" w:rsidP="005240D5">
      <w:pPr>
        <w:spacing w:line="360" w:lineRule="auto"/>
        <w:ind w:firstLine="567"/>
        <w:contextualSpacing/>
        <w:jc w:val="both"/>
        <w:rPr>
          <w:rFonts w:ascii="Times New Roman" w:hAnsi="Times New Roman" w:cs="Times New Roman"/>
          <w:noProof w:val="0"/>
          <w:sz w:val="24"/>
          <w:szCs w:val="24"/>
        </w:rPr>
      </w:pPr>
      <w:r w:rsidRPr="0039167F">
        <w:rPr>
          <w:rFonts w:ascii="Times New Roman" w:hAnsi="Times New Roman" w:cs="Times New Roman"/>
          <w:noProof w:val="0"/>
          <w:sz w:val="24"/>
          <w:szCs w:val="24"/>
        </w:rPr>
        <w:t xml:space="preserve">In </w:t>
      </w:r>
      <w:proofErr w:type="spellStart"/>
      <w:r w:rsidRPr="0039167F">
        <w:rPr>
          <w:rFonts w:ascii="Times New Roman" w:hAnsi="Times New Roman" w:cs="Times New Roman"/>
          <w:noProof w:val="0"/>
          <w:sz w:val="24"/>
          <w:szCs w:val="24"/>
        </w:rPr>
        <w:t>addition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understanding</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acceptance</w:t>
      </w:r>
      <w:proofErr w:type="spellEnd"/>
      <w:r w:rsidRPr="0039167F">
        <w:rPr>
          <w:rFonts w:ascii="Times New Roman" w:hAnsi="Times New Roman" w:cs="Times New Roman"/>
          <w:noProof w:val="0"/>
          <w:sz w:val="24"/>
          <w:szCs w:val="24"/>
        </w:rPr>
        <w:t xml:space="preserve"> of society helps to overcome the challenges and shortcomings that may arise in the implementation of commercial real estate waqf. With the right understanding, the community can provide constructive views and suggestions to enhance the implementation of commercial real estate waqf, overcome concerns and doubts, as well as improve the negative acceptance that may be present. </w:t>
      </w:r>
      <w:r w:rsidR="006A132D">
        <w:rPr>
          <w:rFonts w:ascii="Times New Roman" w:hAnsi="Times New Roman" w:cs="Times New Roman"/>
          <w:noProof w:val="0"/>
          <w:sz w:val="24"/>
          <w:szCs w:val="24"/>
        </w:rPr>
        <w:t>U</w:t>
      </w:r>
      <w:r w:rsidRPr="0039167F">
        <w:rPr>
          <w:rFonts w:ascii="Times New Roman" w:hAnsi="Times New Roman" w:cs="Times New Roman"/>
          <w:noProof w:val="0"/>
          <w:sz w:val="24"/>
          <w:szCs w:val="24"/>
        </w:rPr>
        <w:t xml:space="preserve">nderstanding and acceptance of society also allow for the development of more effective communication strategies. Good communication with the community about the benefits and purpose of commercial real estate waqf can build trust, eliminate misunderstandings, and strengthen society's commitment to the waqf. Thus, understanding and acceptance of society helps to promote the values of waqf in society more broadly. With a good understanding, society can recognize the potential of commercial real estate waqf as an instrument that can </w:t>
      </w:r>
      <w:proofErr w:type="spellStart"/>
      <w:r w:rsidRPr="0039167F">
        <w:rPr>
          <w:rFonts w:ascii="Times New Roman" w:hAnsi="Times New Roman" w:cs="Times New Roman"/>
          <w:noProof w:val="0"/>
          <w:sz w:val="24"/>
          <w:szCs w:val="24"/>
        </w:rPr>
        <w:t>help</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meet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social</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economic</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needs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community</w:t>
      </w:r>
      <w:proofErr w:type="spellEnd"/>
      <w:r w:rsidRPr="0039167F">
        <w:rPr>
          <w:rFonts w:ascii="Times New Roman" w:hAnsi="Times New Roman" w:cs="Times New Roman"/>
          <w:noProof w:val="0"/>
          <w:sz w:val="24"/>
          <w:szCs w:val="24"/>
        </w:rPr>
        <w:t xml:space="preserve">, as </w:t>
      </w:r>
      <w:proofErr w:type="spellStart"/>
      <w:r w:rsidRPr="0039167F">
        <w:rPr>
          <w:rFonts w:ascii="Times New Roman" w:hAnsi="Times New Roman" w:cs="Times New Roman"/>
          <w:noProof w:val="0"/>
          <w:sz w:val="24"/>
          <w:szCs w:val="24"/>
        </w:rPr>
        <w:t>well</w:t>
      </w:r>
      <w:proofErr w:type="spellEnd"/>
      <w:r w:rsidRPr="0039167F">
        <w:rPr>
          <w:rFonts w:ascii="Times New Roman" w:hAnsi="Times New Roman" w:cs="Times New Roman"/>
          <w:noProof w:val="0"/>
          <w:sz w:val="24"/>
          <w:szCs w:val="24"/>
        </w:rPr>
        <w:t xml:space="preserve"> as </w:t>
      </w:r>
      <w:proofErr w:type="spellStart"/>
      <w:r w:rsidRPr="0039167F">
        <w:rPr>
          <w:rFonts w:ascii="Times New Roman" w:hAnsi="Times New Roman" w:cs="Times New Roman"/>
          <w:noProof w:val="0"/>
          <w:sz w:val="24"/>
          <w:szCs w:val="24"/>
        </w:rPr>
        <w:t>strengthen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its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role</w:t>
      </w:r>
      <w:proofErr w:type="spellEnd"/>
      <w:r w:rsidRPr="0039167F">
        <w:rPr>
          <w:rFonts w:ascii="Times New Roman" w:hAnsi="Times New Roman" w:cs="Times New Roman"/>
          <w:noProof w:val="0"/>
          <w:sz w:val="24"/>
          <w:szCs w:val="24"/>
        </w:rPr>
        <w:t xml:space="preserve"> in </w:t>
      </w:r>
      <w:proofErr w:type="spellStart"/>
      <w:r w:rsidRPr="0039167F">
        <w:rPr>
          <w:rFonts w:ascii="Times New Roman" w:hAnsi="Times New Roman" w:cs="Times New Roman"/>
          <w:noProof w:val="0"/>
          <w:sz w:val="24"/>
          <w:szCs w:val="24"/>
        </w:rPr>
        <w:t>sustainable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development</w:t>
      </w:r>
      <w:proofErr w:type="spellEnd"/>
      <w:r w:rsidRPr="0039167F">
        <w:rPr>
          <w:rFonts w:ascii="Times New Roman" w:hAnsi="Times New Roman" w:cs="Times New Roman"/>
          <w:noProof w:val="0"/>
          <w:sz w:val="24"/>
          <w:szCs w:val="24"/>
        </w:rPr>
        <w:t>.</w:t>
      </w:r>
      <w:r w:rsidR="00745D83">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Thus</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the</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hypothesis</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for</w:t>
      </w:r>
      <w:proofErr w:type="spellEnd"/>
      <w:r w:rsidR="0039167F" w:rsidRPr="0039167F">
        <w:rPr>
          <w:rFonts w:ascii="Times New Roman" w:hAnsi="Times New Roman" w:cs="Times New Roman"/>
          <w:noProof w:val="0"/>
          <w:sz w:val="24"/>
          <w:szCs w:val="24"/>
        </w:rPr>
        <w:t xml:space="preserve"> that factor is:</w:t>
      </w:r>
    </w:p>
    <w:p w14:paraId="5361D8C8" w14:textId="3EAF8744" w:rsidR="0039167F" w:rsidRPr="0039167F" w:rsidRDefault="0039167F" w:rsidP="005240D5">
      <w:pPr>
        <w:spacing w:line="360" w:lineRule="auto"/>
        <w:contextualSpacing/>
        <w:jc w:val="both"/>
        <w:rPr>
          <w:rFonts w:ascii="Times New Roman" w:hAnsi="Times New Roman" w:cs="Times New Roman"/>
          <w:i/>
          <w:iCs/>
          <w:noProof w:val="0"/>
          <w:sz w:val="24"/>
          <w:szCs w:val="24"/>
        </w:rPr>
      </w:pPr>
      <w:r w:rsidRPr="0039167F">
        <w:rPr>
          <w:rFonts w:ascii="Times New Roman" w:hAnsi="Times New Roman" w:cs="Times New Roman"/>
          <w:i/>
          <w:iCs/>
          <w:noProof w:val="0"/>
          <w:sz w:val="24"/>
          <w:szCs w:val="24"/>
        </w:rPr>
        <w:lastRenderedPageBreak/>
        <w:t>H1: Community Understanding and Acceptance ha</w:t>
      </w:r>
      <w:r w:rsidR="006A132D">
        <w:rPr>
          <w:rFonts w:ascii="Times New Roman" w:hAnsi="Times New Roman" w:cs="Times New Roman"/>
          <w:i/>
          <w:iCs/>
          <w:noProof w:val="0"/>
          <w:sz w:val="24"/>
          <w:szCs w:val="24"/>
        </w:rPr>
        <w:t>ve</w:t>
      </w:r>
      <w:r w:rsidRPr="0039167F">
        <w:rPr>
          <w:rFonts w:ascii="Times New Roman" w:hAnsi="Times New Roman" w:cs="Times New Roman"/>
          <w:i/>
          <w:iCs/>
          <w:noProof w:val="0"/>
          <w:sz w:val="24"/>
          <w:szCs w:val="24"/>
        </w:rPr>
        <w:t xml:space="preserve"> a significant positive impact on the desire </w:t>
      </w:r>
      <w:r w:rsidR="006A132D">
        <w:rPr>
          <w:rFonts w:ascii="Times New Roman" w:hAnsi="Times New Roman" w:cs="Times New Roman"/>
          <w:i/>
          <w:iCs/>
          <w:noProof w:val="0"/>
          <w:sz w:val="24"/>
          <w:szCs w:val="24"/>
        </w:rPr>
        <w:t>for</w:t>
      </w:r>
      <w:r w:rsidRPr="0039167F">
        <w:rPr>
          <w:rFonts w:ascii="Times New Roman" w:hAnsi="Times New Roman" w:cs="Times New Roman"/>
          <w:i/>
          <w:iCs/>
          <w:noProof w:val="0"/>
          <w:sz w:val="24"/>
          <w:szCs w:val="24"/>
        </w:rPr>
        <w:t xml:space="preserve"> waqf commercial properties in Malaysian society.</w:t>
      </w:r>
    </w:p>
    <w:p w14:paraId="5A2AC2DB" w14:textId="0A1FF427" w:rsidR="005F7407" w:rsidRPr="006B6ABD" w:rsidRDefault="006B6ABD" w:rsidP="00C638BE">
      <w:pPr>
        <w:spacing w:line="360" w:lineRule="auto"/>
        <w:contextualSpacing/>
        <w:jc w:val="center"/>
        <w:rPr>
          <w:rFonts w:ascii="Times New Roman" w:hAnsi="Times New Roman" w:cs="Times New Roman"/>
          <w:noProof w:val="0"/>
          <w:sz w:val="20"/>
          <w:szCs w:val="20"/>
        </w:rPr>
      </w:pPr>
      <w:r w:rsidRPr="006B6ABD">
        <w:rPr>
          <w:rFonts w:ascii="Times New Roman" w:hAnsi="Times New Roman" w:cs="Times New Roman"/>
          <w:noProof w:val="0"/>
          <w:sz w:val="20"/>
          <w:szCs w:val="20"/>
        </w:rPr>
        <w:t>RELIGIOUS AND CULTURAL NORMS (RCN)</w:t>
      </w:r>
    </w:p>
    <w:p w14:paraId="7F455D83" w14:textId="77777777" w:rsidR="00DA5135" w:rsidRPr="00C638BE" w:rsidRDefault="00DA5135" w:rsidP="00C638BE">
      <w:pPr>
        <w:spacing w:line="360" w:lineRule="auto"/>
        <w:contextualSpacing/>
        <w:jc w:val="center"/>
        <w:rPr>
          <w:rFonts w:ascii="Times New Roman" w:hAnsi="Times New Roman" w:cs="Times New Roman"/>
          <w:i/>
          <w:iCs/>
          <w:noProof w:val="0"/>
          <w:sz w:val="24"/>
          <w:szCs w:val="24"/>
        </w:rPr>
      </w:pPr>
    </w:p>
    <w:p w14:paraId="4FCE1878" w14:textId="65BF3825" w:rsidR="005F7407" w:rsidRPr="0039167F" w:rsidRDefault="005F7407" w:rsidP="005240D5">
      <w:pPr>
        <w:spacing w:line="360" w:lineRule="auto"/>
        <w:contextualSpacing/>
        <w:jc w:val="both"/>
        <w:rPr>
          <w:rFonts w:ascii="Times New Roman" w:hAnsi="Times New Roman" w:cs="Times New Roman"/>
          <w:noProof w:val="0"/>
          <w:sz w:val="24"/>
          <w:szCs w:val="24"/>
        </w:rPr>
      </w:pPr>
      <w:r w:rsidRPr="0039167F">
        <w:rPr>
          <w:rFonts w:ascii="Times New Roman" w:hAnsi="Times New Roman" w:cs="Times New Roman"/>
          <w:noProof w:val="0"/>
          <w:sz w:val="24"/>
          <w:szCs w:val="24"/>
        </w:rPr>
        <w:t xml:space="preserve">Religious beliefs and cultural norms play an important role in shaping society's acceptance of the commercial property waqf agenda. Religion as a source of moral values and teachings is often the basis and justification for the implementation of waqf as a social and religious responsibility. Local culture such as traditions and norms can also influence the public's acceptance of commercial property waqf. Religious and cultural beliefs play an important role in shaping society's acceptance of the commercial property waqf agenda. Religion as a source of moral values and teachings is often the basis and justification for the implementation of waqf as a social and religious responsibility. Local culture such as traditions and norms can also influence the public's acceptance of commercial property waqf. Religion, as a key factor in shaping the acceptance of society, provides guidance and arguments that influence the way society views commercial real estate waqf. Islam, for example, encourages its ummah to do good deeds and make donations for the public good.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Ahmed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(2018) shows that religious teachings are one of the main factors influencing the attitude and intention of society to implement commercial real estate waqf.</w:t>
      </w:r>
    </w:p>
    <w:p w14:paraId="447697A0" w14:textId="2550C746" w:rsidR="005F7407" w:rsidRPr="0039167F" w:rsidRDefault="005F7407" w:rsidP="005240D5">
      <w:pPr>
        <w:spacing w:line="360" w:lineRule="auto"/>
        <w:ind w:firstLine="720"/>
        <w:contextualSpacing/>
        <w:jc w:val="both"/>
        <w:rPr>
          <w:rFonts w:ascii="Times New Roman" w:hAnsi="Times New Roman" w:cs="Times New Roman"/>
          <w:noProof w:val="0"/>
          <w:sz w:val="24"/>
          <w:szCs w:val="24"/>
        </w:rPr>
      </w:pPr>
      <w:r w:rsidRPr="0039167F">
        <w:rPr>
          <w:rFonts w:ascii="Times New Roman" w:hAnsi="Times New Roman" w:cs="Times New Roman"/>
          <w:noProof w:val="0"/>
          <w:sz w:val="24"/>
          <w:szCs w:val="24"/>
        </w:rPr>
        <w:t xml:space="preserve">In </w:t>
      </w:r>
      <w:proofErr w:type="spellStart"/>
      <w:r w:rsidRPr="0039167F">
        <w:rPr>
          <w:rFonts w:ascii="Times New Roman" w:hAnsi="Times New Roman" w:cs="Times New Roman"/>
          <w:noProof w:val="0"/>
          <w:sz w:val="24"/>
          <w:szCs w:val="24"/>
        </w:rPr>
        <w:t>addition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local</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culture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also</w:t>
      </w:r>
      <w:proofErr w:type="spellEnd"/>
      <w:r w:rsidRPr="0039167F">
        <w:rPr>
          <w:rFonts w:ascii="Times New Roman" w:hAnsi="Times New Roman" w:cs="Times New Roman"/>
          <w:noProof w:val="0"/>
          <w:sz w:val="24"/>
          <w:szCs w:val="24"/>
        </w:rPr>
        <w:t xml:space="preserve"> plays a role in shaping the community's acceptance of commercial property waqf. Cultural traditions and norms are often the basis for the public's assessment of the effectiveness and relevance of commercial property waqf in the local context. A study by Razak et al. (2019) shows that local cultural norms and traditions influence society's acceptance of commercial property waqf in Malaysia. In the cultural context, traditions and norms also form a society's understanding of commercial real estate waqf. Local culture reflects the way of life and beliefs of the community, and a study by Ibrahim and Ali (2019) shows that local culture influences the public's acceptance of commercial property waqf in Malaysia.</w:t>
      </w:r>
    </w:p>
    <w:p w14:paraId="2BFCCB9F" w14:textId="67DE2E0F" w:rsidR="0039167F" w:rsidRDefault="005F7407" w:rsidP="005240D5">
      <w:pPr>
        <w:spacing w:line="360" w:lineRule="auto"/>
        <w:ind w:firstLine="720"/>
        <w:contextualSpacing/>
        <w:jc w:val="both"/>
        <w:rPr>
          <w:rFonts w:ascii="Times New Roman" w:hAnsi="Times New Roman" w:cs="Times New Roman"/>
          <w:noProof w:val="0"/>
          <w:sz w:val="24"/>
          <w:szCs w:val="24"/>
        </w:rPr>
      </w:pPr>
      <w:r w:rsidRPr="0039167F">
        <w:rPr>
          <w:rFonts w:ascii="Times New Roman" w:hAnsi="Times New Roman" w:cs="Times New Roman"/>
          <w:noProof w:val="0"/>
          <w:sz w:val="24"/>
          <w:szCs w:val="24"/>
        </w:rPr>
        <w:t xml:space="preserve">In </w:t>
      </w:r>
      <w:proofErr w:type="spellStart"/>
      <w:r w:rsidRPr="0039167F">
        <w:rPr>
          <w:rFonts w:ascii="Times New Roman" w:hAnsi="Times New Roman" w:cs="Times New Roman"/>
          <w:noProof w:val="0"/>
          <w:sz w:val="24"/>
          <w:szCs w:val="24"/>
        </w:rPr>
        <w:t>addition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religious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cultural</w:t>
      </w:r>
      <w:proofErr w:type="spellEnd"/>
      <w:r w:rsidRPr="0039167F">
        <w:rPr>
          <w:rFonts w:ascii="Times New Roman" w:hAnsi="Times New Roman" w:cs="Times New Roman"/>
          <w:noProof w:val="0"/>
          <w:sz w:val="24"/>
          <w:szCs w:val="24"/>
        </w:rPr>
        <w:t xml:space="preserve"> beliefs also play a role in the public's understanding and knowledge of the concept of waqf and its benefits in the context of commercial real estate. Religion as a source of moral teachings and values often provides a deep understanding of social and religious responsibility in contributing to society. A study by Abdul Aziz et al. (2017) shows </w:t>
      </w:r>
      <w:proofErr w:type="spellStart"/>
      <w:r w:rsidRPr="0039167F">
        <w:rPr>
          <w:rFonts w:ascii="Times New Roman" w:hAnsi="Times New Roman" w:cs="Times New Roman"/>
          <w:noProof w:val="0"/>
          <w:sz w:val="24"/>
          <w:szCs w:val="24"/>
        </w:rPr>
        <w:t>that</w:t>
      </w:r>
      <w:proofErr w:type="spellEnd"/>
      <w:r w:rsidRPr="0039167F">
        <w:rPr>
          <w:rFonts w:ascii="Times New Roman" w:hAnsi="Times New Roman" w:cs="Times New Roman"/>
          <w:noProof w:val="0"/>
          <w:sz w:val="24"/>
          <w:szCs w:val="24"/>
        </w:rPr>
        <w:t xml:space="preserve"> a </w:t>
      </w:r>
      <w:proofErr w:type="spellStart"/>
      <w:r w:rsidRPr="0039167F">
        <w:rPr>
          <w:rFonts w:ascii="Times New Roman" w:hAnsi="Times New Roman" w:cs="Times New Roman"/>
          <w:noProof w:val="0"/>
          <w:sz w:val="24"/>
          <w:szCs w:val="24"/>
        </w:rPr>
        <w:t>good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understanding</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religion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influences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society's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understanding</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waqf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its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benefits</w:t>
      </w:r>
      <w:proofErr w:type="spellEnd"/>
      <w:r w:rsidRPr="0039167F">
        <w:rPr>
          <w:rFonts w:ascii="Times New Roman" w:hAnsi="Times New Roman" w:cs="Times New Roman"/>
          <w:noProof w:val="0"/>
          <w:sz w:val="24"/>
          <w:szCs w:val="24"/>
        </w:rPr>
        <w:t xml:space="preserve"> in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context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commercial</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real</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estate</w:t>
      </w:r>
      <w:proofErr w:type="spellEnd"/>
      <w:r w:rsidRPr="0039167F">
        <w:rPr>
          <w:rFonts w:ascii="Times New Roman" w:hAnsi="Times New Roman" w:cs="Times New Roman"/>
          <w:noProof w:val="0"/>
          <w:sz w:val="24"/>
          <w:szCs w:val="24"/>
        </w:rPr>
        <w:t>.</w:t>
      </w:r>
      <w:r w:rsidR="00745D83">
        <w:rPr>
          <w:rFonts w:ascii="Times New Roman" w:hAnsi="Times New Roman" w:cs="Times New Roman"/>
          <w:noProof w:val="0"/>
          <w:sz w:val="24"/>
          <w:szCs w:val="24"/>
        </w:rPr>
        <w:t xml:space="preserve"> </w:t>
      </w:r>
      <w:proofErr w:type="spellStart"/>
      <w:r w:rsidR="0039167F">
        <w:rPr>
          <w:rFonts w:ascii="Times New Roman" w:hAnsi="Times New Roman" w:cs="Times New Roman"/>
          <w:noProof w:val="0"/>
          <w:sz w:val="24"/>
          <w:szCs w:val="24"/>
        </w:rPr>
        <w:t>Thus</w:t>
      </w:r>
      <w:proofErr w:type="spellEnd"/>
      <w:r w:rsidR="0039167F">
        <w:rPr>
          <w:rFonts w:ascii="Times New Roman" w:hAnsi="Times New Roman" w:cs="Times New Roman"/>
          <w:noProof w:val="0"/>
          <w:sz w:val="24"/>
          <w:szCs w:val="24"/>
        </w:rPr>
        <w:t xml:space="preserve">, </w:t>
      </w:r>
      <w:proofErr w:type="spellStart"/>
      <w:r w:rsidR="0039167F">
        <w:rPr>
          <w:rFonts w:ascii="Times New Roman" w:hAnsi="Times New Roman" w:cs="Times New Roman"/>
          <w:noProof w:val="0"/>
          <w:sz w:val="24"/>
          <w:szCs w:val="24"/>
        </w:rPr>
        <w:t>the</w:t>
      </w:r>
      <w:proofErr w:type="spellEnd"/>
      <w:r w:rsidR="0039167F">
        <w:rPr>
          <w:rFonts w:ascii="Times New Roman" w:hAnsi="Times New Roman" w:cs="Times New Roman"/>
          <w:noProof w:val="0"/>
          <w:sz w:val="24"/>
          <w:szCs w:val="24"/>
        </w:rPr>
        <w:t xml:space="preserve"> </w:t>
      </w:r>
      <w:proofErr w:type="spellStart"/>
      <w:r w:rsidR="0039167F">
        <w:rPr>
          <w:rFonts w:ascii="Times New Roman" w:hAnsi="Times New Roman" w:cs="Times New Roman"/>
          <w:noProof w:val="0"/>
          <w:sz w:val="24"/>
          <w:szCs w:val="24"/>
        </w:rPr>
        <w:t>hypothesis</w:t>
      </w:r>
      <w:proofErr w:type="spellEnd"/>
      <w:r w:rsidR="0039167F">
        <w:rPr>
          <w:rFonts w:ascii="Times New Roman" w:hAnsi="Times New Roman" w:cs="Times New Roman"/>
          <w:noProof w:val="0"/>
          <w:sz w:val="24"/>
          <w:szCs w:val="24"/>
        </w:rPr>
        <w:t xml:space="preserve"> </w:t>
      </w:r>
      <w:proofErr w:type="spellStart"/>
      <w:r w:rsidR="0039167F">
        <w:rPr>
          <w:rFonts w:ascii="Times New Roman" w:hAnsi="Times New Roman" w:cs="Times New Roman"/>
          <w:noProof w:val="0"/>
          <w:sz w:val="24"/>
          <w:szCs w:val="24"/>
        </w:rPr>
        <w:t>for</w:t>
      </w:r>
      <w:proofErr w:type="spellEnd"/>
      <w:r w:rsidR="0039167F">
        <w:rPr>
          <w:rFonts w:ascii="Times New Roman" w:hAnsi="Times New Roman" w:cs="Times New Roman"/>
          <w:noProof w:val="0"/>
          <w:sz w:val="24"/>
          <w:szCs w:val="24"/>
        </w:rPr>
        <w:t xml:space="preserve"> that factor is:</w:t>
      </w:r>
    </w:p>
    <w:p w14:paraId="5BF2D24D" w14:textId="62A107E3" w:rsidR="0039167F" w:rsidRPr="0039167F" w:rsidRDefault="0039167F" w:rsidP="005240D5">
      <w:pPr>
        <w:spacing w:line="360" w:lineRule="auto"/>
        <w:contextualSpacing/>
        <w:jc w:val="both"/>
        <w:rPr>
          <w:rFonts w:ascii="Times New Roman" w:hAnsi="Times New Roman" w:cs="Times New Roman"/>
          <w:i/>
          <w:iCs/>
          <w:noProof w:val="0"/>
          <w:sz w:val="24"/>
          <w:szCs w:val="24"/>
        </w:rPr>
      </w:pPr>
      <w:r w:rsidRPr="0039167F">
        <w:rPr>
          <w:rFonts w:ascii="Times New Roman" w:hAnsi="Times New Roman" w:cs="Times New Roman"/>
          <w:i/>
          <w:iCs/>
          <w:noProof w:val="0"/>
          <w:sz w:val="24"/>
          <w:szCs w:val="24"/>
        </w:rPr>
        <w:t xml:space="preserve">H2: Religious holdings and cultural norms have a significant positive impact on the desire </w:t>
      </w:r>
      <w:r w:rsidR="006A132D">
        <w:rPr>
          <w:rFonts w:ascii="Times New Roman" w:hAnsi="Times New Roman" w:cs="Times New Roman"/>
          <w:i/>
          <w:iCs/>
          <w:noProof w:val="0"/>
          <w:sz w:val="24"/>
          <w:szCs w:val="24"/>
        </w:rPr>
        <w:t>for</w:t>
      </w:r>
      <w:r w:rsidRPr="0039167F">
        <w:rPr>
          <w:rFonts w:ascii="Times New Roman" w:hAnsi="Times New Roman" w:cs="Times New Roman"/>
          <w:i/>
          <w:iCs/>
          <w:noProof w:val="0"/>
          <w:sz w:val="24"/>
          <w:szCs w:val="24"/>
        </w:rPr>
        <w:t xml:space="preserve"> commercial property waqf in Malaysian society.</w:t>
      </w:r>
    </w:p>
    <w:p w14:paraId="297840D1" w14:textId="676AA0AB" w:rsidR="005F7407" w:rsidRPr="00C638BE" w:rsidRDefault="005F7407" w:rsidP="00C638BE">
      <w:pPr>
        <w:spacing w:line="360" w:lineRule="auto"/>
        <w:contextualSpacing/>
        <w:jc w:val="center"/>
        <w:rPr>
          <w:rFonts w:ascii="Times New Roman" w:hAnsi="Times New Roman" w:cs="Times New Roman"/>
          <w:i/>
          <w:iCs/>
          <w:noProof w:val="0"/>
          <w:sz w:val="24"/>
          <w:szCs w:val="24"/>
        </w:rPr>
      </w:pPr>
    </w:p>
    <w:p w14:paraId="32D3E77E" w14:textId="68A85854" w:rsidR="00F94DDE" w:rsidRPr="006B6ABD" w:rsidRDefault="006B6ABD" w:rsidP="00C638BE">
      <w:pPr>
        <w:spacing w:line="360" w:lineRule="auto"/>
        <w:contextualSpacing/>
        <w:jc w:val="center"/>
        <w:rPr>
          <w:rFonts w:ascii="Times New Roman" w:hAnsi="Times New Roman" w:cs="Times New Roman"/>
          <w:noProof w:val="0"/>
          <w:sz w:val="20"/>
          <w:szCs w:val="20"/>
        </w:rPr>
      </w:pPr>
      <w:r w:rsidRPr="006B6ABD">
        <w:rPr>
          <w:rFonts w:ascii="Times New Roman" w:hAnsi="Times New Roman" w:cs="Times New Roman"/>
          <w:noProof w:val="0"/>
          <w:sz w:val="20"/>
          <w:szCs w:val="20"/>
        </w:rPr>
        <w:t>TRUST IN MANAGEMENT AND ADMINISTRATIVE TRANSPARENCY (TMAT)</w:t>
      </w:r>
    </w:p>
    <w:p w14:paraId="555550B2" w14:textId="77777777" w:rsidR="00DA5135" w:rsidRPr="00C638BE" w:rsidRDefault="00DA5135" w:rsidP="00C638BE">
      <w:pPr>
        <w:spacing w:line="360" w:lineRule="auto"/>
        <w:contextualSpacing/>
        <w:jc w:val="center"/>
        <w:rPr>
          <w:rFonts w:ascii="Times New Roman" w:hAnsi="Times New Roman" w:cs="Times New Roman"/>
          <w:i/>
          <w:iCs/>
          <w:noProof w:val="0"/>
          <w:sz w:val="24"/>
          <w:szCs w:val="24"/>
        </w:rPr>
      </w:pPr>
    </w:p>
    <w:p w14:paraId="10A54CAF" w14:textId="73D9D28F" w:rsidR="00882A0B" w:rsidRPr="0039167F" w:rsidRDefault="005F7407" w:rsidP="005240D5">
      <w:pPr>
        <w:spacing w:line="360" w:lineRule="auto"/>
        <w:contextualSpacing/>
        <w:jc w:val="both"/>
        <w:rPr>
          <w:rFonts w:ascii="Times New Roman" w:hAnsi="Times New Roman" w:cs="Times New Roman"/>
          <w:noProof w:val="0"/>
          <w:sz w:val="24"/>
          <w:szCs w:val="24"/>
        </w:rPr>
      </w:pPr>
      <w:proofErr w:type="spellStart"/>
      <w:r w:rsidRPr="0039167F">
        <w:rPr>
          <w:rFonts w:ascii="Times New Roman" w:hAnsi="Times New Roman" w:cs="Times New Roman"/>
          <w:noProof w:val="0"/>
          <w:sz w:val="24"/>
          <w:szCs w:val="24"/>
        </w:rPr>
        <w:t>Public</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trust</w:t>
      </w:r>
      <w:proofErr w:type="spellEnd"/>
      <w:r w:rsidRPr="0039167F">
        <w:rPr>
          <w:rFonts w:ascii="Times New Roman" w:hAnsi="Times New Roman" w:cs="Times New Roman"/>
          <w:noProof w:val="0"/>
          <w:sz w:val="24"/>
          <w:szCs w:val="24"/>
        </w:rPr>
        <w:t xml:space="preserve"> in </w:t>
      </w:r>
      <w:proofErr w:type="spellStart"/>
      <w:r w:rsidRPr="0039167F">
        <w:rPr>
          <w:rFonts w:ascii="Times New Roman" w:hAnsi="Times New Roman" w:cs="Times New Roman"/>
          <w:noProof w:val="0"/>
          <w:sz w:val="24"/>
          <w:szCs w:val="24"/>
        </w:rPr>
        <w:t>management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transparency</w:t>
      </w:r>
      <w:proofErr w:type="spellEnd"/>
      <w:r w:rsidRPr="0039167F">
        <w:rPr>
          <w:rFonts w:ascii="Times New Roman" w:hAnsi="Times New Roman" w:cs="Times New Roman"/>
          <w:noProof w:val="0"/>
          <w:sz w:val="24"/>
          <w:szCs w:val="24"/>
        </w:rPr>
        <w:t xml:space="preserve"> in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implementation of commercial property waqf is important to ensure the sustainability and integrity of waqf. Studies in this area allow us to identify the needs and concerns of society regarding the administration of waqf assets, fund management, and the involvement of beneficiaries. Community trust is an important foundation to ensure continuous support of commercial property waqf and safeguard the integrity of waqf property for long-term benefits. The Community Trust Factor in Management and Administrative Transparency is an important aspect in the context of organizational and administrative maintenance. The importance of public trust in administrative management and transparency reflects the desired conditions in society to ensure efficient and effective governance. </w:t>
      </w:r>
      <w:r w:rsidR="007C4A83">
        <w:rPr>
          <w:rFonts w:ascii="Times New Roman" w:hAnsi="Times New Roman" w:cs="Times New Roman"/>
          <w:noProof w:val="0"/>
          <w:sz w:val="24"/>
          <w:szCs w:val="24"/>
        </w:rPr>
        <w:t>Several factors</w:t>
      </w:r>
      <w:r w:rsidRPr="0039167F">
        <w:rPr>
          <w:rFonts w:ascii="Times New Roman" w:hAnsi="Times New Roman" w:cs="Times New Roman"/>
          <w:noProof w:val="0"/>
          <w:sz w:val="24"/>
          <w:szCs w:val="24"/>
        </w:rPr>
        <w:t xml:space="preserve"> influence public trust in administrative management and transparency. Integrity and administrative ethics play an important role in shaping public trust. Transparent, fair, and ethical governance reflects good practice and gains community support. </w:t>
      </w:r>
      <w:proofErr w:type="spellStart"/>
      <w:r w:rsidRPr="0039167F">
        <w:rPr>
          <w:rFonts w:ascii="Times New Roman" w:hAnsi="Times New Roman" w:cs="Times New Roman"/>
          <w:noProof w:val="0"/>
          <w:sz w:val="24"/>
          <w:szCs w:val="24"/>
        </w:rPr>
        <w:t>According</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to</w:t>
      </w:r>
      <w:proofErr w:type="spellEnd"/>
      <w:r w:rsidRPr="0039167F">
        <w:rPr>
          <w:rFonts w:ascii="Times New Roman" w:hAnsi="Times New Roman" w:cs="Times New Roman"/>
          <w:noProof w:val="0"/>
          <w:sz w:val="24"/>
          <w:szCs w:val="24"/>
        </w:rPr>
        <w:t xml:space="preserve">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Mayer</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(1995), integrity and honesty are key factors that influence public trust in administration.</w:t>
      </w:r>
    </w:p>
    <w:p w14:paraId="1D727051" w14:textId="6756E2FB" w:rsidR="0039167F" w:rsidRDefault="00882A0B" w:rsidP="005240D5">
      <w:pPr>
        <w:spacing w:line="360" w:lineRule="auto"/>
        <w:ind w:firstLine="720"/>
        <w:contextualSpacing/>
        <w:jc w:val="both"/>
        <w:rPr>
          <w:rFonts w:ascii="Times New Roman" w:hAnsi="Times New Roman" w:cs="Times New Roman"/>
          <w:noProof w:val="0"/>
          <w:sz w:val="24"/>
          <w:szCs w:val="24"/>
        </w:rPr>
      </w:pPr>
      <w:r w:rsidRPr="0039167F">
        <w:rPr>
          <w:rFonts w:ascii="Times New Roman" w:hAnsi="Times New Roman" w:cs="Times New Roman"/>
          <w:noProof w:val="0"/>
          <w:sz w:val="24"/>
          <w:szCs w:val="24"/>
        </w:rPr>
        <w:t xml:space="preserve">In addition, transparency and accountability in the management of organizations affect public trust. When the administration practices transparency, displaying accurate and up-to-date information to the community, trust can be built.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w:t>
      </w:r>
      <w:r w:rsidR="002D6A44">
        <w:rPr>
          <w:rFonts w:ascii="Times New Roman" w:hAnsi="Times New Roman" w:cs="Times New Roman"/>
          <w:noProof w:val="0"/>
          <w:sz w:val="24"/>
          <w:szCs w:val="24"/>
        </w:rPr>
        <w:t>e</w:t>
      </w:r>
      <w:r w:rsidRPr="0039167F">
        <w:rPr>
          <w:rFonts w:ascii="Times New Roman" w:hAnsi="Times New Roman" w:cs="Times New Roman"/>
          <w:noProof w:val="0"/>
          <w:sz w:val="24"/>
          <w:szCs w:val="24"/>
        </w:rPr>
        <w:t>langer</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 xml:space="preserve">, </w:t>
      </w:r>
      <w:r w:rsidRPr="0039167F">
        <w:rPr>
          <w:rFonts w:ascii="Times New Roman" w:hAnsi="Times New Roman" w:cs="Times New Roman"/>
          <w:noProof w:val="0"/>
          <w:sz w:val="24"/>
          <w:szCs w:val="24"/>
        </w:rPr>
        <w:t xml:space="preserve">(2008) </w:t>
      </w:r>
      <w:proofErr w:type="spellStart"/>
      <w:r w:rsidRPr="0039167F">
        <w:rPr>
          <w:rFonts w:ascii="Times New Roman" w:hAnsi="Times New Roman" w:cs="Times New Roman"/>
          <w:noProof w:val="0"/>
          <w:sz w:val="24"/>
          <w:szCs w:val="24"/>
        </w:rPr>
        <w:t>shows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that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transparency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is</w:t>
      </w:r>
      <w:proofErr w:type="spellEnd"/>
      <w:r w:rsidRPr="0039167F">
        <w:rPr>
          <w:rFonts w:ascii="Times New Roman" w:hAnsi="Times New Roman" w:cs="Times New Roman"/>
          <w:noProof w:val="0"/>
          <w:sz w:val="24"/>
          <w:szCs w:val="24"/>
        </w:rPr>
        <w:t xml:space="preserve"> a factor that influences public trust in administration. In addition, the effectiveness of the management and implementation of policies as well as a decision</w:t>
      </w:r>
      <w:r w:rsidR="006A132D">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making process that is fair and centralized to the public interest also gives </w:t>
      </w:r>
      <w:r w:rsidR="007C4A83">
        <w:rPr>
          <w:rFonts w:ascii="Times New Roman" w:hAnsi="Times New Roman" w:cs="Times New Roman"/>
          <w:noProof w:val="0"/>
          <w:sz w:val="24"/>
          <w:szCs w:val="24"/>
        </w:rPr>
        <w:t>RCN</w:t>
      </w:r>
      <w:r w:rsidRPr="0039167F">
        <w:rPr>
          <w:rFonts w:ascii="Times New Roman" w:hAnsi="Times New Roman" w:cs="Times New Roman"/>
          <w:noProof w:val="0"/>
          <w:sz w:val="24"/>
          <w:szCs w:val="24"/>
        </w:rPr>
        <w:t xml:space="preserve">ak the trust of the community. </w:t>
      </w:r>
      <w:proofErr w:type="spellStart"/>
      <w:r w:rsidRPr="0039167F">
        <w:rPr>
          <w:rFonts w:ascii="Times New Roman" w:hAnsi="Times New Roman" w:cs="Times New Roman"/>
          <w:noProof w:val="0"/>
          <w:sz w:val="24"/>
          <w:szCs w:val="24"/>
        </w:rPr>
        <w:t>Research</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Kim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(2012) underlines that society is more likely to trust an administration that can produce fair results and meet their needs. In addition, community involvement in management and administrative processes can help build trust. When society is </w:t>
      </w:r>
      <w:r w:rsidR="006A132D">
        <w:rPr>
          <w:rFonts w:ascii="Times New Roman" w:hAnsi="Times New Roman" w:cs="Times New Roman"/>
          <w:noProof w:val="0"/>
          <w:sz w:val="24"/>
          <w:szCs w:val="24"/>
        </w:rPr>
        <w:t>allowed</w:t>
      </w:r>
      <w:r w:rsidRPr="0039167F">
        <w:rPr>
          <w:rFonts w:ascii="Times New Roman" w:hAnsi="Times New Roman" w:cs="Times New Roman"/>
          <w:noProof w:val="0"/>
          <w:sz w:val="24"/>
          <w:szCs w:val="24"/>
        </w:rPr>
        <w:t xml:space="preserve"> to contribute opinions, give feedback, and engage in decision-making, trust can be enhanced.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Van </w:t>
      </w:r>
      <w:proofErr w:type="spellStart"/>
      <w:r w:rsidRPr="0039167F">
        <w:rPr>
          <w:rFonts w:ascii="Times New Roman" w:hAnsi="Times New Roman" w:cs="Times New Roman"/>
          <w:noProof w:val="0"/>
          <w:sz w:val="24"/>
          <w:szCs w:val="24"/>
        </w:rPr>
        <w:t>Dijk</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 xml:space="preserve">, </w:t>
      </w:r>
      <w:r w:rsidRPr="0039167F">
        <w:rPr>
          <w:rFonts w:ascii="Times New Roman" w:hAnsi="Times New Roman" w:cs="Times New Roman"/>
          <w:noProof w:val="0"/>
          <w:sz w:val="24"/>
          <w:szCs w:val="24"/>
        </w:rPr>
        <w:t xml:space="preserve">(2012) </w:t>
      </w:r>
      <w:proofErr w:type="spellStart"/>
      <w:r w:rsidRPr="0039167F">
        <w:rPr>
          <w:rFonts w:ascii="Times New Roman" w:hAnsi="Times New Roman" w:cs="Times New Roman"/>
          <w:noProof w:val="0"/>
          <w:sz w:val="24"/>
          <w:szCs w:val="24"/>
        </w:rPr>
        <w:t>showed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that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community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engagement</w:t>
      </w:r>
      <w:proofErr w:type="spellEnd"/>
      <w:r w:rsidRPr="0039167F">
        <w:rPr>
          <w:rFonts w:ascii="Times New Roman" w:hAnsi="Times New Roman" w:cs="Times New Roman"/>
          <w:noProof w:val="0"/>
          <w:sz w:val="24"/>
          <w:szCs w:val="24"/>
        </w:rPr>
        <w:t xml:space="preserve"> influences their belief in administration. In addition, effective communication is also important to gain public trust in administrative management and transparency. Clear, accurate</w:t>
      </w:r>
      <w:r w:rsidR="006A132D">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and continuous communication helps to develop positive acceptance and gain support from society. </w:t>
      </w:r>
      <w:proofErr w:type="spellStart"/>
      <w:r w:rsidRPr="0039167F">
        <w:rPr>
          <w:rFonts w:ascii="Times New Roman" w:hAnsi="Times New Roman" w:cs="Times New Roman"/>
          <w:noProof w:val="0"/>
          <w:sz w:val="24"/>
          <w:szCs w:val="24"/>
        </w:rPr>
        <w:t>According</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to</w:t>
      </w:r>
      <w:proofErr w:type="spellEnd"/>
      <w:r w:rsidRPr="0039167F">
        <w:rPr>
          <w:rFonts w:ascii="Times New Roman" w:hAnsi="Times New Roman" w:cs="Times New Roman"/>
          <w:noProof w:val="0"/>
          <w:sz w:val="24"/>
          <w:szCs w:val="24"/>
        </w:rPr>
        <w:t xml:space="preserve">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Moliner</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(2011), </w:t>
      </w:r>
      <w:proofErr w:type="spellStart"/>
      <w:r w:rsidRPr="0039167F">
        <w:rPr>
          <w:rFonts w:ascii="Times New Roman" w:hAnsi="Times New Roman" w:cs="Times New Roman"/>
          <w:noProof w:val="0"/>
          <w:sz w:val="24"/>
          <w:szCs w:val="24"/>
        </w:rPr>
        <w:t>good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communication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is</w:t>
      </w:r>
      <w:proofErr w:type="spellEnd"/>
      <w:r w:rsidRPr="0039167F">
        <w:rPr>
          <w:rFonts w:ascii="Times New Roman" w:hAnsi="Times New Roman" w:cs="Times New Roman"/>
          <w:noProof w:val="0"/>
          <w:sz w:val="24"/>
          <w:szCs w:val="24"/>
        </w:rPr>
        <w:t xml:space="preserve"> a </w:t>
      </w:r>
      <w:proofErr w:type="spellStart"/>
      <w:r w:rsidRPr="0039167F">
        <w:rPr>
          <w:rFonts w:ascii="Times New Roman" w:hAnsi="Times New Roman" w:cs="Times New Roman"/>
          <w:noProof w:val="0"/>
          <w:sz w:val="24"/>
          <w:szCs w:val="24"/>
        </w:rPr>
        <w:t>factor</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that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affects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public</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trust</w:t>
      </w:r>
      <w:proofErr w:type="spellEnd"/>
      <w:r w:rsidRPr="0039167F">
        <w:rPr>
          <w:rFonts w:ascii="Times New Roman" w:hAnsi="Times New Roman" w:cs="Times New Roman"/>
          <w:noProof w:val="0"/>
          <w:sz w:val="24"/>
          <w:szCs w:val="24"/>
        </w:rPr>
        <w:t xml:space="preserve"> in </w:t>
      </w:r>
      <w:proofErr w:type="spellStart"/>
      <w:r w:rsidRPr="0039167F">
        <w:rPr>
          <w:rFonts w:ascii="Times New Roman" w:hAnsi="Times New Roman" w:cs="Times New Roman"/>
          <w:noProof w:val="0"/>
          <w:sz w:val="24"/>
          <w:szCs w:val="24"/>
        </w:rPr>
        <w:t>administration</w:t>
      </w:r>
      <w:proofErr w:type="spellEnd"/>
      <w:r w:rsidRPr="0039167F">
        <w:rPr>
          <w:rFonts w:ascii="Times New Roman" w:hAnsi="Times New Roman" w:cs="Times New Roman"/>
          <w:noProof w:val="0"/>
          <w:sz w:val="24"/>
          <w:szCs w:val="24"/>
        </w:rPr>
        <w:t>.</w:t>
      </w:r>
      <w:r w:rsidR="00745D83">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Thus</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the</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hypothesis</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for</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that</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factor</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is</w:t>
      </w:r>
      <w:proofErr w:type="spellEnd"/>
      <w:r w:rsidR="0039167F" w:rsidRPr="0039167F">
        <w:rPr>
          <w:rFonts w:ascii="Times New Roman" w:hAnsi="Times New Roman" w:cs="Times New Roman"/>
          <w:noProof w:val="0"/>
          <w:sz w:val="24"/>
          <w:szCs w:val="24"/>
        </w:rPr>
        <w:t>:</w:t>
      </w:r>
    </w:p>
    <w:p w14:paraId="2AA6015D" w14:textId="6DC1D100" w:rsidR="0039167F" w:rsidRDefault="0039167F" w:rsidP="005240D5">
      <w:pPr>
        <w:spacing w:line="360" w:lineRule="auto"/>
        <w:contextualSpacing/>
        <w:jc w:val="both"/>
        <w:rPr>
          <w:rFonts w:ascii="Times New Roman" w:hAnsi="Times New Roman" w:cs="Times New Roman"/>
          <w:i/>
          <w:iCs/>
          <w:noProof w:val="0"/>
          <w:sz w:val="24"/>
          <w:szCs w:val="24"/>
        </w:rPr>
      </w:pPr>
      <w:r w:rsidRPr="0039167F">
        <w:rPr>
          <w:rFonts w:ascii="Times New Roman" w:hAnsi="Times New Roman" w:cs="Times New Roman"/>
          <w:i/>
          <w:iCs/>
          <w:noProof w:val="0"/>
          <w:sz w:val="24"/>
          <w:szCs w:val="24"/>
        </w:rPr>
        <w:lastRenderedPageBreak/>
        <w:t xml:space="preserve">H3: Trust in management and administrative transparency has a significant positive impact on the desire </w:t>
      </w:r>
      <w:proofErr w:type="spellStart"/>
      <w:r w:rsidR="006A132D">
        <w:rPr>
          <w:rFonts w:ascii="Times New Roman" w:hAnsi="Times New Roman" w:cs="Times New Roman"/>
          <w:i/>
          <w:iCs/>
          <w:noProof w:val="0"/>
          <w:sz w:val="24"/>
          <w:szCs w:val="24"/>
        </w:rPr>
        <w:t>for</w:t>
      </w:r>
      <w:proofErr w:type="spellEnd"/>
      <w:r w:rsidRPr="0039167F">
        <w:rPr>
          <w:rFonts w:ascii="Times New Roman" w:hAnsi="Times New Roman" w:cs="Times New Roman"/>
          <w:i/>
          <w:iCs/>
          <w:noProof w:val="0"/>
          <w:sz w:val="24"/>
          <w:szCs w:val="24"/>
        </w:rPr>
        <w:t xml:space="preserve"> </w:t>
      </w:r>
      <w:proofErr w:type="spellStart"/>
      <w:r w:rsidRPr="0039167F">
        <w:rPr>
          <w:rFonts w:ascii="Times New Roman" w:hAnsi="Times New Roman" w:cs="Times New Roman"/>
          <w:i/>
          <w:iCs/>
          <w:noProof w:val="0"/>
          <w:sz w:val="24"/>
          <w:szCs w:val="24"/>
        </w:rPr>
        <w:t>commercial</w:t>
      </w:r>
      <w:proofErr w:type="spellEnd"/>
      <w:r w:rsidRPr="0039167F">
        <w:rPr>
          <w:rFonts w:ascii="Times New Roman" w:hAnsi="Times New Roman" w:cs="Times New Roman"/>
          <w:i/>
          <w:iCs/>
          <w:noProof w:val="0"/>
          <w:sz w:val="24"/>
          <w:szCs w:val="24"/>
        </w:rPr>
        <w:t xml:space="preserve"> </w:t>
      </w:r>
      <w:proofErr w:type="spellStart"/>
      <w:r w:rsidRPr="0039167F">
        <w:rPr>
          <w:rFonts w:ascii="Times New Roman" w:hAnsi="Times New Roman" w:cs="Times New Roman"/>
          <w:i/>
          <w:iCs/>
          <w:noProof w:val="0"/>
          <w:sz w:val="24"/>
          <w:szCs w:val="24"/>
        </w:rPr>
        <w:t>property</w:t>
      </w:r>
      <w:proofErr w:type="spellEnd"/>
      <w:r w:rsidRPr="0039167F">
        <w:rPr>
          <w:rFonts w:ascii="Times New Roman" w:hAnsi="Times New Roman" w:cs="Times New Roman"/>
          <w:i/>
          <w:iCs/>
          <w:noProof w:val="0"/>
          <w:sz w:val="24"/>
          <w:szCs w:val="24"/>
        </w:rPr>
        <w:t xml:space="preserve"> </w:t>
      </w:r>
      <w:proofErr w:type="spellStart"/>
      <w:r w:rsidRPr="0039167F">
        <w:rPr>
          <w:rFonts w:ascii="Times New Roman" w:hAnsi="Times New Roman" w:cs="Times New Roman"/>
          <w:i/>
          <w:iCs/>
          <w:noProof w:val="0"/>
          <w:sz w:val="24"/>
          <w:szCs w:val="24"/>
        </w:rPr>
        <w:t>waqf</w:t>
      </w:r>
      <w:proofErr w:type="spellEnd"/>
      <w:r w:rsidRPr="0039167F">
        <w:rPr>
          <w:rFonts w:ascii="Times New Roman" w:hAnsi="Times New Roman" w:cs="Times New Roman"/>
          <w:i/>
          <w:iCs/>
          <w:noProof w:val="0"/>
          <w:sz w:val="24"/>
          <w:szCs w:val="24"/>
        </w:rPr>
        <w:t xml:space="preserve"> in </w:t>
      </w:r>
      <w:proofErr w:type="spellStart"/>
      <w:r w:rsidRPr="0039167F">
        <w:rPr>
          <w:rFonts w:ascii="Times New Roman" w:hAnsi="Times New Roman" w:cs="Times New Roman"/>
          <w:i/>
          <w:iCs/>
          <w:noProof w:val="0"/>
          <w:sz w:val="24"/>
          <w:szCs w:val="24"/>
        </w:rPr>
        <w:t>Malaysian</w:t>
      </w:r>
      <w:proofErr w:type="spellEnd"/>
      <w:r w:rsidRPr="0039167F">
        <w:rPr>
          <w:rFonts w:ascii="Times New Roman" w:hAnsi="Times New Roman" w:cs="Times New Roman"/>
          <w:i/>
          <w:iCs/>
          <w:noProof w:val="0"/>
          <w:sz w:val="24"/>
          <w:szCs w:val="24"/>
        </w:rPr>
        <w:t xml:space="preserve"> </w:t>
      </w:r>
      <w:proofErr w:type="spellStart"/>
      <w:r w:rsidRPr="0039167F">
        <w:rPr>
          <w:rFonts w:ascii="Times New Roman" w:hAnsi="Times New Roman" w:cs="Times New Roman"/>
          <w:i/>
          <w:iCs/>
          <w:noProof w:val="0"/>
          <w:sz w:val="24"/>
          <w:szCs w:val="24"/>
        </w:rPr>
        <w:t>society</w:t>
      </w:r>
      <w:proofErr w:type="spellEnd"/>
      <w:r w:rsidRPr="0039167F">
        <w:rPr>
          <w:rFonts w:ascii="Times New Roman" w:hAnsi="Times New Roman" w:cs="Times New Roman"/>
          <w:i/>
          <w:iCs/>
          <w:noProof w:val="0"/>
          <w:sz w:val="24"/>
          <w:szCs w:val="24"/>
        </w:rPr>
        <w:t>.</w:t>
      </w:r>
    </w:p>
    <w:p w14:paraId="5ACC124F" w14:textId="77777777" w:rsidR="006B6ABD" w:rsidRPr="0039167F" w:rsidRDefault="006B6ABD" w:rsidP="005240D5">
      <w:pPr>
        <w:spacing w:line="360" w:lineRule="auto"/>
        <w:contextualSpacing/>
        <w:jc w:val="both"/>
        <w:rPr>
          <w:rFonts w:ascii="Times New Roman" w:hAnsi="Times New Roman" w:cs="Times New Roman"/>
          <w:i/>
          <w:iCs/>
          <w:noProof w:val="0"/>
          <w:sz w:val="24"/>
          <w:szCs w:val="24"/>
        </w:rPr>
      </w:pPr>
    </w:p>
    <w:p w14:paraId="346D7068" w14:textId="504265D8" w:rsidR="00F41E0E" w:rsidRPr="006B6ABD" w:rsidRDefault="006B6ABD" w:rsidP="00C638BE">
      <w:pPr>
        <w:spacing w:line="360" w:lineRule="auto"/>
        <w:contextualSpacing/>
        <w:jc w:val="center"/>
        <w:rPr>
          <w:rFonts w:ascii="Times New Roman" w:hAnsi="Times New Roman" w:cs="Times New Roman"/>
          <w:noProof w:val="0"/>
          <w:sz w:val="20"/>
          <w:szCs w:val="20"/>
        </w:rPr>
      </w:pPr>
      <w:r w:rsidRPr="006B6ABD">
        <w:rPr>
          <w:rFonts w:ascii="Times New Roman" w:hAnsi="Times New Roman" w:cs="Times New Roman"/>
          <w:noProof w:val="0"/>
          <w:sz w:val="20"/>
          <w:szCs w:val="20"/>
        </w:rPr>
        <w:t>SOCIO-ECONOMIC LEVEL OF SOCIETY (SEL)</w:t>
      </w:r>
    </w:p>
    <w:p w14:paraId="21E4A3EC" w14:textId="77777777" w:rsidR="00DA5135" w:rsidRPr="00DA5135" w:rsidRDefault="00DA5135" w:rsidP="00C638BE">
      <w:pPr>
        <w:spacing w:line="360" w:lineRule="auto"/>
        <w:contextualSpacing/>
        <w:jc w:val="center"/>
        <w:rPr>
          <w:rFonts w:ascii="Times New Roman" w:hAnsi="Times New Roman" w:cs="Times New Roman"/>
          <w:noProof w:val="0"/>
          <w:sz w:val="24"/>
          <w:szCs w:val="24"/>
        </w:rPr>
      </w:pPr>
    </w:p>
    <w:p w14:paraId="25390E4D" w14:textId="0B4EA6C1" w:rsidR="003B1013" w:rsidRPr="0039167F" w:rsidRDefault="003B1013" w:rsidP="005240D5">
      <w:pPr>
        <w:spacing w:line="360" w:lineRule="auto"/>
        <w:contextualSpacing/>
        <w:jc w:val="both"/>
        <w:rPr>
          <w:rFonts w:ascii="Times New Roman" w:hAnsi="Times New Roman" w:cs="Times New Roman"/>
          <w:noProof w:val="0"/>
          <w:sz w:val="24"/>
          <w:szCs w:val="24"/>
        </w:rPr>
      </w:pP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socio-economic</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factors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society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play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important</w:t>
      </w:r>
      <w:proofErr w:type="spellEnd"/>
      <w:r w:rsidRPr="0039167F">
        <w:rPr>
          <w:rFonts w:ascii="Times New Roman" w:hAnsi="Times New Roman" w:cs="Times New Roman"/>
          <w:noProof w:val="0"/>
          <w:sz w:val="24"/>
          <w:szCs w:val="24"/>
        </w:rPr>
        <w:t xml:space="preserve"> role in the development of commercial real estate waqf. These factors affect the needs, inclinations, and potential of society to engage in commercial real estate waqf. </w:t>
      </w:r>
      <w:r w:rsidR="006A132D">
        <w:rPr>
          <w:rFonts w:ascii="Times New Roman" w:hAnsi="Times New Roman" w:cs="Times New Roman"/>
          <w:noProof w:val="0"/>
          <w:sz w:val="24"/>
          <w:szCs w:val="24"/>
        </w:rPr>
        <w:t>Several socio-economic factors</w:t>
      </w:r>
      <w:r w:rsidRPr="0039167F">
        <w:rPr>
          <w:rFonts w:ascii="Times New Roman" w:hAnsi="Times New Roman" w:cs="Times New Roman"/>
          <w:noProof w:val="0"/>
          <w:sz w:val="24"/>
          <w:szCs w:val="24"/>
        </w:rPr>
        <w:t xml:space="preserve"> can influence the development of commercial real estate waqf. First, the income level of society plays an important role. People with high incomes tend to be more able to engage and engage in commercial real estate investments. Adequate income provides financial freedom to make a significant and effective contribution </w:t>
      </w:r>
      <w:r w:rsidR="006A132D">
        <w:rPr>
          <w:rFonts w:ascii="Times New Roman" w:hAnsi="Times New Roman" w:cs="Times New Roman"/>
          <w:noProof w:val="0"/>
          <w:sz w:val="24"/>
          <w:szCs w:val="24"/>
        </w:rPr>
        <w:t>to</w:t>
      </w:r>
      <w:r w:rsidRPr="0039167F">
        <w:rPr>
          <w:rFonts w:ascii="Times New Roman" w:hAnsi="Times New Roman" w:cs="Times New Roman"/>
          <w:noProof w:val="0"/>
          <w:sz w:val="24"/>
          <w:szCs w:val="24"/>
        </w:rPr>
        <w:t xml:space="preserve"> commercial real estate waqf.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Nizar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(2018) shows that income factors influence society's desire to be </w:t>
      </w:r>
      <w:r w:rsidR="006A132D">
        <w:rPr>
          <w:rFonts w:ascii="Times New Roman" w:hAnsi="Times New Roman" w:cs="Times New Roman"/>
          <w:noProof w:val="0"/>
          <w:sz w:val="24"/>
          <w:szCs w:val="24"/>
        </w:rPr>
        <w:t>waqf</w:t>
      </w:r>
      <w:r w:rsidRPr="0039167F">
        <w:rPr>
          <w:rFonts w:ascii="Times New Roman" w:hAnsi="Times New Roman" w:cs="Times New Roman"/>
          <w:noProof w:val="0"/>
          <w:sz w:val="24"/>
          <w:szCs w:val="24"/>
        </w:rPr>
        <w:t>. Secondly, economic stability affects the development of commercial real estate waqf. Stable economic conditions provide confidence and certainty to investors and stakeholders to engage in commercial real estate waqf. Economic stability creates an environment conducive to the growth of the commercial real estate sector and provides opportunities for the effective development of waqf projects. A study by Hamid et al. (2019) shows the relationship between economic stability and the intention to contribute to waqf.</w:t>
      </w:r>
    </w:p>
    <w:p w14:paraId="18E65C84" w14:textId="635FFF58" w:rsidR="003B1013" w:rsidRPr="0039167F" w:rsidRDefault="003B1013" w:rsidP="005240D5">
      <w:pPr>
        <w:spacing w:line="360" w:lineRule="auto"/>
        <w:ind w:firstLine="426"/>
        <w:contextualSpacing/>
        <w:jc w:val="both"/>
        <w:rPr>
          <w:rFonts w:ascii="Times New Roman" w:hAnsi="Times New Roman" w:cs="Times New Roman"/>
          <w:noProof w:val="0"/>
          <w:sz w:val="24"/>
          <w:szCs w:val="24"/>
        </w:rPr>
      </w:pPr>
      <w:r w:rsidRPr="0039167F">
        <w:rPr>
          <w:rFonts w:ascii="Times New Roman" w:hAnsi="Times New Roman" w:cs="Times New Roman"/>
          <w:noProof w:val="0"/>
          <w:sz w:val="24"/>
          <w:szCs w:val="24"/>
        </w:rPr>
        <w:t xml:space="preserve">In </w:t>
      </w:r>
      <w:proofErr w:type="spellStart"/>
      <w:r w:rsidRPr="0039167F">
        <w:rPr>
          <w:rFonts w:ascii="Times New Roman" w:hAnsi="Times New Roman" w:cs="Times New Roman"/>
          <w:noProof w:val="0"/>
          <w:sz w:val="24"/>
          <w:szCs w:val="24"/>
        </w:rPr>
        <w:t>addition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social</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disparity</w:t>
      </w:r>
      <w:proofErr w:type="spellEnd"/>
      <w:r w:rsidRPr="0039167F">
        <w:rPr>
          <w:rFonts w:ascii="Times New Roman" w:hAnsi="Times New Roman" w:cs="Times New Roman"/>
          <w:noProof w:val="0"/>
          <w:sz w:val="24"/>
          <w:szCs w:val="24"/>
        </w:rPr>
        <w:t xml:space="preserve"> factor also plays a role in the development of commercial property waqf. High social and economic disparities in society can be a focal point for the implementation of commercial real estate waqf projects. Commercial real estate waqf can help reduce social and economic disparities by contributing to the development and improvement of the well-being of marginali</w:t>
      </w:r>
      <w:r w:rsidR="006A132D">
        <w:rPr>
          <w:rFonts w:ascii="Times New Roman" w:hAnsi="Times New Roman" w:cs="Times New Roman"/>
          <w:noProof w:val="0"/>
          <w:sz w:val="24"/>
          <w:szCs w:val="24"/>
        </w:rPr>
        <w:t>z</w:t>
      </w:r>
      <w:r w:rsidRPr="0039167F">
        <w:rPr>
          <w:rFonts w:ascii="Times New Roman" w:hAnsi="Times New Roman" w:cs="Times New Roman"/>
          <w:noProof w:val="0"/>
          <w:sz w:val="24"/>
          <w:szCs w:val="24"/>
        </w:rPr>
        <w:t xml:space="preserve">ed communities.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Ramli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(2016) shows the relationship between the development of waqf and the improvement of the well-being of marginalized communities.</w:t>
      </w:r>
    </w:p>
    <w:p w14:paraId="61D64FB2" w14:textId="7C679B84" w:rsidR="0039167F" w:rsidRPr="0039167F" w:rsidRDefault="003B1013" w:rsidP="005240D5">
      <w:pPr>
        <w:spacing w:line="360" w:lineRule="auto"/>
        <w:ind w:firstLine="426"/>
        <w:contextualSpacing/>
        <w:jc w:val="both"/>
        <w:rPr>
          <w:rFonts w:ascii="Times New Roman" w:hAnsi="Times New Roman" w:cs="Times New Roman"/>
          <w:noProof w:val="0"/>
          <w:sz w:val="24"/>
          <w:szCs w:val="24"/>
        </w:rPr>
      </w:pPr>
      <w:proofErr w:type="spellStart"/>
      <w:r w:rsidRPr="0039167F">
        <w:rPr>
          <w:rFonts w:ascii="Times New Roman" w:hAnsi="Times New Roman" w:cs="Times New Roman"/>
          <w:noProof w:val="0"/>
          <w:sz w:val="24"/>
          <w:szCs w:val="24"/>
        </w:rPr>
        <w:t>Cultural</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factors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social</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values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also</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play</w:t>
      </w:r>
      <w:proofErr w:type="spellEnd"/>
      <w:r w:rsidRPr="0039167F">
        <w:rPr>
          <w:rFonts w:ascii="Times New Roman" w:hAnsi="Times New Roman" w:cs="Times New Roman"/>
          <w:noProof w:val="0"/>
          <w:sz w:val="24"/>
          <w:szCs w:val="24"/>
        </w:rPr>
        <w:t xml:space="preserve"> a role in the development of commercial property waqf. A culture of solidarity and social values that promote the welfare of society can strengthen society's tendency to prosper. This culture and values support the development of commercial property waqf as a development strategy that can benefit the community collectively.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Abdul-Rahman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(2017) shows the relationship between cultural factors and the development of waqf. Lastly, the educational factor and public awareness of waqf commercial real estate also influenced the development of waqf. A high level of awareness and understanding of commercial property waqf can motivate the community to </w:t>
      </w:r>
      <w:r w:rsidR="006A132D">
        <w:rPr>
          <w:rFonts w:ascii="Times New Roman" w:hAnsi="Times New Roman" w:cs="Times New Roman"/>
          <w:noProof w:val="0"/>
          <w:sz w:val="24"/>
          <w:szCs w:val="24"/>
        </w:rPr>
        <w:lastRenderedPageBreak/>
        <w:t>waqf</w:t>
      </w:r>
      <w:r w:rsidRPr="0039167F">
        <w:rPr>
          <w:rFonts w:ascii="Times New Roman" w:hAnsi="Times New Roman" w:cs="Times New Roman"/>
          <w:noProof w:val="0"/>
          <w:sz w:val="24"/>
          <w:szCs w:val="24"/>
        </w:rPr>
        <w:t xml:space="preserve"> and support the development of related waqf projects. Effective education and </w:t>
      </w:r>
      <w:r w:rsidR="007C4A83">
        <w:rPr>
          <w:rFonts w:ascii="Times New Roman" w:hAnsi="Times New Roman" w:cs="Times New Roman"/>
          <w:noProof w:val="0"/>
          <w:sz w:val="24"/>
          <w:szCs w:val="24"/>
        </w:rPr>
        <w:t>nurture</w:t>
      </w:r>
      <w:r w:rsidRPr="0039167F">
        <w:rPr>
          <w:rFonts w:ascii="Times New Roman" w:hAnsi="Times New Roman" w:cs="Times New Roman"/>
          <w:noProof w:val="0"/>
          <w:sz w:val="24"/>
          <w:szCs w:val="24"/>
        </w:rPr>
        <w:t xml:space="preserve"> campaigns can enhance the public's understanding of the potential and benefits of commercial property waqf. A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by</w:t>
      </w:r>
      <w:proofErr w:type="spellEnd"/>
      <w:r w:rsidRPr="0039167F">
        <w:rPr>
          <w:rFonts w:ascii="Times New Roman" w:hAnsi="Times New Roman" w:cs="Times New Roman"/>
          <w:noProof w:val="0"/>
          <w:sz w:val="24"/>
          <w:szCs w:val="24"/>
        </w:rPr>
        <w:t xml:space="preserve"> Othman </w:t>
      </w:r>
      <w:proofErr w:type="spellStart"/>
      <w:r w:rsidRPr="0039167F">
        <w:rPr>
          <w:rFonts w:ascii="Times New Roman" w:hAnsi="Times New Roman" w:cs="Times New Roman"/>
          <w:noProof w:val="0"/>
          <w:sz w:val="24"/>
          <w:szCs w:val="24"/>
        </w:rPr>
        <w:t>et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al</w:t>
      </w:r>
      <w:proofErr w:type="spellEnd"/>
      <w:r w:rsidRPr="0039167F">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39167F">
        <w:rPr>
          <w:rFonts w:ascii="Times New Roman" w:hAnsi="Times New Roman" w:cs="Times New Roman"/>
          <w:noProof w:val="0"/>
          <w:sz w:val="24"/>
          <w:szCs w:val="24"/>
        </w:rPr>
        <w:t xml:space="preserve"> (2015) </w:t>
      </w:r>
      <w:proofErr w:type="spellStart"/>
      <w:r w:rsidRPr="0039167F">
        <w:rPr>
          <w:rFonts w:ascii="Times New Roman" w:hAnsi="Times New Roman" w:cs="Times New Roman"/>
          <w:noProof w:val="0"/>
          <w:sz w:val="24"/>
          <w:szCs w:val="24"/>
        </w:rPr>
        <w:t>shows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importance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education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awareness</w:t>
      </w:r>
      <w:proofErr w:type="spellEnd"/>
      <w:r w:rsidRPr="0039167F">
        <w:rPr>
          <w:rFonts w:ascii="Times New Roman" w:hAnsi="Times New Roman" w:cs="Times New Roman"/>
          <w:noProof w:val="0"/>
          <w:sz w:val="24"/>
          <w:szCs w:val="24"/>
        </w:rPr>
        <w:t xml:space="preserve"> in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development</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waqf</w:t>
      </w:r>
      <w:proofErr w:type="spellEnd"/>
      <w:r w:rsidRPr="0039167F">
        <w:rPr>
          <w:rFonts w:ascii="Times New Roman" w:hAnsi="Times New Roman" w:cs="Times New Roman"/>
          <w:noProof w:val="0"/>
          <w:sz w:val="24"/>
          <w:szCs w:val="24"/>
        </w:rPr>
        <w:t>.</w:t>
      </w:r>
      <w:r w:rsidR="00745D83">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Thus</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the</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hypothesis</w:t>
      </w:r>
      <w:proofErr w:type="spellEnd"/>
      <w:r w:rsidR="0039167F" w:rsidRPr="0039167F">
        <w:rPr>
          <w:rFonts w:ascii="Times New Roman" w:hAnsi="Times New Roman" w:cs="Times New Roman"/>
          <w:noProof w:val="0"/>
          <w:sz w:val="24"/>
          <w:szCs w:val="24"/>
        </w:rPr>
        <w:t xml:space="preserve"> </w:t>
      </w:r>
      <w:proofErr w:type="spellStart"/>
      <w:r w:rsidR="0039167F" w:rsidRPr="0039167F">
        <w:rPr>
          <w:rFonts w:ascii="Times New Roman" w:hAnsi="Times New Roman" w:cs="Times New Roman"/>
          <w:noProof w:val="0"/>
          <w:sz w:val="24"/>
          <w:szCs w:val="24"/>
        </w:rPr>
        <w:t>for</w:t>
      </w:r>
      <w:proofErr w:type="spellEnd"/>
      <w:r w:rsidR="0039167F" w:rsidRPr="0039167F">
        <w:rPr>
          <w:rFonts w:ascii="Times New Roman" w:hAnsi="Times New Roman" w:cs="Times New Roman"/>
          <w:noProof w:val="0"/>
          <w:sz w:val="24"/>
          <w:szCs w:val="24"/>
        </w:rPr>
        <w:t xml:space="preserve"> that factor is:</w:t>
      </w:r>
    </w:p>
    <w:p w14:paraId="3C37AC8E" w14:textId="524D51C3" w:rsidR="0039167F" w:rsidRPr="0039167F" w:rsidRDefault="0039167F" w:rsidP="005240D5">
      <w:pPr>
        <w:spacing w:line="360" w:lineRule="auto"/>
        <w:contextualSpacing/>
        <w:jc w:val="both"/>
        <w:rPr>
          <w:rFonts w:ascii="Times New Roman" w:hAnsi="Times New Roman" w:cs="Times New Roman"/>
          <w:i/>
          <w:iCs/>
          <w:noProof w:val="0"/>
          <w:sz w:val="24"/>
          <w:szCs w:val="24"/>
        </w:rPr>
      </w:pPr>
      <w:r w:rsidRPr="0039167F">
        <w:rPr>
          <w:rFonts w:ascii="Times New Roman" w:hAnsi="Times New Roman" w:cs="Times New Roman"/>
          <w:i/>
          <w:iCs/>
          <w:noProof w:val="0"/>
          <w:sz w:val="24"/>
          <w:szCs w:val="24"/>
        </w:rPr>
        <w:t xml:space="preserve">H4: Socio-economic society has a significant positive impact on the desire </w:t>
      </w:r>
      <w:r w:rsidR="007C4A83">
        <w:rPr>
          <w:rFonts w:ascii="Times New Roman" w:hAnsi="Times New Roman" w:cs="Times New Roman"/>
          <w:i/>
          <w:iCs/>
          <w:noProof w:val="0"/>
          <w:sz w:val="24"/>
          <w:szCs w:val="24"/>
        </w:rPr>
        <w:t>for</w:t>
      </w:r>
      <w:r w:rsidRPr="0039167F">
        <w:rPr>
          <w:rFonts w:ascii="Times New Roman" w:hAnsi="Times New Roman" w:cs="Times New Roman"/>
          <w:i/>
          <w:iCs/>
          <w:noProof w:val="0"/>
          <w:sz w:val="24"/>
          <w:szCs w:val="24"/>
        </w:rPr>
        <w:t xml:space="preserve"> waqf commercial properties in Malaysian society.</w:t>
      </w:r>
    </w:p>
    <w:p w14:paraId="5D0C2B30" w14:textId="77777777" w:rsidR="00DA5135" w:rsidRDefault="00DA5135" w:rsidP="005240D5">
      <w:pPr>
        <w:spacing w:line="360" w:lineRule="auto"/>
        <w:contextualSpacing/>
        <w:jc w:val="both"/>
        <w:rPr>
          <w:rFonts w:ascii="Times New Roman" w:hAnsi="Times New Roman" w:cs="Times New Roman"/>
          <w:b/>
          <w:bCs/>
          <w:noProof w:val="0"/>
          <w:sz w:val="24"/>
          <w:szCs w:val="24"/>
        </w:rPr>
      </w:pPr>
    </w:p>
    <w:p w14:paraId="060E1069" w14:textId="295F9CC0" w:rsidR="00B90845" w:rsidRPr="006B6ABD" w:rsidRDefault="006B6ABD" w:rsidP="00DA5135">
      <w:pPr>
        <w:spacing w:line="360" w:lineRule="auto"/>
        <w:contextualSpacing/>
        <w:jc w:val="center"/>
        <w:rPr>
          <w:rFonts w:ascii="Times New Roman" w:hAnsi="Times New Roman" w:cs="Times New Roman"/>
          <w:noProof w:val="0"/>
          <w:sz w:val="20"/>
          <w:szCs w:val="20"/>
        </w:rPr>
      </w:pPr>
      <w:r w:rsidRPr="006B6ABD">
        <w:rPr>
          <w:rFonts w:ascii="Times New Roman" w:hAnsi="Times New Roman" w:cs="Times New Roman"/>
          <w:noProof w:val="0"/>
          <w:sz w:val="20"/>
          <w:szCs w:val="20"/>
        </w:rPr>
        <w:t>DESIRE FOR COMMERCIAL PROPERTY WAQF AGENDA (DCPW)</w:t>
      </w:r>
    </w:p>
    <w:p w14:paraId="0BD525E1" w14:textId="77777777" w:rsidR="00DA5135" w:rsidRDefault="00DA5135" w:rsidP="005240D5">
      <w:pPr>
        <w:spacing w:line="360" w:lineRule="auto"/>
        <w:contextualSpacing/>
        <w:jc w:val="both"/>
        <w:rPr>
          <w:rFonts w:ascii="Times New Roman" w:hAnsi="Times New Roman" w:cs="Times New Roman"/>
          <w:noProof w:val="0"/>
          <w:sz w:val="24"/>
          <w:szCs w:val="24"/>
        </w:rPr>
      </w:pPr>
    </w:p>
    <w:p w14:paraId="01CAFA72" w14:textId="36E1B478" w:rsidR="00643018" w:rsidRPr="00643018" w:rsidRDefault="00643018" w:rsidP="005240D5">
      <w:pPr>
        <w:spacing w:line="360" w:lineRule="auto"/>
        <w:contextualSpacing/>
        <w:jc w:val="both"/>
        <w:rPr>
          <w:rFonts w:ascii="Times New Roman" w:hAnsi="Times New Roman" w:cs="Times New Roman"/>
          <w:noProof w:val="0"/>
          <w:sz w:val="24"/>
          <w:szCs w:val="24"/>
        </w:rPr>
      </w:pPr>
      <w:proofErr w:type="spellStart"/>
      <w:r w:rsidRPr="00643018">
        <w:rPr>
          <w:rFonts w:ascii="Times New Roman" w:hAnsi="Times New Roman" w:cs="Times New Roman"/>
          <w:noProof w:val="0"/>
          <w:sz w:val="24"/>
          <w:szCs w:val="24"/>
        </w:rPr>
        <w:t>This</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study</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aims</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to</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examine</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the</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acceptance</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rate</w:t>
      </w:r>
      <w:proofErr w:type="spellEnd"/>
      <w:r w:rsidRPr="00643018">
        <w:rPr>
          <w:rFonts w:ascii="Times New Roman" w:hAnsi="Times New Roman" w:cs="Times New Roman"/>
          <w:noProof w:val="0"/>
          <w:sz w:val="24"/>
          <w:szCs w:val="24"/>
        </w:rPr>
        <w:t xml:space="preserve"> and desire of the community towards the agenda of commercial property waqf. Society's acceptance of commercial real estate waqf refers to their impressions, views, and assessments of the concept, benefits, and implementation of commercial real estate waqf. Meanwhile, the desire of society refers to their inclinations, interests, and intention</w:t>
      </w:r>
      <w:r w:rsidR="006A132D">
        <w:rPr>
          <w:rFonts w:ascii="Times New Roman" w:hAnsi="Times New Roman" w:cs="Times New Roman"/>
          <w:noProof w:val="0"/>
          <w:sz w:val="24"/>
          <w:szCs w:val="24"/>
        </w:rPr>
        <w:t>s</w:t>
      </w:r>
      <w:r w:rsidRPr="00643018">
        <w:rPr>
          <w:rFonts w:ascii="Times New Roman" w:hAnsi="Times New Roman" w:cs="Times New Roman"/>
          <w:noProof w:val="0"/>
          <w:sz w:val="24"/>
          <w:szCs w:val="24"/>
        </w:rPr>
        <w:t xml:space="preserve"> to engage in the agenda of commercial real estate waqf.</w:t>
      </w:r>
    </w:p>
    <w:p w14:paraId="62F693EB" w14:textId="11C08419" w:rsidR="00643018" w:rsidRPr="00643018" w:rsidRDefault="00643018" w:rsidP="005240D5">
      <w:pPr>
        <w:spacing w:line="360" w:lineRule="auto"/>
        <w:ind w:firstLine="720"/>
        <w:contextualSpacing/>
        <w:jc w:val="both"/>
        <w:rPr>
          <w:rFonts w:ascii="Times New Roman" w:hAnsi="Times New Roman" w:cs="Times New Roman"/>
          <w:noProof w:val="0"/>
          <w:sz w:val="24"/>
          <w:szCs w:val="24"/>
        </w:rPr>
      </w:pPr>
      <w:proofErr w:type="spellStart"/>
      <w:r w:rsidRPr="00643018">
        <w:rPr>
          <w:rFonts w:ascii="Times New Roman" w:hAnsi="Times New Roman" w:cs="Times New Roman"/>
          <w:noProof w:val="0"/>
          <w:sz w:val="24"/>
          <w:szCs w:val="24"/>
        </w:rPr>
        <w:t>Previous</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studies</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have</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shown</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that</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there</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is</w:t>
      </w:r>
      <w:proofErr w:type="spellEnd"/>
      <w:r w:rsidRPr="00643018">
        <w:rPr>
          <w:rFonts w:ascii="Times New Roman" w:hAnsi="Times New Roman" w:cs="Times New Roman"/>
          <w:noProof w:val="0"/>
          <w:sz w:val="24"/>
          <w:szCs w:val="24"/>
        </w:rPr>
        <w:t xml:space="preserve"> a variation in society's acceptance of commercial real estate waqf. Some of the factors affecting the acceptance of society include knowledge of commercial real estate waqf, acceptance of the benefits of commercial real estate waqf, cultural and social factors, as well as economic factors. Adequate knowledge of commercial real estate waqf will enhance the public's understanding of the concept and potential of commercial real estate waqf. In addition, acceptance of benefits, such as economic stability, social welfare, or religious rewards, can influence society's acceptance rate of commercial real estate waqf.</w:t>
      </w:r>
    </w:p>
    <w:p w14:paraId="28959A88" w14:textId="6E1953D4" w:rsidR="00643018" w:rsidRPr="00643018" w:rsidRDefault="00643018" w:rsidP="005240D5">
      <w:pPr>
        <w:spacing w:line="360" w:lineRule="auto"/>
        <w:ind w:firstLine="720"/>
        <w:contextualSpacing/>
        <w:jc w:val="both"/>
        <w:rPr>
          <w:rFonts w:ascii="Times New Roman" w:hAnsi="Times New Roman" w:cs="Times New Roman"/>
          <w:noProof w:val="0"/>
          <w:sz w:val="24"/>
          <w:szCs w:val="24"/>
        </w:rPr>
      </w:pPr>
      <w:proofErr w:type="spellStart"/>
      <w:r w:rsidRPr="00643018">
        <w:rPr>
          <w:rFonts w:ascii="Times New Roman" w:hAnsi="Times New Roman" w:cs="Times New Roman"/>
          <w:noProof w:val="0"/>
          <w:sz w:val="24"/>
          <w:szCs w:val="24"/>
        </w:rPr>
        <w:t>The</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desire</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of</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society</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to</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engage</w:t>
      </w:r>
      <w:proofErr w:type="spellEnd"/>
      <w:r w:rsidRPr="00643018">
        <w:rPr>
          <w:rFonts w:ascii="Times New Roman" w:hAnsi="Times New Roman" w:cs="Times New Roman"/>
          <w:noProof w:val="0"/>
          <w:sz w:val="24"/>
          <w:szCs w:val="24"/>
        </w:rPr>
        <w:t xml:space="preserve"> in </w:t>
      </w:r>
      <w:proofErr w:type="spellStart"/>
      <w:r w:rsidRPr="00643018">
        <w:rPr>
          <w:rFonts w:ascii="Times New Roman" w:hAnsi="Times New Roman" w:cs="Times New Roman"/>
          <w:noProof w:val="0"/>
          <w:sz w:val="24"/>
          <w:szCs w:val="24"/>
        </w:rPr>
        <w:t>the</w:t>
      </w:r>
      <w:proofErr w:type="spellEnd"/>
      <w:r w:rsidRPr="00643018">
        <w:rPr>
          <w:rFonts w:ascii="Times New Roman" w:hAnsi="Times New Roman" w:cs="Times New Roman"/>
          <w:noProof w:val="0"/>
          <w:sz w:val="24"/>
          <w:szCs w:val="24"/>
        </w:rPr>
        <w:t xml:space="preserve"> agenda of waqf of commercial real estate is also influenced by similar factors. Adequate knowledge and positive acceptance of the benefits of waqf commercial real estate will increase the desire of society to engage in commercial real estate waqf. In addition, cultural and social factors such as social norms that promote the welfare of society as well as economic factors such as economic stability and the financial situation of individuals can also influence the society's desire for commercial real estate.</w:t>
      </w:r>
    </w:p>
    <w:p w14:paraId="0E561D10" w14:textId="166FAAC6" w:rsidR="00643018" w:rsidRPr="00643018" w:rsidRDefault="00643018" w:rsidP="005240D5">
      <w:pPr>
        <w:spacing w:line="360" w:lineRule="auto"/>
        <w:ind w:firstLine="720"/>
        <w:contextualSpacing/>
        <w:jc w:val="both"/>
        <w:rPr>
          <w:rFonts w:ascii="Times New Roman" w:hAnsi="Times New Roman" w:cs="Times New Roman"/>
          <w:noProof w:val="0"/>
          <w:sz w:val="24"/>
          <w:szCs w:val="24"/>
        </w:rPr>
      </w:pPr>
      <w:proofErr w:type="spellStart"/>
      <w:r w:rsidRPr="00643018">
        <w:rPr>
          <w:rFonts w:ascii="Times New Roman" w:hAnsi="Times New Roman" w:cs="Times New Roman"/>
          <w:noProof w:val="0"/>
          <w:sz w:val="24"/>
          <w:szCs w:val="24"/>
        </w:rPr>
        <w:t>Previous</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studies</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such</w:t>
      </w:r>
      <w:proofErr w:type="spellEnd"/>
      <w:r w:rsidRPr="00643018">
        <w:rPr>
          <w:rFonts w:ascii="Times New Roman" w:hAnsi="Times New Roman" w:cs="Times New Roman"/>
          <w:noProof w:val="0"/>
          <w:sz w:val="24"/>
          <w:szCs w:val="24"/>
        </w:rPr>
        <w:t xml:space="preserve"> as </w:t>
      </w:r>
      <w:proofErr w:type="spellStart"/>
      <w:r w:rsidRPr="00643018">
        <w:rPr>
          <w:rFonts w:ascii="Times New Roman" w:hAnsi="Times New Roman" w:cs="Times New Roman"/>
          <w:noProof w:val="0"/>
          <w:sz w:val="24"/>
          <w:szCs w:val="24"/>
        </w:rPr>
        <w:t>those</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presented</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by</w:t>
      </w:r>
      <w:proofErr w:type="spellEnd"/>
      <w:r w:rsidRPr="00643018">
        <w:rPr>
          <w:rFonts w:ascii="Times New Roman" w:hAnsi="Times New Roman" w:cs="Times New Roman"/>
          <w:noProof w:val="0"/>
          <w:sz w:val="24"/>
          <w:szCs w:val="24"/>
        </w:rPr>
        <w:t xml:space="preserve"> Aziz </w:t>
      </w:r>
      <w:proofErr w:type="spellStart"/>
      <w:r w:rsidRPr="00643018">
        <w:rPr>
          <w:rFonts w:ascii="Times New Roman" w:hAnsi="Times New Roman" w:cs="Times New Roman"/>
          <w:noProof w:val="0"/>
          <w:sz w:val="24"/>
          <w:szCs w:val="24"/>
        </w:rPr>
        <w:t>et</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al</w:t>
      </w:r>
      <w:proofErr w:type="spellEnd"/>
      <w:r w:rsidRPr="00643018">
        <w:rPr>
          <w:rFonts w:ascii="Times New Roman" w:hAnsi="Times New Roman" w:cs="Times New Roman"/>
          <w:noProof w:val="0"/>
          <w:sz w:val="24"/>
          <w:szCs w:val="24"/>
        </w:rPr>
        <w:t>.</w:t>
      </w:r>
      <w:r w:rsidR="002D6A44">
        <w:rPr>
          <w:rFonts w:ascii="Times New Roman" w:hAnsi="Times New Roman" w:cs="Times New Roman"/>
          <w:noProof w:val="0"/>
          <w:sz w:val="24"/>
          <w:szCs w:val="24"/>
        </w:rPr>
        <w:t xml:space="preserve">, </w:t>
      </w:r>
      <w:r w:rsidRPr="00643018">
        <w:rPr>
          <w:rFonts w:ascii="Times New Roman" w:hAnsi="Times New Roman" w:cs="Times New Roman"/>
          <w:noProof w:val="0"/>
          <w:sz w:val="24"/>
          <w:szCs w:val="24"/>
        </w:rPr>
        <w:t xml:space="preserve">(2017), Hussin </w:t>
      </w:r>
      <w:proofErr w:type="spellStart"/>
      <w:r w:rsidRPr="00643018">
        <w:rPr>
          <w:rFonts w:ascii="Times New Roman" w:hAnsi="Times New Roman" w:cs="Times New Roman"/>
          <w:noProof w:val="0"/>
          <w:sz w:val="24"/>
          <w:szCs w:val="24"/>
        </w:rPr>
        <w:t>et</w:t>
      </w:r>
      <w:proofErr w:type="spellEnd"/>
      <w:r w:rsidRPr="00643018">
        <w:rPr>
          <w:rFonts w:ascii="Times New Roman" w:hAnsi="Times New Roman" w:cs="Times New Roman"/>
          <w:noProof w:val="0"/>
          <w:sz w:val="24"/>
          <w:szCs w:val="24"/>
        </w:rPr>
        <w:t xml:space="preserve"> al.</w:t>
      </w:r>
      <w:r w:rsidR="002D6A44">
        <w:rPr>
          <w:rFonts w:ascii="Times New Roman" w:hAnsi="Times New Roman" w:cs="Times New Roman"/>
          <w:noProof w:val="0"/>
          <w:sz w:val="24"/>
          <w:szCs w:val="24"/>
        </w:rPr>
        <w:t>,</w:t>
      </w:r>
      <w:r w:rsidRPr="00643018">
        <w:rPr>
          <w:rFonts w:ascii="Times New Roman" w:hAnsi="Times New Roman" w:cs="Times New Roman"/>
          <w:noProof w:val="0"/>
          <w:sz w:val="24"/>
          <w:szCs w:val="24"/>
        </w:rPr>
        <w:t xml:space="preserve"> (2018), </w:t>
      </w:r>
      <w:proofErr w:type="spellStart"/>
      <w:r w:rsidRPr="00643018">
        <w:rPr>
          <w:rFonts w:ascii="Times New Roman" w:hAnsi="Times New Roman" w:cs="Times New Roman"/>
          <w:noProof w:val="0"/>
          <w:sz w:val="24"/>
          <w:szCs w:val="24"/>
        </w:rPr>
        <w:t>and</w:t>
      </w:r>
      <w:proofErr w:type="spellEnd"/>
      <w:r w:rsidRPr="00643018">
        <w:rPr>
          <w:rFonts w:ascii="Times New Roman" w:hAnsi="Times New Roman" w:cs="Times New Roman"/>
          <w:noProof w:val="0"/>
          <w:sz w:val="24"/>
          <w:szCs w:val="24"/>
        </w:rPr>
        <w:t xml:space="preserve"> Othman </w:t>
      </w:r>
      <w:proofErr w:type="spellStart"/>
      <w:r w:rsidRPr="00643018">
        <w:rPr>
          <w:rFonts w:ascii="Times New Roman" w:hAnsi="Times New Roman" w:cs="Times New Roman"/>
          <w:noProof w:val="0"/>
          <w:sz w:val="24"/>
          <w:szCs w:val="24"/>
        </w:rPr>
        <w:t>et</w:t>
      </w:r>
      <w:proofErr w:type="spellEnd"/>
      <w:r w:rsidRPr="00643018">
        <w:rPr>
          <w:rFonts w:ascii="Times New Roman" w:hAnsi="Times New Roman" w:cs="Times New Roman"/>
          <w:noProof w:val="0"/>
          <w:sz w:val="24"/>
          <w:szCs w:val="24"/>
        </w:rPr>
        <w:t xml:space="preserve"> </w:t>
      </w:r>
      <w:proofErr w:type="spellStart"/>
      <w:r w:rsidRPr="00643018">
        <w:rPr>
          <w:rFonts w:ascii="Times New Roman" w:hAnsi="Times New Roman" w:cs="Times New Roman"/>
          <w:noProof w:val="0"/>
          <w:sz w:val="24"/>
          <w:szCs w:val="24"/>
        </w:rPr>
        <w:t>al</w:t>
      </w:r>
      <w:proofErr w:type="spellEnd"/>
      <w:r w:rsidRPr="00643018">
        <w:rPr>
          <w:rFonts w:ascii="Times New Roman" w:hAnsi="Times New Roman" w:cs="Times New Roman"/>
          <w:noProof w:val="0"/>
          <w:sz w:val="24"/>
          <w:szCs w:val="24"/>
        </w:rPr>
        <w:t>.</w:t>
      </w:r>
      <w:r w:rsidR="002D6A44">
        <w:rPr>
          <w:rFonts w:ascii="Times New Roman" w:hAnsi="Times New Roman" w:cs="Times New Roman"/>
          <w:noProof w:val="0"/>
          <w:sz w:val="24"/>
          <w:szCs w:val="24"/>
        </w:rPr>
        <w:t>,</w:t>
      </w:r>
      <w:r w:rsidRPr="00643018">
        <w:rPr>
          <w:rFonts w:ascii="Times New Roman" w:hAnsi="Times New Roman" w:cs="Times New Roman"/>
          <w:noProof w:val="0"/>
          <w:sz w:val="24"/>
          <w:szCs w:val="24"/>
        </w:rPr>
        <w:t xml:space="preserve"> (2020), have covered issues related to the acceptance and desire of society toward commercial real estate waqf. Through the analysis of data and findings from these studies, we can understand the society's acceptance rate and desire for the commercial property waqf agenda more deeply. The results of this study will provide guidance and contribution to </w:t>
      </w:r>
      <w:r w:rsidRPr="00643018">
        <w:rPr>
          <w:rFonts w:ascii="Times New Roman" w:hAnsi="Times New Roman" w:cs="Times New Roman"/>
          <w:noProof w:val="0"/>
          <w:sz w:val="24"/>
          <w:szCs w:val="24"/>
        </w:rPr>
        <w:lastRenderedPageBreak/>
        <w:t>stakeholders in planning and implementing a commercial property waqf program that is more effective and relevant to the community.</w:t>
      </w:r>
    </w:p>
    <w:p w14:paraId="44910D79" w14:textId="77777777" w:rsidR="003B1013" w:rsidRPr="0039167F" w:rsidRDefault="003B1013" w:rsidP="005240D5">
      <w:pPr>
        <w:spacing w:line="360" w:lineRule="auto"/>
        <w:contextualSpacing/>
        <w:jc w:val="both"/>
        <w:rPr>
          <w:rFonts w:ascii="Times New Roman" w:hAnsi="Times New Roman" w:cs="Times New Roman"/>
          <w:noProof w:val="0"/>
          <w:sz w:val="24"/>
          <w:szCs w:val="24"/>
        </w:rPr>
      </w:pPr>
    </w:p>
    <w:p w14:paraId="113259A8" w14:textId="09831124" w:rsidR="00A3396D" w:rsidRDefault="00745D83" w:rsidP="006B6ABD">
      <w:pPr>
        <w:spacing w:line="360" w:lineRule="auto"/>
        <w:contextualSpacing/>
        <w:jc w:val="center"/>
        <w:rPr>
          <w:rFonts w:ascii="Times New Roman" w:hAnsi="Times New Roman" w:cs="Times New Roman"/>
          <w:noProof w:val="0"/>
          <w:sz w:val="24"/>
          <w:szCs w:val="24"/>
        </w:rPr>
      </w:pPr>
      <w:r w:rsidRPr="00A3396D">
        <w:rPr>
          <w:rFonts w:ascii="Times New Roman" w:hAnsi="Times New Roman" w:cs="Times New Roman"/>
          <w:noProof w:val="0"/>
          <w:sz w:val="24"/>
          <w:szCs w:val="24"/>
        </w:rPr>
        <w:t>CONCEPTUAL MODEL OF STUDIES</w:t>
      </w:r>
    </w:p>
    <w:p w14:paraId="0A2A70BA" w14:textId="77777777" w:rsidR="006B6ABD" w:rsidRDefault="006B6ABD" w:rsidP="006B6ABD">
      <w:pPr>
        <w:spacing w:line="360" w:lineRule="auto"/>
        <w:contextualSpacing/>
        <w:jc w:val="center"/>
        <w:rPr>
          <w:rFonts w:ascii="Times New Roman" w:hAnsi="Times New Roman" w:cs="Times New Roman"/>
          <w:noProof w:val="0"/>
          <w:sz w:val="24"/>
          <w:szCs w:val="24"/>
        </w:rPr>
      </w:pPr>
    </w:p>
    <w:p w14:paraId="66D22693" w14:textId="5CA3C110" w:rsidR="00BC3DB3" w:rsidRDefault="00D36502" w:rsidP="005240D5">
      <w:pPr>
        <w:spacing w:line="360" w:lineRule="auto"/>
        <w:contextualSpacing/>
        <w:jc w:val="both"/>
        <w:rPr>
          <w:rFonts w:ascii="Times New Roman" w:hAnsi="Times New Roman" w:cs="Times New Roman"/>
          <w:noProof w:val="0"/>
          <w:sz w:val="24"/>
          <w:szCs w:val="24"/>
        </w:rPr>
      </w:pP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background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the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study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on</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society's</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acceptance</w:t>
      </w:r>
      <w:proofErr w:type="spellEnd"/>
      <w:r w:rsidRPr="0039167F">
        <w:rPr>
          <w:rFonts w:ascii="Times New Roman" w:hAnsi="Times New Roman" w:cs="Times New Roman"/>
          <w:noProof w:val="0"/>
          <w:sz w:val="24"/>
          <w:szCs w:val="24"/>
        </w:rPr>
        <w:t xml:space="preserve"> of the waqf agenda of commercial real estate requires a quantitative approach to understand and measure the factors that influence such acceptance. This study used </w:t>
      </w:r>
      <w:r w:rsidR="007C4A83">
        <w:rPr>
          <w:rFonts w:ascii="Times New Roman" w:hAnsi="Times New Roman" w:cs="Times New Roman"/>
          <w:noProof w:val="0"/>
          <w:sz w:val="24"/>
          <w:szCs w:val="24"/>
        </w:rPr>
        <w:t>PLS-SEM</w:t>
      </w:r>
      <w:r w:rsidRPr="0039167F">
        <w:rPr>
          <w:rFonts w:ascii="Times New Roman" w:hAnsi="Times New Roman" w:cs="Times New Roman"/>
          <w:noProof w:val="0"/>
          <w:sz w:val="24"/>
          <w:szCs w:val="24"/>
        </w:rPr>
        <w:t xml:space="preserve"> (Partial Least Squares Structural Equation Modeling) as a data analysis method to test the relationship between independent variables and bound variables. To collect data, survey form instruments were used in this study. This survey form is designed based on previous preliminary studies to ensure the validity and reliability of the instrument. The survey form consists of several sections that measure factors such as community knowledge of commercial property waqf, acceptance of the benefits of commercial property waqf, cultural and social factors, and economic factors that influence their acceptance of the commercial property waqf agenda. For sampling purposes, cluster sampling methods were used in this study.</w:t>
      </w:r>
    </w:p>
    <w:p w14:paraId="50C8F725" w14:textId="54F72DD8" w:rsidR="007472A3" w:rsidRPr="007472A3" w:rsidRDefault="007472A3" w:rsidP="005240D5">
      <w:pPr>
        <w:spacing w:line="360" w:lineRule="auto"/>
        <w:ind w:firstLine="567"/>
        <w:contextualSpacing/>
        <w:jc w:val="both"/>
        <w:rPr>
          <w:rFonts w:ascii="Times New Roman" w:hAnsi="Times New Roman" w:cs="Times New Roman"/>
          <w:noProof w:val="0"/>
          <w:sz w:val="24"/>
          <w:szCs w:val="24"/>
          <w:lang w:val="en-MY"/>
        </w:rPr>
      </w:pPr>
      <w:r w:rsidRPr="007472A3">
        <w:rPr>
          <w:rFonts w:ascii="Times New Roman" w:hAnsi="Times New Roman" w:cs="Times New Roman"/>
          <w:noProof w:val="0"/>
          <w:sz w:val="24"/>
          <w:szCs w:val="24"/>
          <w:lang w:val="en-MY"/>
        </w:rPr>
        <w:t>This study investigates factors influencing the community's financial intentions towards waqf property in Malaysia. The dependent variable is the financial intention to participate in or contribute to waqf real estate (FIWP). The independent variables comprise four key determinants: community understanding of waqf, strength of religious beliefs and cultural norms, trust in waqf asset management and transparency, and socioeconomic status.</w:t>
      </w:r>
      <w:r>
        <w:rPr>
          <w:rFonts w:ascii="Times New Roman" w:hAnsi="Times New Roman" w:cs="Times New Roman"/>
          <w:noProof w:val="0"/>
          <w:sz w:val="24"/>
          <w:szCs w:val="24"/>
          <w:lang w:val="en-MY"/>
        </w:rPr>
        <w:t xml:space="preserve"> </w:t>
      </w:r>
      <w:r w:rsidRPr="007472A3">
        <w:rPr>
          <w:rFonts w:ascii="Times New Roman" w:hAnsi="Times New Roman" w:cs="Times New Roman"/>
          <w:noProof w:val="0"/>
          <w:sz w:val="24"/>
          <w:szCs w:val="24"/>
          <w:lang w:val="en-MY"/>
        </w:rPr>
        <w:t xml:space="preserve">The conceptual model posits that </w:t>
      </w:r>
      <w:r w:rsidR="007C4A83">
        <w:rPr>
          <w:rFonts w:ascii="Times New Roman" w:hAnsi="Times New Roman" w:cs="Times New Roman"/>
          <w:noProof w:val="0"/>
          <w:sz w:val="24"/>
          <w:szCs w:val="24"/>
          <w:lang w:val="en-MY"/>
        </w:rPr>
        <w:t xml:space="preserve">a </w:t>
      </w:r>
      <w:r w:rsidRPr="007472A3">
        <w:rPr>
          <w:rFonts w:ascii="Times New Roman" w:hAnsi="Times New Roman" w:cs="Times New Roman"/>
          <w:noProof w:val="0"/>
          <w:sz w:val="24"/>
          <w:szCs w:val="24"/>
          <w:lang w:val="en-MY"/>
        </w:rPr>
        <w:t>greater community understanding of the shariah principles and social benefits underlying waqf will positively influence financial intentions. Stronger adherence to Islamic religious norms and waqf-related cultural values is also expected to increase willingness to contribute financially. Robust trust in waqf administrators and transparent governance mechanisms should similarly engender confidence in the integrity of waqf institutions and assets. However, the impact of socioeconomic status is ambiguous; waqf may appeal across income strata if affordability issues are addressed through innovative financing techniques.</w:t>
      </w:r>
      <w:r>
        <w:rPr>
          <w:rFonts w:ascii="Times New Roman" w:hAnsi="Times New Roman" w:cs="Times New Roman"/>
          <w:noProof w:val="0"/>
          <w:sz w:val="24"/>
          <w:szCs w:val="24"/>
          <w:lang w:val="en-MY"/>
        </w:rPr>
        <w:t xml:space="preserve"> </w:t>
      </w:r>
      <w:r w:rsidRPr="007472A3">
        <w:rPr>
          <w:rFonts w:ascii="Times New Roman" w:hAnsi="Times New Roman" w:cs="Times New Roman"/>
          <w:noProof w:val="0"/>
          <w:sz w:val="24"/>
          <w:szCs w:val="24"/>
          <w:lang w:val="en-MY"/>
        </w:rPr>
        <w:t>Quantitative hypothesis testing using structural equation mode</w:t>
      </w:r>
      <w:r w:rsidR="002D6A44">
        <w:rPr>
          <w:rFonts w:ascii="Times New Roman" w:hAnsi="Times New Roman" w:cs="Times New Roman"/>
          <w:noProof w:val="0"/>
          <w:sz w:val="24"/>
          <w:szCs w:val="24"/>
          <w:lang w:val="en-MY"/>
        </w:rPr>
        <w:t>l</w:t>
      </w:r>
      <w:r w:rsidRPr="007472A3">
        <w:rPr>
          <w:rFonts w:ascii="Times New Roman" w:hAnsi="Times New Roman" w:cs="Times New Roman"/>
          <w:noProof w:val="0"/>
          <w:sz w:val="24"/>
          <w:szCs w:val="24"/>
          <w:lang w:val="en-MY"/>
        </w:rPr>
        <w:t xml:space="preserve">ling will empirically assess the significance and relative influence of these determinants on FIWP. </w:t>
      </w:r>
    </w:p>
    <w:p w14:paraId="79071586" w14:textId="04B0044A" w:rsidR="007D0EF9" w:rsidRDefault="00D36502" w:rsidP="005240D5">
      <w:pPr>
        <w:spacing w:line="360" w:lineRule="auto"/>
        <w:ind w:firstLine="567"/>
        <w:contextualSpacing/>
        <w:jc w:val="both"/>
        <w:rPr>
          <w:rFonts w:ascii="Times New Roman" w:hAnsi="Times New Roman" w:cs="Times New Roman"/>
          <w:noProof w:val="0"/>
          <w:sz w:val="24"/>
          <w:szCs w:val="24"/>
        </w:rPr>
      </w:pPr>
      <w:r w:rsidRPr="0039167F">
        <w:rPr>
          <w:rFonts w:ascii="Times New Roman" w:hAnsi="Times New Roman" w:cs="Times New Roman"/>
          <w:noProof w:val="0"/>
          <w:sz w:val="24"/>
          <w:szCs w:val="24"/>
        </w:rPr>
        <w:t xml:space="preserve">In this method, the population of the community is taken as a cluster group, and each cluster is randomly selected in each area in Selangor. The justification in Selangor is that this study is done to the surrounding community with homogeneous economic power. The total number of respondents involved in this study was </w:t>
      </w:r>
      <w:r w:rsidR="006A132D">
        <w:rPr>
          <w:rFonts w:ascii="Times New Roman" w:hAnsi="Times New Roman" w:cs="Times New Roman"/>
          <w:noProof w:val="0"/>
          <w:sz w:val="24"/>
          <w:szCs w:val="24"/>
        </w:rPr>
        <w:t>n=</w:t>
      </w:r>
      <w:r w:rsidRPr="0039167F">
        <w:rPr>
          <w:rFonts w:ascii="Times New Roman" w:hAnsi="Times New Roman" w:cs="Times New Roman"/>
          <w:noProof w:val="0"/>
          <w:sz w:val="24"/>
          <w:szCs w:val="24"/>
        </w:rPr>
        <w:t xml:space="preserve">310. Cluster-sampling methods of </w:t>
      </w:r>
      <w:r w:rsidR="006A132D">
        <w:rPr>
          <w:rFonts w:ascii="Times New Roman" w:hAnsi="Times New Roman" w:cs="Times New Roman"/>
          <w:noProof w:val="0"/>
          <w:sz w:val="24"/>
          <w:szCs w:val="24"/>
        </w:rPr>
        <w:t xml:space="preserve">the </w:t>
      </w:r>
      <w:r w:rsidRPr="0039167F">
        <w:rPr>
          <w:rFonts w:ascii="Times New Roman" w:hAnsi="Times New Roman" w:cs="Times New Roman"/>
          <w:noProof w:val="0"/>
          <w:sz w:val="24"/>
          <w:szCs w:val="24"/>
        </w:rPr>
        <w:lastRenderedPageBreak/>
        <w:t xml:space="preserve">population are selected to ensure that different groups of society can be represented in the study. The hypothesis of this study was formed </w:t>
      </w:r>
      <w:r w:rsidR="006A132D">
        <w:rPr>
          <w:rFonts w:ascii="Times New Roman" w:hAnsi="Times New Roman" w:cs="Times New Roman"/>
          <w:noProof w:val="0"/>
          <w:sz w:val="24"/>
          <w:szCs w:val="24"/>
        </w:rPr>
        <w:t>based on</w:t>
      </w:r>
      <w:r w:rsidRPr="0039167F">
        <w:rPr>
          <w:rFonts w:ascii="Times New Roman" w:hAnsi="Times New Roman" w:cs="Times New Roman"/>
          <w:noProof w:val="0"/>
          <w:sz w:val="24"/>
          <w:szCs w:val="24"/>
        </w:rPr>
        <w:t xml:space="preserve"> previous literature and an understanding of the factors that influence society's acceptance of commercial real estate waqf. There are four independent variables proposed in this study, namely knowledge of commercial property waqf, acceptance of the benefits of commercial real estate waqf, cultural and social factors, and economic factors. The variable (dependent variable) in this study is society's acceptance of the commercial property waqf agenda. These hypotheses will be tested using statistical analysis corresponding to </w:t>
      </w:r>
      <w:r w:rsidR="007C4A83">
        <w:rPr>
          <w:rFonts w:ascii="Times New Roman" w:hAnsi="Times New Roman" w:cs="Times New Roman"/>
          <w:noProof w:val="0"/>
          <w:sz w:val="24"/>
          <w:szCs w:val="24"/>
        </w:rPr>
        <w:t>PLS-SEM</w:t>
      </w:r>
      <w:r w:rsidRPr="0039167F">
        <w:rPr>
          <w:rFonts w:ascii="Times New Roman" w:hAnsi="Times New Roman" w:cs="Times New Roman"/>
          <w:noProof w:val="0"/>
          <w:sz w:val="24"/>
          <w:szCs w:val="24"/>
        </w:rPr>
        <w:t xml:space="preserve">. Using quantitative approaches, survey form instruments, cluster population sampling, and hypothetical formation, this study is expected to provide a deeper understanding of society's acceptance of the commercial property waqf agenda. The results of this study are expected to contribute to the field of commercial property </w:t>
      </w:r>
      <w:proofErr w:type="spellStart"/>
      <w:r w:rsidRPr="0039167F">
        <w:rPr>
          <w:rFonts w:ascii="Times New Roman" w:hAnsi="Times New Roman" w:cs="Times New Roman"/>
          <w:noProof w:val="0"/>
          <w:sz w:val="24"/>
          <w:szCs w:val="24"/>
        </w:rPr>
        <w:t>waqf</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studies</w:t>
      </w:r>
      <w:proofErr w:type="spellEnd"/>
      <w:r w:rsidRPr="0039167F">
        <w:rPr>
          <w:rFonts w:ascii="Times New Roman" w:hAnsi="Times New Roman" w:cs="Times New Roman"/>
          <w:noProof w:val="0"/>
          <w:sz w:val="24"/>
          <w:szCs w:val="24"/>
        </w:rPr>
        <w:t xml:space="preserve"> as </w:t>
      </w:r>
      <w:proofErr w:type="spellStart"/>
      <w:r w:rsidRPr="0039167F">
        <w:rPr>
          <w:rFonts w:ascii="Times New Roman" w:hAnsi="Times New Roman" w:cs="Times New Roman"/>
          <w:noProof w:val="0"/>
          <w:sz w:val="24"/>
          <w:szCs w:val="24"/>
        </w:rPr>
        <w:t>well</w:t>
      </w:r>
      <w:proofErr w:type="spellEnd"/>
      <w:r w:rsidRPr="0039167F">
        <w:rPr>
          <w:rFonts w:ascii="Times New Roman" w:hAnsi="Times New Roman" w:cs="Times New Roman"/>
          <w:noProof w:val="0"/>
          <w:sz w:val="24"/>
          <w:szCs w:val="24"/>
        </w:rPr>
        <w:t xml:space="preserve"> as </w:t>
      </w:r>
      <w:proofErr w:type="spellStart"/>
      <w:r w:rsidRPr="0039167F">
        <w:rPr>
          <w:rFonts w:ascii="Times New Roman" w:hAnsi="Times New Roman" w:cs="Times New Roman"/>
          <w:noProof w:val="0"/>
          <w:sz w:val="24"/>
          <w:szCs w:val="24"/>
        </w:rPr>
        <w:t>provide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guidance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to</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stakeholders</w:t>
      </w:r>
      <w:proofErr w:type="spellEnd"/>
      <w:r w:rsidRPr="0039167F">
        <w:rPr>
          <w:rFonts w:ascii="Times New Roman" w:hAnsi="Times New Roman" w:cs="Times New Roman"/>
          <w:noProof w:val="0"/>
          <w:sz w:val="24"/>
          <w:szCs w:val="24"/>
        </w:rPr>
        <w:t xml:space="preserve"> in </w:t>
      </w:r>
      <w:proofErr w:type="spellStart"/>
      <w:r w:rsidRPr="0039167F">
        <w:rPr>
          <w:rFonts w:ascii="Times New Roman" w:hAnsi="Times New Roman" w:cs="Times New Roman"/>
          <w:noProof w:val="0"/>
          <w:sz w:val="24"/>
          <w:szCs w:val="24"/>
        </w:rPr>
        <w:t>planning</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and</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implementing</w:t>
      </w:r>
      <w:proofErr w:type="spellEnd"/>
      <w:r w:rsidRPr="0039167F">
        <w:rPr>
          <w:rFonts w:ascii="Times New Roman" w:hAnsi="Times New Roman" w:cs="Times New Roman"/>
          <w:noProof w:val="0"/>
          <w:sz w:val="24"/>
          <w:szCs w:val="24"/>
        </w:rPr>
        <w:t xml:space="preserve"> a </w:t>
      </w:r>
      <w:proofErr w:type="spellStart"/>
      <w:r w:rsidRPr="0039167F">
        <w:rPr>
          <w:rFonts w:ascii="Times New Roman" w:hAnsi="Times New Roman" w:cs="Times New Roman"/>
          <w:noProof w:val="0"/>
          <w:sz w:val="24"/>
          <w:szCs w:val="24"/>
        </w:rPr>
        <w:t>more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effective</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commercial</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property</w:t>
      </w:r>
      <w:proofErr w:type="spellEnd"/>
      <w:r w:rsidRPr="0039167F">
        <w:rPr>
          <w:rFonts w:ascii="Times New Roman" w:hAnsi="Times New Roman" w:cs="Times New Roman"/>
          <w:noProof w:val="0"/>
          <w:sz w:val="24"/>
          <w:szCs w:val="24"/>
        </w:rPr>
        <w:t xml:space="preserve"> </w:t>
      </w:r>
      <w:proofErr w:type="spellStart"/>
      <w:r w:rsidRPr="0039167F">
        <w:rPr>
          <w:rFonts w:ascii="Times New Roman" w:hAnsi="Times New Roman" w:cs="Times New Roman"/>
          <w:noProof w:val="0"/>
          <w:sz w:val="24"/>
          <w:szCs w:val="24"/>
        </w:rPr>
        <w:t>waqf</w:t>
      </w:r>
      <w:proofErr w:type="spellEnd"/>
      <w:r w:rsidRPr="0039167F">
        <w:rPr>
          <w:rFonts w:ascii="Times New Roman" w:hAnsi="Times New Roman" w:cs="Times New Roman"/>
          <w:noProof w:val="0"/>
          <w:sz w:val="24"/>
          <w:szCs w:val="24"/>
        </w:rPr>
        <w:t xml:space="preserve"> program.</w:t>
      </w:r>
      <w:r w:rsidR="00745D83">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With</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the</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debate</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the</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conceptual</w:t>
      </w:r>
      <w:proofErr w:type="spellEnd"/>
      <w:r w:rsidR="007D0EF9">
        <w:rPr>
          <w:rFonts w:ascii="Times New Roman" w:hAnsi="Times New Roman" w:cs="Times New Roman"/>
          <w:noProof w:val="0"/>
          <w:sz w:val="24"/>
          <w:szCs w:val="24"/>
        </w:rPr>
        <w:t xml:space="preserve"> model </w:t>
      </w:r>
      <w:proofErr w:type="spellStart"/>
      <w:r w:rsidR="007D0EF9">
        <w:rPr>
          <w:rFonts w:ascii="Times New Roman" w:hAnsi="Times New Roman" w:cs="Times New Roman"/>
          <w:noProof w:val="0"/>
          <w:sz w:val="24"/>
          <w:szCs w:val="24"/>
        </w:rPr>
        <w:t>of</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the</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study</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is</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shown</w:t>
      </w:r>
      <w:proofErr w:type="spellEnd"/>
      <w:r w:rsidR="007D0EF9">
        <w:rPr>
          <w:rFonts w:ascii="Times New Roman" w:hAnsi="Times New Roman" w:cs="Times New Roman"/>
          <w:noProof w:val="0"/>
          <w:sz w:val="24"/>
          <w:szCs w:val="24"/>
        </w:rPr>
        <w:t xml:space="preserve"> in </w:t>
      </w:r>
      <w:proofErr w:type="spellStart"/>
      <w:r w:rsidR="007D0EF9">
        <w:rPr>
          <w:rFonts w:ascii="Times New Roman" w:hAnsi="Times New Roman" w:cs="Times New Roman"/>
          <w:noProof w:val="0"/>
          <w:sz w:val="24"/>
          <w:szCs w:val="24"/>
        </w:rPr>
        <w:t>the</w:t>
      </w:r>
      <w:proofErr w:type="spellEnd"/>
      <w:r w:rsidR="007D0EF9">
        <w:rPr>
          <w:rFonts w:ascii="Times New Roman" w:hAnsi="Times New Roman" w:cs="Times New Roman"/>
          <w:noProof w:val="0"/>
          <w:sz w:val="24"/>
          <w:szCs w:val="24"/>
        </w:rPr>
        <w:t xml:space="preserve"> </w:t>
      </w:r>
      <w:proofErr w:type="spellStart"/>
      <w:r w:rsidR="007D0EF9">
        <w:rPr>
          <w:rFonts w:ascii="Times New Roman" w:hAnsi="Times New Roman" w:cs="Times New Roman"/>
          <w:noProof w:val="0"/>
          <w:sz w:val="24"/>
          <w:szCs w:val="24"/>
        </w:rPr>
        <w:t>following</w:t>
      </w:r>
      <w:proofErr w:type="spellEnd"/>
      <w:r w:rsidR="007D0EF9">
        <w:rPr>
          <w:rFonts w:ascii="Times New Roman" w:hAnsi="Times New Roman" w:cs="Times New Roman"/>
          <w:noProof w:val="0"/>
          <w:sz w:val="24"/>
          <w:szCs w:val="24"/>
        </w:rPr>
        <w:t xml:space="preserve"> </w:t>
      </w:r>
      <w:proofErr w:type="spellStart"/>
      <w:r w:rsidR="006A132D">
        <w:rPr>
          <w:rFonts w:ascii="Times New Roman" w:hAnsi="Times New Roman" w:cs="Times New Roman"/>
          <w:noProof w:val="0"/>
          <w:sz w:val="24"/>
          <w:szCs w:val="24"/>
        </w:rPr>
        <w:t>F</w:t>
      </w:r>
      <w:r w:rsidR="007D0EF9">
        <w:rPr>
          <w:rFonts w:ascii="Times New Roman" w:hAnsi="Times New Roman" w:cs="Times New Roman"/>
          <w:noProof w:val="0"/>
          <w:sz w:val="24"/>
          <w:szCs w:val="24"/>
        </w:rPr>
        <w:t>igure</w:t>
      </w:r>
      <w:proofErr w:type="spellEnd"/>
      <w:r w:rsidR="007D0EF9">
        <w:rPr>
          <w:rFonts w:ascii="Times New Roman" w:hAnsi="Times New Roman" w:cs="Times New Roman"/>
          <w:noProof w:val="0"/>
          <w:sz w:val="24"/>
          <w:szCs w:val="24"/>
        </w:rPr>
        <w:t xml:space="preserve"> 1.0:</w:t>
      </w:r>
    </w:p>
    <w:p w14:paraId="42870351" w14:textId="77777777" w:rsidR="0071371E" w:rsidRDefault="0071371E" w:rsidP="005240D5">
      <w:pPr>
        <w:spacing w:line="360" w:lineRule="auto"/>
        <w:ind w:firstLine="567"/>
        <w:contextualSpacing/>
        <w:jc w:val="both"/>
        <w:rPr>
          <w:rFonts w:ascii="Times New Roman" w:hAnsi="Times New Roman" w:cs="Times New Roman"/>
          <w:noProof w:val="0"/>
          <w:sz w:val="24"/>
          <w:szCs w:val="24"/>
        </w:rPr>
      </w:pPr>
    </w:p>
    <w:p w14:paraId="5A383967" w14:textId="14ABF440" w:rsidR="0071371E" w:rsidRPr="003C251E" w:rsidRDefault="0071371E" w:rsidP="005240D5">
      <w:pPr>
        <w:spacing w:line="360" w:lineRule="auto"/>
        <w:ind w:firstLine="567"/>
        <w:contextualSpacing/>
        <w:jc w:val="center"/>
        <w:rPr>
          <w:rFonts w:ascii="Times New Roman" w:hAnsi="Times New Roman" w:cs="Times New Roman"/>
          <w:noProof w:val="0"/>
          <w:sz w:val="18"/>
          <w:szCs w:val="18"/>
        </w:rPr>
      </w:pPr>
      <w:proofErr w:type="spellStart"/>
      <w:r w:rsidRPr="003C251E">
        <w:rPr>
          <w:rFonts w:ascii="Times New Roman" w:hAnsi="Times New Roman" w:cs="Times New Roman"/>
          <w:noProof w:val="0"/>
          <w:sz w:val="18"/>
          <w:szCs w:val="18"/>
        </w:rPr>
        <w:t>Figure</w:t>
      </w:r>
      <w:proofErr w:type="spellEnd"/>
      <w:r w:rsidRPr="003C251E">
        <w:rPr>
          <w:rFonts w:ascii="Times New Roman" w:hAnsi="Times New Roman" w:cs="Times New Roman"/>
          <w:noProof w:val="0"/>
          <w:sz w:val="18"/>
          <w:szCs w:val="18"/>
        </w:rPr>
        <w:t xml:space="preserve"> 1.0: </w:t>
      </w:r>
      <w:proofErr w:type="spellStart"/>
      <w:r w:rsidRPr="003C251E">
        <w:rPr>
          <w:rFonts w:ascii="Times New Roman" w:hAnsi="Times New Roman" w:cs="Times New Roman"/>
          <w:noProof w:val="0"/>
          <w:sz w:val="18"/>
          <w:szCs w:val="18"/>
        </w:rPr>
        <w:t>Conceptual</w:t>
      </w:r>
      <w:proofErr w:type="spellEnd"/>
      <w:r w:rsidRPr="003C251E">
        <w:rPr>
          <w:rFonts w:ascii="Times New Roman" w:hAnsi="Times New Roman" w:cs="Times New Roman"/>
          <w:noProof w:val="0"/>
          <w:sz w:val="18"/>
          <w:szCs w:val="18"/>
        </w:rPr>
        <w:t xml:space="preserve"> Model </w:t>
      </w:r>
      <w:proofErr w:type="spellStart"/>
      <w:r w:rsidRPr="003C251E">
        <w:rPr>
          <w:rFonts w:ascii="Times New Roman" w:hAnsi="Times New Roman" w:cs="Times New Roman"/>
          <w:noProof w:val="0"/>
          <w:sz w:val="18"/>
          <w:szCs w:val="18"/>
        </w:rPr>
        <w:t>of</w:t>
      </w:r>
      <w:proofErr w:type="spellEnd"/>
      <w:r w:rsidRPr="003C251E">
        <w:rPr>
          <w:rFonts w:ascii="Times New Roman" w:hAnsi="Times New Roman" w:cs="Times New Roman"/>
          <w:noProof w:val="0"/>
          <w:sz w:val="18"/>
          <w:szCs w:val="18"/>
        </w:rPr>
        <w:t xml:space="preserve"> </w:t>
      </w:r>
      <w:proofErr w:type="spellStart"/>
      <w:r w:rsidRPr="003C251E">
        <w:rPr>
          <w:rFonts w:ascii="Times New Roman" w:hAnsi="Times New Roman" w:cs="Times New Roman"/>
          <w:noProof w:val="0"/>
          <w:sz w:val="18"/>
          <w:szCs w:val="18"/>
        </w:rPr>
        <w:t>the</w:t>
      </w:r>
      <w:proofErr w:type="spellEnd"/>
      <w:r w:rsidRPr="003C251E">
        <w:rPr>
          <w:rFonts w:ascii="Times New Roman" w:hAnsi="Times New Roman" w:cs="Times New Roman"/>
          <w:noProof w:val="0"/>
          <w:sz w:val="18"/>
          <w:szCs w:val="18"/>
        </w:rPr>
        <w:t xml:space="preserve"> </w:t>
      </w:r>
      <w:proofErr w:type="spellStart"/>
      <w:r w:rsidR="002D6A44" w:rsidRPr="003C251E">
        <w:rPr>
          <w:rFonts w:ascii="Times New Roman" w:hAnsi="Times New Roman" w:cs="Times New Roman"/>
          <w:noProof w:val="0"/>
          <w:sz w:val="18"/>
          <w:szCs w:val="18"/>
        </w:rPr>
        <w:t>S</w:t>
      </w:r>
      <w:r w:rsidRPr="003C251E">
        <w:rPr>
          <w:rFonts w:ascii="Times New Roman" w:hAnsi="Times New Roman" w:cs="Times New Roman"/>
          <w:noProof w:val="0"/>
          <w:sz w:val="18"/>
          <w:szCs w:val="18"/>
        </w:rPr>
        <w:t>tudy</w:t>
      </w:r>
      <w:proofErr w:type="spellEnd"/>
    </w:p>
    <w:p w14:paraId="60FE0AF4" w14:textId="640A6A88" w:rsidR="00447796" w:rsidRDefault="00B9254E" w:rsidP="005240D5">
      <w:pPr>
        <w:spacing w:line="360" w:lineRule="auto"/>
        <w:contextualSpacing/>
        <w:jc w:val="center"/>
        <w:rPr>
          <w:rFonts w:ascii="Times New Roman" w:hAnsi="Times New Roman" w:cs="Times New Roman"/>
          <w:noProof w:val="0"/>
          <w:sz w:val="24"/>
          <w:szCs w:val="24"/>
        </w:rPr>
      </w:pPr>
      <w:r w:rsidRPr="002D6A44">
        <w:rPr>
          <w:rFonts w:asciiTheme="majorBidi" w:hAnsiTheme="majorBidi" w:cstheme="majorBidi"/>
        </w:rPr>
        <w:drawing>
          <wp:inline distT="0" distB="0" distL="0" distR="0" wp14:anchorId="5EF7963E" wp14:editId="5FF8C5B5">
            <wp:extent cx="5327650" cy="3223895"/>
            <wp:effectExtent l="19050" t="19050" r="25400" b="14605"/>
            <wp:docPr id="1881957751" name="Picture 1" descr="A diagram of a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57751" name="Picture 1" descr="A diagram of a problem&#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1551" r="5495"/>
                    <a:stretch/>
                  </pic:blipFill>
                  <pic:spPr bwMode="auto">
                    <a:xfrm>
                      <a:off x="0" y="0"/>
                      <a:ext cx="5327650" cy="322389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1805F63" w14:textId="6CD62A3B" w:rsidR="007D0EF9" w:rsidRDefault="007D0EF9" w:rsidP="005240D5">
      <w:pPr>
        <w:spacing w:line="360" w:lineRule="auto"/>
        <w:contextualSpacing/>
        <w:jc w:val="both"/>
        <w:rPr>
          <w:rFonts w:ascii="Times New Roman" w:hAnsi="Times New Roman" w:cs="Times New Roman"/>
          <w:noProof w:val="0"/>
          <w:sz w:val="24"/>
          <w:szCs w:val="24"/>
        </w:rPr>
      </w:pPr>
    </w:p>
    <w:p w14:paraId="76D253F6" w14:textId="582F676A" w:rsidR="0003624F" w:rsidRDefault="00A3396D" w:rsidP="00A3396D">
      <w:pPr>
        <w:spacing w:line="360" w:lineRule="auto"/>
        <w:contextualSpacing/>
        <w:jc w:val="center"/>
        <w:rPr>
          <w:rFonts w:ascii="Times New Roman" w:hAnsi="Times New Roman" w:cs="Times New Roman"/>
          <w:noProof w:val="0"/>
          <w:color w:val="000000" w:themeColor="text1"/>
          <w:kern w:val="0"/>
          <w:sz w:val="24"/>
          <w:szCs w:val="24"/>
          <w14:ligatures w14:val="none"/>
        </w:rPr>
      </w:pPr>
      <w:r w:rsidRPr="006B6ABD">
        <w:rPr>
          <w:rFonts w:ascii="Times New Roman" w:hAnsi="Times New Roman" w:cs="Times New Roman"/>
          <w:noProof w:val="0"/>
          <w:color w:val="000000" w:themeColor="text1"/>
          <w:kern w:val="0"/>
          <w:sz w:val="24"/>
          <w:szCs w:val="24"/>
          <w14:ligatures w14:val="none"/>
        </w:rPr>
        <w:t>RESEARCH</w:t>
      </w:r>
      <w:r w:rsidR="00745D83" w:rsidRPr="006B6ABD">
        <w:rPr>
          <w:rFonts w:ascii="Times New Roman" w:hAnsi="Times New Roman" w:cs="Times New Roman"/>
          <w:noProof w:val="0"/>
          <w:color w:val="000000" w:themeColor="text1"/>
          <w:kern w:val="0"/>
          <w:sz w:val="24"/>
          <w:szCs w:val="24"/>
          <w14:ligatures w14:val="none"/>
        </w:rPr>
        <w:t xml:space="preserve"> METHODOLOGY</w:t>
      </w:r>
    </w:p>
    <w:p w14:paraId="124C9026" w14:textId="77777777" w:rsidR="006B6ABD" w:rsidRPr="006B6ABD" w:rsidRDefault="006B6ABD" w:rsidP="00A3396D">
      <w:pPr>
        <w:spacing w:line="360" w:lineRule="auto"/>
        <w:contextualSpacing/>
        <w:jc w:val="center"/>
        <w:rPr>
          <w:rFonts w:ascii="Times New Roman" w:hAnsi="Times New Roman" w:cs="Times New Roman"/>
          <w:noProof w:val="0"/>
          <w:color w:val="000000" w:themeColor="text1"/>
          <w:kern w:val="0"/>
          <w:sz w:val="24"/>
          <w:szCs w:val="24"/>
          <w14:ligatures w14:val="none"/>
        </w:rPr>
      </w:pPr>
    </w:p>
    <w:p w14:paraId="6058DF4D" w14:textId="20CE7E74" w:rsidR="0003624F" w:rsidRPr="0039167F" w:rsidRDefault="0003624F" w:rsidP="005240D5">
      <w:pPr>
        <w:spacing w:line="360" w:lineRule="auto"/>
        <w:contextualSpacing/>
        <w:jc w:val="both"/>
        <w:rPr>
          <w:rFonts w:ascii="Times New Roman" w:hAnsi="Times New Roman" w:cs="Times New Roman"/>
          <w:noProof w:val="0"/>
          <w:kern w:val="0"/>
          <w:sz w:val="24"/>
          <w:szCs w:val="24"/>
          <w14:ligatures w14:val="none"/>
        </w:rPr>
      </w:pPr>
      <w:proofErr w:type="spellStart"/>
      <w:r w:rsidRPr="0039167F">
        <w:rPr>
          <w:rFonts w:ascii="Times New Roman" w:hAnsi="Times New Roman" w:cs="Times New Roman"/>
          <w:noProof w:val="0"/>
          <w:kern w:val="0"/>
          <w:sz w:val="24"/>
          <w:szCs w:val="24"/>
          <w14:ligatures w14:val="none"/>
        </w:rPr>
        <w:t>The</w:t>
      </w:r>
      <w:proofErr w:type="spellEnd"/>
      <w:r w:rsidR="00FA471D">
        <w:rPr>
          <w:rFonts w:ascii="Times New Roman" w:hAnsi="Times New Roman" w:cs="Times New Roman"/>
          <w:noProof w:val="0"/>
          <w:kern w:val="0"/>
          <w:sz w:val="24"/>
          <w:szCs w:val="24"/>
          <w14:ligatures w14:val="none"/>
        </w:rPr>
        <w:t xml:space="preserve"> </w:t>
      </w:r>
      <w:proofErr w:type="spellStart"/>
      <w:r w:rsidR="00FA471D">
        <w:rPr>
          <w:rFonts w:ascii="Times New Roman" w:hAnsi="Times New Roman" w:cs="Times New Roman"/>
          <w:noProof w:val="0"/>
          <w:kern w:val="0"/>
          <w:sz w:val="24"/>
          <w:szCs w:val="24"/>
          <w14:ligatures w14:val="none"/>
        </w:rPr>
        <w:t>research</w:t>
      </w:r>
      <w:proofErr w:type="spellEnd"/>
      <w:r w:rsidRPr="0039167F">
        <w:rPr>
          <w:rFonts w:ascii="Times New Roman" w:hAnsi="Times New Roman" w:cs="Times New Roman"/>
          <w:noProof w:val="0"/>
          <w:kern w:val="0"/>
          <w:sz w:val="24"/>
          <w:szCs w:val="24"/>
          <w14:ligatures w14:val="none"/>
        </w:rPr>
        <w:t xml:space="preserve"> </w:t>
      </w:r>
      <w:proofErr w:type="spellStart"/>
      <w:r w:rsidRPr="0039167F">
        <w:rPr>
          <w:rFonts w:ascii="Times New Roman" w:hAnsi="Times New Roman" w:cs="Times New Roman"/>
          <w:noProof w:val="0"/>
          <w:kern w:val="0"/>
          <w:sz w:val="24"/>
          <w:szCs w:val="24"/>
          <w14:ligatures w14:val="none"/>
        </w:rPr>
        <w:t>methodology</w:t>
      </w:r>
      <w:proofErr w:type="spellEnd"/>
      <w:r w:rsidRPr="0039167F">
        <w:rPr>
          <w:rFonts w:ascii="Times New Roman" w:hAnsi="Times New Roman" w:cs="Times New Roman"/>
          <w:noProof w:val="0"/>
          <w:kern w:val="0"/>
          <w:sz w:val="24"/>
          <w:szCs w:val="24"/>
          <w14:ligatures w14:val="none"/>
        </w:rPr>
        <w:t xml:space="preserve"> </w:t>
      </w:r>
      <w:proofErr w:type="spellStart"/>
      <w:r w:rsidRPr="0039167F">
        <w:rPr>
          <w:rFonts w:ascii="Times New Roman" w:hAnsi="Times New Roman" w:cs="Times New Roman"/>
          <w:noProof w:val="0"/>
          <w:kern w:val="0"/>
          <w:sz w:val="24"/>
          <w:szCs w:val="24"/>
          <w14:ligatures w14:val="none"/>
        </w:rPr>
        <w:t>involved</w:t>
      </w:r>
      <w:proofErr w:type="spellEnd"/>
      <w:r w:rsidRPr="0039167F">
        <w:rPr>
          <w:rFonts w:ascii="Times New Roman" w:hAnsi="Times New Roman" w:cs="Times New Roman"/>
          <w:noProof w:val="0"/>
          <w:kern w:val="0"/>
          <w:sz w:val="24"/>
          <w:szCs w:val="24"/>
          <w14:ligatures w14:val="none"/>
        </w:rPr>
        <w:t xml:space="preserve"> </w:t>
      </w:r>
      <w:proofErr w:type="spellStart"/>
      <w:r w:rsidRPr="0039167F">
        <w:rPr>
          <w:rFonts w:ascii="Times New Roman" w:hAnsi="Times New Roman" w:cs="Times New Roman"/>
          <w:noProof w:val="0"/>
          <w:kern w:val="0"/>
          <w:sz w:val="24"/>
          <w:szCs w:val="24"/>
          <w14:ligatures w14:val="none"/>
        </w:rPr>
        <w:t>collecting</w:t>
      </w:r>
      <w:proofErr w:type="spellEnd"/>
      <w:r w:rsidRPr="0039167F">
        <w:rPr>
          <w:rFonts w:ascii="Times New Roman" w:hAnsi="Times New Roman" w:cs="Times New Roman"/>
          <w:noProof w:val="0"/>
          <w:kern w:val="0"/>
          <w:sz w:val="24"/>
          <w:szCs w:val="24"/>
          <w14:ligatures w14:val="none"/>
        </w:rPr>
        <w:t xml:space="preserve"> data </w:t>
      </w:r>
      <w:proofErr w:type="spellStart"/>
      <w:r w:rsidRPr="0039167F">
        <w:rPr>
          <w:rFonts w:ascii="Times New Roman" w:hAnsi="Times New Roman" w:cs="Times New Roman"/>
          <w:noProof w:val="0"/>
          <w:kern w:val="0"/>
          <w:sz w:val="24"/>
          <w:szCs w:val="24"/>
          <w14:ligatures w14:val="none"/>
        </w:rPr>
        <w:t>from</w:t>
      </w:r>
      <w:proofErr w:type="spellEnd"/>
      <w:r w:rsidRPr="0039167F">
        <w:rPr>
          <w:rFonts w:ascii="Times New Roman" w:hAnsi="Times New Roman" w:cs="Times New Roman"/>
          <w:noProof w:val="0"/>
          <w:kern w:val="0"/>
          <w:sz w:val="24"/>
          <w:szCs w:val="24"/>
          <w14:ligatures w14:val="none"/>
        </w:rPr>
        <w:t xml:space="preserve"> 310 respondents through surveys distributed between March 2023 and May 2023. The self-filling approach is used, and the </w:t>
      </w:r>
      <w:r w:rsidRPr="0039167F">
        <w:rPr>
          <w:rFonts w:ascii="Times New Roman" w:hAnsi="Times New Roman" w:cs="Times New Roman"/>
          <w:noProof w:val="0"/>
          <w:kern w:val="0"/>
          <w:sz w:val="24"/>
          <w:szCs w:val="24"/>
          <w14:ligatures w14:val="none"/>
        </w:rPr>
        <w:lastRenderedPageBreak/>
        <w:t>respondents are selected through the cluster sampling method in Malaysia, categorized according to geographical locality i.e. urban, suburban</w:t>
      </w:r>
      <w:r w:rsidR="006A132D">
        <w:rPr>
          <w:rFonts w:ascii="Times New Roman" w:hAnsi="Times New Roman" w:cs="Times New Roman"/>
          <w:noProof w:val="0"/>
          <w:kern w:val="0"/>
          <w:sz w:val="24"/>
          <w:szCs w:val="24"/>
          <w14:ligatures w14:val="none"/>
        </w:rPr>
        <w:t>,</w:t>
      </w:r>
      <w:r w:rsidRPr="0039167F">
        <w:rPr>
          <w:rFonts w:ascii="Times New Roman" w:hAnsi="Times New Roman" w:cs="Times New Roman"/>
          <w:noProof w:val="0"/>
          <w:kern w:val="0"/>
          <w:sz w:val="24"/>
          <w:szCs w:val="24"/>
          <w14:ligatures w14:val="none"/>
        </w:rPr>
        <w:t xml:space="preserve"> and inland. The participants willingly participated in the study without receiving any compensation. Data collection was carried out using Google Forms, using a simple sampling method. The sample size is determined using cross-confidence G-Power analysis, with the desired power of 0.8 and a critical F</w:t>
      </w:r>
      <w:r w:rsidR="007C4A83">
        <w:rPr>
          <w:rFonts w:ascii="Times New Roman" w:hAnsi="Times New Roman" w:cs="Times New Roman"/>
          <w:noProof w:val="0"/>
          <w:kern w:val="0"/>
          <w:sz w:val="24"/>
          <w:szCs w:val="24"/>
          <w:vertAlign w:val="superscript"/>
          <w14:ligatures w14:val="none"/>
        </w:rPr>
        <w:t>2</w:t>
      </w:r>
      <w:r w:rsidRPr="0039167F">
        <w:rPr>
          <w:rFonts w:ascii="Times New Roman" w:hAnsi="Times New Roman" w:cs="Times New Roman"/>
          <w:noProof w:val="0"/>
          <w:kern w:val="0"/>
          <w:sz w:val="24"/>
          <w:szCs w:val="24"/>
          <w14:ligatures w14:val="none"/>
        </w:rPr>
        <w:t xml:space="preserve"> value of 2.48588 (Ken &amp; Kay, 2019). The analysis revealed that a sample size of 129 would give the desired statistical power of 8.0, as shown in </w:t>
      </w:r>
      <w:r w:rsidR="006A132D">
        <w:rPr>
          <w:rFonts w:ascii="Times New Roman" w:hAnsi="Times New Roman" w:cs="Times New Roman"/>
          <w:noProof w:val="0"/>
          <w:kern w:val="0"/>
          <w:sz w:val="24"/>
          <w:szCs w:val="24"/>
          <w14:ligatures w14:val="none"/>
        </w:rPr>
        <w:t>F</w:t>
      </w:r>
      <w:r w:rsidRPr="0039167F">
        <w:rPr>
          <w:rFonts w:ascii="Times New Roman" w:hAnsi="Times New Roman" w:cs="Times New Roman"/>
          <w:noProof w:val="0"/>
          <w:kern w:val="0"/>
          <w:sz w:val="24"/>
          <w:szCs w:val="24"/>
          <w14:ligatures w14:val="none"/>
        </w:rPr>
        <w:t>igure 1.0:</w:t>
      </w:r>
    </w:p>
    <w:p w14:paraId="0E85A226" w14:textId="77777777" w:rsidR="00FA471D" w:rsidRDefault="00FA471D" w:rsidP="005240D5">
      <w:pPr>
        <w:spacing w:line="360" w:lineRule="auto"/>
        <w:contextualSpacing/>
        <w:jc w:val="center"/>
        <w:rPr>
          <w:rFonts w:ascii="Times New Roman" w:hAnsi="Times New Roman" w:cs="Times New Roman"/>
          <w:noProof w:val="0"/>
          <w:color w:val="000000" w:themeColor="text1"/>
          <w:kern w:val="0"/>
          <w:sz w:val="24"/>
          <w:szCs w:val="24"/>
          <w14:ligatures w14:val="none"/>
        </w:rPr>
      </w:pPr>
    </w:p>
    <w:p w14:paraId="38E9DFC8" w14:textId="0309155F" w:rsidR="0003624F" w:rsidRPr="003C251E" w:rsidRDefault="0003624F" w:rsidP="005240D5">
      <w:pPr>
        <w:spacing w:line="360" w:lineRule="auto"/>
        <w:contextualSpacing/>
        <w:jc w:val="center"/>
        <w:rPr>
          <w:rFonts w:ascii="Times New Roman" w:hAnsi="Times New Roman" w:cs="Times New Roman"/>
          <w:noProof w:val="0"/>
          <w:color w:val="000000" w:themeColor="text1"/>
          <w:kern w:val="0"/>
          <w:sz w:val="18"/>
          <w:szCs w:val="18"/>
          <w14:ligatures w14:val="none"/>
        </w:rPr>
      </w:pPr>
      <w:r w:rsidRPr="003C251E">
        <w:rPr>
          <w:rFonts w:ascii="Times New Roman" w:hAnsi="Times New Roman" w:cs="Times New Roman"/>
          <w:noProof w:val="0"/>
          <w:color w:val="000000" w:themeColor="text1"/>
          <w:kern w:val="0"/>
          <w:sz w:val="18"/>
          <w:szCs w:val="18"/>
          <w14:ligatures w14:val="none"/>
        </w:rPr>
        <w:t xml:space="preserve">Diagram 1.0: </w:t>
      </w:r>
      <w:proofErr w:type="spellStart"/>
      <w:r w:rsidRPr="003C251E">
        <w:rPr>
          <w:rFonts w:ascii="Times New Roman" w:hAnsi="Times New Roman" w:cs="Times New Roman"/>
          <w:noProof w:val="0"/>
          <w:color w:val="000000" w:themeColor="text1"/>
          <w:kern w:val="0"/>
          <w:sz w:val="18"/>
          <w:szCs w:val="18"/>
          <w14:ligatures w14:val="none"/>
        </w:rPr>
        <w:t>Statistical</w:t>
      </w:r>
      <w:proofErr w:type="spellEnd"/>
      <w:r w:rsidRPr="003C251E">
        <w:rPr>
          <w:rFonts w:ascii="Times New Roman" w:hAnsi="Times New Roman" w:cs="Times New Roman"/>
          <w:noProof w:val="0"/>
          <w:color w:val="000000" w:themeColor="text1"/>
          <w:kern w:val="0"/>
          <w:sz w:val="18"/>
          <w:szCs w:val="18"/>
          <w14:ligatures w14:val="none"/>
        </w:rPr>
        <w:t xml:space="preserve"> </w:t>
      </w:r>
      <w:proofErr w:type="spellStart"/>
      <w:r w:rsidRPr="003C251E">
        <w:rPr>
          <w:rFonts w:ascii="Times New Roman" w:hAnsi="Times New Roman" w:cs="Times New Roman"/>
          <w:noProof w:val="0"/>
          <w:color w:val="000000" w:themeColor="text1"/>
          <w:kern w:val="0"/>
          <w:sz w:val="18"/>
          <w:szCs w:val="18"/>
          <w14:ligatures w14:val="none"/>
        </w:rPr>
        <w:t>power</w:t>
      </w:r>
      <w:proofErr w:type="spellEnd"/>
      <w:r w:rsidRPr="003C251E">
        <w:rPr>
          <w:rFonts w:ascii="Times New Roman" w:hAnsi="Times New Roman" w:cs="Times New Roman"/>
          <w:noProof w:val="0"/>
          <w:color w:val="000000" w:themeColor="text1"/>
          <w:kern w:val="0"/>
          <w:sz w:val="18"/>
          <w:szCs w:val="18"/>
          <w14:ligatures w14:val="none"/>
        </w:rPr>
        <w:t xml:space="preserve"> </w:t>
      </w:r>
      <w:proofErr w:type="spellStart"/>
      <w:r w:rsidRPr="003C251E">
        <w:rPr>
          <w:rFonts w:ascii="Times New Roman" w:hAnsi="Times New Roman" w:cs="Times New Roman"/>
          <w:noProof w:val="0"/>
          <w:color w:val="000000" w:themeColor="text1"/>
          <w:kern w:val="0"/>
          <w:sz w:val="18"/>
          <w:szCs w:val="18"/>
          <w14:ligatures w14:val="none"/>
        </w:rPr>
        <w:t>with</w:t>
      </w:r>
      <w:proofErr w:type="spellEnd"/>
      <w:r w:rsidRPr="003C251E">
        <w:rPr>
          <w:rFonts w:ascii="Times New Roman" w:hAnsi="Times New Roman" w:cs="Times New Roman"/>
          <w:noProof w:val="0"/>
          <w:color w:val="000000" w:themeColor="text1"/>
          <w:kern w:val="0"/>
          <w:sz w:val="18"/>
          <w:szCs w:val="18"/>
          <w14:ligatures w14:val="none"/>
        </w:rPr>
        <w:t xml:space="preserve"> G-</w:t>
      </w:r>
      <w:proofErr w:type="spellStart"/>
      <w:r w:rsidRPr="003C251E">
        <w:rPr>
          <w:rFonts w:ascii="Times New Roman" w:hAnsi="Times New Roman" w:cs="Times New Roman"/>
          <w:noProof w:val="0"/>
          <w:color w:val="000000" w:themeColor="text1"/>
          <w:kern w:val="0"/>
          <w:sz w:val="18"/>
          <w:szCs w:val="18"/>
          <w14:ligatures w14:val="none"/>
        </w:rPr>
        <w:t>power</w:t>
      </w:r>
      <w:proofErr w:type="spellEnd"/>
      <w:r w:rsidRPr="003C251E">
        <w:rPr>
          <w:rFonts w:ascii="Times New Roman" w:hAnsi="Times New Roman" w:cs="Times New Roman"/>
          <w:noProof w:val="0"/>
          <w:color w:val="000000" w:themeColor="text1"/>
          <w:kern w:val="0"/>
          <w:sz w:val="18"/>
          <w:szCs w:val="18"/>
          <w14:ligatures w14:val="none"/>
        </w:rPr>
        <w:t xml:space="preserve"> manual </w:t>
      </w:r>
    </w:p>
    <w:p w14:paraId="3649E06D" w14:textId="5BE24D91" w:rsidR="0003624F" w:rsidRPr="003411FB" w:rsidRDefault="0003624F" w:rsidP="005240D5">
      <w:pPr>
        <w:spacing w:line="360" w:lineRule="auto"/>
        <w:contextualSpacing/>
        <w:jc w:val="center"/>
        <w:rPr>
          <w:rFonts w:ascii="Times New Roman" w:hAnsi="Times New Roman" w:cs="Times New Roman"/>
          <w:noProof w:val="0"/>
          <w:color w:val="000000" w:themeColor="text1"/>
          <w:kern w:val="0"/>
          <w:sz w:val="24"/>
          <w:szCs w:val="24"/>
          <w14:ligatures w14:val="none"/>
        </w:rPr>
      </w:pPr>
      <w:r w:rsidRPr="0039167F">
        <w:rPr>
          <w:rFonts w:ascii="Times New Roman" w:hAnsi="Times New Roman" w:cs="Times New Roman"/>
          <w:color w:val="000000" w:themeColor="text1"/>
          <w:kern w:val="0"/>
          <w:sz w:val="24"/>
          <w:szCs w:val="24"/>
          <w14:ligatures w14:val="none"/>
        </w:rPr>
        <w:drawing>
          <wp:inline distT="0" distB="0" distL="0" distR="0" wp14:anchorId="03335BE6" wp14:editId="2E93606F">
            <wp:extent cx="3948430" cy="1180618"/>
            <wp:effectExtent l="0" t="0" r="0" b="635"/>
            <wp:docPr id="382147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3291" cy="1194032"/>
                    </a:xfrm>
                    <a:prstGeom prst="rect">
                      <a:avLst/>
                    </a:prstGeom>
                    <a:noFill/>
                  </pic:spPr>
                </pic:pic>
              </a:graphicData>
            </a:graphic>
          </wp:inline>
        </w:drawing>
      </w:r>
    </w:p>
    <w:p w14:paraId="521A68EF" w14:textId="77777777" w:rsidR="007D0EF9" w:rsidRDefault="007D0EF9" w:rsidP="005240D5">
      <w:pPr>
        <w:spacing w:after="0" w:line="360" w:lineRule="auto"/>
        <w:rPr>
          <w:rFonts w:ascii="Times New Roman" w:eastAsia="Times New Roman" w:hAnsi="Times New Roman" w:cs="Times New Roman"/>
          <w:b/>
          <w:bCs/>
          <w:noProof w:val="0"/>
          <w:kern w:val="0"/>
          <w:sz w:val="24"/>
          <w:szCs w:val="24"/>
          <w:lang w:eastAsia="en-MY"/>
          <w14:ligatures w14:val="none"/>
        </w:rPr>
      </w:pPr>
    </w:p>
    <w:p w14:paraId="4F39DCAB" w14:textId="76BA92E6" w:rsidR="00F87502" w:rsidRPr="006B6ABD" w:rsidRDefault="006B6ABD" w:rsidP="00FA471D">
      <w:pPr>
        <w:spacing w:after="0" w:line="360" w:lineRule="auto"/>
        <w:jc w:val="center"/>
        <w:rPr>
          <w:rFonts w:ascii="Times New Roman" w:eastAsia="Times New Roman" w:hAnsi="Times New Roman" w:cs="Times New Roman"/>
          <w:noProof w:val="0"/>
          <w:kern w:val="0"/>
          <w:sz w:val="20"/>
          <w:szCs w:val="20"/>
          <w:lang w:eastAsia="en-MY"/>
          <w14:ligatures w14:val="none"/>
        </w:rPr>
      </w:pPr>
      <w:r w:rsidRPr="006B6ABD">
        <w:rPr>
          <w:rFonts w:ascii="Times New Roman" w:eastAsia="Times New Roman" w:hAnsi="Times New Roman" w:cs="Times New Roman"/>
          <w:noProof w:val="0"/>
          <w:kern w:val="0"/>
          <w:sz w:val="20"/>
          <w:szCs w:val="20"/>
          <w:lang w:eastAsia="en-MY"/>
          <w14:ligatures w14:val="none"/>
        </w:rPr>
        <w:t>STUDY INSTRUMENTS</w:t>
      </w:r>
    </w:p>
    <w:p w14:paraId="4B4BEF46" w14:textId="77777777" w:rsidR="00FA471D" w:rsidRPr="00FA471D" w:rsidRDefault="00FA471D" w:rsidP="00FA471D">
      <w:pPr>
        <w:spacing w:after="0" w:line="360" w:lineRule="auto"/>
        <w:jc w:val="center"/>
        <w:rPr>
          <w:rFonts w:ascii="Times New Roman" w:eastAsia="Times New Roman" w:hAnsi="Times New Roman" w:cs="Times New Roman"/>
          <w:noProof w:val="0"/>
          <w:kern w:val="0"/>
          <w:sz w:val="24"/>
          <w:szCs w:val="24"/>
          <w:lang w:eastAsia="en-MY"/>
          <w14:ligatures w14:val="none"/>
        </w:rPr>
      </w:pPr>
    </w:p>
    <w:p w14:paraId="16909CD4" w14:textId="33466B72" w:rsidR="00342857" w:rsidRPr="0039167F" w:rsidRDefault="00F87502" w:rsidP="005240D5">
      <w:pPr>
        <w:spacing w:after="0" w:line="360" w:lineRule="auto"/>
        <w:jc w:val="both"/>
        <w:rPr>
          <w:rFonts w:ascii="Times New Roman" w:eastAsia="Times New Roman" w:hAnsi="Times New Roman" w:cs="Times New Roman"/>
          <w:noProof w:val="0"/>
          <w:kern w:val="0"/>
          <w:sz w:val="24"/>
          <w:szCs w:val="24"/>
          <w:lang w:eastAsia="en-MY"/>
          <w14:ligatures w14:val="none"/>
        </w:rPr>
      </w:pPr>
      <w:proofErr w:type="spellStart"/>
      <w:r w:rsidRPr="0039167F">
        <w:rPr>
          <w:rFonts w:ascii="Times New Roman" w:eastAsia="Times New Roman" w:hAnsi="Times New Roman" w:cs="Times New Roman"/>
          <w:noProof w:val="0"/>
          <w:kern w:val="0"/>
          <w:sz w:val="24"/>
          <w:szCs w:val="24"/>
          <w:lang w:eastAsia="en-MY"/>
          <w14:ligatures w14:val="none"/>
        </w:rPr>
        <w:t>The</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study</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used</w:t>
      </w:r>
      <w:proofErr w:type="spellEnd"/>
      <w:r w:rsidRPr="0039167F">
        <w:rPr>
          <w:rFonts w:ascii="Times New Roman" w:eastAsia="Times New Roman" w:hAnsi="Times New Roman" w:cs="Times New Roman"/>
          <w:noProof w:val="0"/>
          <w:kern w:val="0"/>
          <w:sz w:val="24"/>
          <w:szCs w:val="24"/>
          <w:lang w:eastAsia="en-MY"/>
          <w14:ligatures w14:val="none"/>
        </w:rPr>
        <w:t xml:space="preserve"> a </w:t>
      </w:r>
      <w:proofErr w:type="spellStart"/>
      <w:r w:rsidRPr="0039167F">
        <w:rPr>
          <w:rFonts w:ascii="Times New Roman" w:eastAsia="Times New Roman" w:hAnsi="Times New Roman" w:cs="Times New Roman"/>
          <w:noProof w:val="0"/>
          <w:kern w:val="0"/>
          <w:sz w:val="24"/>
          <w:szCs w:val="24"/>
          <w:lang w:eastAsia="en-MY"/>
          <w14:ligatures w14:val="none"/>
        </w:rPr>
        <w:t>study</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instrument</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consisting</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of</w:t>
      </w:r>
      <w:proofErr w:type="spellEnd"/>
      <w:r w:rsidRPr="0039167F">
        <w:rPr>
          <w:rFonts w:ascii="Times New Roman" w:eastAsia="Times New Roman" w:hAnsi="Times New Roman" w:cs="Times New Roman"/>
          <w:noProof w:val="0"/>
          <w:kern w:val="0"/>
          <w:sz w:val="24"/>
          <w:szCs w:val="24"/>
          <w:lang w:eastAsia="en-MY"/>
          <w14:ligatures w14:val="none"/>
        </w:rPr>
        <w:t xml:space="preserve"> two parts. The first is allocated for collecting demographic data of participants, while the second part is devoted to collecting feedback on conceptual model factors. The "7-point Likert Scale" is used to Measure the model in the second approach (Adam, 2020). Each item that is an instrument of study is encoded with a specific series of figures and is a reference for the link between the constructs in the </w:t>
      </w:r>
      <w:r w:rsidR="007C4A83">
        <w:rPr>
          <w:rFonts w:ascii="Times New Roman" w:eastAsia="Times New Roman" w:hAnsi="Times New Roman" w:cs="Times New Roman"/>
          <w:noProof w:val="0"/>
          <w:kern w:val="0"/>
          <w:sz w:val="24"/>
          <w:szCs w:val="24"/>
          <w:lang w:eastAsia="en-MY"/>
          <w14:ligatures w14:val="none"/>
        </w:rPr>
        <w:t>PLS-SEM</w:t>
      </w:r>
      <w:r w:rsidRPr="0039167F">
        <w:rPr>
          <w:rFonts w:ascii="Times New Roman" w:eastAsia="Times New Roman" w:hAnsi="Times New Roman" w:cs="Times New Roman"/>
          <w:noProof w:val="0"/>
          <w:kern w:val="0"/>
          <w:sz w:val="24"/>
          <w:szCs w:val="24"/>
          <w:lang w:eastAsia="en-MY"/>
          <w14:ligatures w14:val="none"/>
        </w:rPr>
        <w:t xml:space="preserve"> analysis. In testing the validity of each factor, preliminary tests were carried out. This study was to examine the relationship between four non-dependent variables, namely understanding of commercial property waqf, factors of belief in management and administrative transparency, religious and cultural holding factors, as well as economic factors, with one dependent variable, i.e. society's desire to make a commercial property waqf.</w:t>
      </w:r>
    </w:p>
    <w:p w14:paraId="44DD252A" w14:textId="7BCD58DE" w:rsidR="00342857" w:rsidRPr="0039167F" w:rsidRDefault="00342857" w:rsidP="005240D5">
      <w:pPr>
        <w:spacing w:after="0" w:line="360" w:lineRule="auto"/>
        <w:ind w:firstLine="426"/>
        <w:jc w:val="both"/>
        <w:rPr>
          <w:rFonts w:ascii="Times New Roman" w:eastAsia="Times New Roman" w:hAnsi="Times New Roman" w:cs="Times New Roman"/>
          <w:noProof w:val="0"/>
          <w:kern w:val="0"/>
          <w:sz w:val="24"/>
          <w:szCs w:val="24"/>
          <w:lang w:eastAsia="en-MY"/>
          <w14:ligatures w14:val="none"/>
        </w:rPr>
      </w:pPr>
      <w:r w:rsidRPr="0039167F">
        <w:rPr>
          <w:rFonts w:ascii="Times New Roman" w:eastAsia="Times New Roman" w:hAnsi="Times New Roman" w:cs="Times New Roman"/>
          <w:noProof w:val="0"/>
          <w:kern w:val="0"/>
          <w:sz w:val="24"/>
          <w:szCs w:val="24"/>
          <w:lang w:eastAsia="en-MY"/>
          <w14:ligatures w14:val="none"/>
        </w:rPr>
        <w:t xml:space="preserve">In </w:t>
      </w:r>
      <w:proofErr w:type="spellStart"/>
      <w:r w:rsidRPr="0039167F">
        <w:rPr>
          <w:rFonts w:ascii="Times New Roman" w:eastAsia="Times New Roman" w:hAnsi="Times New Roman" w:cs="Times New Roman"/>
          <w:noProof w:val="0"/>
          <w:kern w:val="0"/>
          <w:sz w:val="24"/>
          <w:szCs w:val="24"/>
          <w:lang w:eastAsia="en-MY"/>
          <w14:ligatures w14:val="none"/>
        </w:rPr>
        <w:t>this</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context</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knowledge</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of</w:t>
      </w:r>
      <w:proofErr w:type="spellEnd"/>
      <w:r w:rsidRPr="0039167F">
        <w:rPr>
          <w:rFonts w:ascii="Times New Roman" w:eastAsia="Times New Roman" w:hAnsi="Times New Roman" w:cs="Times New Roman"/>
          <w:noProof w:val="0"/>
          <w:kern w:val="0"/>
          <w:sz w:val="24"/>
          <w:szCs w:val="24"/>
          <w:lang w:eastAsia="en-MY"/>
          <w14:ligatures w14:val="none"/>
        </w:rPr>
        <w:t xml:space="preserve"> commercial real estate waqf is considered a variable that may affect society's desire to make a waqf of commercial real estate. The higher the level of public knowledge on the concept and implementation of commercial real estate waqf, the greater the probability of them being interested and willing to engage in the agenda of commercial real estate waqf. Among the questions for this factor are; "I understand the waqf of commercial real estate", "I understand the benefits of waqf commercial real estate to the </w:t>
      </w:r>
      <w:r w:rsidRPr="0039167F">
        <w:rPr>
          <w:rFonts w:ascii="Times New Roman" w:eastAsia="Times New Roman" w:hAnsi="Times New Roman" w:cs="Times New Roman"/>
          <w:noProof w:val="0"/>
          <w:kern w:val="0"/>
          <w:sz w:val="24"/>
          <w:szCs w:val="24"/>
          <w:lang w:eastAsia="en-MY"/>
          <w14:ligatures w14:val="none"/>
        </w:rPr>
        <w:lastRenderedPageBreak/>
        <w:t xml:space="preserve">community", and "I realize that waqf properties are among the sustainable waqf developments". </w:t>
      </w:r>
      <w:bookmarkStart w:id="1" w:name="_Hlk137410199"/>
      <w:bookmarkEnd w:id="1"/>
    </w:p>
    <w:p w14:paraId="3BE2F2D2" w14:textId="4D691E69" w:rsidR="00342857" w:rsidRPr="0039167F" w:rsidRDefault="00342857" w:rsidP="005240D5">
      <w:pPr>
        <w:spacing w:after="0" w:line="360" w:lineRule="auto"/>
        <w:ind w:firstLine="426"/>
        <w:jc w:val="both"/>
        <w:rPr>
          <w:rFonts w:ascii="Times New Roman" w:eastAsia="Times New Roman" w:hAnsi="Times New Roman" w:cs="Times New Roman"/>
          <w:noProof w:val="0"/>
          <w:kern w:val="0"/>
          <w:sz w:val="24"/>
          <w:szCs w:val="24"/>
          <w:lang w:eastAsia="en-MY"/>
          <w14:ligatures w14:val="none"/>
        </w:rPr>
      </w:pPr>
      <w:proofErr w:type="spellStart"/>
      <w:r w:rsidRPr="0039167F">
        <w:rPr>
          <w:rFonts w:ascii="Times New Roman" w:eastAsia="Times New Roman" w:hAnsi="Times New Roman" w:cs="Times New Roman"/>
          <w:noProof w:val="0"/>
          <w:kern w:val="0"/>
          <w:sz w:val="24"/>
          <w:szCs w:val="24"/>
          <w:lang w:eastAsia="en-MY"/>
          <w14:ligatures w14:val="none"/>
        </w:rPr>
        <w:t>Cultural</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006A132D">
        <w:rPr>
          <w:rFonts w:ascii="Times New Roman" w:eastAsia="Times New Roman" w:hAnsi="Times New Roman" w:cs="Times New Roman"/>
          <w:noProof w:val="0"/>
          <w:kern w:val="0"/>
          <w:sz w:val="24"/>
          <w:szCs w:val="24"/>
          <w:lang w:eastAsia="en-MY"/>
          <w14:ligatures w14:val="none"/>
        </w:rPr>
        <w:t>and</w:t>
      </w:r>
      <w:proofErr w:type="spellEnd"/>
      <w:r w:rsidR="006A132D">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religious</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factors</w:t>
      </w:r>
      <w:proofErr w:type="spellEnd"/>
      <w:r w:rsidRPr="0039167F">
        <w:rPr>
          <w:rFonts w:ascii="Times New Roman" w:eastAsia="Times New Roman" w:hAnsi="Times New Roman" w:cs="Times New Roman"/>
          <w:noProof w:val="0"/>
          <w:kern w:val="0"/>
          <w:sz w:val="24"/>
          <w:szCs w:val="24"/>
          <w:lang w:eastAsia="en-MY"/>
          <w14:ligatures w14:val="none"/>
        </w:rPr>
        <w:t xml:space="preserve"> can also influence the community's desire to make a waqf of commercial real estate. A culture of solidarity, welfare values, and social norms that promote the welfare of the community can strengthen the tendency of the community to </w:t>
      </w:r>
      <w:r w:rsidR="006A132D">
        <w:rPr>
          <w:rFonts w:ascii="Times New Roman" w:eastAsia="Times New Roman" w:hAnsi="Times New Roman" w:cs="Times New Roman"/>
          <w:noProof w:val="0"/>
          <w:kern w:val="0"/>
          <w:sz w:val="24"/>
          <w:szCs w:val="24"/>
          <w:lang w:eastAsia="en-MY"/>
          <w14:ligatures w14:val="none"/>
        </w:rPr>
        <w:t>waqf</w:t>
      </w:r>
      <w:r w:rsidRPr="0039167F">
        <w:rPr>
          <w:rFonts w:ascii="Times New Roman" w:eastAsia="Times New Roman" w:hAnsi="Times New Roman" w:cs="Times New Roman"/>
          <w:noProof w:val="0"/>
          <w:kern w:val="0"/>
          <w:sz w:val="24"/>
          <w:szCs w:val="24"/>
          <w:lang w:eastAsia="en-MY"/>
          <w14:ligatures w14:val="none"/>
        </w:rPr>
        <w:t xml:space="preserve"> and contribute to the agenda of commercial real estate waqf. Among the questions asked in the measurement of this factor are; "I adhere to the values of Islam", and "I care about the welfare and values of philanthropy in the community". </w:t>
      </w:r>
    </w:p>
    <w:p w14:paraId="5373B1E2" w14:textId="62CCD7DF" w:rsidR="0003624F" w:rsidRPr="0039167F" w:rsidRDefault="00BA3BCE" w:rsidP="005240D5">
      <w:pPr>
        <w:spacing w:after="0" w:line="360" w:lineRule="auto"/>
        <w:ind w:firstLine="426"/>
        <w:jc w:val="both"/>
        <w:rPr>
          <w:rFonts w:ascii="Times New Roman" w:eastAsia="Times New Roman" w:hAnsi="Times New Roman" w:cs="Times New Roman"/>
          <w:noProof w:val="0"/>
          <w:kern w:val="0"/>
          <w:sz w:val="24"/>
          <w:szCs w:val="24"/>
          <w:lang w:eastAsia="en-MY"/>
          <w14:ligatures w14:val="none"/>
        </w:rPr>
      </w:pPr>
      <w:r w:rsidRPr="0039167F">
        <w:rPr>
          <w:rFonts w:ascii="Times New Roman" w:eastAsia="Times New Roman" w:hAnsi="Times New Roman" w:cs="Times New Roman"/>
          <w:noProof w:val="0"/>
          <w:kern w:val="0"/>
          <w:sz w:val="24"/>
          <w:szCs w:val="24"/>
          <w:lang w:eastAsia="en-MY"/>
          <w14:ligatures w14:val="none"/>
        </w:rPr>
        <w:t xml:space="preserve">As </w:t>
      </w:r>
      <w:proofErr w:type="spellStart"/>
      <w:r w:rsidRPr="0039167F">
        <w:rPr>
          <w:rFonts w:ascii="Times New Roman" w:eastAsia="Times New Roman" w:hAnsi="Times New Roman" w:cs="Times New Roman"/>
          <w:noProof w:val="0"/>
          <w:kern w:val="0"/>
          <w:sz w:val="24"/>
          <w:szCs w:val="24"/>
          <w:lang w:eastAsia="en-MY"/>
          <w14:ligatures w14:val="none"/>
        </w:rPr>
        <w:t>such</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the</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trust</w:t>
      </w:r>
      <w:proofErr w:type="spellEnd"/>
      <w:r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Pr="0039167F">
        <w:rPr>
          <w:rFonts w:ascii="Times New Roman" w:eastAsia="Times New Roman" w:hAnsi="Times New Roman" w:cs="Times New Roman"/>
          <w:noProof w:val="0"/>
          <w:kern w:val="0"/>
          <w:sz w:val="24"/>
          <w:szCs w:val="24"/>
          <w:lang w:eastAsia="en-MY"/>
          <w14:ligatures w14:val="none"/>
        </w:rPr>
        <w:t>factor</w:t>
      </w:r>
      <w:proofErr w:type="spellEnd"/>
      <w:r w:rsidRPr="0039167F">
        <w:rPr>
          <w:rFonts w:ascii="Times New Roman" w:eastAsia="Times New Roman" w:hAnsi="Times New Roman" w:cs="Times New Roman"/>
          <w:noProof w:val="0"/>
          <w:kern w:val="0"/>
          <w:sz w:val="24"/>
          <w:szCs w:val="24"/>
          <w:lang w:eastAsia="en-MY"/>
          <w14:ligatures w14:val="none"/>
        </w:rPr>
        <w:t xml:space="preserve"> in the management and transparency of the administration also influences consumers or society in engaging themselves in a financial plan. The study used this factor as an independent variable. Among the questions asked in the measurement of this factor are; "I believe in the management of waqf property by the State Islamic Religious Council", and "I care about the transparency of the administration in the waqf project". </w:t>
      </w:r>
      <w:proofErr w:type="spellStart"/>
      <w:r w:rsidR="00342857" w:rsidRPr="0039167F">
        <w:rPr>
          <w:rFonts w:ascii="Times New Roman" w:eastAsia="Times New Roman" w:hAnsi="Times New Roman" w:cs="Times New Roman"/>
          <w:noProof w:val="0"/>
          <w:kern w:val="0"/>
          <w:sz w:val="24"/>
          <w:szCs w:val="24"/>
          <w:lang w:eastAsia="en-MY"/>
          <w14:ligatures w14:val="none"/>
        </w:rPr>
        <w:t>Furthermore</w:t>
      </w:r>
      <w:proofErr w:type="spellEnd"/>
      <w:r w:rsidR="00342857"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00342857" w:rsidRPr="0039167F">
        <w:rPr>
          <w:rFonts w:ascii="Times New Roman" w:eastAsia="Times New Roman" w:hAnsi="Times New Roman" w:cs="Times New Roman"/>
          <w:noProof w:val="0"/>
          <w:kern w:val="0"/>
          <w:sz w:val="24"/>
          <w:szCs w:val="24"/>
          <w:lang w:eastAsia="en-MY"/>
          <w14:ligatures w14:val="none"/>
        </w:rPr>
        <w:t>economic</w:t>
      </w:r>
      <w:proofErr w:type="spellEnd"/>
      <w:r w:rsidR="00342857"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00342857" w:rsidRPr="0039167F">
        <w:rPr>
          <w:rFonts w:ascii="Times New Roman" w:eastAsia="Times New Roman" w:hAnsi="Times New Roman" w:cs="Times New Roman"/>
          <w:noProof w:val="0"/>
          <w:kern w:val="0"/>
          <w:sz w:val="24"/>
          <w:szCs w:val="24"/>
          <w:lang w:eastAsia="en-MY"/>
          <w14:ligatures w14:val="none"/>
        </w:rPr>
        <w:t>factors</w:t>
      </w:r>
      <w:proofErr w:type="spellEnd"/>
      <w:r w:rsidR="00342857" w:rsidRPr="0039167F">
        <w:rPr>
          <w:rFonts w:ascii="Times New Roman" w:eastAsia="Times New Roman" w:hAnsi="Times New Roman" w:cs="Times New Roman"/>
          <w:noProof w:val="0"/>
          <w:kern w:val="0"/>
          <w:sz w:val="24"/>
          <w:szCs w:val="24"/>
          <w:lang w:eastAsia="en-MY"/>
          <w14:ligatures w14:val="none"/>
        </w:rPr>
        <w:t xml:space="preserve"> </w:t>
      </w:r>
      <w:proofErr w:type="spellStart"/>
      <w:r w:rsidR="00342857" w:rsidRPr="0039167F">
        <w:rPr>
          <w:rFonts w:ascii="Times New Roman" w:eastAsia="Times New Roman" w:hAnsi="Times New Roman" w:cs="Times New Roman"/>
          <w:noProof w:val="0"/>
          <w:kern w:val="0"/>
          <w:sz w:val="24"/>
          <w:szCs w:val="24"/>
          <w:lang w:eastAsia="en-MY"/>
          <w14:ligatures w14:val="none"/>
        </w:rPr>
        <w:t>are</w:t>
      </w:r>
      <w:proofErr w:type="spellEnd"/>
      <w:r w:rsidR="00342857" w:rsidRPr="0039167F">
        <w:rPr>
          <w:rFonts w:ascii="Times New Roman" w:eastAsia="Times New Roman" w:hAnsi="Times New Roman" w:cs="Times New Roman"/>
          <w:noProof w:val="0"/>
          <w:kern w:val="0"/>
          <w:sz w:val="24"/>
          <w:szCs w:val="24"/>
          <w:lang w:eastAsia="en-MY"/>
          <w14:ligatures w14:val="none"/>
        </w:rPr>
        <w:t xml:space="preserve"> also an important factor that influences the desire of society to make a waqf of commercial real estate. If society has stable and adequate economic conditions, they are more likely to engage in commercial real estate investment and make waqf commercial real estate as a form of long-term investment. Among the questions for this factor are; "I </w:t>
      </w:r>
      <w:r w:rsidR="006A132D">
        <w:rPr>
          <w:rFonts w:ascii="Times New Roman" w:eastAsia="Times New Roman" w:hAnsi="Times New Roman" w:cs="Times New Roman"/>
          <w:noProof w:val="0"/>
          <w:kern w:val="0"/>
          <w:sz w:val="24"/>
          <w:szCs w:val="24"/>
          <w:lang w:eastAsia="en-MY"/>
          <w14:ligatures w14:val="none"/>
        </w:rPr>
        <w:t>can</w:t>
      </w:r>
      <w:r w:rsidR="00342857" w:rsidRPr="0039167F">
        <w:rPr>
          <w:rFonts w:ascii="Times New Roman" w:eastAsia="Times New Roman" w:hAnsi="Times New Roman" w:cs="Times New Roman"/>
          <w:noProof w:val="0"/>
          <w:kern w:val="0"/>
          <w:sz w:val="24"/>
          <w:szCs w:val="24"/>
          <w:lang w:eastAsia="en-MY"/>
          <w14:ligatures w14:val="none"/>
        </w:rPr>
        <w:t xml:space="preserve"> do waqf in cash", </w:t>
      </w:r>
      <w:r w:rsidR="006A132D">
        <w:rPr>
          <w:rFonts w:ascii="Times New Roman" w:eastAsia="Times New Roman" w:hAnsi="Times New Roman" w:cs="Times New Roman"/>
          <w:noProof w:val="0"/>
          <w:kern w:val="0"/>
          <w:sz w:val="24"/>
          <w:szCs w:val="24"/>
          <w:lang w:eastAsia="en-MY"/>
          <w14:ligatures w14:val="none"/>
        </w:rPr>
        <w:t xml:space="preserve">and </w:t>
      </w:r>
      <w:r w:rsidR="00342857" w:rsidRPr="0039167F">
        <w:rPr>
          <w:rFonts w:ascii="Times New Roman" w:eastAsia="Times New Roman" w:hAnsi="Times New Roman" w:cs="Times New Roman"/>
          <w:noProof w:val="0"/>
          <w:kern w:val="0"/>
          <w:sz w:val="24"/>
          <w:szCs w:val="24"/>
          <w:lang w:eastAsia="en-MY"/>
          <w14:ligatures w14:val="none"/>
        </w:rPr>
        <w:t xml:space="preserve">"My family management </w:t>
      </w:r>
      <w:r w:rsidR="006A132D">
        <w:rPr>
          <w:rFonts w:ascii="Times New Roman" w:eastAsia="Times New Roman" w:hAnsi="Times New Roman" w:cs="Times New Roman"/>
          <w:noProof w:val="0"/>
          <w:kern w:val="0"/>
          <w:sz w:val="24"/>
          <w:szCs w:val="24"/>
          <w:lang w:eastAsia="en-MY"/>
          <w14:ligatures w14:val="none"/>
        </w:rPr>
        <w:t>can</w:t>
      </w:r>
      <w:r w:rsidR="00342857" w:rsidRPr="0039167F">
        <w:rPr>
          <w:rFonts w:ascii="Times New Roman" w:eastAsia="Times New Roman" w:hAnsi="Times New Roman" w:cs="Times New Roman"/>
          <w:noProof w:val="0"/>
          <w:kern w:val="0"/>
          <w:sz w:val="24"/>
          <w:szCs w:val="24"/>
          <w:lang w:eastAsia="en-MY"/>
          <w14:ligatures w14:val="none"/>
        </w:rPr>
        <w:t xml:space="preserve"> participate in a property waqf". </w:t>
      </w:r>
    </w:p>
    <w:p w14:paraId="672F5B20" w14:textId="77777777" w:rsidR="0003624F" w:rsidRPr="0039167F" w:rsidRDefault="0003624F" w:rsidP="005240D5">
      <w:pPr>
        <w:spacing w:line="360" w:lineRule="auto"/>
        <w:contextualSpacing/>
        <w:jc w:val="both"/>
        <w:rPr>
          <w:rFonts w:ascii="Times New Roman" w:hAnsi="Times New Roman" w:cs="Times New Roman"/>
          <w:b/>
          <w:noProof w:val="0"/>
          <w:color w:val="000000" w:themeColor="text1"/>
          <w:kern w:val="0"/>
          <w:sz w:val="24"/>
          <w:szCs w:val="24"/>
          <w14:ligatures w14:val="none"/>
        </w:rPr>
      </w:pPr>
    </w:p>
    <w:p w14:paraId="67EB0C63" w14:textId="188FDAE9" w:rsidR="00F87502" w:rsidRPr="007A1A7F" w:rsidRDefault="007A1A7F" w:rsidP="007A1A7F">
      <w:pPr>
        <w:spacing w:line="360" w:lineRule="auto"/>
        <w:contextualSpacing/>
        <w:jc w:val="center"/>
        <w:rPr>
          <w:rFonts w:ascii="Times New Roman" w:hAnsi="Times New Roman" w:cs="Times New Roman"/>
          <w:noProof w:val="0"/>
          <w:color w:val="000000" w:themeColor="text1"/>
          <w:kern w:val="0"/>
          <w:sz w:val="20"/>
          <w:szCs w:val="20"/>
          <w14:ligatures w14:val="none"/>
        </w:rPr>
      </w:pPr>
      <w:r w:rsidRPr="007A1A7F">
        <w:rPr>
          <w:rFonts w:ascii="Times New Roman" w:hAnsi="Times New Roman" w:cs="Times New Roman"/>
          <w:noProof w:val="0"/>
          <w:color w:val="000000" w:themeColor="text1"/>
          <w:kern w:val="0"/>
          <w:sz w:val="20"/>
          <w:szCs w:val="20"/>
          <w14:ligatures w14:val="none"/>
        </w:rPr>
        <w:t>STUDY FINDINGS AND DISCUSSIONS</w:t>
      </w:r>
    </w:p>
    <w:p w14:paraId="312E95FE" w14:textId="77777777" w:rsidR="007A1A7F" w:rsidRDefault="007A1A7F" w:rsidP="005240D5">
      <w:pPr>
        <w:spacing w:line="360" w:lineRule="auto"/>
        <w:contextualSpacing/>
        <w:jc w:val="both"/>
        <w:rPr>
          <w:rFonts w:ascii="Times New Roman" w:hAnsi="Times New Roman" w:cs="Times New Roman"/>
          <w:noProof w:val="0"/>
          <w:color w:val="000000" w:themeColor="text1"/>
          <w:kern w:val="0"/>
          <w:sz w:val="24"/>
          <w:szCs w:val="24"/>
          <w14:ligatures w14:val="none"/>
        </w:rPr>
      </w:pPr>
    </w:p>
    <w:p w14:paraId="0532E7D8" w14:textId="61CDD9EF" w:rsidR="0003624F" w:rsidRDefault="00F87502" w:rsidP="005240D5">
      <w:pPr>
        <w:spacing w:line="360" w:lineRule="auto"/>
        <w:contextualSpacing/>
        <w:jc w:val="both"/>
        <w:rPr>
          <w:rFonts w:ascii="Times New Roman" w:hAnsi="Times New Roman" w:cs="Times New Roman"/>
          <w:noProof w:val="0"/>
          <w:color w:val="000000" w:themeColor="text1"/>
          <w:kern w:val="0"/>
          <w:sz w:val="24"/>
          <w:szCs w:val="24"/>
          <w14:ligatures w14:val="none"/>
        </w:rPr>
      </w:pPr>
      <w:proofErr w:type="spellStart"/>
      <w:r w:rsidRPr="0039167F">
        <w:rPr>
          <w:rFonts w:ascii="Times New Roman" w:hAnsi="Times New Roman" w:cs="Times New Roman"/>
          <w:noProof w:val="0"/>
          <w:color w:val="000000" w:themeColor="text1"/>
          <w:kern w:val="0"/>
          <w:sz w:val="24"/>
          <w:szCs w:val="24"/>
          <w14:ligatures w14:val="none"/>
        </w:rPr>
        <w:t>The</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study</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used</w:t>
      </w:r>
      <w:proofErr w:type="spellEnd"/>
      <w:r w:rsidRPr="0039167F">
        <w:rPr>
          <w:rFonts w:ascii="Times New Roman" w:hAnsi="Times New Roman" w:cs="Times New Roman"/>
          <w:noProof w:val="0"/>
          <w:color w:val="000000" w:themeColor="text1"/>
          <w:kern w:val="0"/>
          <w:sz w:val="24"/>
          <w:szCs w:val="24"/>
          <w14:ligatures w14:val="none"/>
        </w:rPr>
        <w:t xml:space="preserve"> a </w:t>
      </w:r>
      <w:proofErr w:type="spellStart"/>
      <w:r w:rsidRPr="0039167F">
        <w:rPr>
          <w:rFonts w:ascii="Times New Roman" w:hAnsi="Times New Roman" w:cs="Times New Roman"/>
          <w:noProof w:val="0"/>
          <w:color w:val="000000" w:themeColor="text1"/>
          <w:kern w:val="0"/>
          <w:sz w:val="24"/>
          <w:szCs w:val="24"/>
          <w14:ligatures w14:val="none"/>
        </w:rPr>
        <w:t>two-stage</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approach</w:t>
      </w:r>
      <w:proofErr w:type="spellEnd"/>
      <w:r w:rsidRPr="0039167F">
        <w:rPr>
          <w:rFonts w:ascii="Times New Roman" w:hAnsi="Times New Roman" w:cs="Times New Roman"/>
          <w:noProof w:val="0"/>
          <w:color w:val="000000" w:themeColor="text1"/>
          <w:kern w:val="0"/>
          <w:sz w:val="24"/>
          <w:szCs w:val="24"/>
          <w14:ligatures w14:val="none"/>
        </w:rPr>
        <w:t xml:space="preserve"> as </w:t>
      </w:r>
      <w:proofErr w:type="spellStart"/>
      <w:r w:rsidRPr="0039167F">
        <w:rPr>
          <w:rFonts w:ascii="Times New Roman" w:hAnsi="Times New Roman" w:cs="Times New Roman"/>
          <w:noProof w:val="0"/>
          <w:color w:val="000000" w:themeColor="text1"/>
          <w:kern w:val="0"/>
          <w:sz w:val="24"/>
          <w:szCs w:val="24"/>
          <w14:ligatures w14:val="none"/>
        </w:rPr>
        <w:t>recommended</w:t>
      </w:r>
      <w:proofErr w:type="spellEnd"/>
      <w:r w:rsidRPr="0039167F">
        <w:rPr>
          <w:rFonts w:ascii="Times New Roman" w:hAnsi="Times New Roman" w:cs="Times New Roman"/>
          <w:noProof w:val="0"/>
          <w:color w:val="000000" w:themeColor="text1"/>
          <w:kern w:val="0"/>
          <w:sz w:val="24"/>
          <w:szCs w:val="24"/>
          <w14:ligatures w14:val="none"/>
        </w:rPr>
        <w:t xml:space="preserve"> by Hair et al., (2014). First, this reflective assessment-based study assesses the validity of convergence between items and constructs, alpha reliability, and discriminatory validity. Convergence validity can be ensured if the loading is greater than 0.5 (Hair et al., 2014), the reliability of the composite is greater than 0.7 </w:t>
      </w:r>
      <w:r w:rsidR="00991BEE">
        <w:rPr>
          <w:rFonts w:ascii="Times New Roman" w:hAnsi="Times New Roman" w:cs="Times New Roman"/>
          <w:noProof w:val="0"/>
          <w:color w:val="000000" w:themeColor="text1"/>
          <w:kern w:val="0"/>
          <w:sz w:val="24"/>
          <w:szCs w:val="24"/>
          <w14:ligatures w14:val="none"/>
        </w:rPr>
        <w:fldChar w:fldCharType="begin" w:fldLock="1"/>
      </w:r>
      <w:r w:rsidR="00991BEE">
        <w:rPr>
          <w:rFonts w:ascii="Times New Roman" w:hAnsi="Times New Roman" w:cs="Times New Roman"/>
          <w:noProof w:val="0"/>
          <w:color w:val="000000" w:themeColor="text1"/>
          <w:kern w:val="0"/>
          <w:sz w:val="24"/>
          <w:szCs w:val="24"/>
          <w14:ligatures w14:val="none"/>
        </w:rPr>
        <w:instrText>ADDIN CSL_CITATION {"citationItems":[{"id":"ITEM-1","itemData":{"DOI":"10.1007/978-3-319-57413-4_15","abstract":"Purpose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attention.","author":[{"dropping-particle":"","family":"Sarstedt","given":"Marko","non-dropping-particle":"","parse-names":false,"suffix":""},{"dropping-particle":"","family":"Ringle","given":"Christian M.","non-dropping-particle":"","parse-names":false,"suffix":""},{"dropping-particle":"","family":"Hair","given":"Joseph F.","non-dropping-particle":"","parse-names":false,"suffix":""}],"container-title":"Handbook of Market Research","id":"ITEM-1","issue":"May 2020","issued":{"date-parts":[["2022"]]},"page":"587-632","title":"Partial Least Squares Structural Equation Modeling","type":"article-journal"},"uris":["http://www.mendeley.com/documents/?uuid=ba3a0d57-c8d4-463e-8373-2d796cd09768"]}],"mendeley":{"formattedCitation":"(Sarstedt et al., 2022)","plainTextFormattedCitation":"(Sarstedt et al., 2022)","previouslyFormattedCitation":"(Sarstedt et al., 2022)"},"properties":{"noteIndex":0},"schema":"https://github.com/citation-style-language/schema/raw/master/csl-citation.json"}</w:instrText>
      </w:r>
      <w:r w:rsidR="00991BEE">
        <w:rPr>
          <w:rFonts w:ascii="Times New Roman" w:hAnsi="Times New Roman" w:cs="Times New Roman"/>
          <w:noProof w:val="0"/>
          <w:color w:val="000000" w:themeColor="text1"/>
          <w:kern w:val="0"/>
          <w:sz w:val="24"/>
          <w:szCs w:val="24"/>
          <w14:ligatures w14:val="none"/>
        </w:rPr>
        <w:fldChar w:fldCharType="separate"/>
      </w:r>
      <w:r w:rsidR="00991BEE" w:rsidRPr="00991BEE">
        <w:rPr>
          <w:rFonts w:ascii="Times New Roman" w:hAnsi="Times New Roman" w:cs="Times New Roman"/>
          <w:color w:val="000000" w:themeColor="text1"/>
          <w:kern w:val="0"/>
          <w:sz w:val="24"/>
          <w:szCs w:val="24"/>
          <w14:ligatures w14:val="none"/>
        </w:rPr>
        <w:t>(Sarstedt et al., 2022)</w:t>
      </w:r>
      <w:r w:rsidR="00991BEE">
        <w:rPr>
          <w:rFonts w:ascii="Times New Roman" w:hAnsi="Times New Roman" w:cs="Times New Roman"/>
          <w:noProof w:val="0"/>
          <w:color w:val="000000" w:themeColor="text1"/>
          <w:kern w:val="0"/>
          <w:sz w:val="24"/>
          <w:szCs w:val="24"/>
          <w14:ligatures w14:val="none"/>
        </w:rPr>
        <w:fldChar w:fldCharType="end"/>
      </w:r>
      <w:r w:rsidRPr="0039167F">
        <w:rPr>
          <w:rFonts w:ascii="Times New Roman" w:hAnsi="Times New Roman" w:cs="Times New Roman"/>
          <w:noProof w:val="0"/>
          <w:color w:val="000000" w:themeColor="text1"/>
          <w:kern w:val="0"/>
          <w:sz w:val="24"/>
          <w:szCs w:val="24"/>
          <w14:ligatures w14:val="none"/>
        </w:rPr>
        <w:t xml:space="preserve">, and the average variance extracted is more than 0.5. Structural models were first tested. </w:t>
      </w:r>
      <w:r w:rsidR="006A132D">
        <w:rPr>
          <w:rFonts w:ascii="Times New Roman" w:hAnsi="Times New Roman" w:cs="Times New Roman"/>
          <w:noProof w:val="0"/>
          <w:color w:val="000000" w:themeColor="text1"/>
          <w:kern w:val="0"/>
          <w:sz w:val="24"/>
          <w:szCs w:val="24"/>
          <w14:ligatures w14:val="none"/>
        </w:rPr>
        <w:t>T</w:t>
      </w:r>
      <w:r w:rsidRPr="0039167F">
        <w:rPr>
          <w:rFonts w:ascii="Times New Roman" w:hAnsi="Times New Roman" w:cs="Times New Roman"/>
          <w:noProof w:val="0"/>
          <w:color w:val="000000" w:themeColor="text1"/>
          <w:kern w:val="0"/>
          <w:sz w:val="24"/>
          <w:szCs w:val="24"/>
          <w14:ligatures w14:val="none"/>
        </w:rPr>
        <w:t>he demographic characteristics of the data findings are as per table 1.0 below:</w:t>
      </w:r>
    </w:p>
    <w:p w14:paraId="09724005" w14:textId="77777777" w:rsidR="0039167F" w:rsidRDefault="0039167F" w:rsidP="005240D5">
      <w:pPr>
        <w:spacing w:line="360" w:lineRule="auto"/>
        <w:contextualSpacing/>
        <w:jc w:val="both"/>
        <w:rPr>
          <w:rFonts w:ascii="Times New Roman" w:hAnsi="Times New Roman" w:cs="Times New Roman"/>
          <w:noProof w:val="0"/>
          <w:color w:val="000000" w:themeColor="text1"/>
          <w:kern w:val="0"/>
          <w:sz w:val="24"/>
          <w:szCs w:val="24"/>
          <w14:ligatures w14:val="none"/>
        </w:rPr>
      </w:pPr>
    </w:p>
    <w:p w14:paraId="0AB1CD3B" w14:textId="0000F664" w:rsidR="002D6A44" w:rsidRPr="003C251E" w:rsidRDefault="00622240" w:rsidP="005240D5">
      <w:pPr>
        <w:spacing w:line="360" w:lineRule="auto"/>
        <w:contextualSpacing/>
        <w:jc w:val="center"/>
        <w:rPr>
          <w:rFonts w:ascii="Times New Roman" w:hAnsi="Times New Roman" w:cs="Times New Roman"/>
          <w:noProof w:val="0"/>
          <w:color w:val="000000" w:themeColor="text1"/>
          <w:kern w:val="0"/>
          <w:sz w:val="20"/>
          <w:szCs w:val="20"/>
          <w14:ligatures w14:val="none"/>
        </w:rPr>
      </w:pPr>
      <w:proofErr w:type="spellStart"/>
      <w:r w:rsidRPr="003C251E">
        <w:rPr>
          <w:rFonts w:ascii="Times New Roman" w:hAnsi="Times New Roman" w:cs="Times New Roman"/>
          <w:noProof w:val="0"/>
          <w:color w:val="000000" w:themeColor="text1"/>
          <w:kern w:val="0"/>
          <w:sz w:val="20"/>
          <w:szCs w:val="20"/>
          <w14:ligatures w14:val="none"/>
        </w:rPr>
        <w:t>Table</w:t>
      </w:r>
      <w:proofErr w:type="spellEnd"/>
      <w:r w:rsidRPr="003C251E">
        <w:rPr>
          <w:rFonts w:ascii="Times New Roman" w:hAnsi="Times New Roman" w:cs="Times New Roman"/>
          <w:noProof w:val="0"/>
          <w:color w:val="000000" w:themeColor="text1"/>
          <w:kern w:val="0"/>
          <w:sz w:val="20"/>
          <w:szCs w:val="20"/>
          <w14:ligatures w14:val="none"/>
        </w:rPr>
        <w:t xml:space="preserve"> 1.0: </w:t>
      </w:r>
      <w:proofErr w:type="spellStart"/>
      <w:r w:rsidRPr="003C251E">
        <w:rPr>
          <w:rFonts w:ascii="Times New Roman" w:hAnsi="Times New Roman" w:cs="Times New Roman"/>
          <w:noProof w:val="0"/>
          <w:color w:val="000000" w:themeColor="text1"/>
          <w:kern w:val="0"/>
          <w:sz w:val="20"/>
          <w:szCs w:val="20"/>
          <w14:ligatures w14:val="none"/>
        </w:rPr>
        <w:t>Demographics</w:t>
      </w:r>
      <w:proofErr w:type="spellEnd"/>
      <w:r w:rsidRPr="003C251E">
        <w:rPr>
          <w:rFonts w:ascii="Times New Roman" w:hAnsi="Times New Roman" w:cs="Times New Roman"/>
          <w:noProof w:val="0"/>
          <w:color w:val="000000" w:themeColor="text1"/>
          <w:kern w:val="0"/>
          <w:sz w:val="20"/>
          <w:szCs w:val="20"/>
          <w14:ligatures w14:val="none"/>
        </w:rPr>
        <w:t xml:space="preserve"> </w:t>
      </w:r>
      <w:proofErr w:type="spellStart"/>
      <w:r w:rsidRPr="003C251E">
        <w:rPr>
          <w:rFonts w:ascii="Times New Roman" w:hAnsi="Times New Roman" w:cs="Times New Roman"/>
          <w:noProof w:val="0"/>
          <w:color w:val="000000" w:themeColor="text1"/>
          <w:kern w:val="0"/>
          <w:sz w:val="20"/>
          <w:szCs w:val="20"/>
          <w14:ligatures w14:val="none"/>
        </w:rPr>
        <w:t>of</w:t>
      </w:r>
      <w:proofErr w:type="spellEnd"/>
      <w:r w:rsidRPr="003C251E">
        <w:rPr>
          <w:rFonts w:ascii="Times New Roman" w:hAnsi="Times New Roman" w:cs="Times New Roman"/>
          <w:noProof w:val="0"/>
          <w:color w:val="000000" w:themeColor="text1"/>
          <w:kern w:val="0"/>
          <w:sz w:val="20"/>
          <w:szCs w:val="20"/>
          <w14:ligatures w14:val="none"/>
        </w:rPr>
        <w:t xml:space="preserve"> </w:t>
      </w:r>
      <w:proofErr w:type="spellStart"/>
      <w:r w:rsidRPr="003C251E">
        <w:rPr>
          <w:rFonts w:ascii="Times New Roman" w:hAnsi="Times New Roman" w:cs="Times New Roman"/>
          <w:noProof w:val="0"/>
          <w:color w:val="000000" w:themeColor="text1"/>
          <w:kern w:val="0"/>
          <w:sz w:val="20"/>
          <w:szCs w:val="20"/>
          <w14:ligatures w14:val="none"/>
        </w:rPr>
        <w:t>respondents</w:t>
      </w:r>
      <w:proofErr w:type="spellEnd"/>
    </w:p>
    <w:tbl>
      <w:tblPr>
        <w:tblStyle w:val="PlainTable23"/>
        <w:tblW w:w="0" w:type="auto"/>
        <w:jc w:val="center"/>
        <w:tblLook w:val="04A0" w:firstRow="1" w:lastRow="0" w:firstColumn="1" w:lastColumn="0" w:noHBand="0" w:noVBand="1"/>
      </w:tblPr>
      <w:tblGrid>
        <w:gridCol w:w="1842"/>
        <w:gridCol w:w="1831"/>
        <w:gridCol w:w="1288"/>
        <w:gridCol w:w="1276"/>
      </w:tblGrid>
      <w:tr w:rsidR="0039167F" w:rsidRPr="006722F4" w14:paraId="0A4AD07F" w14:textId="77777777" w:rsidTr="003916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tcPr>
          <w:p w14:paraId="286C7E5A"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Demographic characteristics</w:t>
            </w:r>
          </w:p>
        </w:tc>
        <w:tc>
          <w:tcPr>
            <w:tcW w:w="1831" w:type="dxa"/>
          </w:tcPr>
          <w:p w14:paraId="6538011C" w14:textId="77777777" w:rsidR="0039167F" w:rsidRPr="006722F4" w:rsidRDefault="0039167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Category</w:t>
            </w:r>
          </w:p>
        </w:tc>
        <w:tc>
          <w:tcPr>
            <w:tcW w:w="1288" w:type="dxa"/>
          </w:tcPr>
          <w:p w14:paraId="308F74C7" w14:textId="77777777" w:rsidR="0039167F" w:rsidRPr="006722F4" w:rsidRDefault="0039167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Number</w:t>
            </w:r>
          </w:p>
        </w:tc>
        <w:tc>
          <w:tcPr>
            <w:tcW w:w="1276" w:type="dxa"/>
          </w:tcPr>
          <w:p w14:paraId="0A7FB576" w14:textId="77777777" w:rsidR="0039167F" w:rsidRPr="006722F4" w:rsidRDefault="0039167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Percentage</w:t>
            </w:r>
          </w:p>
          <w:p w14:paraId="60612810" w14:textId="77777777" w:rsidR="0039167F" w:rsidRPr="006722F4" w:rsidRDefault="0039167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w:t>
            </w:r>
          </w:p>
        </w:tc>
      </w:tr>
      <w:tr w:rsidR="0039167F" w:rsidRPr="006722F4" w14:paraId="3720AF76" w14:textId="77777777" w:rsidTr="003916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732D5414"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 xml:space="preserve">Gender </w:t>
            </w:r>
          </w:p>
        </w:tc>
        <w:tc>
          <w:tcPr>
            <w:tcW w:w="1831" w:type="dxa"/>
          </w:tcPr>
          <w:p w14:paraId="2CFF6918"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Men</w:t>
            </w:r>
          </w:p>
        </w:tc>
        <w:tc>
          <w:tcPr>
            <w:tcW w:w="1288" w:type="dxa"/>
          </w:tcPr>
          <w:p w14:paraId="5D6F91DD"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134</w:t>
            </w:r>
          </w:p>
        </w:tc>
        <w:tc>
          <w:tcPr>
            <w:tcW w:w="1276" w:type="dxa"/>
          </w:tcPr>
          <w:p w14:paraId="1C3BA474"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43.04</w:t>
            </w:r>
          </w:p>
        </w:tc>
      </w:tr>
      <w:tr w:rsidR="0039167F" w:rsidRPr="006722F4" w14:paraId="47FEB0BE" w14:textId="77777777" w:rsidTr="0039167F">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14:paraId="7BF819FB"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p>
        </w:tc>
        <w:tc>
          <w:tcPr>
            <w:tcW w:w="1831" w:type="dxa"/>
          </w:tcPr>
          <w:p w14:paraId="7809A366"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Female</w:t>
            </w:r>
          </w:p>
        </w:tc>
        <w:tc>
          <w:tcPr>
            <w:tcW w:w="1288" w:type="dxa"/>
          </w:tcPr>
          <w:p w14:paraId="24CE6B94"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177</w:t>
            </w:r>
          </w:p>
        </w:tc>
        <w:tc>
          <w:tcPr>
            <w:tcW w:w="1276" w:type="dxa"/>
          </w:tcPr>
          <w:p w14:paraId="1E01D96B"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56.96</w:t>
            </w:r>
          </w:p>
        </w:tc>
      </w:tr>
      <w:tr w:rsidR="0039167F" w:rsidRPr="006722F4" w14:paraId="59A64224" w14:textId="77777777" w:rsidTr="003916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10CF3ED2"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 xml:space="preserve">Age </w:t>
            </w:r>
          </w:p>
        </w:tc>
        <w:tc>
          <w:tcPr>
            <w:tcW w:w="1831" w:type="dxa"/>
          </w:tcPr>
          <w:p w14:paraId="79A9B0F0"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18 down</w:t>
            </w:r>
          </w:p>
        </w:tc>
        <w:tc>
          <w:tcPr>
            <w:tcW w:w="1288" w:type="dxa"/>
          </w:tcPr>
          <w:p w14:paraId="7DF5DF4B"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0</w:t>
            </w:r>
          </w:p>
        </w:tc>
        <w:tc>
          <w:tcPr>
            <w:tcW w:w="1276" w:type="dxa"/>
          </w:tcPr>
          <w:p w14:paraId="5C84470A"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0</w:t>
            </w:r>
          </w:p>
        </w:tc>
      </w:tr>
      <w:tr w:rsidR="0039167F" w:rsidRPr="006722F4" w14:paraId="606213F9" w14:textId="77777777" w:rsidTr="0039167F">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14:paraId="5A44546A"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p>
        </w:tc>
        <w:tc>
          <w:tcPr>
            <w:tcW w:w="1831" w:type="dxa"/>
          </w:tcPr>
          <w:p w14:paraId="0A675195"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19-30 years old</w:t>
            </w:r>
          </w:p>
        </w:tc>
        <w:tc>
          <w:tcPr>
            <w:tcW w:w="1288" w:type="dxa"/>
          </w:tcPr>
          <w:p w14:paraId="38B18A42"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34</w:t>
            </w:r>
          </w:p>
        </w:tc>
        <w:tc>
          <w:tcPr>
            <w:tcW w:w="1276" w:type="dxa"/>
          </w:tcPr>
          <w:p w14:paraId="0E11EA9C"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11.39</w:t>
            </w:r>
          </w:p>
        </w:tc>
      </w:tr>
      <w:tr w:rsidR="0039167F" w:rsidRPr="006722F4" w14:paraId="20ACC9E7" w14:textId="77777777" w:rsidTr="003916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14:paraId="2DA5253A"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p>
        </w:tc>
        <w:tc>
          <w:tcPr>
            <w:tcW w:w="1831" w:type="dxa"/>
          </w:tcPr>
          <w:p w14:paraId="3391FFE2"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31-40 years old</w:t>
            </w:r>
          </w:p>
        </w:tc>
        <w:tc>
          <w:tcPr>
            <w:tcW w:w="1288" w:type="dxa"/>
          </w:tcPr>
          <w:p w14:paraId="03124477"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96</w:t>
            </w:r>
          </w:p>
        </w:tc>
        <w:tc>
          <w:tcPr>
            <w:tcW w:w="1276" w:type="dxa"/>
          </w:tcPr>
          <w:p w14:paraId="6ED94805"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30.89</w:t>
            </w:r>
          </w:p>
        </w:tc>
      </w:tr>
      <w:tr w:rsidR="0039167F" w:rsidRPr="006722F4" w14:paraId="5285A386" w14:textId="77777777" w:rsidTr="0039167F">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14:paraId="1FCA647C"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p>
        </w:tc>
        <w:tc>
          <w:tcPr>
            <w:tcW w:w="1831" w:type="dxa"/>
          </w:tcPr>
          <w:p w14:paraId="327D9A0D"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41-50 years old</w:t>
            </w:r>
          </w:p>
        </w:tc>
        <w:tc>
          <w:tcPr>
            <w:tcW w:w="1288" w:type="dxa"/>
          </w:tcPr>
          <w:p w14:paraId="178BB69F"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121</w:t>
            </w:r>
          </w:p>
        </w:tc>
        <w:tc>
          <w:tcPr>
            <w:tcW w:w="1276" w:type="dxa"/>
          </w:tcPr>
          <w:p w14:paraId="65E9B9B1"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39.49</w:t>
            </w:r>
          </w:p>
        </w:tc>
      </w:tr>
      <w:tr w:rsidR="0039167F" w:rsidRPr="006722F4" w14:paraId="1A00EF22" w14:textId="77777777" w:rsidTr="003916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14:paraId="6BDF3EEB"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p>
        </w:tc>
        <w:tc>
          <w:tcPr>
            <w:tcW w:w="1831" w:type="dxa"/>
          </w:tcPr>
          <w:p w14:paraId="6E7DA525"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51 and above</w:t>
            </w:r>
          </w:p>
        </w:tc>
        <w:tc>
          <w:tcPr>
            <w:tcW w:w="1288" w:type="dxa"/>
          </w:tcPr>
          <w:p w14:paraId="65356C4F"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56</w:t>
            </w:r>
          </w:p>
        </w:tc>
        <w:tc>
          <w:tcPr>
            <w:tcW w:w="1276" w:type="dxa"/>
          </w:tcPr>
          <w:p w14:paraId="4D88F3E1"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18.23</w:t>
            </w:r>
          </w:p>
        </w:tc>
      </w:tr>
      <w:tr w:rsidR="0039167F" w:rsidRPr="006722F4" w14:paraId="54642118" w14:textId="77777777" w:rsidTr="0039167F">
        <w:trPr>
          <w:jc w:val="center"/>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02343A3E"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Locality</w:t>
            </w:r>
          </w:p>
        </w:tc>
        <w:tc>
          <w:tcPr>
            <w:tcW w:w="1831" w:type="dxa"/>
          </w:tcPr>
          <w:p w14:paraId="28AB1ACA"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Interior</w:t>
            </w:r>
          </w:p>
        </w:tc>
        <w:tc>
          <w:tcPr>
            <w:tcW w:w="1288" w:type="dxa"/>
          </w:tcPr>
          <w:p w14:paraId="472F8F0D"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53</w:t>
            </w:r>
          </w:p>
        </w:tc>
        <w:tc>
          <w:tcPr>
            <w:tcW w:w="1276" w:type="dxa"/>
          </w:tcPr>
          <w:p w14:paraId="068FC423"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16.71</w:t>
            </w:r>
          </w:p>
        </w:tc>
      </w:tr>
      <w:tr w:rsidR="0039167F" w:rsidRPr="006722F4" w14:paraId="354386BB" w14:textId="77777777" w:rsidTr="003916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vMerge/>
          </w:tcPr>
          <w:p w14:paraId="20568045"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p>
        </w:tc>
        <w:tc>
          <w:tcPr>
            <w:tcW w:w="1831" w:type="dxa"/>
          </w:tcPr>
          <w:p w14:paraId="318395C8"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Sub City</w:t>
            </w:r>
          </w:p>
        </w:tc>
        <w:tc>
          <w:tcPr>
            <w:tcW w:w="1288" w:type="dxa"/>
          </w:tcPr>
          <w:p w14:paraId="2015F4C5"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149</w:t>
            </w:r>
          </w:p>
        </w:tc>
        <w:tc>
          <w:tcPr>
            <w:tcW w:w="1276" w:type="dxa"/>
          </w:tcPr>
          <w:p w14:paraId="055BFE9D"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48.35</w:t>
            </w:r>
          </w:p>
        </w:tc>
      </w:tr>
      <w:tr w:rsidR="0039167F" w:rsidRPr="006722F4" w14:paraId="546BD384" w14:textId="77777777" w:rsidTr="0039167F">
        <w:trPr>
          <w:jc w:val="center"/>
        </w:trPr>
        <w:tc>
          <w:tcPr>
            <w:cnfStyle w:val="001000000000" w:firstRow="0" w:lastRow="0" w:firstColumn="1" w:lastColumn="0" w:oddVBand="0" w:evenVBand="0" w:oddHBand="0" w:evenHBand="0" w:firstRowFirstColumn="0" w:firstRowLastColumn="0" w:lastRowFirstColumn="0" w:lastRowLastColumn="0"/>
            <w:tcW w:w="1842" w:type="dxa"/>
            <w:vMerge/>
          </w:tcPr>
          <w:p w14:paraId="7A948886" w14:textId="77777777"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p>
        </w:tc>
        <w:tc>
          <w:tcPr>
            <w:tcW w:w="1831" w:type="dxa"/>
          </w:tcPr>
          <w:p w14:paraId="2F467FA8"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City</w:t>
            </w:r>
          </w:p>
        </w:tc>
        <w:tc>
          <w:tcPr>
            <w:tcW w:w="1288" w:type="dxa"/>
          </w:tcPr>
          <w:p w14:paraId="3E9C16FD"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109</w:t>
            </w:r>
          </w:p>
        </w:tc>
        <w:tc>
          <w:tcPr>
            <w:tcW w:w="1276" w:type="dxa"/>
          </w:tcPr>
          <w:p w14:paraId="052AC247" w14:textId="77777777" w:rsidR="0039167F" w:rsidRPr="006722F4" w:rsidRDefault="0039167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34.94</w:t>
            </w:r>
          </w:p>
        </w:tc>
      </w:tr>
      <w:tr w:rsidR="0039167F" w:rsidRPr="006722F4" w14:paraId="77862819" w14:textId="77777777" w:rsidTr="003916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73" w:type="dxa"/>
            <w:gridSpan w:val="2"/>
          </w:tcPr>
          <w:p w14:paraId="479E51DC" w14:textId="1069E0FB" w:rsidR="0039167F" w:rsidRPr="006722F4" w:rsidRDefault="0039167F" w:rsidP="005240D5">
            <w:pPr>
              <w:spacing w:line="360" w:lineRule="auto"/>
              <w:contextualSpacing/>
              <w:jc w:val="both"/>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Total sampling in the state of Selangor</w:t>
            </w:r>
          </w:p>
        </w:tc>
        <w:tc>
          <w:tcPr>
            <w:tcW w:w="1288" w:type="dxa"/>
          </w:tcPr>
          <w:p w14:paraId="1FB735C6" w14:textId="1E5EBB02"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0"/>
                <w:sz w:val="18"/>
                <w:szCs w:val="18"/>
                <w14:ligatures w14:val="none"/>
              </w:rPr>
            </w:pPr>
            <w:r w:rsidRPr="006722F4">
              <w:rPr>
                <w:rFonts w:ascii="Times New Roman" w:hAnsi="Times New Roman" w:cs="Times New Roman"/>
                <w:b/>
                <w:bCs/>
                <w:kern w:val="0"/>
                <w:sz w:val="18"/>
                <w:szCs w:val="18"/>
                <w14:ligatures w14:val="none"/>
              </w:rPr>
              <w:t>310</w:t>
            </w:r>
          </w:p>
        </w:tc>
        <w:tc>
          <w:tcPr>
            <w:tcW w:w="1276" w:type="dxa"/>
          </w:tcPr>
          <w:p w14:paraId="5296A008" w14:textId="77777777" w:rsidR="0039167F" w:rsidRPr="006722F4" w:rsidRDefault="0039167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8"/>
                <w:szCs w:val="18"/>
                <w14:ligatures w14:val="none"/>
              </w:rPr>
            </w:pPr>
            <w:r w:rsidRPr="006722F4">
              <w:rPr>
                <w:rFonts w:ascii="Times New Roman" w:hAnsi="Times New Roman" w:cs="Times New Roman"/>
                <w:kern w:val="0"/>
                <w:sz w:val="18"/>
                <w:szCs w:val="18"/>
                <w14:ligatures w14:val="none"/>
              </w:rPr>
              <w:t>100%</w:t>
            </w:r>
          </w:p>
        </w:tc>
      </w:tr>
    </w:tbl>
    <w:p w14:paraId="0CF4FB26" w14:textId="77777777" w:rsidR="0003624F" w:rsidRPr="0039167F" w:rsidRDefault="0003624F" w:rsidP="005240D5">
      <w:pPr>
        <w:spacing w:line="360" w:lineRule="auto"/>
        <w:contextualSpacing/>
        <w:jc w:val="both"/>
        <w:rPr>
          <w:rFonts w:ascii="Times New Roman" w:hAnsi="Times New Roman" w:cs="Times New Roman"/>
          <w:noProof w:val="0"/>
          <w:color w:val="000000" w:themeColor="text1"/>
          <w:kern w:val="0"/>
          <w:sz w:val="24"/>
          <w:szCs w:val="24"/>
          <w14:ligatures w14:val="none"/>
        </w:rPr>
      </w:pPr>
    </w:p>
    <w:p w14:paraId="0F77C7DE" w14:textId="27C5E659" w:rsidR="00BA191E" w:rsidRDefault="007A1A7F" w:rsidP="007A1A7F">
      <w:pPr>
        <w:spacing w:line="360" w:lineRule="auto"/>
        <w:contextualSpacing/>
        <w:jc w:val="center"/>
        <w:rPr>
          <w:rFonts w:ascii="Times New Roman" w:hAnsi="Times New Roman" w:cs="Times New Roman"/>
          <w:noProof w:val="0"/>
          <w:color w:val="000000" w:themeColor="text1"/>
          <w:kern w:val="0"/>
          <w:sz w:val="20"/>
          <w:szCs w:val="20"/>
          <w14:ligatures w14:val="none"/>
        </w:rPr>
      </w:pPr>
      <w:r w:rsidRPr="007A1A7F">
        <w:rPr>
          <w:rFonts w:ascii="Times New Roman" w:hAnsi="Times New Roman" w:cs="Times New Roman"/>
          <w:noProof w:val="0"/>
          <w:color w:val="000000" w:themeColor="text1"/>
          <w:kern w:val="0"/>
          <w:sz w:val="20"/>
          <w:szCs w:val="20"/>
          <w14:ligatures w14:val="none"/>
        </w:rPr>
        <w:t>RELIABILITY AND VALIDITY</w:t>
      </w:r>
    </w:p>
    <w:p w14:paraId="2099A165" w14:textId="77777777" w:rsidR="007A1A7F" w:rsidRPr="007A1A7F" w:rsidRDefault="007A1A7F" w:rsidP="007A1A7F">
      <w:pPr>
        <w:spacing w:line="360" w:lineRule="auto"/>
        <w:contextualSpacing/>
        <w:jc w:val="center"/>
        <w:rPr>
          <w:rFonts w:ascii="Times New Roman" w:hAnsi="Times New Roman" w:cs="Times New Roman"/>
          <w:noProof w:val="0"/>
          <w:color w:val="000000" w:themeColor="text1"/>
          <w:kern w:val="0"/>
          <w:sz w:val="20"/>
          <w:szCs w:val="20"/>
          <w14:ligatures w14:val="none"/>
        </w:rPr>
      </w:pPr>
    </w:p>
    <w:p w14:paraId="49170281" w14:textId="6B7AC984" w:rsidR="00BA191E" w:rsidRDefault="00BA191E" w:rsidP="005240D5">
      <w:pPr>
        <w:spacing w:line="360" w:lineRule="auto"/>
        <w:contextualSpacing/>
        <w:jc w:val="both"/>
        <w:rPr>
          <w:rFonts w:ascii="Times New Roman" w:hAnsi="Times New Roman" w:cs="Times New Roman"/>
          <w:noProof w:val="0"/>
          <w:color w:val="000000" w:themeColor="text1"/>
          <w:kern w:val="0"/>
          <w:sz w:val="24"/>
          <w:szCs w:val="24"/>
          <w14:ligatures w14:val="none"/>
        </w:rPr>
      </w:pPr>
      <w:r w:rsidRPr="0039167F">
        <w:rPr>
          <w:rFonts w:ascii="Times New Roman" w:hAnsi="Times New Roman" w:cs="Times New Roman"/>
          <w:noProof w:val="0"/>
          <w:color w:val="000000" w:themeColor="text1"/>
          <w:kern w:val="0"/>
          <w:sz w:val="24"/>
          <w:szCs w:val="24"/>
          <w14:ligatures w14:val="none"/>
        </w:rPr>
        <w:t xml:space="preserve">In </w:t>
      </w:r>
      <w:proofErr w:type="spellStart"/>
      <w:r w:rsidRPr="0039167F">
        <w:rPr>
          <w:rFonts w:ascii="Times New Roman" w:hAnsi="Times New Roman" w:cs="Times New Roman"/>
          <w:noProof w:val="0"/>
          <w:color w:val="000000" w:themeColor="text1"/>
          <w:kern w:val="0"/>
          <w:sz w:val="24"/>
          <w:szCs w:val="24"/>
          <w14:ligatures w14:val="none"/>
        </w:rPr>
        <w:t>the</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analysis</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of</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the</w:t>
      </w:r>
      <w:proofErr w:type="spellEnd"/>
      <w:r w:rsidRPr="0039167F">
        <w:rPr>
          <w:rFonts w:ascii="Times New Roman" w:hAnsi="Times New Roman" w:cs="Times New Roman"/>
          <w:noProof w:val="0"/>
          <w:color w:val="000000" w:themeColor="text1"/>
          <w:kern w:val="0"/>
          <w:sz w:val="24"/>
          <w:szCs w:val="24"/>
          <w14:ligatures w14:val="none"/>
        </w:rPr>
        <w:t xml:space="preserve"> reliability of the proposed model, a value of R2 of 0.513 was obtained for the subject of study (</w:t>
      </w:r>
      <w:r w:rsidR="007C4A83">
        <w:rPr>
          <w:rFonts w:ascii="Times New Roman" w:hAnsi="Times New Roman" w:cs="Times New Roman"/>
          <w:noProof w:val="0"/>
          <w:color w:val="000000" w:themeColor="text1"/>
          <w:kern w:val="0"/>
          <w:sz w:val="24"/>
          <w:szCs w:val="24"/>
          <w14:ligatures w14:val="none"/>
        </w:rPr>
        <w:t>DCPW</w:t>
      </w:r>
      <w:r w:rsidRPr="0039167F">
        <w:rPr>
          <w:rFonts w:ascii="Times New Roman" w:hAnsi="Times New Roman" w:cs="Times New Roman"/>
          <w:noProof w:val="0"/>
          <w:color w:val="000000" w:themeColor="text1"/>
          <w:kern w:val="0"/>
          <w:sz w:val="24"/>
          <w:szCs w:val="24"/>
          <w14:ligatures w14:val="none"/>
        </w:rPr>
        <w:t xml:space="preserve">). R2 is a measure of variance, representing the proportion of variance in the endogenous construct described by the model. It is also referred to as the predictive power in the sample. Based on this R2 value, </w:t>
      </w:r>
      <w:r w:rsidR="007C4A83">
        <w:rPr>
          <w:rFonts w:ascii="Times New Roman" w:hAnsi="Times New Roman" w:cs="Times New Roman"/>
          <w:noProof w:val="0"/>
          <w:color w:val="000000" w:themeColor="text1"/>
          <w:kern w:val="0"/>
          <w:sz w:val="24"/>
          <w:szCs w:val="24"/>
          <w14:ligatures w14:val="none"/>
        </w:rPr>
        <w:t>DCPW</w:t>
      </w:r>
      <w:r w:rsidRPr="0039167F">
        <w:rPr>
          <w:rFonts w:ascii="Times New Roman" w:hAnsi="Times New Roman" w:cs="Times New Roman"/>
          <w:noProof w:val="0"/>
          <w:color w:val="000000" w:themeColor="text1"/>
          <w:kern w:val="0"/>
          <w:sz w:val="24"/>
          <w:szCs w:val="24"/>
          <w14:ligatures w14:val="none"/>
        </w:rPr>
        <w:t xml:space="preserve"> was found to have moderate R2. This suggests that there is a significant difference in the results of the five exogenous variables, indicating that it has limited explanatory power </w:t>
      </w:r>
      <w:r w:rsidR="006A132D">
        <w:rPr>
          <w:rFonts w:ascii="Times New Roman" w:hAnsi="Times New Roman" w:cs="Times New Roman"/>
          <w:noProof w:val="0"/>
          <w:color w:val="000000" w:themeColor="text1"/>
          <w:kern w:val="0"/>
          <w:sz w:val="24"/>
          <w:szCs w:val="24"/>
          <w14:ligatures w14:val="none"/>
        </w:rPr>
        <w:t>concerning</w:t>
      </w:r>
      <w:r w:rsidRPr="0039167F">
        <w:rPr>
          <w:rFonts w:ascii="Times New Roman" w:hAnsi="Times New Roman" w:cs="Times New Roman"/>
          <w:noProof w:val="0"/>
          <w:color w:val="000000" w:themeColor="text1"/>
          <w:kern w:val="0"/>
          <w:sz w:val="24"/>
          <w:szCs w:val="24"/>
          <w14:ligatures w14:val="none"/>
        </w:rPr>
        <w:t xml:space="preserve"> </w:t>
      </w:r>
      <w:r w:rsidR="007C4A83">
        <w:rPr>
          <w:rFonts w:ascii="Times New Roman" w:hAnsi="Times New Roman" w:cs="Times New Roman"/>
          <w:noProof w:val="0"/>
          <w:color w:val="000000" w:themeColor="text1"/>
          <w:kern w:val="0"/>
          <w:sz w:val="24"/>
          <w:szCs w:val="24"/>
          <w14:ligatures w14:val="none"/>
        </w:rPr>
        <w:t>DCPW</w:t>
      </w:r>
      <w:r w:rsidRPr="0039167F">
        <w:rPr>
          <w:rFonts w:ascii="Times New Roman" w:hAnsi="Times New Roman" w:cs="Times New Roman"/>
          <w:noProof w:val="0"/>
          <w:color w:val="000000" w:themeColor="text1"/>
          <w:kern w:val="0"/>
          <w:sz w:val="24"/>
          <w:szCs w:val="24"/>
          <w14:ligatures w14:val="none"/>
        </w:rPr>
        <w:t xml:space="preserve"> </w:t>
      </w:r>
      <w:r w:rsidR="00991BEE">
        <w:rPr>
          <w:rFonts w:ascii="Times New Roman" w:hAnsi="Times New Roman" w:cs="Times New Roman"/>
          <w:noProof w:val="0"/>
          <w:color w:val="000000" w:themeColor="text1"/>
          <w:kern w:val="0"/>
          <w:sz w:val="24"/>
          <w:szCs w:val="24"/>
          <w14:ligatures w14:val="none"/>
        </w:rPr>
        <w:fldChar w:fldCharType="begin" w:fldLock="1"/>
      </w:r>
      <w:r w:rsidR="00991BEE">
        <w:rPr>
          <w:rFonts w:ascii="Times New Roman" w:hAnsi="Times New Roman" w:cs="Times New Roman"/>
          <w:noProof w:val="0"/>
          <w:color w:val="000000" w:themeColor="text1"/>
          <w:kern w:val="0"/>
          <w:sz w:val="24"/>
          <w:szCs w:val="24"/>
          <w14:ligatures w14:val="none"/>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research","type":"article-journal","volume":"26"},"uris":["http://www.mendeley.com/documents/?uuid=46f6e3a7-9f3c-46e1-b48c-ff6555872488"]}],"mendeley":{"formattedCitation":"(Joe F. Hair et al., 2014)","plainTextFormattedCitation":"(Joe F. Hair et al., 2014)","previouslyFormattedCitation":"(Joe F. Hair et al., 2014)"},"properties":{"noteIndex":0},"schema":"https://github.com/citation-style-language/schema/raw/master/csl-citation.json"}</w:instrText>
      </w:r>
      <w:r w:rsidR="00991BEE">
        <w:rPr>
          <w:rFonts w:ascii="Times New Roman" w:hAnsi="Times New Roman" w:cs="Times New Roman"/>
          <w:noProof w:val="0"/>
          <w:color w:val="000000" w:themeColor="text1"/>
          <w:kern w:val="0"/>
          <w:sz w:val="24"/>
          <w:szCs w:val="24"/>
          <w14:ligatures w14:val="none"/>
        </w:rPr>
        <w:fldChar w:fldCharType="separate"/>
      </w:r>
      <w:r w:rsidR="00991BEE" w:rsidRPr="00991BEE">
        <w:rPr>
          <w:rFonts w:ascii="Times New Roman" w:hAnsi="Times New Roman" w:cs="Times New Roman"/>
          <w:color w:val="000000" w:themeColor="text1"/>
          <w:kern w:val="0"/>
          <w:sz w:val="24"/>
          <w:szCs w:val="24"/>
          <w14:ligatures w14:val="none"/>
        </w:rPr>
        <w:t>(Joe F. Hair et al., 2014)</w:t>
      </w:r>
      <w:r w:rsidR="00991BEE">
        <w:rPr>
          <w:rFonts w:ascii="Times New Roman" w:hAnsi="Times New Roman" w:cs="Times New Roman"/>
          <w:noProof w:val="0"/>
          <w:color w:val="000000" w:themeColor="text1"/>
          <w:kern w:val="0"/>
          <w:sz w:val="24"/>
          <w:szCs w:val="24"/>
          <w14:ligatures w14:val="none"/>
        </w:rPr>
        <w:fldChar w:fldCharType="end"/>
      </w:r>
      <w:r w:rsidRPr="0039167F">
        <w:rPr>
          <w:rFonts w:ascii="Times New Roman" w:hAnsi="Times New Roman" w:cs="Times New Roman"/>
          <w:noProof w:val="0"/>
          <w:color w:val="000000" w:themeColor="text1"/>
          <w:kern w:val="0"/>
          <w:sz w:val="24"/>
          <w:szCs w:val="24"/>
          <w14:ligatures w14:val="none"/>
        </w:rPr>
        <w:t>.</w:t>
      </w:r>
    </w:p>
    <w:p w14:paraId="17B46DD8" w14:textId="77777777" w:rsidR="007D0EF9" w:rsidRPr="003C251E" w:rsidRDefault="007D0EF9" w:rsidP="005240D5">
      <w:pPr>
        <w:spacing w:line="360" w:lineRule="auto"/>
        <w:contextualSpacing/>
        <w:rPr>
          <w:rFonts w:ascii="Times New Roman" w:hAnsi="Times New Roman" w:cs="Times New Roman"/>
          <w:noProof w:val="0"/>
          <w:color w:val="000000" w:themeColor="text1"/>
          <w:kern w:val="0"/>
          <w:sz w:val="18"/>
          <w:szCs w:val="18"/>
          <w14:ligatures w14:val="none"/>
        </w:rPr>
      </w:pPr>
    </w:p>
    <w:p w14:paraId="5AD1934A" w14:textId="6DFBB0AF" w:rsidR="0003624F" w:rsidRPr="003C251E" w:rsidRDefault="00021E1C" w:rsidP="005240D5">
      <w:pPr>
        <w:spacing w:line="360" w:lineRule="auto"/>
        <w:contextualSpacing/>
        <w:jc w:val="center"/>
        <w:rPr>
          <w:rFonts w:ascii="Times New Roman" w:hAnsi="Times New Roman" w:cs="Times New Roman"/>
          <w:noProof w:val="0"/>
          <w:color w:val="000000" w:themeColor="text1"/>
          <w:kern w:val="0"/>
          <w:sz w:val="18"/>
          <w:szCs w:val="18"/>
          <w14:ligatures w14:val="none"/>
        </w:rPr>
      </w:pPr>
      <w:r w:rsidRPr="003C251E">
        <w:rPr>
          <w:rFonts w:ascii="Times New Roman" w:hAnsi="Times New Roman" w:cs="Times New Roman"/>
          <w:noProof w:val="0"/>
          <w:color w:val="000000" w:themeColor="text1"/>
          <w:kern w:val="0"/>
          <w:sz w:val="18"/>
          <w:szCs w:val="18"/>
          <w14:ligatures w14:val="none"/>
        </w:rPr>
        <w:t>Table 2.0: R-square</w:t>
      </w:r>
    </w:p>
    <w:tbl>
      <w:tblPr>
        <w:tblStyle w:val="PlainTable23"/>
        <w:tblW w:w="0" w:type="auto"/>
        <w:jc w:val="center"/>
        <w:tblLook w:val="04A0" w:firstRow="1" w:lastRow="0" w:firstColumn="1" w:lastColumn="0" w:noHBand="0" w:noVBand="1"/>
      </w:tblPr>
      <w:tblGrid>
        <w:gridCol w:w="960"/>
        <w:gridCol w:w="1591"/>
      </w:tblGrid>
      <w:tr w:rsidR="0003624F" w:rsidRPr="006722F4" w14:paraId="155230A3" w14:textId="77777777" w:rsidTr="00E82A61">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0C63B6" w14:textId="77777777" w:rsidR="0003624F" w:rsidRPr="006722F4" w:rsidRDefault="0003624F" w:rsidP="005240D5">
            <w:pPr>
              <w:spacing w:line="360" w:lineRule="auto"/>
              <w:contextualSpacing/>
              <w:jc w:val="both"/>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 </w:t>
            </w:r>
          </w:p>
        </w:tc>
        <w:tc>
          <w:tcPr>
            <w:tcW w:w="1591" w:type="dxa"/>
            <w:noWrap/>
            <w:hideMark/>
          </w:tcPr>
          <w:p w14:paraId="375A1130" w14:textId="77777777" w:rsidR="0003624F" w:rsidRPr="006722F4" w:rsidRDefault="0003624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R Square</w:t>
            </w:r>
          </w:p>
        </w:tc>
      </w:tr>
      <w:tr w:rsidR="0003624F" w:rsidRPr="006722F4" w14:paraId="62DCD84E" w14:textId="77777777" w:rsidTr="00E82A6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209AA9" w14:textId="5B9E8200" w:rsidR="0003624F" w:rsidRPr="006722F4"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DCPW</w:t>
            </w:r>
          </w:p>
        </w:tc>
        <w:tc>
          <w:tcPr>
            <w:tcW w:w="1591" w:type="dxa"/>
            <w:noWrap/>
            <w:hideMark/>
          </w:tcPr>
          <w:p w14:paraId="36D9F6C6" w14:textId="77777777" w:rsidR="0003624F" w:rsidRPr="006722F4"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0.513</w:t>
            </w:r>
          </w:p>
        </w:tc>
      </w:tr>
    </w:tbl>
    <w:p w14:paraId="6A518A47" w14:textId="4B67A62C" w:rsidR="0003624F" w:rsidRPr="006722F4" w:rsidRDefault="0003624F" w:rsidP="005240D5">
      <w:pPr>
        <w:spacing w:line="360" w:lineRule="auto"/>
        <w:ind w:left="3261" w:right="2505"/>
        <w:contextualSpacing/>
        <w:rPr>
          <w:rFonts w:ascii="Times New Roman" w:hAnsi="Times New Roman" w:cs="Times New Roman"/>
          <w:noProof w:val="0"/>
          <w:color w:val="000000" w:themeColor="text1"/>
          <w:kern w:val="0"/>
          <w:sz w:val="18"/>
          <w:szCs w:val="18"/>
          <w14:ligatures w14:val="none"/>
        </w:rPr>
      </w:pPr>
      <w:r w:rsidRPr="006722F4">
        <w:rPr>
          <w:rFonts w:ascii="Times New Roman" w:hAnsi="Times New Roman" w:cs="Times New Roman"/>
          <w:b/>
          <w:bCs/>
          <w:noProof w:val="0"/>
          <w:color w:val="000000" w:themeColor="text1"/>
          <w:kern w:val="0"/>
          <w:sz w:val="18"/>
          <w:szCs w:val="18"/>
          <w14:ligatures w14:val="none"/>
        </w:rPr>
        <w:t xml:space="preserve">Note: </w:t>
      </w:r>
      <w:r w:rsidR="007C4A83" w:rsidRPr="006722F4">
        <w:rPr>
          <w:rFonts w:ascii="Times New Roman" w:hAnsi="Times New Roman" w:cs="Times New Roman"/>
          <w:noProof w:val="0"/>
          <w:color w:val="000000" w:themeColor="text1"/>
          <w:kern w:val="0"/>
          <w:sz w:val="18"/>
          <w:szCs w:val="18"/>
          <w14:ligatures w14:val="none"/>
        </w:rPr>
        <w:t>DCPW</w:t>
      </w:r>
      <w:r w:rsidR="00F87C0B" w:rsidRPr="006722F4">
        <w:rPr>
          <w:rFonts w:ascii="Times New Roman" w:hAnsi="Times New Roman" w:cs="Times New Roman"/>
          <w:noProof w:val="0"/>
          <w:color w:val="000000" w:themeColor="text1"/>
          <w:kern w:val="0"/>
          <w:sz w:val="18"/>
          <w:szCs w:val="18"/>
          <w14:ligatures w14:val="none"/>
        </w:rPr>
        <w:t>= Desire for commercial property waqf</w:t>
      </w:r>
    </w:p>
    <w:p w14:paraId="29ADBBE3" w14:textId="77777777" w:rsidR="00643018" w:rsidRPr="0039167F" w:rsidRDefault="00643018" w:rsidP="005240D5">
      <w:pPr>
        <w:spacing w:line="360" w:lineRule="auto"/>
        <w:ind w:left="3261" w:right="2505"/>
        <w:contextualSpacing/>
        <w:rPr>
          <w:rFonts w:ascii="Times New Roman" w:hAnsi="Times New Roman" w:cs="Times New Roman"/>
          <w:noProof w:val="0"/>
          <w:color w:val="000000" w:themeColor="text1"/>
          <w:kern w:val="0"/>
          <w:sz w:val="24"/>
          <w:szCs w:val="24"/>
          <w14:ligatures w14:val="none"/>
        </w:rPr>
      </w:pPr>
    </w:p>
    <w:p w14:paraId="4C4FFA75" w14:textId="6D5D812B" w:rsidR="00622240" w:rsidRDefault="00BA191E" w:rsidP="005240D5">
      <w:pPr>
        <w:spacing w:line="360" w:lineRule="auto"/>
        <w:ind w:firstLine="720"/>
        <w:contextualSpacing/>
        <w:jc w:val="both"/>
        <w:rPr>
          <w:rFonts w:ascii="Times New Roman" w:hAnsi="Times New Roman" w:cs="Times New Roman"/>
          <w:noProof w:val="0"/>
          <w:color w:val="000000" w:themeColor="text1"/>
          <w:kern w:val="0"/>
          <w:sz w:val="24"/>
          <w:szCs w:val="24"/>
          <w14:ligatures w14:val="none"/>
        </w:rPr>
      </w:pPr>
      <w:r w:rsidRPr="0039167F">
        <w:rPr>
          <w:rFonts w:ascii="Times New Roman" w:hAnsi="Times New Roman" w:cs="Times New Roman"/>
          <w:noProof w:val="0"/>
          <w:color w:val="000000" w:themeColor="text1"/>
          <w:kern w:val="0"/>
          <w:sz w:val="24"/>
          <w:szCs w:val="24"/>
          <w14:ligatures w14:val="none"/>
        </w:rPr>
        <w:t xml:space="preserve">Hair et al., 2019 propose the use of composite reliability as a substitute for the reliability of internal consistency that measures in social science research, rather than conventional Alpha Cronbach. Therefore, this study uses it to measure the reliability of internal consistency. In this case, the measurement of the composite reliability coefficient of consistency and internal reliability has been evaluated and reported in Table 3.0 below. In the study, the value of the composite reliability coefficient ranged from 0.805 to 0.924, indicating a sufficient range of 0.5 cut-off points. Thus, it can be ensured that the instrument is reliable and can be passed on to the analysis of hypothetical tests. The reliability value of n alpha (α) is around 0.677 ~ 0.891 considered sufficient </w:t>
      </w:r>
      <w:r w:rsidR="00991BEE">
        <w:rPr>
          <w:rFonts w:ascii="Times New Roman" w:hAnsi="Times New Roman" w:cs="Times New Roman"/>
          <w:noProof w:val="0"/>
          <w:color w:val="000000" w:themeColor="text1"/>
          <w:kern w:val="0"/>
          <w:sz w:val="24"/>
          <w:szCs w:val="24"/>
          <w14:ligatures w14:val="none"/>
        </w:rPr>
        <w:fldChar w:fldCharType="begin" w:fldLock="1"/>
      </w:r>
      <w:r w:rsidR="00991BEE">
        <w:rPr>
          <w:rFonts w:ascii="Times New Roman" w:hAnsi="Times New Roman" w:cs="Times New Roman"/>
          <w:noProof w:val="0"/>
          <w:color w:val="000000" w:themeColor="text1"/>
          <w:kern w:val="0"/>
          <w:sz w:val="24"/>
          <w:szCs w:val="24"/>
          <w14:ligatures w14:val="none"/>
        </w:rPr>
        <w:instrText>ADDIN CSL_CITATION {"citationItems":[{"id":"ITEM-1","itemData":{"DOI":"10.1007/s11165-016-9602-2","ISSN":"15731898","abstract":"Cronbach’s alpha is a statistic commonly quoted by authors to demonstrate that tests and scales that have been constructed or adopted for research projects are fit for purpose. Cronbach’s alpha is regularly adopted in studies in science education: it was referred to in 69 different papers published in 4 leading science education journals in a single year (2015)—usually as a measure of reliability. This article explores how this statistic is used in reporting science education research and what it represents. Authors often cite alpha values with little commentary to explain why they feel this statistic is relevant and seldom interpret the result for readers beyond citing an arbitrary threshold for an acceptable value. Those authors who do offer readers qualitative descriptors interpreting alpha values adopt a diverse and seemingly arbitrary terminology. More seriously, illustrative examples from the science education literature demonstrate that alpha may be acceptable even when there are recognised problems with the scales concerned. Alpha is also sometimes inappropriately used to claim an instrument is unidimensional. It is argued that a high value of alpha offers limited evidence of the reliability of a research instrument, and that indeed a very high value may actually be undesirable when developing a test of scientific knowledge or understanding. Guidance is offered to authors reporting, and readers evaluating, studies that present Cronbach’s alpha statistic as evidence of instrument quality.","author":[{"dropping-particle":"","family":"Taber","given":"Keith S.","non-dropping-particle":"","parse-names":false,"suffix":""}],"container-title":"Research in Science Education","id":"ITEM-1","issue":"6","issued":{"date-parts":[["2018"]]},"page":"1273-1296","publisher":"Research in Science Education","title":"The Use of Cronbach’s Alpha When Developing and Reporting Research Instruments in Science Education","type":"article-journal","volume":"48"},"uris":["http://www.mendeley.com/documents/?uuid=c503baec-6460-4b08-88d8-b4b122dde40d"]}],"mendeley":{"formattedCitation":"(Taber, 2018)","plainTextFormattedCitation":"(Taber, 2018)","previouslyFormattedCitation":"(Taber, 2018)"},"properties":{"noteIndex":0},"schema":"https://github.com/citation-style-language/schema/raw/master/csl-citation.json"}</w:instrText>
      </w:r>
      <w:r w:rsidR="00991BEE">
        <w:rPr>
          <w:rFonts w:ascii="Times New Roman" w:hAnsi="Times New Roman" w:cs="Times New Roman"/>
          <w:noProof w:val="0"/>
          <w:color w:val="000000" w:themeColor="text1"/>
          <w:kern w:val="0"/>
          <w:sz w:val="24"/>
          <w:szCs w:val="24"/>
          <w14:ligatures w14:val="none"/>
        </w:rPr>
        <w:fldChar w:fldCharType="separate"/>
      </w:r>
      <w:r w:rsidR="00991BEE" w:rsidRPr="00991BEE">
        <w:rPr>
          <w:rFonts w:ascii="Times New Roman" w:hAnsi="Times New Roman" w:cs="Times New Roman"/>
          <w:color w:val="000000" w:themeColor="text1"/>
          <w:kern w:val="0"/>
          <w:sz w:val="24"/>
          <w:szCs w:val="24"/>
          <w14:ligatures w14:val="none"/>
        </w:rPr>
        <w:t>(Taber, 2018)</w:t>
      </w:r>
      <w:r w:rsidR="00991BEE">
        <w:rPr>
          <w:rFonts w:ascii="Times New Roman" w:hAnsi="Times New Roman" w:cs="Times New Roman"/>
          <w:noProof w:val="0"/>
          <w:color w:val="000000" w:themeColor="text1"/>
          <w:kern w:val="0"/>
          <w:sz w:val="24"/>
          <w:szCs w:val="24"/>
          <w14:ligatures w14:val="none"/>
        </w:rPr>
        <w:fldChar w:fldCharType="end"/>
      </w:r>
      <w:r w:rsidRPr="0039167F">
        <w:rPr>
          <w:rFonts w:ascii="Times New Roman" w:hAnsi="Times New Roman" w:cs="Times New Roman"/>
          <w:noProof w:val="0"/>
          <w:color w:val="000000" w:themeColor="text1"/>
          <w:kern w:val="0"/>
          <w:sz w:val="24"/>
          <w:szCs w:val="24"/>
          <w14:ligatures w14:val="none"/>
        </w:rPr>
        <w:t>. In addition, the reliability analysis can be completed with the calculation of Average Variance Extracted (AVE) in individual constructs, which are expected to exceed 0.5. Table 3.0 lists the alpha values of Cronbach</w:t>
      </w:r>
      <w:r w:rsidR="006A132D">
        <w:rPr>
          <w:rFonts w:ascii="Times New Roman" w:hAnsi="Times New Roman" w:cs="Times New Roman"/>
          <w:noProof w:val="0"/>
          <w:color w:val="000000" w:themeColor="text1"/>
          <w:kern w:val="0"/>
          <w:sz w:val="24"/>
          <w:szCs w:val="24"/>
          <w14:ligatures w14:val="none"/>
        </w:rPr>
        <w:t>'s c</w:t>
      </w:r>
      <w:r w:rsidRPr="0039167F">
        <w:rPr>
          <w:rFonts w:ascii="Times New Roman" w:hAnsi="Times New Roman" w:cs="Times New Roman"/>
          <w:noProof w:val="0"/>
          <w:color w:val="000000" w:themeColor="text1"/>
          <w:kern w:val="0"/>
          <w:sz w:val="24"/>
          <w:szCs w:val="24"/>
          <w14:ligatures w14:val="none"/>
        </w:rPr>
        <w:t xml:space="preserve">ompound Reliability </w:t>
      </w:r>
      <w:r w:rsidRPr="0039167F">
        <w:rPr>
          <w:rFonts w:ascii="Times New Roman" w:hAnsi="Times New Roman" w:cs="Times New Roman"/>
          <w:noProof w:val="0"/>
          <w:color w:val="000000" w:themeColor="text1"/>
          <w:kern w:val="0"/>
          <w:sz w:val="24"/>
          <w:szCs w:val="24"/>
          <w14:ligatures w14:val="none"/>
        </w:rPr>
        <w:lastRenderedPageBreak/>
        <w:t>(CR) as proposed by Hair et al., (2019); All of them are equally adequate with the respective standard cutting points.</w:t>
      </w:r>
    </w:p>
    <w:p w14:paraId="0E677EDB" w14:textId="4E8DD370" w:rsidR="0003624F" w:rsidRPr="006722F4" w:rsidRDefault="00BA191E" w:rsidP="005240D5">
      <w:pPr>
        <w:spacing w:line="360" w:lineRule="auto"/>
        <w:ind w:left="1134"/>
        <w:contextualSpacing/>
        <w:jc w:val="center"/>
        <w:rPr>
          <w:rFonts w:ascii="Times New Roman" w:hAnsi="Times New Roman" w:cs="Times New Roman"/>
          <w:noProof w:val="0"/>
          <w:color w:val="000000" w:themeColor="text1"/>
          <w:kern w:val="0"/>
          <w:sz w:val="18"/>
          <w:szCs w:val="18"/>
          <w14:ligatures w14:val="none"/>
        </w:rPr>
      </w:pPr>
      <w:proofErr w:type="spellStart"/>
      <w:r w:rsidRPr="006722F4">
        <w:rPr>
          <w:rFonts w:ascii="Times New Roman" w:hAnsi="Times New Roman" w:cs="Times New Roman"/>
          <w:noProof w:val="0"/>
          <w:color w:val="000000" w:themeColor="text1"/>
          <w:kern w:val="0"/>
          <w:sz w:val="18"/>
          <w:szCs w:val="18"/>
          <w14:ligatures w14:val="none"/>
        </w:rPr>
        <w:t>Table</w:t>
      </w:r>
      <w:proofErr w:type="spellEnd"/>
      <w:r w:rsidRPr="006722F4">
        <w:rPr>
          <w:rFonts w:ascii="Times New Roman" w:hAnsi="Times New Roman" w:cs="Times New Roman"/>
          <w:noProof w:val="0"/>
          <w:color w:val="000000" w:themeColor="text1"/>
          <w:kern w:val="0"/>
          <w:sz w:val="18"/>
          <w:szCs w:val="18"/>
          <w14:ligatures w14:val="none"/>
        </w:rPr>
        <w:t xml:space="preserve"> 3.0: </w:t>
      </w:r>
      <w:proofErr w:type="spellStart"/>
      <w:r w:rsidR="002D6A44" w:rsidRPr="006722F4">
        <w:rPr>
          <w:rFonts w:ascii="Times New Roman" w:hAnsi="Times New Roman" w:cs="Times New Roman"/>
          <w:noProof w:val="0"/>
          <w:color w:val="000000" w:themeColor="text1"/>
          <w:kern w:val="0"/>
          <w:sz w:val="18"/>
          <w:szCs w:val="18"/>
          <w14:ligatures w14:val="none"/>
        </w:rPr>
        <w:t>A</w:t>
      </w:r>
      <w:r w:rsidRPr="006722F4">
        <w:rPr>
          <w:rFonts w:ascii="Times New Roman" w:hAnsi="Times New Roman" w:cs="Times New Roman"/>
          <w:noProof w:val="0"/>
          <w:color w:val="000000" w:themeColor="text1"/>
          <w:kern w:val="0"/>
          <w:sz w:val="18"/>
          <w:szCs w:val="18"/>
          <w14:ligatures w14:val="none"/>
        </w:rPr>
        <w:t>lpha</w:t>
      </w:r>
      <w:proofErr w:type="spellEnd"/>
      <w:r w:rsidRPr="006722F4">
        <w:rPr>
          <w:rFonts w:ascii="Times New Roman" w:hAnsi="Times New Roman" w:cs="Times New Roman"/>
          <w:noProof w:val="0"/>
          <w:color w:val="000000" w:themeColor="text1"/>
          <w:kern w:val="0"/>
          <w:sz w:val="18"/>
          <w:szCs w:val="18"/>
          <w14:ligatures w14:val="none"/>
        </w:rPr>
        <w:t xml:space="preserve"> (α), </w:t>
      </w:r>
      <w:proofErr w:type="spellStart"/>
      <w:r w:rsidR="002D6A44" w:rsidRPr="006722F4">
        <w:rPr>
          <w:rFonts w:ascii="Times New Roman" w:hAnsi="Times New Roman" w:cs="Times New Roman"/>
          <w:noProof w:val="0"/>
          <w:color w:val="000000" w:themeColor="text1"/>
          <w:kern w:val="0"/>
          <w:sz w:val="18"/>
          <w:szCs w:val="18"/>
          <w14:ligatures w14:val="none"/>
        </w:rPr>
        <w:t>C</w:t>
      </w:r>
      <w:r w:rsidRPr="006722F4">
        <w:rPr>
          <w:rFonts w:ascii="Times New Roman" w:hAnsi="Times New Roman" w:cs="Times New Roman"/>
          <w:noProof w:val="0"/>
          <w:color w:val="000000" w:themeColor="text1"/>
          <w:kern w:val="0"/>
          <w:sz w:val="18"/>
          <w:szCs w:val="18"/>
          <w14:ligatures w14:val="none"/>
        </w:rPr>
        <w:t>omposite</w:t>
      </w:r>
      <w:proofErr w:type="spellEnd"/>
      <w:r w:rsidRPr="006722F4">
        <w:rPr>
          <w:rFonts w:ascii="Times New Roman" w:hAnsi="Times New Roman" w:cs="Times New Roman"/>
          <w:noProof w:val="0"/>
          <w:color w:val="000000" w:themeColor="text1"/>
          <w:kern w:val="0"/>
          <w:sz w:val="18"/>
          <w:szCs w:val="18"/>
          <w14:ligatures w14:val="none"/>
        </w:rPr>
        <w:t xml:space="preserve"> </w:t>
      </w:r>
      <w:proofErr w:type="spellStart"/>
      <w:r w:rsidR="002D6A44" w:rsidRPr="006722F4">
        <w:rPr>
          <w:rFonts w:ascii="Times New Roman" w:hAnsi="Times New Roman" w:cs="Times New Roman"/>
          <w:noProof w:val="0"/>
          <w:color w:val="000000" w:themeColor="text1"/>
          <w:kern w:val="0"/>
          <w:sz w:val="18"/>
          <w:szCs w:val="18"/>
          <w14:ligatures w14:val="none"/>
        </w:rPr>
        <w:t>R</w:t>
      </w:r>
      <w:r w:rsidRPr="006722F4">
        <w:rPr>
          <w:rFonts w:ascii="Times New Roman" w:hAnsi="Times New Roman" w:cs="Times New Roman"/>
          <w:noProof w:val="0"/>
          <w:color w:val="000000" w:themeColor="text1"/>
          <w:kern w:val="0"/>
          <w:sz w:val="18"/>
          <w:szCs w:val="18"/>
          <w14:ligatures w14:val="none"/>
        </w:rPr>
        <w:t>eliability</w:t>
      </w:r>
      <w:proofErr w:type="spellEnd"/>
    </w:p>
    <w:tbl>
      <w:tblPr>
        <w:tblStyle w:val="PlainTable23"/>
        <w:tblW w:w="0" w:type="auto"/>
        <w:jc w:val="center"/>
        <w:tblLook w:val="04A0" w:firstRow="1" w:lastRow="0" w:firstColumn="1" w:lastColumn="0" w:noHBand="0" w:noVBand="1"/>
      </w:tblPr>
      <w:tblGrid>
        <w:gridCol w:w="1830"/>
        <w:gridCol w:w="1604"/>
        <w:gridCol w:w="1669"/>
        <w:gridCol w:w="1932"/>
      </w:tblGrid>
      <w:tr w:rsidR="00F87C0B" w:rsidRPr="006722F4" w14:paraId="5F8BED0E" w14:textId="77777777" w:rsidTr="004B2CFC">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30" w:type="dxa"/>
            <w:noWrap/>
            <w:hideMark/>
          </w:tcPr>
          <w:p w14:paraId="3AC005A5" w14:textId="77777777" w:rsidR="00F87C0B" w:rsidRPr="006722F4" w:rsidRDefault="00F87C0B" w:rsidP="005240D5">
            <w:pPr>
              <w:spacing w:line="360" w:lineRule="auto"/>
              <w:contextualSpacing/>
              <w:jc w:val="both"/>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 </w:t>
            </w:r>
          </w:p>
        </w:tc>
        <w:tc>
          <w:tcPr>
            <w:tcW w:w="1604" w:type="dxa"/>
            <w:noWrap/>
            <w:hideMark/>
          </w:tcPr>
          <w:p w14:paraId="73A56E38" w14:textId="77777777" w:rsidR="00F87C0B" w:rsidRPr="006722F4" w:rsidRDefault="00F87C0B"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Cronbach's Alpha</w:t>
            </w:r>
          </w:p>
        </w:tc>
        <w:tc>
          <w:tcPr>
            <w:tcW w:w="1669" w:type="dxa"/>
            <w:noWrap/>
            <w:hideMark/>
          </w:tcPr>
          <w:p w14:paraId="2C824E09" w14:textId="77777777" w:rsidR="00F87C0B" w:rsidRPr="006722F4" w:rsidRDefault="00F87C0B"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Composite Reliability</w:t>
            </w:r>
          </w:p>
        </w:tc>
        <w:tc>
          <w:tcPr>
            <w:tcW w:w="1932" w:type="dxa"/>
            <w:noWrap/>
            <w:hideMark/>
          </w:tcPr>
          <w:p w14:paraId="1DF87422" w14:textId="77777777" w:rsidR="00F87C0B" w:rsidRPr="006722F4" w:rsidRDefault="00F87C0B"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Average Variance Extracted (AVE)</w:t>
            </w:r>
          </w:p>
        </w:tc>
      </w:tr>
      <w:tr w:rsidR="00F87C0B" w:rsidRPr="006722F4" w14:paraId="755900BB" w14:textId="77777777" w:rsidTr="004B2CF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30" w:type="dxa"/>
            <w:noWrap/>
            <w:hideMark/>
          </w:tcPr>
          <w:p w14:paraId="16120E7A" w14:textId="68FA476D" w:rsidR="00F87C0B" w:rsidRPr="006722F4"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DCPW</w:t>
            </w:r>
          </w:p>
        </w:tc>
        <w:tc>
          <w:tcPr>
            <w:tcW w:w="1604" w:type="dxa"/>
            <w:noWrap/>
            <w:hideMark/>
          </w:tcPr>
          <w:p w14:paraId="4DC2105F"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0.705</w:t>
            </w:r>
          </w:p>
        </w:tc>
        <w:tc>
          <w:tcPr>
            <w:tcW w:w="1669" w:type="dxa"/>
            <w:noWrap/>
            <w:hideMark/>
          </w:tcPr>
          <w:p w14:paraId="28FAF33D"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0.819</w:t>
            </w:r>
          </w:p>
        </w:tc>
        <w:tc>
          <w:tcPr>
            <w:tcW w:w="1932" w:type="dxa"/>
            <w:noWrap/>
            <w:hideMark/>
          </w:tcPr>
          <w:p w14:paraId="3E524620"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0.531</w:t>
            </w:r>
          </w:p>
        </w:tc>
      </w:tr>
      <w:tr w:rsidR="00F87C0B" w:rsidRPr="006722F4" w14:paraId="17697175" w14:textId="77777777" w:rsidTr="004B2CFC">
        <w:trPr>
          <w:trHeight w:val="290"/>
          <w:jc w:val="center"/>
        </w:trPr>
        <w:tc>
          <w:tcPr>
            <w:cnfStyle w:val="001000000000" w:firstRow="0" w:lastRow="0" w:firstColumn="1" w:lastColumn="0" w:oddVBand="0" w:evenVBand="0" w:oddHBand="0" w:evenHBand="0" w:firstRowFirstColumn="0" w:firstRowLastColumn="0" w:lastRowFirstColumn="0" w:lastRowLastColumn="0"/>
            <w:tcW w:w="1830" w:type="dxa"/>
            <w:noWrap/>
            <w:hideMark/>
          </w:tcPr>
          <w:p w14:paraId="727DEE3B" w14:textId="50B91AEA" w:rsidR="00F87C0B" w:rsidRPr="006722F4"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CUA</w:t>
            </w:r>
          </w:p>
        </w:tc>
        <w:tc>
          <w:tcPr>
            <w:tcW w:w="1604" w:type="dxa"/>
            <w:noWrap/>
            <w:hideMark/>
          </w:tcPr>
          <w:p w14:paraId="642947A4" w14:textId="77777777" w:rsidR="00F87C0B" w:rsidRPr="006722F4" w:rsidRDefault="00F87C0B"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0.891</w:t>
            </w:r>
          </w:p>
        </w:tc>
        <w:tc>
          <w:tcPr>
            <w:tcW w:w="1669" w:type="dxa"/>
            <w:noWrap/>
            <w:hideMark/>
          </w:tcPr>
          <w:p w14:paraId="1EAE424F" w14:textId="77777777" w:rsidR="00F87C0B" w:rsidRPr="006722F4" w:rsidRDefault="00F87C0B"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0.924</w:t>
            </w:r>
          </w:p>
        </w:tc>
        <w:tc>
          <w:tcPr>
            <w:tcW w:w="1932" w:type="dxa"/>
            <w:noWrap/>
            <w:hideMark/>
          </w:tcPr>
          <w:p w14:paraId="1E32A179" w14:textId="77777777" w:rsidR="00F87C0B" w:rsidRPr="006722F4" w:rsidRDefault="00F87C0B"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0.754</w:t>
            </w:r>
          </w:p>
        </w:tc>
      </w:tr>
      <w:tr w:rsidR="00F87C0B" w:rsidRPr="006722F4" w14:paraId="2E3EBCC7" w14:textId="77777777" w:rsidTr="004B2CF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30" w:type="dxa"/>
            <w:noWrap/>
            <w:hideMark/>
          </w:tcPr>
          <w:p w14:paraId="43324875" w14:textId="4B514551" w:rsidR="00F87C0B" w:rsidRPr="006722F4"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SEL</w:t>
            </w:r>
          </w:p>
        </w:tc>
        <w:tc>
          <w:tcPr>
            <w:tcW w:w="1604" w:type="dxa"/>
            <w:noWrap/>
            <w:hideMark/>
          </w:tcPr>
          <w:p w14:paraId="7B1277C2"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0.790</w:t>
            </w:r>
          </w:p>
        </w:tc>
        <w:tc>
          <w:tcPr>
            <w:tcW w:w="1669" w:type="dxa"/>
            <w:noWrap/>
            <w:hideMark/>
          </w:tcPr>
          <w:p w14:paraId="0E8943B7"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0.876</w:t>
            </w:r>
          </w:p>
        </w:tc>
        <w:tc>
          <w:tcPr>
            <w:tcW w:w="1932" w:type="dxa"/>
            <w:noWrap/>
            <w:hideMark/>
          </w:tcPr>
          <w:p w14:paraId="42F78F3C"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0.703</w:t>
            </w:r>
          </w:p>
        </w:tc>
      </w:tr>
      <w:tr w:rsidR="00F87C0B" w:rsidRPr="006722F4" w14:paraId="1630E838" w14:textId="77777777" w:rsidTr="004B2CFC">
        <w:trPr>
          <w:trHeight w:val="290"/>
          <w:jc w:val="center"/>
        </w:trPr>
        <w:tc>
          <w:tcPr>
            <w:cnfStyle w:val="001000000000" w:firstRow="0" w:lastRow="0" w:firstColumn="1" w:lastColumn="0" w:oddVBand="0" w:evenVBand="0" w:oddHBand="0" w:evenHBand="0" w:firstRowFirstColumn="0" w:firstRowLastColumn="0" w:lastRowFirstColumn="0" w:lastRowLastColumn="0"/>
            <w:tcW w:w="1830" w:type="dxa"/>
            <w:noWrap/>
            <w:hideMark/>
          </w:tcPr>
          <w:p w14:paraId="37DCD8D0" w14:textId="3BA3DA53" w:rsidR="00F87C0B" w:rsidRPr="006722F4"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TMAT</w:t>
            </w:r>
          </w:p>
        </w:tc>
        <w:tc>
          <w:tcPr>
            <w:tcW w:w="1604" w:type="dxa"/>
            <w:noWrap/>
            <w:hideMark/>
          </w:tcPr>
          <w:p w14:paraId="2E767815" w14:textId="77777777" w:rsidR="00F87C0B" w:rsidRPr="006722F4" w:rsidRDefault="00F87C0B"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0.677</w:t>
            </w:r>
          </w:p>
        </w:tc>
        <w:tc>
          <w:tcPr>
            <w:tcW w:w="1669" w:type="dxa"/>
            <w:noWrap/>
            <w:hideMark/>
          </w:tcPr>
          <w:p w14:paraId="11E99346" w14:textId="77777777" w:rsidR="00F87C0B" w:rsidRPr="006722F4" w:rsidRDefault="00F87C0B"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0.805</w:t>
            </w:r>
          </w:p>
        </w:tc>
        <w:tc>
          <w:tcPr>
            <w:tcW w:w="1932" w:type="dxa"/>
            <w:noWrap/>
            <w:hideMark/>
          </w:tcPr>
          <w:p w14:paraId="48C3AF82" w14:textId="77777777" w:rsidR="00F87C0B" w:rsidRPr="006722F4" w:rsidRDefault="00F87C0B"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0.510</w:t>
            </w:r>
          </w:p>
        </w:tc>
      </w:tr>
      <w:tr w:rsidR="00F87C0B" w:rsidRPr="006722F4" w14:paraId="5EB03872" w14:textId="77777777" w:rsidTr="004B2CF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30" w:type="dxa"/>
            <w:noWrap/>
            <w:hideMark/>
          </w:tcPr>
          <w:p w14:paraId="6D496596" w14:textId="5D24087B" w:rsidR="00F87C0B" w:rsidRPr="006722F4"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RCN</w:t>
            </w:r>
          </w:p>
        </w:tc>
        <w:tc>
          <w:tcPr>
            <w:tcW w:w="1604" w:type="dxa"/>
            <w:noWrap/>
            <w:hideMark/>
          </w:tcPr>
          <w:p w14:paraId="33CB2301"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0.742</w:t>
            </w:r>
          </w:p>
        </w:tc>
        <w:tc>
          <w:tcPr>
            <w:tcW w:w="1669" w:type="dxa"/>
            <w:noWrap/>
            <w:hideMark/>
          </w:tcPr>
          <w:p w14:paraId="130AAC6A"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0.838</w:t>
            </w:r>
          </w:p>
        </w:tc>
        <w:tc>
          <w:tcPr>
            <w:tcW w:w="1932" w:type="dxa"/>
            <w:noWrap/>
            <w:hideMark/>
          </w:tcPr>
          <w:p w14:paraId="1B852A30" w14:textId="77777777" w:rsidR="00F87C0B" w:rsidRPr="006722F4" w:rsidRDefault="00F87C0B"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6722F4">
              <w:rPr>
                <w:rFonts w:ascii="Times New Roman" w:hAnsi="Times New Roman" w:cs="Times New Roman"/>
                <w:noProof w:val="0"/>
                <w:color w:val="000000" w:themeColor="text1"/>
                <w:sz w:val="18"/>
                <w:szCs w:val="18"/>
              </w:rPr>
              <w:t>0.565</w:t>
            </w:r>
          </w:p>
        </w:tc>
      </w:tr>
    </w:tbl>
    <w:p w14:paraId="27B7E92B" w14:textId="7639A55F" w:rsidR="00622240" w:rsidRPr="00622240" w:rsidRDefault="0003624F" w:rsidP="005240D5">
      <w:pPr>
        <w:spacing w:line="360" w:lineRule="auto"/>
        <w:ind w:left="993" w:right="521"/>
        <w:contextualSpacing/>
        <w:rPr>
          <w:rFonts w:ascii="Times New Roman" w:hAnsi="Times New Roman" w:cs="Times New Roman"/>
          <w:noProof w:val="0"/>
          <w:color w:val="000000" w:themeColor="text1"/>
          <w:kern w:val="0"/>
          <w:sz w:val="20"/>
          <w:szCs w:val="20"/>
          <w14:ligatures w14:val="none"/>
        </w:rPr>
      </w:pPr>
      <w:r w:rsidRPr="00622240">
        <w:rPr>
          <w:rFonts w:ascii="Times New Roman" w:hAnsi="Times New Roman" w:cs="Times New Roman"/>
          <w:b/>
          <w:bCs/>
          <w:noProof w:val="0"/>
          <w:color w:val="000000" w:themeColor="text1"/>
          <w:kern w:val="0"/>
          <w:sz w:val="20"/>
          <w:szCs w:val="20"/>
          <w14:ligatures w14:val="none"/>
        </w:rPr>
        <w:t xml:space="preserve">Note: </w:t>
      </w:r>
      <w:bookmarkStart w:id="2" w:name="_Hlk137423339"/>
      <w:r w:rsidR="007C4A83">
        <w:rPr>
          <w:rFonts w:ascii="Times New Roman" w:hAnsi="Times New Roman" w:cs="Times New Roman"/>
          <w:noProof w:val="0"/>
          <w:color w:val="000000" w:themeColor="text1"/>
          <w:kern w:val="0"/>
          <w:sz w:val="20"/>
          <w:szCs w:val="20"/>
          <w14:ligatures w14:val="none"/>
        </w:rPr>
        <w:t>DCPW</w:t>
      </w:r>
      <w:r w:rsidR="00F87C0B" w:rsidRPr="00622240">
        <w:rPr>
          <w:rFonts w:ascii="Times New Roman" w:hAnsi="Times New Roman" w:cs="Times New Roman"/>
          <w:noProof w:val="0"/>
          <w:color w:val="000000" w:themeColor="text1"/>
          <w:kern w:val="0"/>
          <w:sz w:val="20"/>
          <w:szCs w:val="20"/>
          <w14:ligatures w14:val="none"/>
        </w:rPr>
        <w:t xml:space="preserve">= The desire for commercial property waqf, </w:t>
      </w:r>
      <w:r w:rsidR="007C4A83">
        <w:rPr>
          <w:rFonts w:ascii="Times New Roman" w:hAnsi="Times New Roman" w:cs="Times New Roman"/>
          <w:noProof w:val="0"/>
          <w:color w:val="000000" w:themeColor="text1"/>
          <w:kern w:val="0"/>
          <w:sz w:val="20"/>
          <w:szCs w:val="20"/>
          <w14:ligatures w14:val="none"/>
        </w:rPr>
        <w:t>CUA</w:t>
      </w:r>
      <w:r w:rsidR="00F87C0B" w:rsidRPr="00622240">
        <w:rPr>
          <w:rFonts w:ascii="Times New Roman" w:hAnsi="Times New Roman" w:cs="Times New Roman"/>
          <w:noProof w:val="0"/>
          <w:color w:val="000000" w:themeColor="text1"/>
          <w:kern w:val="0"/>
          <w:sz w:val="20"/>
          <w:szCs w:val="20"/>
          <w14:ligatures w14:val="none"/>
        </w:rPr>
        <w:t xml:space="preserve">= Community Understanding and Acceptance, </w:t>
      </w:r>
      <w:r w:rsidR="007C4A83">
        <w:rPr>
          <w:rFonts w:ascii="Times New Roman" w:hAnsi="Times New Roman" w:cs="Times New Roman"/>
          <w:noProof w:val="0"/>
          <w:color w:val="000000" w:themeColor="text1"/>
          <w:kern w:val="0"/>
          <w:sz w:val="20"/>
          <w:szCs w:val="20"/>
          <w14:ligatures w14:val="none"/>
        </w:rPr>
        <w:t>RCN</w:t>
      </w:r>
      <w:r w:rsidR="00F87C0B" w:rsidRPr="00622240">
        <w:rPr>
          <w:rFonts w:ascii="Times New Roman" w:hAnsi="Times New Roman" w:cs="Times New Roman"/>
          <w:noProof w:val="0"/>
          <w:color w:val="000000" w:themeColor="text1"/>
          <w:kern w:val="0"/>
          <w:sz w:val="20"/>
          <w:szCs w:val="20"/>
          <w14:ligatures w14:val="none"/>
        </w:rPr>
        <w:t xml:space="preserve">= Religious holdings and cultural norms, </w:t>
      </w:r>
      <w:r w:rsidR="007C4A83">
        <w:rPr>
          <w:rFonts w:ascii="Times New Roman" w:hAnsi="Times New Roman" w:cs="Times New Roman"/>
          <w:noProof w:val="0"/>
          <w:color w:val="000000" w:themeColor="text1"/>
          <w:kern w:val="0"/>
          <w:sz w:val="20"/>
          <w:szCs w:val="20"/>
          <w14:ligatures w14:val="none"/>
        </w:rPr>
        <w:t>TMAT</w:t>
      </w:r>
      <w:r w:rsidR="00F87C0B" w:rsidRPr="00622240">
        <w:rPr>
          <w:rFonts w:ascii="Times New Roman" w:hAnsi="Times New Roman" w:cs="Times New Roman"/>
          <w:noProof w:val="0"/>
          <w:color w:val="000000" w:themeColor="text1"/>
          <w:kern w:val="0"/>
          <w:sz w:val="20"/>
          <w:szCs w:val="20"/>
          <w14:ligatures w14:val="none"/>
        </w:rPr>
        <w:t>=</w:t>
      </w:r>
      <w:r w:rsidR="006A132D">
        <w:rPr>
          <w:rFonts w:ascii="Times New Roman" w:hAnsi="Times New Roman" w:cs="Times New Roman"/>
          <w:noProof w:val="0"/>
          <w:color w:val="000000" w:themeColor="text1"/>
          <w:kern w:val="0"/>
          <w:sz w:val="20"/>
          <w:szCs w:val="20"/>
          <w14:ligatures w14:val="none"/>
        </w:rPr>
        <w:t xml:space="preserve"> </w:t>
      </w:r>
      <w:r w:rsidR="00F87C0B" w:rsidRPr="00622240">
        <w:rPr>
          <w:rFonts w:ascii="Times New Roman" w:hAnsi="Times New Roman" w:cs="Times New Roman"/>
          <w:noProof w:val="0"/>
          <w:color w:val="000000" w:themeColor="text1"/>
          <w:kern w:val="0"/>
          <w:sz w:val="20"/>
          <w:szCs w:val="20"/>
          <w14:ligatures w14:val="none"/>
        </w:rPr>
        <w:t xml:space="preserve">Trust in administrative management and transparency, </w:t>
      </w:r>
      <w:r w:rsidR="007C4A83">
        <w:rPr>
          <w:rFonts w:ascii="Times New Roman" w:hAnsi="Times New Roman" w:cs="Times New Roman"/>
          <w:noProof w:val="0"/>
          <w:color w:val="000000" w:themeColor="text1"/>
          <w:kern w:val="0"/>
          <w:sz w:val="20"/>
          <w:szCs w:val="20"/>
          <w14:ligatures w14:val="none"/>
        </w:rPr>
        <w:t>SEL</w:t>
      </w:r>
      <w:r w:rsidR="00F87C0B" w:rsidRPr="00622240">
        <w:rPr>
          <w:rFonts w:ascii="Times New Roman" w:hAnsi="Times New Roman" w:cs="Times New Roman"/>
          <w:noProof w:val="0"/>
          <w:color w:val="000000" w:themeColor="text1"/>
          <w:kern w:val="0"/>
          <w:sz w:val="20"/>
          <w:szCs w:val="20"/>
          <w14:ligatures w14:val="none"/>
        </w:rPr>
        <w:t>=Socio-economic level of society</w:t>
      </w:r>
    </w:p>
    <w:bookmarkEnd w:id="2"/>
    <w:p w14:paraId="53CEFD81" w14:textId="77777777" w:rsidR="0003624F" w:rsidRPr="0039167F" w:rsidRDefault="0003624F" w:rsidP="005240D5">
      <w:pPr>
        <w:spacing w:line="360" w:lineRule="auto"/>
        <w:ind w:left="1843" w:right="2080"/>
        <w:contextualSpacing/>
        <w:rPr>
          <w:rFonts w:ascii="Times New Roman" w:hAnsi="Times New Roman" w:cs="Times New Roman"/>
          <w:noProof w:val="0"/>
          <w:color w:val="000000" w:themeColor="text1"/>
          <w:kern w:val="0"/>
          <w:sz w:val="24"/>
          <w:szCs w:val="24"/>
          <w14:ligatures w14:val="none"/>
        </w:rPr>
      </w:pPr>
    </w:p>
    <w:p w14:paraId="20448BAF" w14:textId="7D5F4F48" w:rsidR="0003624F" w:rsidRPr="0039167F" w:rsidRDefault="00BA191E" w:rsidP="005240D5">
      <w:pPr>
        <w:spacing w:line="360" w:lineRule="auto"/>
        <w:ind w:firstLine="720"/>
        <w:contextualSpacing/>
        <w:jc w:val="both"/>
        <w:rPr>
          <w:rFonts w:ascii="Times New Roman" w:hAnsi="Times New Roman" w:cs="Times New Roman"/>
          <w:noProof w:val="0"/>
          <w:color w:val="000000" w:themeColor="text1"/>
          <w:kern w:val="0"/>
          <w:sz w:val="24"/>
          <w:szCs w:val="24"/>
          <w14:ligatures w14:val="none"/>
        </w:rPr>
      </w:pPr>
      <w:r w:rsidRPr="0039167F">
        <w:rPr>
          <w:rFonts w:ascii="Times New Roman" w:hAnsi="Times New Roman" w:cs="Times New Roman"/>
          <w:noProof w:val="0"/>
          <w:color w:val="000000" w:themeColor="text1"/>
          <w:kern w:val="0"/>
          <w:sz w:val="24"/>
          <w:szCs w:val="24"/>
          <w14:ligatures w14:val="none"/>
        </w:rPr>
        <w:t xml:space="preserve">The study also tested the validity of discrimination using a heterotrait-monotrait correlation ratio (HTMT) assessment </w:t>
      </w:r>
      <w:r w:rsidR="00991BEE">
        <w:rPr>
          <w:rFonts w:ascii="Times New Roman" w:hAnsi="Times New Roman" w:cs="Times New Roman"/>
          <w:noProof w:val="0"/>
          <w:color w:val="000000" w:themeColor="text1"/>
          <w:kern w:val="0"/>
          <w:sz w:val="24"/>
          <w:szCs w:val="24"/>
          <w14:ligatures w14:val="none"/>
        </w:rPr>
        <w:fldChar w:fldCharType="begin" w:fldLock="1"/>
      </w:r>
      <w:r w:rsidR="00991BEE">
        <w:rPr>
          <w:rFonts w:ascii="Times New Roman" w:hAnsi="Times New Roman" w:cs="Times New Roman"/>
          <w:noProof w:val="0"/>
          <w:color w:val="000000" w:themeColor="text1"/>
          <w:kern w:val="0"/>
          <w:sz w:val="24"/>
          <w:szCs w:val="24"/>
          <w14:ligatures w14:val="none"/>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PLS-SEM","type":"article-journal","volume":"31"},"uris":["http://www.mendeley.com/documents/?uuid=84355bf0-cec9-48b1-8be0-227c7f1e00f8"]}],"mendeley":{"formattedCitation":"(Joseph F. Hair et al., 2019)","plainTextFormattedCitation":"(Joseph F. Hair et al., 2019)","previouslyFormattedCitation":"(Joseph F. Hair et al., 2019)"},"properties":{"noteIndex":0},"schema":"https://github.com/citation-style-language/schema/raw/master/csl-citation.json"}</w:instrText>
      </w:r>
      <w:r w:rsidR="00991BEE">
        <w:rPr>
          <w:rFonts w:ascii="Times New Roman" w:hAnsi="Times New Roman" w:cs="Times New Roman"/>
          <w:noProof w:val="0"/>
          <w:color w:val="000000" w:themeColor="text1"/>
          <w:kern w:val="0"/>
          <w:sz w:val="24"/>
          <w:szCs w:val="24"/>
          <w14:ligatures w14:val="none"/>
        </w:rPr>
        <w:fldChar w:fldCharType="separate"/>
      </w:r>
      <w:r w:rsidR="00991BEE" w:rsidRPr="00991BEE">
        <w:rPr>
          <w:rFonts w:ascii="Times New Roman" w:hAnsi="Times New Roman" w:cs="Times New Roman"/>
          <w:color w:val="000000" w:themeColor="text1"/>
          <w:kern w:val="0"/>
          <w:sz w:val="24"/>
          <w:szCs w:val="24"/>
          <w14:ligatures w14:val="none"/>
        </w:rPr>
        <w:t>(Joseph F. Hair et al., 2019)</w:t>
      </w:r>
      <w:r w:rsidR="00991BEE">
        <w:rPr>
          <w:rFonts w:ascii="Times New Roman" w:hAnsi="Times New Roman" w:cs="Times New Roman"/>
          <w:noProof w:val="0"/>
          <w:color w:val="000000" w:themeColor="text1"/>
          <w:kern w:val="0"/>
          <w:sz w:val="24"/>
          <w:szCs w:val="24"/>
          <w14:ligatures w14:val="none"/>
        </w:rPr>
        <w:fldChar w:fldCharType="end"/>
      </w:r>
      <w:r w:rsidRPr="0039167F">
        <w:rPr>
          <w:rFonts w:ascii="Times New Roman" w:hAnsi="Times New Roman" w:cs="Times New Roman"/>
          <w:noProof w:val="0"/>
          <w:color w:val="000000" w:themeColor="text1"/>
          <w:kern w:val="0"/>
          <w:sz w:val="24"/>
          <w:szCs w:val="24"/>
          <w14:ligatures w14:val="none"/>
        </w:rPr>
        <w:t>. Using HTMT as a criterion to a</w:t>
      </w:r>
      <w:r w:rsidR="006A132D">
        <w:rPr>
          <w:rFonts w:ascii="Times New Roman" w:hAnsi="Times New Roman" w:cs="Times New Roman"/>
          <w:noProof w:val="0"/>
          <w:color w:val="000000" w:themeColor="text1"/>
          <w:kern w:val="0"/>
          <w:sz w:val="24"/>
          <w:szCs w:val="24"/>
          <w14:ligatures w14:val="none"/>
        </w:rPr>
        <w:t>ss</w:t>
      </w:r>
      <w:r w:rsidRPr="0039167F">
        <w:rPr>
          <w:rFonts w:ascii="Times New Roman" w:hAnsi="Times New Roman" w:cs="Times New Roman"/>
          <w:noProof w:val="0"/>
          <w:color w:val="000000" w:themeColor="text1"/>
          <w:kern w:val="0"/>
          <w:sz w:val="24"/>
          <w:szCs w:val="24"/>
          <w14:ligatures w14:val="none"/>
        </w:rPr>
        <w:t>ess the legality of discrimination, researchers need to compare with a predetermined threshold. Therefore, if the HTMT value is greater than the set threshold, the researcher can make the case that there is no discriminatory validity. As shown in Table 3.1:</w:t>
      </w:r>
    </w:p>
    <w:p w14:paraId="170B582F" w14:textId="77777777" w:rsidR="00BA191E" w:rsidRPr="0039167F" w:rsidRDefault="00BA191E" w:rsidP="005240D5">
      <w:pPr>
        <w:spacing w:line="360" w:lineRule="auto"/>
        <w:contextualSpacing/>
        <w:jc w:val="both"/>
        <w:rPr>
          <w:rFonts w:ascii="Times New Roman" w:hAnsi="Times New Roman" w:cs="Times New Roman"/>
          <w:noProof w:val="0"/>
          <w:color w:val="000000" w:themeColor="text1"/>
          <w:kern w:val="0"/>
          <w:sz w:val="24"/>
          <w:szCs w:val="24"/>
          <w14:ligatures w14:val="none"/>
        </w:rPr>
      </w:pPr>
    </w:p>
    <w:p w14:paraId="00AF6EE7" w14:textId="43D866C9" w:rsidR="0003624F" w:rsidRPr="003C251E" w:rsidRDefault="00021E1C" w:rsidP="005240D5">
      <w:pPr>
        <w:spacing w:line="360" w:lineRule="auto"/>
        <w:ind w:left="1560"/>
        <w:contextualSpacing/>
        <w:jc w:val="both"/>
        <w:rPr>
          <w:rFonts w:ascii="Times New Roman" w:hAnsi="Times New Roman" w:cs="Times New Roman"/>
          <w:noProof w:val="0"/>
          <w:color w:val="000000" w:themeColor="text1"/>
          <w:kern w:val="0"/>
          <w:sz w:val="18"/>
          <w:szCs w:val="18"/>
          <w14:ligatures w14:val="none"/>
        </w:rPr>
      </w:pPr>
      <w:r w:rsidRPr="003C251E">
        <w:rPr>
          <w:rFonts w:ascii="Times New Roman" w:hAnsi="Times New Roman" w:cs="Times New Roman"/>
          <w:noProof w:val="0"/>
          <w:color w:val="000000" w:themeColor="text1"/>
          <w:kern w:val="0"/>
          <w:sz w:val="18"/>
          <w:szCs w:val="18"/>
          <w14:ligatures w14:val="none"/>
        </w:rPr>
        <w:t>Table 3.1: Heterotrait-Monotrait Ratio (HTMT)</w:t>
      </w:r>
    </w:p>
    <w:tbl>
      <w:tblPr>
        <w:tblStyle w:val="PlainTable23"/>
        <w:tblW w:w="0" w:type="auto"/>
        <w:jc w:val="center"/>
        <w:tblLook w:val="04A0" w:firstRow="1" w:lastRow="0" w:firstColumn="1" w:lastColumn="0" w:noHBand="0" w:noVBand="1"/>
      </w:tblPr>
      <w:tblGrid>
        <w:gridCol w:w="935"/>
        <w:gridCol w:w="907"/>
        <w:gridCol w:w="851"/>
        <w:gridCol w:w="850"/>
        <w:gridCol w:w="851"/>
        <w:gridCol w:w="992"/>
      </w:tblGrid>
      <w:tr w:rsidR="00622240" w:rsidRPr="003C251E" w14:paraId="00527653" w14:textId="77777777" w:rsidTr="004B2CFC">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35" w:type="dxa"/>
            <w:noWrap/>
            <w:hideMark/>
          </w:tcPr>
          <w:p w14:paraId="69ADB9B7" w14:textId="77777777" w:rsidR="00622240" w:rsidRPr="003C251E" w:rsidRDefault="00622240"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907" w:type="dxa"/>
            <w:noWrap/>
            <w:hideMark/>
          </w:tcPr>
          <w:p w14:paraId="48BA8788" w14:textId="3F8B1578" w:rsidR="00622240" w:rsidRPr="003C251E" w:rsidRDefault="007C4A83"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DCPW</w:t>
            </w:r>
          </w:p>
        </w:tc>
        <w:tc>
          <w:tcPr>
            <w:tcW w:w="851" w:type="dxa"/>
            <w:noWrap/>
            <w:hideMark/>
          </w:tcPr>
          <w:p w14:paraId="36EE5562" w14:textId="662D85DB" w:rsidR="00622240" w:rsidRPr="003C251E" w:rsidRDefault="007C4A83"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CUA</w:t>
            </w:r>
          </w:p>
        </w:tc>
        <w:tc>
          <w:tcPr>
            <w:tcW w:w="850" w:type="dxa"/>
            <w:noWrap/>
            <w:hideMark/>
          </w:tcPr>
          <w:p w14:paraId="704E566F" w14:textId="38411028" w:rsidR="00622240" w:rsidRPr="003C251E" w:rsidRDefault="007C4A83"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SEL</w:t>
            </w:r>
          </w:p>
        </w:tc>
        <w:tc>
          <w:tcPr>
            <w:tcW w:w="851" w:type="dxa"/>
            <w:noWrap/>
            <w:hideMark/>
          </w:tcPr>
          <w:p w14:paraId="0856C542" w14:textId="56F37256" w:rsidR="00622240" w:rsidRPr="003C251E" w:rsidRDefault="007C4A83"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TMAT</w:t>
            </w:r>
          </w:p>
        </w:tc>
        <w:tc>
          <w:tcPr>
            <w:tcW w:w="992" w:type="dxa"/>
            <w:noWrap/>
            <w:hideMark/>
          </w:tcPr>
          <w:p w14:paraId="03DA1BDE" w14:textId="0B404306" w:rsidR="00622240" w:rsidRPr="003C251E" w:rsidRDefault="007C4A83"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RCN</w:t>
            </w:r>
          </w:p>
        </w:tc>
      </w:tr>
      <w:tr w:rsidR="00622240" w:rsidRPr="003C251E" w14:paraId="40107038" w14:textId="77777777" w:rsidTr="004B2CF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35" w:type="dxa"/>
            <w:noWrap/>
            <w:hideMark/>
          </w:tcPr>
          <w:p w14:paraId="769203CC" w14:textId="45502142" w:rsidR="00622240"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DCPW</w:t>
            </w:r>
          </w:p>
        </w:tc>
        <w:tc>
          <w:tcPr>
            <w:tcW w:w="907" w:type="dxa"/>
            <w:noWrap/>
            <w:hideMark/>
          </w:tcPr>
          <w:p w14:paraId="5AA8AB69"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851" w:type="dxa"/>
            <w:noWrap/>
            <w:hideMark/>
          </w:tcPr>
          <w:p w14:paraId="13C4BE94"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850" w:type="dxa"/>
            <w:noWrap/>
            <w:hideMark/>
          </w:tcPr>
          <w:p w14:paraId="7DCFE8A9"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851" w:type="dxa"/>
            <w:noWrap/>
            <w:hideMark/>
          </w:tcPr>
          <w:p w14:paraId="2C1DA4BD"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992" w:type="dxa"/>
            <w:noWrap/>
            <w:hideMark/>
          </w:tcPr>
          <w:p w14:paraId="0845BE8E"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r>
      <w:tr w:rsidR="00622240" w:rsidRPr="003C251E" w14:paraId="12D1621A" w14:textId="77777777" w:rsidTr="004B2CFC">
        <w:trPr>
          <w:trHeight w:val="290"/>
          <w:jc w:val="center"/>
        </w:trPr>
        <w:tc>
          <w:tcPr>
            <w:cnfStyle w:val="001000000000" w:firstRow="0" w:lastRow="0" w:firstColumn="1" w:lastColumn="0" w:oddVBand="0" w:evenVBand="0" w:oddHBand="0" w:evenHBand="0" w:firstRowFirstColumn="0" w:firstRowLastColumn="0" w:lastRowFirstColumn="0" w:lastRowLastColumn="0"/>
            <w:tcW w:w="935" w:type="dxa"/>
            <w:noWrap/>
            <w:hideMark/>
          </w:tcPr>
          <w:p w14:paraId="51ADD8E7" w14:textId="545C6BB2" w:rsidR="00622240"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CUA</w:t>
            </w:r>
          </w:p>
        </w:tc>
        <w:tc>
          <w:tcPr>
            <w:tcW w:w="907" w:type="dxa"/>
            <w:noWrap/>
            <w:hideMark/>
          </w:tcPr>
          <w:p w14:paraId="1566F77A"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0.697</w:t>
            </w:r>
          </w:p>
        </w:tc>
        <w:tc>
          <w:tcPr>
            <w:tcW w:w="851" w:type="dxa"/>
            <w:noWrap/>
            <w:hideMark/>
          </w:tcPr>
          <w:p w14:paraId="2A30C9D4"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850" w:type="dxa"/>
            <w:noWrap/>
            <w:hideMark/>
          </w:tcPr>
          <w:p w14:paraId="2CBBA0EF"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851" w:type="dxa"/>
            <w:noWrap/>
            <w:hideMark/>
          </w:tcPr>
          <w:p w14:paraId="3519BF46"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992" w:type="dxa"/>
            <w:noWrap/>
            <w:hideMark/>
          </w:tcPr>
          <w:p w14:paraId="37CBC117"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r>
      <w:tr w:rsidR="00622240" w:rsidRPr="003C251E" w14:paraId="7C3AD3B1" w14:textId="77777777" w:rsidTr="004B2CF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35" w:type="dxa"/>
            <w:noWrap/>
            <w:hideMark/>
          </w:tcPr>
          <w:p w14:paraId="05AD4967" w14:textId="623F26CB" w:rsidR="00622240"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SEL</w:t>
            </w:r>
          </w:p>
        </w:tc>
        <w:tc>
          <w:tcPr>
            <w:tcW w:w="907" w:type="dxa"/>
            <w:noWrap/>
            <w:hideMark/>
          </w:tcPr>
          <w:p w14:paraId="63E5B29B"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0.721</w:t>
            </w:r>
          </w:p>
        </w:tc>
        <w:tc>
          <w:tcPr>
            <w:tcW w:w="851" w:type="dxa"/>
            <w:noWrap/>
            <w:hideMark/>
          </w:tcPr>
          <w:p w14:paraId="7E01DB5E"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0.557</w:t>
            </w:r>
          </w:p>
        </w:tc>
        <w:tc>
          <w:tcPr>
            <w:tcW w:w="850" w:type="dxa"/>
            <w:noWrap/>
            <w:hideMark/>
          </w:tcPr>
          <w:p w14:paraId="2849970B"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851" w:type="dxa"/>
            <w:noWrap/>
            <w:hideMark/>
          </w:tcPr>
          <w:p w14:paraId="2A343812"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992" w:type="dxa"/>
            <w:noWrap/>
            <w:hideMark/>
          </w:tcPr>
          <w:p w14:paraId="3057D16C"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r>
      <w:tr w:rsidR="00622240" w:rsidRPr="003C251E" w14:paraId="1B6A7647" w14:textId="77777777" w:rsidTr="004B2CFC">
        <w:trPr>
          <w:trHeight w:val="290"/>
          <w:jc w:val="center"/>
        </w:trPr>
        <w:tc>
          <w:tcPr>
            <w:cnfStyle w:val="001000000000" w:firstRow="0" w:lastRow="0" w:firstColumn="1" w:lastColumn="0" w:oddVBand="0" w:evenVBand="0" w:oddHBand="0" w:evenHBand="0" w:firstRowFirstColumn="0" w:firstRowLastColumn="0" w:lastRowFirstColumn="0" w:lastRowLastColumn="0"/>
            <w:tcW w:w="935" w:type="dxa"/>
            <w:noWrap/>
            <w:hideMark/>
          </w:tcPr>
          <w:p w14:paraId="77D83631" w14:textId="56B7406B" w:rsidR="00622240"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TMAT</w:t>
            </w:r>
          </w:p>
        </w:tc>
        <w:tc>
          <w:tcPr>
            <w:tcW w:w="907" w:type="dxa"/>
            <w:noWrap/>
            <w:hideMark/>
          </w:tcPr>
          <w:p w14:paraId="3CA3F09C"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0.899</w:t>
            </w:r>
          </w:p>
        </w:tc>
        <w:tc>
          <w:tcPr>
            <w:tcW w:w="851" w:type="dxa"/>
            <w:noWrap/>
            <w:hideMark/>
          </w:tcPr>
          <w:p w14:paraId="78525F6B"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0.717</w:t>
            </w:r>
          </w:p>
        </w:tc>
        <w:tc>
          <w:tcPr>
            <w:tcW w:w="850" w:type="dxa"/>
            <w:noWrap/>
            <w:hideMark/>
          </w:tcPr>
          <w:p w14:paraId="0B238868"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0.817</w:t>
            </w:r>
          </w:p>
        </w:tc>
        <w:tc>
          <w:tcPr>
            <w:tcW w:w="851" w:type="dxa"/>
            <w:noWrap/>
            <w:hideMark/>
          </w:tcPr>
          <w:p w14:paraId="6D34AD0F"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992" w:type="dxa"/>
            <w:noWrap/>
            <w:hideMark/>
          </w:tcPr>
          <w:p w14:paraId="18E009E5" w14:textId="77777777" w:rsidR="00622240" w:rsidRPr="003C251E" w:rsidRDefault="00622240"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r>
      <w:tr w:rsidR="00622240" w:rsidRPr="003C251E" w14:paraId="6FE8A77A" w14:textId="77777777" w:rsidTr="004B2CF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35" w:type="dxa"/>
            <w:noWrap/>
            <w:hideMark/>
          </w:tcPr>
          <w:p w14:paraId="5E484AB2" w14:textId="367EDCCD" w:rsidR="00622240"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RCN</w:t>
            </w:r>
          </w:p>
        </w:tc>
        <w:tc>
          <w:tcPr>
            <w:tcW w:w="907" w:type="dxa"/>
            <w:noWrap/>
            <w:hideMark/>
          </w:tcPr>
          <w:p w14:paraId="166684C1"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0.847</w:t>
            </w:r>
          </w:p>
        </w:tc>
        <w:tc>
          <w:tcPr>
            <w:tcW w:w="851" w:type="dxa"/>
            <w:noWrap/>
            <w:hideMark/>
          </w:tcPr>
          <w:p w14:paraId="75FF9DC7"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0.606</w:t>
            </w:r>
          </w:p>
        </w:tc>
        <w:tc>
          <w:tcPr>
            <w:tcW w:w="850" w:type="dxa"/>
            <w:noWrap/>
            <w:hideMark/>
          </w:tcPr>
          <w:p w14:paraId="6A54C7F0"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0.874</w:t>
            </w:r>
          </w:p>
        </w:tc>
        <w:tc>
          <w:tcPr>
            <w:tcW w:w="851" w:type="dxa"/>
            <w:noWrap/>
            <w:hideMark/>
          </w:tcPr>
          <w:p w14:paraId="51872AB6"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0.805</w:t>
            </w:r>
          </w:p>
        </w:tc>
        <w:tc>
          <w:tcPr>
            <w:tcW w:w="992" w:type="dxa"/>
            <w:noWrap/>
            <w:hideMark/>
          </w:tcPr>
          <w:p w14:paraId="497E70DE" w14:textId="77777777" w:rsidR="00622240" w:rsidRPr="003C251E" w:rsidRDefault="00622240"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r>
    </w:tbl>
    <w:p w14:paraId="5A24476A" w14:textId="03D54BD8" w:rsidR="00622240" w:rsidRPr="003C251E" w:rsidRDefault="00622240" w:rsidP="005240D5">
      <w:pPr>
        <w:spacing w:line="360" w:lineRule="auto"/>
        <w:ind w:left="1843" w:right="1229"/>
        <w:contextualSpacing/>
        <w:rPr>
          <w:rFonts w:ascii="Times New Roman" w:hAnsi="Times New Roman" w:cs="Times New Roman"/>
          <w:noProof w:val="0"/>
          <w:color w:val="000000" w:themeColor="text1"/>
          <w:kern w:val="0"/>
          <w:sz w:val="18"/>
          <w:szCs w:val="18"/>
          <w14:ligatures w14:val="none"/>
        </w:rPr>
      </w:pPr>
      <w:r w:rsidRPr="003C251E">
        <w:rPr>
          <w:rFonts w:ascii="Times New Roman" w:hAnsi="Times New Roman" w:cs="Times New Roman"/>
          <w:b/>
          <w:bCs/>
          <w:noProof w:val="0"/>
          <w:color w:val="000000" w:themeColor="text1"/>
          <w:kern w:val="0"/>
          <w:sz w:val="18"/>
          <w:szCs w:val="18"/>
          <w14:ligatures w14:val="none"/>
        </w:rPr>
        <w:t>Note:</w:t>
      </w:r>
      <w:r w:rsidRPr="003C251E">
        <w:rPr>
          <w:rFonts w:ascii="Times New Roman" w:hAnsi="Times New Roman" w:cs="Times New Roman"/>
          <w:noProof w:val="0"/>
          <w:color w:val="000000" w:themeColor="text1"/>
          <w:kern w:val="0"/>
          <w:sz w:val="18"/>
          <w:szCs w:val="18"/>
          <w14:ligatures w14:val="none"/>
        </w:rPr>
        <w:t xml:space="preserve"> </w:t>
      </w:r>
      <w:r w:rsidR="007C4A83" w:rsidRPr="003C251E">
        <w:rPr>
          <w:rFonts w:ascii="Times New Roman" w:hAnsi="Times New Roman" w:cs="Times New Roman"/>
          <w:noProof w:val="0"/>
          <w:color w:val="000000" w:themeColor="text1"/>
          <w:kern w:val="0"/>
          <w:sz w:val="18"/>
          <w:szCs w:val="18"/>
          <w14:ligatures w14:val="none"/>
        </w:rPr>
        <w:t>DCPW</w:t>
      </w:r>
      <w:r w:rsidRPr="003C251E">
        <w:rPr>
          <w:rFonts w:ascii="Times New Roman" w:hAnsi="Times New Roman" w:cs="Times New Roman"/>
          <w:noProof w:val="0"/>
          <w:color w:val="000000" w:themeColor="text1"/>
          <w:kern w:val="0"/>
          <w:sz w:val="18"/>
          <w:szCs w:val="18"/>
          <w14:ligatures w14:val="none"/>
        </w:rPr>
        <w:t xml:space="preserve">= The desire for commercial property waqf, </w:t>
      </w:r>
      <w:r w:rsidR="007C4A83" w:rsidRPr="003C251E">
        <w:rPr>
          <w:rFonts w:ascii="Times New Roman" w:hAnsi="Times New Roman" w:cs="Times New Roman"/>
          <w:noProof w:val="0"/>
          <w:color w:val="000000" w:themeColor="text1"/>
          <w:kern w:val="0"/>
          <w:sz w:val="18"/>
          <w:szCs w:val="18"/>
          <w14:ligatures w14:val="none"/>
        </w:rPr>
        <w:t>CUA</w:t>
      </w:r>
      <w:r w:rsidRPr="003C251E">
        <w:rPr>
          <w:rFonts w:ascii="Times New Roman" w:hAnsi="Times New Roman" w:cs="Times New Roman"/>
          <w:noProof w:val="0"/>
          <w:color w:val="000000" w:themeColor="text1"/>
          <w:kern w:val="0"/>
          <w:sz w:val="18"/>
          <w:szCs w:val="18"/>
          <w14:ligatures w14:val="none"/>
        </w:rPr>
        <w:t xml:space="preserve">= Community Understanding and Acceptance, </w:t>
      </w:r>
      <w:r w:rsidR="007C4A83" w:rsidRPr="003C251E">
        <w:rPr>
          <w:rFonts w:ascii="Times New Roman" w:hAnsi="Times New Roman" w:cs="Times New Roman"/>
          <w:noProof w:val="0"/>
          <w:color w:val="000000" w:themeColor="text1"/>
          <w:kern w:val="0"/>
          <w:sz w:val="18"/>
          <w:szCs w:val="18"/>
          <w14:ligatures w14:val="none"/>
        </w:rPr>
        <w:t>RCN</w:t>
      </w:r>
      <w:r w:rsidRPr="003C251E">
        <w:rPr>
          <w:rFonts w:ascii="Times New Roman" w:hAnsi="Times New Roman" w:cs="Times New Roman"/>
          <w:noProof w:val="0"/>
          <w:color w:val="000000" w:themeColor="text1"/>
          <w:kern w:val="0"/>
          <w:sz w:val="18"/>
          <w:szCs w:val="18"/>
          <w14:ligatures w14:val="none"/>
        </w:rPr>
        <w:t xml:space="preserve">= Religious holdings and cultural norms, </w:t>
      </w:r>
      <w:r w:rsidR="007C4A83" w:rsidRPr="003C251E">
        <w:rPr>
          <w:rFonts w:ascii="Times New Roman" w:hAnsi="Times New Roman" w:cs="Times New Roman"/>
          <w:noProof w:val="0"/>
          <w:color w:val="000000" w:themeColor="text1"/>
          <w:kern w:val="0"/>
          <w:sz w:val="18"/>
          <w:szCs w:val="18"/>
          <w14:ligatures w14:val="none"/>
        </w:rPr>
        <w:t>TMAT</w:t>
      </w:r>
      <w:r w:rsidRPr="003C251E">
        <w:rPr>
          <w:rFonts w:ascii="Times New Roman" w:hAnsi="Times New Roman" w:cs="Times New Roman"/>
          <w:noProof w:val="0"/>
          <w:color w:val="000000" w:themeColor="text1"/>
          <w:kern w:val="0"/>
          <w:sz w:val="18"/>
          <w:szCs w:val="18"/>
          <w14:ligatures w14:val="none"/>
        </w:rPr>
        <w:t>=</w:t>
      </w:r>
      <w:r w:rsidR="006A132D" w:rsidRPr="003C251E">
        <w:rPr>
          <w:rFonts w:ascii="Times New Roman" w:hAnsi="Times New Roman" w:cs="Times New Roman"/>
          <w:noProof w:val="0"/>
          <w:color w:val="000000" w:themeColor="text1"/>
          <w:kern w:val="0"/>
          <w:sz w:val="18"/>
          <w:szCs w:val="18"/>
          <w14:ligatures w14:val="none"/>
        </w:rPr>
        <w:t xml:space="preserve"> </w:t>
      </w:r>
      <w:r w:rsidRPr="003C251E">
        <w:rPr>
          <w:rFonts w:ascii="Times New Roman" w:hAnsi="Times New Roman" w:cs="Times New Roman"/>
          <w:noProof w:val="0"/>
          <w:color w:val="000000" w:themeColor="text1"/>
          <w:kern w:val="0"/>
          <w:sz w:val="18"/>
          <w:szCs w:val="18"/>
          <w14:ligatures w14:val="none"/>
        </w:rPr>
        <w:t xml:space="preserve">Trust in administrative management and transparency, </w:t>
      </w:r>
      <w:r w:rsidR="007C4A83" w:rsidRPr="003C251E">
        <w:rPr>
          <w:rFonts w:ascii="Times New Roman" w:hAnsi="Times New Roman" w:cs="Times New Roman"/>
          <w:noProof w:val="0"/>
          <w:color w:val="000000" w:themeColor="text1"/>
          <w:kern w:val="0"/>
          <w:sz w:val="18"/>
          <w:szCs w:val="18"/>
          <w14:ligatures w14:val="none"/>
        </w:rPr>
        <w:t>SEL</w:t>
      </w:r>
      <w:r w:rsidRPr="003C251E">
        <w:rPr>
          <w:rFonts w:ascii="Times New Roman" w:hAnsi="Times New Roman" w:cs="Times New Roman"/>
          <w:noProof w:val="0"/>
          <w:color w:val="000000" w:themeColor="text1"/>
          <w:kern w:val="0"/>
          <w:sz w:val="18"/>
          <w:szCs w:val="18"/>
          <w14:ligatures w14:val="none"/>
        </w:rPr>
        <w:t>=Socio-economic level of society</w:t>
      </w:r>
    </w:p>
    <w:p w14:paraId="0D824881" w14:textId="77777777" w:rsidR="00622240" w:rsidRPr="0039167F" w:rsidRDefault="00622240" w:rsidP="005240D5">
      <w:pPr>
        <w:spacing w:line="360" w:lineRule="auto"/>
        <w:ind w:right="1229"/>
        <w:contextualSpacing/>
        <w:rPr>
          <w:rFonts w:ascii="Times New Roman" w:hAnsi="Times New Roman" w:cs="Times New Roman"/>
          <w:noProof w:val="0"/>
          <w:color w:val="000000" w:themeColor="text1"/>
          <w:kern w:val="0"/>
          <w:sz w:val="24"/>
          <w:szCs w:val="24"/>
          <w14:ligatures w14:val="none"/>
        </w:rPr>
      </w:pPr>
    </w:p>
    <w:p w14:paraId="7E7CDB83" w14:textId="56BD6CEF" w:rsidR="00BA191E" w:rsidRPr="0039167F" w:rsidRDefault="00BA191E" w:rsidP="005240D5">
      <w:pPr>
        <w:spacing w:line="360" w:lineRule="auto"/>
        <w:ind w:right="95" w:firstLine="720"/>
        <w:contextualSpacing/>
        <w:jc w:val="both"/>
        <w:rPr>
          <w:rFonts w:ascii="Times New Roman" w:hAnsi="Times New Roman" w:cs="Times New Roman"/>
          <w:noProof w:val="0"/>
          <w:color w:val="000000" w:themeColor="text1"/>
          <w:kern w:val="0"/>
          <w:sz w:val="24"/>
          <w:szCs w:val="24"/>
          <w14:ligatures w14:val="none"/>
        </w:rPr>
      </w:pPr>
      <w:r w:rsidRPr="0039167F">
        <w:rPr>
          <w:rFonts w:ascii="Times New Roman" w:hAnsi="Times New Roman" w:cs="Times New Roman"/>
          <w:noProof w:val="0"/>
          <w:color w:val="000000" w:themeColor="text1"/>
          <w:kern w:val="0"/>
          <w:sz w:val="24"/>
          <w:szCs w:val="24"/>
          <w14:ligatures w14:val="none"/>
        </w:rPr>
        <w:t xml:space="preserve">The results show that all constructive correlation values are lower than the threshold level, indicating a satisfactory degree of discriminatory validity between constructs. According to the HTMT criteria, the value of the constructed joint relationship must be below 0.90. After identifying each item and the construct has passed the validity and reliability test, this study </w:t>
      </w:r>
      <w:r w:rsidR="006A132D">
        <w:rPr>
          <w:rFonts w:ascii="Times New Roman" w:hAnsi="Times New Roman" w:cs="Times New Roman"/>
          <w:noProof w:val="0"/>
          <w:color w:val="000000" w:themeColor="text1"/>
          <w:kern w:val="0"/>
          <w:sz w:val="24"/>
          <w:szCs w:val="24"/>
          <w14:ligatures w14:val="none"/>
        </w:rPr>
        <w:t>analyzed</w:t>
      </w:r>
      <w:r w:rsidRPr="0039167F">
        <w:rPr>
          <w:rFonts w:ascii="Times New Roman" w:hAnsi="Times New Roman" w:cs="Times New Roman"/>
          <w:noProof w:val="0"/>
          <w:color w:val="000000" w:themeColor="text1"/>
          <w:kern w:val="0"/>
          <w:sz w:val="24"/>
          <w:szCs w:val="24"/>
          <w14:ligatures w14:val="none"/>
        </w:rPr>
        <w:t xml:space="preserve"> the route coefficient with 5000 subsamples as proposed by Hair et al</w:t>
      </w:r>
      <w:r w:rsidR="006A132D">
        <w:rPr>
          <w:rFonts w:ascii="Times New Roman" w:hAnsi="Times New Roman" w:cs="Times New Roman"/>
          <w:noProof w:val="0"/>
          <w:color w:val="000000" w:themeColor="text1"/>
          <w:kern w:val="0"/>
          <w:sz w:val="24"/>
          <w:szCs w:val="24"/>
          <w14:ligatures w14:val="none"/>
        </w:rPr>
        <w:t>.</w:t>
      </w:r>
      <w:r w:rsidRPr="0039167F">
        <w:rPr>
          <w:rFonts w:ascii="Times New Roman" w:hAnsi="Times New Roman" w:cs="Times New Roman"/>
          <w:noProof w:val="0"/>
          <w:color w:val="000000" w:themeColor="text1"/>
          <w:kern w:val="0"/>
          <w:sz w:val="24"/>
          <w:szCs w:val="24"/>
          <w14:ligatures w14:val="none"/>
        </w:rPr>
        <w:t>, (2019), as shown in Table 3.2:</w:t>
      </w:r>
    </w:p>
    <w:p w14:paraId="7AD194E5" w14:textId="77777777" w:rsidR="00BA191E" w:rsidRPr="0039167F" w:rsidRDefault="00BA191E" w:rsidP="005240D5">
      <w:pPr>
        <w:spacing w:line="360" w:lineRule="auto"/>
        <w:ind w:left="1276"/>
        <w:contextualSpacing/>
        <w:jc w:val="both"/>
        <w:rPr>
          <w:rFonts w:ascii="Times New Roman" w:hAnsi="Times New Roman" w:cs="Times New Roman"/>
          <w:noProof w:val="0"/>
          <w:color w:val="000000" w:themeColor="text1"/>
          <w:kern w:val="0"/>
          <w:sz w:val="24"/>
          <w:szCs w:val="24"/>
          <w14:ligatures w14:val="none"/>
        </w:rPr>
      </w:pPr>
    </w:p>
    <w:p w14:paraId="73FFB541" w14:textId="0196228D" w:rsidR="0003624F" w:rsidRPr="003C251E" w:rsidRDefault="00021E1C" w:rsidP="005240D5">
      <w:pPr>
        <w:spacing w:line="360" w:lineRule="auto"/>
        <w:ind w:left="1276"/>
        <w:contextualSpacing/>
        <w:jc w:val="both"/>
        <w:rPr>
          <w:rFonts w:ascii="Times New Roman" w:hAnsi="Times New Roman" w:cs="Times New Roman"/>
          <w:noProof w:val="0"/>
          <w:color w:val="000000" w:themeColor="text1"/>
          <w:kern w:val="0"/>
          <w:sz w:val="18"/>
          <w:szCs w:val="18"/>
          <w14:ligatures w14:val="none"/>
        </w:rPr>
      </w:pPr>
      <w:r w:rsidRPr="003C251E">
        <w:rPr>
          <w:rFonts w:ascii="Times New Roman" w:hAnsi="Times New Roman" w:cs="Times New Roman"/>
          <w:noProof w:val="0"/>
          <w:color w:val="000000" w:themeColor="text1"/>
          <w:kern w:val="0"/>
          <w:sz w:val="18"/>
          <w:szCs w:val="18"/>
          <w14:ligatures w14:val="none"/>
        </w:rPr>
        <w:t>Table 3.2: Structuring Model Assessment</w:t>
      </w:r>
    </w:p>
    <w:tbl>
      <w:tblPr>
        <w:tblStyle w:val="PlainTable23"/>
        <w:tblW w:w="0" w:type="auto"/>
        <w:jc w:val="center"/>
        <w:tblLook w:val="04A0" w:firstRow="1" w:lastRow="0" w:firstColumn="1" w:lastColumn="0" w:noHBand="0" w:noVBand="1"/>
      </w:tblPr>
      <w:tblGrid>
        <w:gridCol w:w="2127"/>
        <w:gridCol w:w="1180"/>
        <w:gridCol w:w="1512"/>
        <w:gridCol w:w="1293"/>
        <w:gridCol w:w="910"/>
      </w:tblGrid>
      <w:tr w:rsidR="0003624F" w:rsidRPr="003C251E" w14:paraId="6A6D7BDA" w14:textId="77777777" w:rsidTr="00F87C0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3D96E68" w14:textId="77777777" w:rsidR="0003624F" w:rsidRPr="003C251E" w:rsidRDefault="0003624F"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w:t>
            </w:r>
          </w:p>
        </w:tc>
        <w:tc>
          <w:tcPr>
            <w:tcW w:w="1180" w:type="dxa"/>
            <w:noWrap/>
            <w:hideMark/>
          </w:tcPr>
          <w:p w14:paraId="376D65EC" w14:textId="77777777" w:rsidR="0003624F" w:rsidRPr="003C251E" w:rsidRDefault="0003624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xml:space="preserve">Sample Mean </w:t>
            </w:r>
          </w:p>
        </w:tc>
        <w:tc>
          <w:tcPr>
            <w:tcW w:w="1512" w:type="dxa"/>
            <w:noWrap/>
            <w:hideMark/>
          </w:tcPr>
          <w:p w14:paraId="7AEBD5EA" w14:textId="77777777" w:rsidR="0003624F" w:rsidRPr="003C251E" w:rsidRDefault="0003624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xml:space="preserve">Standard Deviation </w:t>
            </w:r>
          </w:p>
        </w:tc>
        <w:tc>
          <w:tcPr>
            <w:tcW w:w="1293" w:type="dxa"/>
            <w:noWrap/>
            <w:hideMark/>
          </w:tcPr>
          <w:p w14:paraId="447A6147" w14:textId="77777777" w:rsidR="0003624F" w:rsidRPr="003C251E" w:rsidRDefault="0003624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 xml:space="preserve">T Statistics </w:t>
            </w:r>
          </w:p>
        </w:tc>
        <w:tc>
          <w:tcPr>
            <w:tcW w:w="910" w:type="dxa"/>
            <w:noWrap/>
            <w:hideMark/>
          </w:tcPr>
          <w:p w14:paraId="25F2B098" w14:textId="77777777" w:rsidR="0003624F" w:rsidRPr="003C251E" w:rsidRDefault="0003624F" w:rsidP="005240D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P Values</w:t>
            </w:r>
          </w:p>
        </w:tc>
      </w:tr>
      <w:tr w:rsidR="0003624F" w:rsidRPr="003C251E" w14:paraId="573CF6FF" w14:textId="77777777" w:rsidTr="00F87C0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53542B9" w14:textId="1D9946CF" w:rsidR="0003624F"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CUA</w:t>
            </w:r>
            <w:r w:rsidR="00F87C0B" w:rsidRPr="003C251E">
              <w:rPr>
                <w:rFonts w:ascii="Times New Roman" w:hAnsi="Times New Roman" w:cs="Times New Roman"/>
                <w:noProof w:val="0"/>
                <w:color w:val="000000" w:themeColor="text1"/>
                <w:sz w:val="18"/>
                <w:szCs w:val="18"/>
              </w:rPr>
              <w:t xml:space="preserve"> -&gt; </w:t>
            </w:r>
            <w:r w:rsidRPr="003C251E">
              <w:rPr>
                <w:rFonts w:ascii="Times New Roman" w:hAnsi="Times New Roman" w:cs="Times New Roman"/>
                <w:noProof w:val="0"/>
                <w:color w:val="000000" w:themeColor="text1"/>
                <w:sz w:val="18"/>
                <w:szCs w:val="18"/>
              </w:rPr>
              <w:t>DCPW</w:t>
            </w:r>
          </w:p>
        </w:tc>
        <w:tc>
          <w:tcPr>
            <w:tcW w:w="1180" w:type="dxa"/>
            <w:noWrap/>
            <w:hideMark/>
          </w:tcPr>
          <w:p w14:paraId="674D7597" w14:textId="77777777" w:rsidR="0003624F" w:rsidRPr="003C251E"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0.193</w:t>
            </w:r>
          </w:p>
        </w:tc>
        <w:tc>
          <w:tcPr>
            <w:tcW w:w="1512" w:type="dxa"/>
            <w:noWrap/>
            <w:hideMark/>
          </w:tcPr>
          <w:p w14:paraId="21A51F83" w14:textId="77777777" w:rsidR="0003624F" w:rsidRPr="003C251E"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0.056</w:t>
            </w:r>
          </w:p>
        </w:tc>
        <w:tc>
          <w:tcPr>
            <w:tcW w:w="1293" w:type="dxa"/>
            <w:noWrap/>
            <w:hideMark/>
          </w:tcPr>
          <w:p w14:paraId="56B6AF84" w14:textId="77777777" w:rsidR="0003624F" w:rsidRPr="003C251E"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18"/>
                <w:szCs w:val="18"/>
              </w:rPr>
            </w:pPr>
            <w:r w:rsidRPr="003C251E">
              <w:rPr>
                <w:rFonts w:ascii="Times New Roman" w:hAnsi="Times New Roman" w:cs="Times New Roman"/>
                <w:b/>
                <w:bCs/>
                <w:noProof w:val="0"/>
                <w:color w:val="000000" w:themeColor="text1"/>
                <w:sz w:val="18"/>
                <w:szCs w:val="18"/>
              </w:rPr>
              <w:t>3.512</w:t>
            </w:r>
          </w:p>
        </w:tc>
        <w:tc>
          <w:tcPr>
            <w:tcW w:w="910" w:type="dxa"/>
            <w:noWrap/>
            <w:hideMark/>
          </w:tcPr>
          <w:p w14:paraId="39784D5F" w14:textId="77777777" w:rsidR="0003624F" w:rsidRPr="003C251E"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18"/>
                <w:szCs w:val="18"/>
              </w:rPr>
            </w:pPr>
            <w:r w:rsidRPr="003C251E">
              <w:rPr>
                <w:rFonts w:ascii="Times New Roman" w:hAnsi="Times New Roman" w:cs="Times New Roman"/>
                <w:b/>
                <w:bCs/>
                <w:noProof w:val="0"/>
                <w:color w:val="000000" w:themeColor="text1"/>
                <w:sz w:val="18"/>
                <w:szCs w:val="18"/>
              </w:rPr>
              <w:t>0.000*</w:t>
            </w:r>
          </w:p>
        </w:tc>
      </w:tr>
      <w:tr w:rsidR="0003624F" w:rsidRPr="003C251E" w14:paraId="3DB27594" w14:textId="77777777" w:rsidTr="00F87C0B">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14:paraId="58DC8B66" w14:textId="19CB7096" w:rsidR="0003624F"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SEL</w:t>
            </w:r>
            <w:r w:rsidR="00626346" w:rsidRPr="003C251E">
              <w:rPr>
                <w:rFonts w:ascii="Times New Roman" w:hAnsi="Times New Roman" w:cs="Times New Roman"/>
                <w:noProof w:val="0"/>
                <w:color w:val="000000" w:themeColor="text1"/>
                <w:sz w:val="18"/>
                <w:szCs w:val="18"/>
              </w:rPr>
              <w:t xml:space="preserve"> -&gt; </w:t>
            </w:r>
            <w:r w:rsidRPr="003C251E">
              <w:rPr>
                <w:rFonts w:ascii="Times New Roman" w:hAnsi="Times New Roman" w:cs="Times New Roman"/>
                <w:noProof w:val="0"/>
                <w:color w:val="000000" w:themeColor="text1"/>
                <w:sz w:val="18"/>
                <w:szCs w:val="18"/>
              </w:rPr>
              <w:t>DCPW</w:t>
            </w:r>
          </w:p>
        </w:tc>
        <w:tc>
          <w:tcPr>
            <w:tcW w:w="1180" w:type="dxa"/>
            <w:noWrap/>
            <w:hideMark/>
          </w:tcPr>
          <w:p w14:paraId="1FDC9E13" w14:textId="77777777" w:rsidR="0003624F" w:rsidRPr="003C251E" w:rsidRDefault="0003624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0.100</w:t>
            </w:r>
          </w:p>
        </w:tc>
        <w:tc>
          <w:tcPr>
            <w:tcW w:w="1512" w:type="dxa"/>
            <w:noWrap/>
            <w:hideMark/>
          </w:tcPr>
          <w:p w14:paraId="6DA90675" w14:textId="77777777" w:rsidR="0003624F" w:rsidRPr="003C251E" w:rsidRDefault="0003624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0.076</w:t>
            </w:r>
          </w:p>
        </w:tc>
        <w:tc>
          <w:tcPr>
            <w:tcW w:w="1293" w:type="dxa"/>
            <w:noWrap/>
            <w:hideMark/>
          </w:tcPr>
          <w:p w14:paraId="0869A241" w14:textId="77777777" w:rsidR="0003624F" w:rsidRPr="003C251E" w:rsidRDefault="0003624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1.384</w:t>
            </w:r>
          </w:p>
        </w:tc>
        <w:tc>
          <w:tcPr>
            <w:tcW w:w="910" w:type="dxa"/>
            <w:noWrap/>
            <w:hideMark/>
          </w:tcPr>
          <w:p w14:paraId="578252E1" w14:textId="44E90BC1" w:rsidR="0003624F" w:rsidRPr="003C251E" w:rsidRDefault="0003624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0.168</w:t>
            </w:r>
          </w:p>
        </w:tc>
      </w:tr>
      <w:tr w:rsidR="0003624F" w:rsidRPr="003C251E" w14:paraId="341BABBB" w14:textId="77777777" w:rsidTr="00F87C0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2558191" w14:textId="3695D0C7" w:rsidR="0003624F"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TMAT</w:t>
            </w:r>
            <w:r w:rsidR="00626346" w:rsidRPr="003C251E">
              <w:rPr>
                <w:rFonts w:ascii="Times New Roman" w:hAnsi="Times New Roman" w:cs="Times New Roman"/>
                <w:noProof w:val="0"/>
                <w:color w:val="000000" w:themeColor="text1"/>
                <w:sz w:val="18"/>
                <w:szCs w:val="18"/>
              </w:rPr>
              <w:t xml:space="preserve"> -&gt; </w:t>
            </w:r>
            <w:r w:rsidRPr="003C251E">
              <w:rPr>
                <w:rFonts w:ascii="Times New Roman" w:hAnsi="Times New Roman" w:cs="Times New Roman"/>
                <w:noProof w:val="0"/>
                <w:color w:val="000000" w:themeColor="text1"/>
                <w:sz w:val="18"/>
                <w:szCs w:val="18"/>
              </w:rPr>
              <w:t>DCPW</w:t>
            </w:r>
          </w:p>
        </w:tc>
        <w:tc>
          <w:tcPr>
            <w:tcW w:w="1180" w:type="dxa"/>
            <w:noWrap/>
            <w:hideMark/>
          </w:tcPr>
          <w:p w14:paraId="25584024" w14:textId="77777777" w:rsidR="0003624F" w:rsidRPr="003C251E"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0.225</w:t>
            </w:r>
          </w:p>
        </w:tc>
        <w:tc>
          <w:tcPr>
            <w:tcW w:w="1512" w:type="dxa"/>
            <w:noWrap/>
            <w:hideMark/>
          </w:tcPr>
          <w:p w14:paraId="45A15BDA" w14:textId="77777777" w:rsidR="0003624F" w:rsidRPr="003C251E"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0.072</w:t>
            </w:r>
          </w:p>
        </w:tc>
        <w:tc>
          <w:tcPr>
            <w:tcW w:w="1293" w:type="dxa"/>
            <w:noWrap/>
            <w:hideMark/>
          </w:tcPr>
          <w:p w14:paraId="5A4DA292" w14:textId="77777777" w:rsidR="0003624F" w:rsidRPr="003C251E"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18"/>
                <w:szCs w:val="18"/>
              </w:rPr>
            </w:pPr>
            <w:r w:rsidRPr="003C251E">
              <w:rPr>
                <w:rFonts w:ascii="Times New Roman" w:hAnsi="Times New Roman" w:cs="Times New Roman"/>
                <w:b/>
                <w:bCs/>
                <w:noProof w:val="0"/>
                <w:color w:val="000000" w:themeColor="text1"/>
                <w:sz w:val="18"/>
                <w:szCs w:val="18"/>
              </w:rPr>
              <w:t>3.019</w:t>
            </w:r>
          </w:p>
        </w:tc>
        <w:tc>
          <w:tcPr>
            <w:tcW w:w="910" w:type="dxa"/>
            <w:noWrap/>
            <w:hideMark/>
          </w:tcPr>
          <w:p w14:paraId="6F6295D9" w14:textId="77777777" w:rsidR="0003624F" w:rsidRPr="003C251E" w:rsidRDefault="0003624F" w:rsidP="005240D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18"/>
                <w:szCs w:val="18"/>
              </w:rPr>
            </w:pPr>
            <w:r w:rsidRPr="003C251E">
              <w:rPr>
                <w:rFonts w:ascii="Times New Roman" w:hAnsi="Times New Roman" w:cs="Times New Roman"/>
                <w:b/>
                <w:bCs/>
                <w:noProof w:val="0"/>
                <w:color w:val="000000" w:themeColor="text1"/>
                <w:sz w:val="18"/>
                <w:szCs w:val="18"/>
              </w:rPr>
              <w:t>0.003*</w:t>
            </w:r>
          </w:p>
        </w:tc>
      </w:tr>
      <w:tr w:rsidR="0003624F" w:rsidRPr="003C251E" w14:paraId="68F047A8" w14:textId="77777777" w:rsidTr="00F87C0B">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14:paraId="2497EF31" w14:textId="742B42F4" w:rsidR="0003624F" w:rsidRPr="003C251E" w:rsidRDefault="007C4A83" w:rsidP="005240D5">
            <w:pPr>
              <w:spacing w:line="360" w:lineRule="auto"/>
              <w:contextualSpacing/>
              <w:jc w:val="both"/>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RCN</w:t>
            </w:r>
            <w:r w:rsidR="00626346" w:rsidRPr="003C251E">
              <w:rPr>
                <w:rFonts w:ascii="Times New Roman" w:hAnsi="Times New Roman" w:cs="Times New Roman"/>
                <w:noProof w:val="0"/>
                <w:color w:val="000000" w:themeColor="text1"/>
                <w:sz w:val="18"/>
                <w:szCs w:val="18"/>
              </w:rPr>
              <w:t xml:space="preserve"> -&gt; </w:t>
            </w:r>
            <w:r w:rsidRPr="003C251E">
              <w:rPr>
                <w:rFonts w:ascii="Times New Roman" w:hAnsi="Times New Roman" w:cs="Times New Roman"/>
                <w:noProof w:val="0"/>
                <w:color w:val="000000" w:themeColor="text1"/>
                <w:sz w:val="18"/>
                <w:szCs w:val="18"/>
              </w:rPr>
              <w:t>DCPW</w:t>
            </w:r>
          </w:p>
        </w:tc>
        <w:tc>
          <w:tcPr>
            <w:tcW w:w="1180" w:type="dxa"/>
            <w:noWrap/>
            <w:hideMark/>
          </w:tcPr>
          <w:p w14:paraId="73BFDE80" w14:textId="77777777" w:rsidR="0003624F" w:rsidRPr="003C251E" w:rsidRDefault="0003624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0.222</w:t>
            </w:r>
          </w:p>
        </w:tc>
        <w:tc>
          <w:tcPr>
            <w:tcW w:w="1512" w:type="dxa"/>
            <w:noWrap/>
            <w:hideMark/>
          </w:tcPr>
          <w:p w14:paraId="22C7BB14" w14:textId="77777777" w:rsidR="0003624F" w:rsidRPr="003C251E" w:rsidRDefault="0003624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18"/>
                <w:szCs w:val="18"/>
              </w:rPr>
            </w:pPr>
            <w:r w:rsidRPr="003C251E">
              <w:rPr>
                <w:rFonts w:ascii="Times New Roman" w:hAnsi="Times New Roman" w:cs="Times New Roman"/>
                <w:noProof w:val="0"/>
                <w:color w:val="000000" w:themeColor="text1"/>
                <w:sz w:val="18"/>
                <w:szCs w:val="18"/>
              </w:rPr>
              <w:t>0.076</w:t>
            </w:r>
          </w:p>
        </w:tc>
        <w:tc>
          <w:tcPr>
            <w:tcW w:w="1293" w:type="dxa"/>
            <w:noWrap/>
            <w:hideMark/>
          </w:tcPr>
          <w:p w14:paraId="6360BB5D" w14:textId="77777777" w:rsidR="0003624F" w:rsidRPr="003C251E" w:rsidRDefault="0003624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val="0"/>
                <w:color w:val="000000" w:themeColor="text1"/>
                <w:sz w:val="18"/>
                <w:szCs w:val="18"/>
              </w:rPr>
            </w:pPr>
            <w:r w:rsidRPr="003C251E">
              <w:rPr>
                <w:rFonts w:ascii="Times New Roman" w:hAnsi="Times New Roman" w:cs="Times New Roman"/>
                <w:b/>
                <w:bCs/>
                <w:noProof w:val="0"/>
                <w:color w:val="000000" w:themeColor="text1"/>
                <w:sz w:val="18"/>
                <w:szCs w:val="18"/>
              </w:rPr>
              <w:t>2.919</w:t>
            </w:r>
          </w:p>
        </w:tc>
        <w:tc>
          <w:tcPr>
            <w:tcW w:w="910" w:type="dxa"/>
            <w:noWrap/>
            <w:hideMark/>
          </w:tcPr>
          <w:p w14:paraId="1100DB78" w14:textId="77777777" w:rsidR="0003624F" w:rsidRPr="003C251E" w:rsidRDefault="0003624F" w:rsidP="005240D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val="0"/>
                <w:color w:val="000000" w:themeColor="text1"/>
                <w:sz w:val="18"/>
                <w:szCs w:val="18"/>
              </w:rPr>
            </w:pPr>
            <w:r w:rsidRPr="003C251E">
              <w:rPr>
                <w:rFonts w:ascii="Times New Roman" w:hAnsi="Times New Roman" w:cs="Times New Roman"/>
                <w:b/>
                <w:bCs/>
                <w:noProof w:val="0"/>
                <w:color w:val="000000" w:themeColor="text1"/>
                <w:sz w:val="18"/>
                <w:szCs w:val="18"/>
              </w:rPr>
              <w:t>0.004*</w:t>
            </w:r>
          </w:p>
        </w:tc>
      </w:tr>
    </w:tbl>
    <w:p w14:paraId="38739051" w14:textId="39B2A410" w:rsidR="0003624F" w:rsidRPr="003C251E" w:rsidRDefault="00622240" w:rsidP="005240D5">
      <w:pPr>
        <w:spacing w:line="360" w:lineRule="auto"/>
        <w:ind w:left="993" w:right="804"/>
        <w:contextualSpacing/>
        <w:rPr>
          <w:rFonts w:ascii="Times New Roman" w:hAnsi="Times New Roman" w:cs="Times New Roman"/>
          <w:noProof w:val="0"/>
          <w:color w:val="000000" w:themeColor="text1"/>
          <w:kern w:val="0"/>
          <w:sz w:val="18"/>
          <w:szCs w:val="18"/>
          <w14:ligatures w14:val="none"/>
        </w:rPr>
      </w:pPr>
      <w:r w:rsidRPr="003C251E">
        <w:rPr>
          <w:rFonts w:ascii="Times New Roman" w:hAnsi="Times New Roman" w:cs="Times New Roman"/>
          <w:b/>
          <w:bCs/>
          <w:noProof w:val="0"/>
          <w:color w:val="000000" w:themeColor="text1"/>
          <w:kern w:val="0"/>
          <w:sz w:val="18"/>
          <w:szCs w:val="18"/>
          <w14:ligatures w14:val="none"/>
        </w:rPr>
        <w:t>Note:</w:t>
      </w:r>
      <w:r w:rsidRPr="003C251E">
        <w:rPr>
          <w:rFonts w:ascii="Times New Roman" w:hAnsi="Times New Roman" w:cs="Times New Roman"/>
          <w:noProof w:val="0"/>
          <w:color w:val="000000" w:themeColor="text1"/>
          <w:kern w:val="0"/>
          <w:sz w:val="18"/>
          <w:szCs w:val="18"/>
          <w14:ligatures w14:val="none"/>
        </w:rPr>
        <w:t xml:space="preserve"> </w:t>
      </w:r>
      <w:r w:rsidR="007C4A83" w:rsidRPr="003C251E">
        <w:rPr>
          <w:rFonts w:ascii="Times New Roman" w:hAnsi="Times New Roman" w:cs="Times New Roman"/>
          <w:noProof w:val="0"/>
          <w:color w:val="000000" w:themeColor="text1"/>
          <w:kern w:val="0"/>
          <w:sz w:val="18"/>
          <w:szCs w:val="18"/>
          <w14:ligatures w14:val="none"/>
        </w:rPr>
        <w:t>DCPW</w:t>
      </w:r>
      <w:r w:rsidRPr="003C251E">
        <w:rPr>
          <w:rFonts w:ascii="Times New Roman" w:hAnsi="Times New Roman" w:cs="Times New Roman"/>
          <w:noProof w:val="0"/>
          <w:color w:val="000000" w:themeColor="text1"/>
          <w:kern w:val="0"/>
          <w:sz w:val="18"/>
          <w:szCs w:val="18"/>
          <w14:ligatures w14:val="none"/>
        </w:rPr>
        <w:t xml:space="preserve">= Desire for commercial property waqf, </w:t>
      </w:r>
      <w:r w:rsidR="007C4A83" w:rsidRPr="003C251E">
        <w:rPr>
          <w:rFonts w:ascii="Times New Roman" w:hAnsi="Times New Roman" w:cs="Times New Roman"/>
          <w:noProof w:val="0"/>
          <w:color w:val="000000" w:themeColor="text1"/>
          <w:kern w:val="0"/>
          <w:sz w:val="18"/>
          <w:szCs w:val="18"/>
          <w14:ligatures w14:val="none"/>
        </w:rPr>
        <w:t>CUA</w:t>
      </w:r>
      <w:r w:rsidRPr="003C251E">
        <w:rPr>
          <w:rFonts w:ascii="Times New Roman" w:hAnsi="Times New Roman" w:cs="Times New Roman"/>
          <w:noProof w:val="0"/>
          <w:color w:val="000000" w:themeColor="text1"/>
          <w:kern w:val="0"/>
          <w:sz w:val="18"/>
          <w:szCs w:val="18"/>
          <w14:ligatures w14:val="none"/>
        </w:rPr>
        <w:t xml:space="preserve">= Community Understanding and Acceptance, </w:t>
      </w:r>
      <w:r w:rsidR="007C4A83" w:rsidRPr="003C251E">
        <w:rPr>
          <w:rFonts w:ascii="Times New Roman" w:hAnsi="Times New Roman" w:cs="Times New Roman"/>
          <w:noProof w:val="0"/>
          <w:color w:val="000000" w:themeColor="text1"/>
          <w:kern w:val="0"/>
          <w:sz w:val="18"/>
          <w:szCs w:val="18"/>
          <w14:ligatures w14:val="none"/>
        </w:rPr>
        <w:t>RCN</w:t>
      </w:r>
      <w:r w:rsidRPr="003C251E">
        <w:rPr>
          <w:rFonts w:ascii="Times New Roman" w:hAnsi="Times New Roman" w:cs="Times New Roman"/>
          <w:noProof w:val="0"/>
          <w:color w:val="000000" w:themeColor="text1"/>
          <w:kern w:val="0"/>
          <w:sz w:val="18"/>
          <w:szCs w:val="18"/>
          <w14:ligatures w14:val="none"/>
        </w:rPr>
        <w:t>= Religious holdings and cultural norms,</w:t>
      </w:r>
      <w:r w:rsidR="007C4A83" w:rsidRPr="003C251E">
        <w:rPr>
          <w:rFonts w:ascii="Times New Roman" w:hAnsi="Times New Roman" w:cs="Times New Roman"/>
          <w:noProof w:val="0"/>
          <w:color w:val="000000" w:themeColor="text1"/>
          <w:kern w:val="0"/>
          <w:sz w:val="18"/>
          <w:szCs w:val="18"/>
          <w14:ligatures w14:val="none"/>
        </w:rPr>
        <w:t>TMAT</w:t>
      </w:r>
      <w:r w:rsidRPr="003C251E">
        <w:rPr>
          <w:rFonts w:ascii="Times New Roman" w:hAnsi="Times New Roman" w:cs="Times New Roman"/>
          <w:noProof w:val="0"/>
          <w:color w:val="000000" w:themeColor="text1"/>
          <w:kern w:val="0"/>
          <w:sz w:val="18"/>
          <w:szCs w:val="18"/>
          <w14:ligatures w14:val="none"/>
        </w:rPr>
        <w:t xml:space="preserve">=Trust in administrative management and transparency, </w:t>
      </w:r>
      <w:r w:rsidR="007C4A83" w:rsidRPr="003C251E">
        <w:rPr>
          <w:rFonts w:ascii="Times New Roman" w:hAnsi="Times New Roman" w:cs="Times New Roman"/>
          <w:noProof w:val="0"/>
          <w:color w:val="000000" w:themeColor="text1"/>
          <w:kern w:val="0"/>
          <w:sz w:val="18"/>
          <w:szCs w:val="18"/>
          <w14:ligatures w14:val="none"/>
        </w:rPr>
        <w:t>SEL</w:t>
      </w:r>
      <w:r w:rsidRPr="003C251E">
        <w:rPr>
          <w:rFonts w:ascii="Times New Roman" w:hAnsi="Times New Roman" w:cs="Times New Roman"/>
          <w:noProof w:val="0"/>
          <w:color w:val="000000" w:themeColor="text1"/>
          <w:kern w:val="0"/>
          <w:sz w:val="18"/>
          <w:szCs w:val="18"/>
          <w14:ligatures w14:val="none"/>
        </w:rPr>
        <w:t>=Socio-economic level of society</w:t>
      </w:r>
    </w:p>
    <w:p w14:paraId="4FE26FF4" w14:textId="77777777" w:rsidR="007D0EF9" w:rsidRDefault="007D0EF9" w:rsidP="005240D5">
      <w:pPr>
        <w:spacing w:line="360" w:lineRule="auto"/>
        <w:contextualSpacing/>
        <w:jc w:val="both"/>
        <w:rPr>
          <w:rFonts w:ascii="Times New Roman" w:hAnsi="Times New Roman" w:cs="Times New Roman"/>
          <w:b/>
          <w:bCs/>
          <w:noProof w:val="0"/>
          <w:color w:val="000000" w:themeColor="text1"/>
          <w:kern w:val="0"/>
          <w:sz w:val="24"/>
          <w:szCs w:val="24"/>
          <w14:ligatures w14:val="none"/>
        </w:rPr>
      </w:pPr>
    </w:p>
    <w:p w14:paraId="79D0ED6B" w14:textId="665A1D79" w:rsidR="00745D83" w:rsidRPr="003C251E" w:rsidRDefault="003C251E" w:rsidP="003C251E">
      <w:pPr>
        <w:spacing w:line="360" w:lineRule="auto"/>
        <w:contextualSpacing/>
        <w:jc w:val="center"/>
        <w:rPr>
          <w:rFonts w:ascii="Times New Roman" w:hAnsi="Times New Roman" w:cs="Times New Roman"/>
          <w:noProof w:val="0"/>
          <w:color w:val="000000" w:themeColor="text1"/>
          <w:kern w:val="0"/>
          <w:sz w:val="20"/>
          <w:szCs w:val="20"/>
          <w14:ligatures w14:val="none"/>
        </w:rPr>
      </w:pPr>
      <w:r w:rsidRPr="003C251E">
        <w:rPr>
          <w:rFonts w:ascii="Times New Roman" w:hAnsi="Times New Roman" w:cs="Times New Roman"/>
          <w:noProof w:val="0"/>
          <w:color w:val="000000" w:themeColor="text1"/>
          <w:kern w:val="0"/>
          <w:sz w:val="20"/>
          <w:szCs w:val="20"/>
          <w14:ligatures w14:val="none"/>
        </w:rPr>
        <w:t>HYPOTHESIS TEST AND DETERMINATION COEFFICIENT</w:t>
      </w:r>
    </w:p>
    <w:p w14:paraId="19DA899D" w14:textId="77777777" w:rsidR="003C251E" w:rsidRDefault="003C251E" w:rsidP="005240D5">
      <w:pPr>
        <w:spacing w:line="360" w:lineRule="auto"/>
        <w:contextualSpacing/>
        <w:jc w:val="both"/>
        <w:rPr>
          <w:rFonts w:ascii="Times New Roman" w:hAnsi="Times New Roman" w:cs="Times New Roman"/>
          <w:noProof w:val="0"/>
          <w:color w:val="000000" w:themeColor="text1"/>
          <w:kern w:val="0"/>
          <w:sz w:val="24"/>
          <w:szCs w:val="24"/>
          <w14:ligatures w14:val="none"/>
        </w:rPr>
      </w:pPr>
    </w:p>
    <w:p w14:paraId="6BAE310C" w14:textId="2A299F8C" w:rsidR="0003624F" w:rsidRPr="00745D83" w:rsidRDefault="00BA191E" w:rsidP="005240D5">
      <w:pPr>
        <w:spacing w:line="360" w:lineRule="auto"/>
        <w:contextualSpacing/>
        <w:jc w:val="both"/>
        <w:rPr>
          <w:rFonts w:ascii="Times New Roman" w:hAnsi="Times New Roman" w:cs="Times New Roman"/>
          <w:b/>
          <w:bCs/>
          <w:noProof w:val="0"/>
          <w:color w:val="000000" w:themeColor="text1"/>
          <w:kern w:val="0"/>
          <w:sz w:val="24"/>
          <w:szCs w:val="24"/>
          <w14:ligatures w14:val="none"/>
        </w:rPr>
      </w:pPr>
      <w:proofErr w:type="spellStart"/>
      <w:r w:rsidRPr="0039167F">
        <w:rPr>
          <w:rFonts w:ascii="Times New Roman" w:hAnsi="Times New Roman" w:cs="Times New Roman"/>
          <w:noProof w:val="0"/>
          <w:color w:val="000000" w:themeColor="text1"/>
          <w:kern w:val="0"/>
          <w:sz w:val="24"/>
          <w:szCs w:val="24"/>
          <w14:ligatures w14:val="none"/>
        </w:rPr>
        <w:t>Together</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with</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the</w:t>
      </w:r>
      <w:proofErr w:type="spellEnd"/>
      <w:r w:rsidRPr="0039167F">
        <w:rPr>
          <w:rFonts w:ascii="Times New Roman" w:hAnsi="Times New Roman" w:cs="Times New Roman"/>
          <w:noProof w:val="0"/>
          <w:color w:val="000000" w:themeColor="text1"/>
          <w:kern w:val="0"/>
          <w:sz w:val="24"/>
          <w:szCs w:val="24"/>
          <w14:ligatures w14:val="none"/>
        </w:rPr>
        <w:t xml:space="preserve"> </w:t>
      </w:r>
      <w:r w:rsidR="007C4A83">
        <w:rPr>
          <w:rFonts w:ascii="Times New Roman" w:hAnsi="Times New Roman" w:cs="Times New Roman"/>
          <w:noProof w:val="0"/>
          <w:color w:val="000000" w:themeColor="text1"/>
          <w:kern w:val="0"/>
          <w:sz w:val="24"/>
          <w:szCs w:val="24"/>
          <w14:ligatures w14:val="none"/>
        </w:rPr>
        <w:t>PLS-SEM</w:t>
      </w:r>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approach</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with</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the</w:t>
      </w:r>
      <w:proofErr w:type="spellEnd"/>
      <w:r w:rsidRPr="0039167F">
        <w:rPr>
          <w:rFonts w:ascii="Times New Roman" w:hAnsi="Times New Roman" w:cs="Times New Roman"/>
          <w:noProof w:val="0"/>
          <w:color w:val="000000" w:themeColor="text1"/>
          <w:kern w:val="0"/>
          <w:sz w:val="24"/>
          <w:szCs w:val="24"/>
          <w14:ligatures w14:val="none"/>
        </w:rPr>
        <w:t xml:space="preserve"> </w:t>
      </w:r>
      <w:proofErr w:type="spellStart"/>
      <w:r w:rsidRPr="0039167F">
        <w:rPr>
          <w:rFonts w:ascii="Times New Roman" w:hAnsi="Times New Roman" w:cs="Times New Roman"/>
          <w:noProof w:val="0"/>
          <w:color w:val="000000" w:themeColor="text1"/>
          <w:kern w:val="0"/>
          <w:sz w:val="24"/>
          <w:szCs w:val="24"/>
          <w14:ligatures w14:val="none"/>
        </w:rPr>
        <w:t>maximum</w:t>
      </w:r>
      <w:proofErr w:type="spellEnd"/>
      <w:r w:rsidRPr="0039167F">
        <w:rPr>
          <w:rFonts w:ascii="Times New Roman" w:hAnsi="Times New Roman" w:cs="Times New Roman"/>
          <w:noProof w:val="0"/>
          <w:color w:val="000000" w:themeColor="text1"/>
          <w:kern w:val="0"/>
          <w:sz w:val="24"/>
          <w:szCs w:val="24"/>
          <w14:ligatures w14:val="none"/>
        </w:rPr>
        <w:t xml:space="preserve"> possible estimate, the structural equation model is used to measure interdependence on various theoretical constructions of structural models. So, the proposed hypothesis was evaluated:</w:t>
      </w:r>
    </w:p>
    <w:p w14:paraId="79B919E6" w14:textId="77777777" w:rsidR="00BA191E" w:rsidRPr="0039167F" w:rsidRDefault="00BA191E" w:rsidP="005240D5">
      <w:pPr>
        <w:spacing w:line="360" w:lineRule="auto"/>
        <w:contextualSpacing/>
        <w:jc w:val="both"/>
        <w:rPr>
          <w:rFonts w:ascii="Times New Roman" w:hAnsi="Times New Roman" w:cs="Times New Roman"/>
          <w:noProof w:val="0"/>
          <w:color w:val="000000" w:themeColor="text1"/>
          <w:kern w:val="0"/>
          <w:sz w:val="24"/>
          <w:szCs w:val="24"/>
          <w14:ligatures w14:val="none"/>
        </w:rPr>
      </w:pPr>
    </w:p>
    <w:p w14:paraId="568B1D55" w14:textId="1E95C66A" w:rsidR="0003624F" w:rsidRDefault="0003624F" w:rsidP="005240D5">
      <w:pPr>
        <w:spacing w:before="100" w:beforeAutospacing="1" w:after="100" w:afterAutospacing="1" w:line="360" w:lineRule="auto"/>
        <w:contextualSpacing/>
        <w:jc w:val="both"/>
        <w:rPr>
          <w:rFonts w:ascii="Times New Roman" w:hAnsi="Times New Roman" w:cs="Times New Roman"/>
          <w:i/>
          <w:iCs/>
          <w:noProof w:val="0"/>
          <w:kern w:val="0"/>
          <w:sz w:val="24"/>
          <w:szCs w:val="24"/>
          <w14:ligatures w14:val="none"/>
        </w:rPr>
      </w:pPr>
      <w:r w:rsidRPr="0039167F">
        <w:rPr>
          <w:rFonts w:ascii="Times New Roman" w:eastAsia="Times New Roman" w:hAnsi="Times New Roman" w:cs="Times New Roman"/>
          <w:i/>
          <w:iCs/>
          <w:noProof w:val="0"/>
          <w:kern w:val="0"/>
          <w:sz w:val="24"/>
          <w:szCs w:val="24"/>
          <w:lang w:eastAsia="en-MY"/>
          <w14:ligatures w14:val="none"/>
        </w:rPr>
        <w:t xml:space="preserve">H1: </w:t>
      </w:r>
      <w:bookmarkStart w:id="3" w:name="_Hlk137417028"/>
      <w:r w:rsidR="00626346" w:rsidRPr="0039167F">
        <w:rPr>
          <w:rFonts w:ascii="Times New Roman" w:hAnsi="Times New Roman" w:cs="Times New Roman"/>
          <w:i/>
          <w:iCs/>
          <w:noProof w:val="0"/>
          <w:kern w:val="0"/>
          <w:sz w:val="24"/>
          <w:szCs w:val="24"/>
          <w14:ligatures w14:val="none"/>
        </w:rPr>
        <w:t>Community Understanding and Acceptance ha</w:t>
      </w:r>
      <w:r w:rsidR="006A132D">
        <w:rPr>
          <w:rFonts w:ascii="Times New Roman" w:hAnsi="Times New Roman" w:cs="Times New Roman"/>
          <w:i/>
          <w:iCs/>
          <w:noProof w:val="0"/>
          <w:kern w:val="0"/>
          <w:sz w:val="24"/>
          <w:szCs w:val="24"/>
          <w14:ligatures w14:val="none"/>
        </w:rPr>
        <w:t>ve</w:t>
      </w:r>
      <w:r w:rsidR="00626346" w:rsidRPr="0039167F">
        <w:rPr>
          <w:rFonts w:ascii="Times New Roman" w:hAnsi="Times New Roman" w:cs="Times New Roman"/>
          <w:i/>
          <w:iCs/>
          <w:noProof w:val="0"/>
          <w:kern w:val="0"/>
          <w:sz w:val="24"/>
          <w:szCs w:val="24"/>
          <w14:ligatures w14:val="none"/>
        </w:rPr>
        <w:t xml:space="preserve"> a significant positive impact </w:t>
      </w:r>
      <w:proofErr w:type="spellStart"/>
      <w:r w:rsidR="00626346" w:rsidRPr="0039167F">
        <w:rPr>
          <w:rFonts w:ascii="Times New Roman" w:hAnsi="Times New Roman" w:cs="Times New Roman"/>
          <w:i/>
          <w:iCs/>
          <w:noProof w:val="0"/>
          <w:kern w:val="0"/>
          <w:sz w:val="24"/>
          <w:szCs w:val="24"/>
          <w14:ligatures w14:val="none"/>
        </w:rPr>
        <w:t>on</w:t>
      </w:r>
      <w:proofErr w:type="spellEnd"/>
      <w:r w:rsidR="00626346" w:rsidRPr="0039167F">
        <w:rPr>
          <w:rFonts w:ascii="Times New Roman" w:hAnsi="Times New Roman" w:cs="Times New Roman"/>
          <w:i/>
          <w:iCs/>
          <w:noProof w:val="0"/>
          <w:kern w:val="0"/>
          <w:sz w:val="24"/>
          <w:szCs w:val="24"/>
          <w14:ligatures w14:val="none"/>
        </w:rPr>
        <w:t xml:space="preserve"> </w:t>
      </w:r>
      <w:proofErr w:type="spellStart"/>
      <w:r w:rsidR="00626346" w:rsidRPr="0039167F">
        <w:rPr>
          <w:rFonts w:ascii="Times New Roman" w:hAnsi="Times New Roman" w:cs="Times New Roman"/>
          <w:i/>
          <w:iCs/>
          <w:noProof w:val="0"/>
          <w:kern w:val="0"/>
          <w:sz w:val="24"/>
          <w:szCs w:val="24"/>
          <w14:ligatures w14:val="none"/>
        </w:rPr>
        <w:t>the</w:t>
      </w:r>
      <w:proofErr w:type="spellEnd"/>
      <w:r w:rsidR="00626346" w:rsidRPr="0039167F">
        <w:rPr>
          <w:rFonts w:ascii="Times New Roman" w:hAnsi="Times New Roman" w:cs="Times New Roman"/>
          <w:i/>
          <w:iCs/>
          <w:noProof w:val="0"/>
          <w:kern w:val="0"/>
          <w:sz w:val="24"/>
          <w:szCs w:val="24"/>
          <w14:ligatures w14:val="none"/>
        </w:rPr>
        <w:t xml:space="preserve"> </w:t>
      </w:r>
      <w:proofErr w:type="spellStart"/>
      <w:r w:rsidR="00626346" w:rsidRPr="0039167F">
        <w:rPr>
          <w:rFonts w:ascii="Times New Roman" w:hAnsi="Times New Roman" w:cs="Times New Roman"/>
          <w:i/>
          <w:iCs/>
          <w:noProof w:val="0"/>
          <w:kern w:val="0"/>
          <w:sz w:val="24"/>
          <w:szCs w:val="24"/>
          <w14:ligatures w14:val="none"/>
        </w:rPr>
        <w:t>desire</w:t>
      </w:r>
      <w:proofErr w:type="spellEnd"/>
      <w:r w:rsidR="00626346" w:rsidRPr="0039167F">
        <w:rPr>
          <w:rFonts w:ascii="Times New Roman" w:hAnsi="Times New Roman" w:cs="Times New Roman"/>
          <w:i/>
          <w:iCs/>
          <w:noProof w:val="0"/>
          <w:kern w:val="0"/>
          <w:sz w:val="24"/>
          <w:szCs w:val="24"/>
          <w14:ligatures w14:val="none"/>
        </w:rPr>
        <w:t xml:space="preserve"> </w:t>
      </w:r>
      <w:proofErr w:type="spellStart"/>
      <w:r w:rsidR="006A132D">
        <w:rPr>
          <w:rFonts w:ascii="Times New Roman" w:hAnsi="Times New Roman" w:cs="Times New Roman"/>
          <w:i/>
          <w:iCs/>
          <w:noProof w:val="0"/>
          <w:kern w:val="0"/>
          <w:sz w:val="24"/>
          <w:szCs w:val="24"/>
          <w14:ligatures w14:val="none"/>
        </w:rPr>
        <w:t>for</w:t>
      </w:r>
      <w:proofErr w:type="spellEnd"/>
      <w:r w:rsidR="00626346" w:rsidRPr="0039167F">
        <w:rPr>
          <w:rFonts w:ascii="Times New Roman" w:hAnsi="Times New Roman" w:cs="Times New Roman"/>
          <w:i/>
          <w:iCs/>
          <w:noProof w:val="0"/>
          <w:kern w:val="0"/>
          <w:sz w:val="24"/>
          <w:szCs w:val="24"/>
          <w14:ligatures w14:val="none"/>
        </w:rPr>
        <w:t xml:space="preserve"> </w:t>
      </w:r>
      <w:proofErr w:type="spellStart"/>
      <w:r w:rsidR="00626346" w:rsidRPr="0039167F">
        <w:rPr>
          <w:rFonts w:ascii="Times New Roman" w:hAnsi="Times New Roman" w:cs="Times New Roman"/>
          <w:i/>
          <w:iCs/>
          <w:noProof w:val="0"/>
          <w:kern w:val="0"/>
          <w:sz w:val="24"/>
          <w:szCs w:val="24"/>
          <w14:ligatures w14:val="none"/>
        </w:rPr>
        <w:t>waqf</w:t>
      </w:r>
      <w:proofErr w:type="spellEnd"/>
      <w:r w:rsidR="00626346" w:rsidRPr="0039167F">
        <w:rPr>
          <w:rFonts w:ascii="Times New Roman" w:hAnsi="Times New Roman" w:cs="Times New Roman"/>
          <w:i/>
          <w:iCs/>
          <w:noProof w:val="0"/>
          <w:kern w:val="0"/>
          <w:sz w:val="24"/>
          <w:szCs w:val="24"/>
          <w14:ligatures w14:val="none"/>
        </w:rPr>
        <w:t xml:space="preserve"> </w:t>
      </w:r>
      <w:proofErr w:type="spellStart"/>
      <w:r w:rsidR="00626346" w:rsidRPr="0039167F">
        <w:rPr>
          <w:rFonts w:ascii="Times New Roman" w:hAnsi="Times New Roman" w:cs="Times New Roman"/>
          <w:i/>
          <w:iCs/>
          <w:noProof w:val="0"/>
          <w:kern w:val="0"/>
          <w:sz w:val="24"/>
          <w:szCs w:val="24"/>
          <w14:ligatures w14:val="none"/>
        </w:rPr>
        <w:t>commercial</w:t>
      </w:r>
      <w:proofErr w:type="spellEnd"/>
      <w:r w:rsidR="00626346" w:rsidRPr="0039167F">
        <w:rPr>
          <w:rFonts w:ascii="Times New Roman" w:hAnsi="Times New Roman" w:cs="Times New Roman"/>
          <w:i/>
          <w:iCs/>
          <w:noProof w:val="0"/>
          <w:kern w:val="0"/>
          <w:sz w:val="24"/>
          <w:szCs w:val="24"/>
          <w14:ligatures w14:val="none"/>
        </w:rPr>
        <w:t xml:space="preserve"> </w:t>
      </w:r>
      <w:proofErr w:type="spellStart"/>
      <w:r w:rsidR="00626346" w:rsidRPr="0039167F">
        <w:rPr>
          <w:rFonts w:ascii="Times New Roman" w:hAnsi="Times New Roman" w:cs="Times New Roman"/>
          <w:i/>
          <w:iCs/>
          <w:noProof w:val="0"/>
          <w:kern w:val="0"/>
          <w:sz w:val="24"/>
          <w:szCs w:val="24"/>
          <w14:ligatures w14:val="none"/>
        </w:rPr>
        <w:t>properties</w:t>
      </w:r>
      <w:proofErr w:type="spellEnd"/>
      <w:r w:rsidR="00626346" w:rsidRPr="0039167F">
        <w:rPr>
          <w:rFonts w:ascii="Times New Roman" w:hAnsi="Times New Roman" w:cs="Times New Roman"/>
          <w:i/>
          <w:iCs/>
          <w:noProof w:val="0"/>
          <w:kern w:val="0"/>
          <w:sz w:val="24"/>
          <w:szCs w:val="24"/>
          <w14:ligatures w14:val="none"/>
        </w:rPr>
        <w:t xml:space="preserve"> in </w:t>
      </w:r>
      <w:proofErr w:type="spellStart"/>
      <w:r w:rsidR="00626346" w:rsidRPr="0039167F">
        <w:rPr>
          <w:rFonts w:ascii="Times New Roman" w:hAnsi="Times New Roman" w:cs="Times New Roman"/>
          <w:i/>
          <w:iCs/>
          <w:noProof w:val="0"/>
          <w:kern w:val="0"/>
          <w:sz w:val="24"/>
          <w:szCs w:val="24"/>
          <w14:ligatures w14:val="none"/>
        </w:rPr>
        <w:t>Malaysian</w:t>
      </w:r>
      <w:proofErr w:type="spellEnd"/>
      <w:r w:rsidR="00626346" w:rsidRPr="0039167F">
        <w:rPr>
          <w:rFonts w:ascii="Times New Roman" w:hAnsi="Times New Roman" w:cs="Times New Roman"/>
          <w:i/>
          <w:iCs/>
          <w:noProof w:val="0"/>
          <w:kern w:val="0"/>
          <w:sz w:val="24"/>
          <w:szCs w:val="24"/>
          <w14:ligatures w14:val="none"/>
        </w:rPr>
        <w:t xml:space="preserve"> </w:t>
      </w:r>
      <w:proofErr w:type="spellStart"/>
      <w:r w:rsidR="00626346" w:rsidRPr="0039167F">
        <w:rPr>
          <w:rFonts w:ascii="Times New Roman" w:hAnsi="Times New Roman" w:cs="Times New Roman"/>
          <w:i/>
          <w:iCs/>
          <w:noProof w:val="0"/>
          <w:kern w:val="0"/>
          <w:sz w:val="24"/>
          <w:szCs w:val="24"/>
          <w14:ligatures w14:val="none"/>
        </w:rPr>
        <w:t>society</w:t>
      </w:r>
      <w:proofErr w:type="spellEnd"/>
      <w:r w:rsidR="00626346" w:rsidRPr="0039167F">
        <w:rPr>
          <w:rFonts w:ascii="Times New Roman" w:hAnsi="Times New Roman" w:cs="Times New Roman"/>
          <w:i/>
          <w:iCs/>
          <w:noProof w:val="0"/>
          <w:kern w:val="0"/>
          <w:sz w:val="24"/>
          <w:szCs w:val="24"/>
          <w14:ligatures w14:val="none"/>
        </w:rPr>
        <w:t>.</w:t>
      </w:r>
    </w:p>
    <w:p w14:paraId="716F2342" w14:textId="77777777" w:rsidR="002D6A44" w:rsidRDefault="002D6A44" w:rsidP="005240D5">
      <w:pPr>
        <w:spacing w:before="100" w:beforeAutospacing="1" w:after="100" w:afterAutospacing="1" w:line="360" w:lineRule="auto"/>
        <w:contextualSpacing/>
        <w:jc w:val="both"/>
        <w:rPr>
          <w:rFonts w:ascii="Times New Roman" w:hAnsi="Times New Roman" w:cs="Times New Roman"/>
          <w:i/>
          <w:iCs/>
          <w:noProof w:val="0"/>
          <w:kern w:val="0"/>
          <w:sz w:val="24"/>
          <w:szCs w:val="24"/>
          <w14:ligatures w14:val="none"/>
        </w:rPr>
      </w:pPr>
    </w:p>
    <w:p w14:paraId="19958D05" w14:textId="78F0F38B" w:rsidR="0034084F" w:rsidRPr="0034084F" w:rsidRDefault="0034084F" w:rsidP="003C251E">
      <w:pPr>
        <w:spacing w:before="100" w:beforeAutospacing="1" w:after="100" w:afterAutospacing="1" w:line="360" w:lineRule="auto"/>
        <w:contextualSpacing/>
        <w:jc w:val="both"/>
        <w:rPr>
          <w:rFonts w:ascii="Times New Roman" w:eastAsia="Times New Roman" w:hAnsi="Times New Roman" w:cs="Times New Roman"/>
          <w:noProof w:val="0"/>
          <w:kern w:val="0"/>
          <w:sz w:val="24"/>
          <w:szCs w:val="24"/>
          <w:lang w:eastAsia="en-MY"/>
          <w14:ligatures w14:val="none"/>
        </w:rPr>
      </w:pPr>
      <w:r w:rsidRPr="0034084F">
        <w:rPr>
          <w:rFonts w:ascii="Times New Roman" w:eastAsia="Times New Roman" w:hAnsi="Times New Roman" w:cs="Times New Roman"/>
          <w:noProof w:val="0"/>
          <w:kern w:val="0"/>
          <w:sz w:val="24"/>
          <w:szCs w:val="24"/>
          <w:lang w:eastAsia="en-MY"/>
          <w14:ligatures w14:val="none"/>
        </w:rPr>
        <w:t xml:space="preserve">The public's understanding and acceptance of commercial property waqf has a significant positive influence on their desire to be </w:t>
      </w:r>
      <w:r w:rsidR="006A132D">
        <w:rPr>
          <w:rFonts w:ascii="Times New Roman" w:eastAsia="Times New Roman" w:hAnsi="Times New Roman" w:cs="Times New Roman"/>
          <w:noProof w:val="0"/>
          <w:kern w:val="0"/>
          <w:sz w:val="24"/>
          <w:szCs w:val="24"/>
          <w:lang w:eastAsia="en-MY"/>
          <w14:ligatures w14:val="none"/>
        </w:rPr>
        <w:t>waqf</w:t>
      </w:r>
      <w:r w:rsidRPr="0034084F">
        <w:rPr>
          <w:rFonts w:ascii="Times New Roman" w:eastAsia="Times New Roman" w:hAnsi="Times New Roman" w:cs="Times New Roman"/>
          <w:noProof w:val="0"/>
          <w:kern w:val="0"/>
          <w:sz w:val="24"/>
          <w:szCs w:val="24"/>
          <w:lang w:eastAsia="en-MY"/>
          <w14:ligatures w14:val="none"/>
        </w:rPr>
        <w:t xml:space="preserve"> with significant value t-statistics=3.512 and value-P=000. This study supports the findings of past studies that have been done to clarify this relationship. Abdul Razak et al. (2019) found that the understanding and acceptance of the community, especially the younger generation of Muslims, influenced their desire for commercial real estate. Mustafa et al. (2018) show that understanding and acceptance of people influenced by religious factors</w:t>
      </w:r>
      <w:r w:rsidR="006A132D">
        <w:rPr>
          <w:rFonts w:ascii="Times New Roman" w:eastAsia="Times New Roman" w:hAnsi="Times New Roman" w:cs="Times New Roman"/>
          <w:noProof w:val="0"/>
          <w:kern w:val="0"/>
          <w:sz w:val="24"/>
          <w:szCs w:val="24"/>
          <w:lang w:eastAsia="en-MY"/>
          <w14:ligatures w14:val="none"/>
        </w:rPr>
        <w:t>, in turn,</w:t>
      </w:r>
      <w:r w:rsidRPr="0034084F">
        <w:rPr>
          <w:rFonts w:ascii="Times New Roman" w:eastAsia="Times New Roman" w:hAnsi="Times New Roman" w:cs="Times New Roman"/>
          <w:noProof w:val="0"/>
          <w:kern w:val="0"/>
          <w:sz w:val="24"/>
          <w:szCs w:val="24"/>
          <w:lang w:eastAsia="en-MY"/>
          <w14:ligatures w14:val="none"/>
        </w:rPr>
        <w:t xml:space="preserve"> has a positive effect on their desire to be </w:t>
      </w:r>
      <w:r w:rsidR="006A132D">
        <w:rPr>
          <w:rFonts w:ascii="Times New Roman" w:eastAsia="Times New Roman" w:hAnsi="Times New Roman" w:cs="Times New Roman"/>
          <w:noProof w:val="0"/>
          <w:kern w:val="0"/>
          <w:sz w:val="24"/>
          <w:szCs w:val="24"/>
          <w:lang w:eastAsia="en-MY"/>
          <w14:ligatures w14:val="none"/>
        </w:rPr>
        <w:t>waqf</w:t>
      </w:r>
      <w:r w:rsidRPr="0034084F">
        <w:rPr>
          <w:rFonts w:ascii="Times New Roman" w:eastAsia="Times New Roman" w:hAnsi="Times New Roman" w:cs="Times New Roman"/>
          <w:noProof w:val="0"/>
          <w:kern w:val="0"/>
          <w:sz w:val="24"/>
          <w:szCs w:val="24"/>
          <w:lang w:eastAsia="en-MY"/>
          <w14:ligatures w14:val="none"/>
        </w:rPr>
        <w:t xml:space="preserve">. Banna and Munawar (2016) concluded that the understanding and acceptance of society influenced their desire to </w:t>
      </w:r>
      <w:r w:rsidR="006A132D">
        <w:rPr>
          <w:rFonts w:ascii="Times New Roman" w:eastAsia="Times New Roman" w:hAnsi="Times New Roman" w:cs="Times New Roman"/>
          <w:noProof w:val="0"/>
          <w:kern w:val="0"/>
          <w:sz w:val="24"/>
          <w:szCs w:val="24"/>
          <w:lang w:eastAsia="en-MY"/>
          <w14:ligatures w14:val="none"/>
        </w:rPr>
        <w:t>waqf</w:t>
      </w:r>
      <w:r w:rsidRPr="0034084F">
        <w:rPr>
          <w:rFonts w:ascii="Times New Roman" w:eastAsia="Times New Roman" w:hAnsi="Times New Roman" w:cs="Times New Roman"/>
          <w:noProof w:val="0"/>
          <w:kern w:val="0"/>
          <w:sz w:val="24"/>
          <w:szCs w:val="24"/>
          <w:lang w:eastAsia="en-MY"/>
          <w14:ligatures w14:val="none"/>
        </w:rPr>
        <w:t xml:space="preserve"> and that people who understand the concept and benefits of commercial real estate waqf are more likely to have a desire to be </w:t>
      </w:r>
      <w:r w:rsidR="006A132D">
        <w:rPr>
          <w:rFonts w:ascii="Times New Roman" w:eastAsia="Times New Roman" w:hAnsi="Times New Roman" w:cs="Times New Roman"/>
          <w:noProof w:val="0"/>
          <w:kern w:val="0"/>
          <w:sz w:val="24"/>
          <w:szCs w:val="24"/>
          <w:lang w:eastAsia="en-MY"/>
          <w14:ligatures w14:val="none"/>
        </w:rPr>
        <w:t>waqf</w:t>
      </w:r>
      <w:r w:rsidRPr="0034084F">
        <w:rPr>
          <w:rFonts w:ascii="Times New Roman" w:eastAsia="Times New Roman" w:hAnsi="Times New Roman" w:cs="Times New Roman"/>
          <w:noProof w:val="0"/>
          <w:kern w:val="0"/>
          <w:sz w:val="24"/>
          <w:szCs w:val="24"/>
          <w:lang w:eastAsia="en-MY"/>
          <w14:ligatures w14:val="none"/>
        </w:rPr>
        <w:t>. Aziz et al. (2017) found that the understanding and acceptance of the community ha</w:t>
      </w:r>
      <w:r w:rsidR="006A132D">
        <w:rPr>
          <w:rFonts w:ascii="Times New Roman" w:eastAsia="Times New Roman" w:hAnsi="Times New Roman" w:cs="Times New Roman"/>
          <w:noProof w:val="0"/>
          <w:kern w:val="0"/>
          <w:sz w:val="24"/>
          <w:szCs w:val="24"/>
          <w:lang w:eastAsia="en-MY"/>
          <w14:ligatures w14:val="none"/>
        </w:rPr>
        <w:t>ve</w:t>
      </w:r>
      <w:r w:rsidRPr="0034084F">
        <w:rPr>
          <w:rFonts w:ascii="Times New Roman" w:eastAsia="Times New Roman" w:hAnsi="Times New Roman" w:cs="Times New Roman"/>
          <w:noProof w:val="0"/>
          <w:kern w:val="0"/>
          <w:sz w:val="24"/>
          <w:szCs w:val="24"/>
          <w:lang w:eastAsia="en-MY"/>
          <w14:ligatures w14:val="none"/>
        </w:rPr>
        <w:t xml:space="preserve"> a positive effect on their desire for commercial real estate. Kamaruddin et al. (2018) also found a positive relationship between understanding and acceptance of the community and their desire for commercial real estate.</w:t>
      </w:r>
    </w:p>
    <w:bookmarkEnd w:id="3"/>
    <w:p w14:paraId="0B603BC0" w14:textId="77777777" w:rsidR="0003624F" w:rsidRPr="0039167F" w:rsidRDefault="0003624F" w:rsidP="005240D5">
      <w:pPr>
        <w:spacing w:before="100" w:beforeAutospacing="1" w:after="100" w:afterAutospacing="1" w:line="360" w:lineRule="auto"/>
        <w:contextualSpacing/>
        <w:jc w:val="both"/>
        <w:rPr>
          <w:rFonts w:ascii="Times New Roman" w:eastAsia="Times New Roman" w:hAnsi="Times New Roman" w:cs="Times New Roman"/>
          <w:noProof w:val="0"/>
          <w:kern w:val="0"/>
          <w:sz w:val="24"/>
          <w:szCs w:val="24"/>
          <w:lang w:eastAsia="en-MY"/>
          <w14:ligatures w14:val="none"/>
        </w:rPr>
      </w:pPr>
    </w:p>
    <w:p w14:paraId="21731CA6" w14:textId="718A843F" w:rsidR="0003624F" w:rsidRDefault="0003624F" w:rsidP="005240D5">
      <w:pPr>
        <w:spacing w:before="100" w:beforeAutospacing="1" w:after="100" w:afterAutospacing="1" w:line="360" w:lineRule="auto"/>
        <w:contextualSpacing/>
        <w:jc w:val="both"/>
        <w:rPr>
          <w:rFonts w:ascii="Times New Roman" w:eastAsia="Times New Roman" w:hAnsi="Times New Roman" w:cs="Times New Roman"/>
          <w:i/>
          <w:iCs/>
          <w:noProof w:val="0"/>
          <w:kern w:val="0"/>
          <w:sz w:val="24"/>
          <w:szCs w:val="24"/>
          <w:lang w:eastAsia="en-MY"/>
          <w14:ligatures w14:val="none"/>
        </w:rPr>
      </w:pPr>
      <w:bookmarkStart w:id="4" w:name="_Hlk137417270"/>
      <w:r w:rsidRPr="0039167F">
        <w:rPr>
          <w:rFonts w:ascii="Times New Roman" w:eastAsia="Times New Roman" w:hAnsi="Times New Roman" w:cs="Times New Roman"/>
          <w:i/>
          <w:iCs/>
          <w:noProof w:val="0"/>
          <w:kern w:val="0"/>
          <w:sz w:val="24"/>
          <w:szCs w:val="24"/>
          <w:lang w:eastAsia="en-MY"/>
          <w14:ligatures w14:val="none"/>
        </w:rPr>
        <w:lastRenderedPageBreak/>
        <w:t xml:space="preserve">H2: Religious holdings and cultural norms have a significant positive impact </w:t>
      </w:r>
      <w:proofErr w:type="spellStart"/>
      <w:r w:rsidRPr="0039167F">
        <w:rPr>
          <w:rFonts w:ascii="Times New Roman" w:eastAsia="Times New Roman" w:hAnsi="Times New Roman" w:cs="Times New Roman"/>
          <w:i/>
          <w:iCs/>
          <w:noProof w:val="0"/>
          <w:kern w:val="0"/>
          <w:sz w:val="24"/>
          <w:szCs w:val="24"/>
          <w:lang w:eastAsia="en-MY"/>
          <w14:ligatures w14:val="none"/>
        </w:rPr>
        <w:t>on</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the</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desire</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006A132D">
        <w:rPr>
          <w:rFonts w:ascii="Times New Roman" w:eastAsia="Times New Roman" w:hAnsi="Times New Roman" w:cs="Times New Roman"/>
          <w:i/>
          <w:iCs/>
          <w:noProof w:val="0"/>
          <w:kern w:val="0"/>
          <w:sz w:val="24"/>
          <w:szCs w:val="24"/>
          <w:lang w:eastAsia="en-MY"/>
          <w14:ligatures w14:val="none"/>
        </w:rPr>
        <w:t>for</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commercial</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property</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waqf</w:t>
      </w:r>
      <w:proofErr w:type="spellEnd"/>
      <w:r w:rsidRPr="0039167F">
        <w:rPr>
          <w:rFonts w:ascii="Times New Roman" w:eastAsia="Times New Roman" w:hAnsi="Times New Roman" w:cs="Times New Roman"/>
          <w:i/>
          <w:iCs/>
          <w:noProof w:val="0"/>
          <w:kern w:val="0"/>
          <w:sz w:val="24"/>
          <w:szCs w:val="24"/>
          <w:lang w:eastAsia="en-MY"/>
          <w14:ligatures w14:val="none"/>
        </w:rPr>
        <w:t xml:space="preserve"> in </w:t>
      </w:r>
      <w:proofErr w:type="spellStart"/>
      <w:r w:rsidRPr="0039167F">
        <w:rPr>
          <w:rFonts w:ascii="Times New Roman" w:eastAsia="Times New Roman" w:hAnsi="Times New Roman" w:cs="Times New Roman"/>
          <w:i/>
          <w:iCs/>
          <w:noProof w:val="0"/>
          <w:kern w:val="0"/>
          <w:sz w:val="24"/>
          <w:szCs w:val="24"/>
          <w:lang w:eastAsia="en-MY"/>
          <w14:ligatures w14:val="none"/>
        </w:rPr>
        <w:t>Malaysian</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society</w:t>
      </w:r>
      <w:proofErr w:type="spellEnd"/>
      <w:r w:rsidRPr="0039167F">
        <w:rPr>
          <w:rFonts w:ascii="Times New Roman" w:eastAsia="Times New Roman" w:hAnsi="Times New Roman" w:cs="Times New Roman"/>
          <w:i/>
          <w:iCs/>
          <w:noProof w:val="0"/>
          <w:kern w:val="0"/>
          <w:sz w:val="24"/>
          <w:szCs w:val="24"/>
          <w:lang w:eastAsia="en-MY"/>
          <w14:ligatures w14:val="none"/>
        </w:rPr>
        <w:t>.</w:t>
      </w:r>
      <w:bookmarkStart w:id="5" w:name="_Hlk137418741"/>
      <w:bookmarkEnd w:id="5"/>
    </w:p>
    <w:p w14:paraId="0DCF9981" w14:textId="77777777" w:rsidR="002D6A44" w:rsidRPr="0039167F" w:rsidRDefault="002D6A44" w:rsidP="005240D5">
      <w:pPr>
        <w:spacing w:before="100" w:beforeAutospacing="1" w:after="100" w:afterAutospacing="1" w:line="360" w:lineRule="auto"/>
        <w:contextualSpacing/>
        <w:jc w:val="both"/>
        <w:rPr>
          <w:rFonts w:ascii="Times New Roman" w:eastAsia="Times New Roman" w:hAnsi="Times New Roman" w:cs="Times New Roman"/>
          <w:i/>
          <w:iCs/>
          <w:noProof w:val="0"/>
          <w:kern w:val="0"/>
          <w:sz w:val="24"/>
          <w:szCs w:val="24"/>
          <w:lang w:eastAsia="en-MY"/>
          <w14:ligatures w14:val="none"/>
        </w:rPr>
      </w:pPr>
    </w:p>
    <w:bookmarkEnd w:id="4"/>
    <w:p w14:paraId="64BF3A10" w14:textId="7F28C3A9" w:rsidR="005D1EBB" w:rsidRPr="005D1EBB" w:rsidRDefault="0034084F" w:rsidP="003C251E">
      <w:pPr>
        <w:spacing w:before="100" w:beforeAutospacing="1" w:after="100" w:afterAutospacing="1" w:line="360" w:lineRule="auto"/>
        <w:contextualSpacing/>
        <w:jc w:val="both"/>
        <w:rPr>
          <w:rFonts w:ascii="Times New Roman" w:eastAsia="Times New Roman" w:hAnsi="Times New Roman" w:cs="Times New Roman"/>
          <w:noProof w:val="0"/>
          <w:kern w:val="0"/>
          <w:sz w:val="24"/>
          <w:szCs w:val="24"/>
          <w:lang w:eastAsia="en-MY"/>
          <w14:ligatures w14:val="none"/>
        </w:rPr>
      </w:pPr>
      <w:r w:rsidRPr="0034084F">
        <w:rPr>
          <w:rFonts w:ascii="Times New Roman" w:eastAsia="Times New Roman" w:hAnsi="Times New Roman" w:cs="Times New Roman"/>
          <w:noProof w:val="0"/>
          <w:kern w:val="0"/>
          <w:sz w:val="24"/>
          <w:szCs w:val="24"/>
          <w:lang w:eastAsia="en-MY"/>
          <w14:ligatures w14:val="none"/>
        </w:rPr>
        <w:t xml:space="preserve">Religious holdings and cultural norms have a significant positive impact on the desire </w:t>
      </w:r>
      <w:r w:rsidR="006A132D">
        <w:rPr>
          <w:rFonts w:ascii="Times New Roman" w:eastAsia="Times New Roman" w:hAnsi="Times New Roman" w:cs="Times New Roman"/>
          <w:noProof w:val="0"/>
          <w:kern w:val="0"/>
          <w:sz w:val="24"/>
          <w:szCs w:val="24"/>
          <w:lang w:eastAsia="en-MY"/>
          <w14:ligatures w14:val="none"/>
        </w:rPr>
        <w:t>for</w:t>
      </w:r>
      <w:r w:rsidRPr="0034084F">
        <w:rPr>
          <w:rFonts w:ascii="Times New Roman" w:eastAsia="Times New Roman" w:hAnsi="Times New Roman" w:cs="Times New Roman"/>
          <w:noProof w:val="0"/>
          <w:kern w:val="0"/>
          <w:sz w:val="24"/>
          <w:szCs w:val="24"/>
          <w:lang w:eastAsia="en-MY"/>
          <w14:ligatures w14:val="none"/>
        </w:rPr>
        <w:t xml:space="preserve"> commercial real estate waqf with significant value t-statistics= 2.919 and value-P=004. These findings show that religious beliefs and cultural norms play an important role in influencing the community's desire for commercial real estate in Malaysian society. This study supports several past studies that have been done to research the relationship between religion, culture, and commercial property waqf desires. This includes research by Jamaludin et al. (2016) showing that religion has a positive influence on society's desire to be </w:t>
      </w:r>
      <w:r w:rsidR="006A132D">
        <w:rPr>
          <w:rFonts w:ascii="Times New Roman" w:eastAsia="Times New Roman" w:hAnsi="Times New Roman" w:cs="Times New Roman"/>
          <w:noProof w:val="0"/>
          <w:kern w:val="0"/>
          <w:sz w:val="24"/>
          <w:szCs w:val="24"/>
          <w:lang w:eastAsia="en-MY"/>
          <w14:ligatures w14:val="none"/>
        </w:rPr>
        <w:t>waqf</w:t>
      </w:r>
      <w:r w:rsidRPr="0034084F">
        <w:rPr>
          <w:rFonts w:ascii="Times New Roman" w:eastAsia="Times New Roman" w:hAnsi="Times New Roman" w:cs="Times New Roman"/>
          <w:noProof w:val="0"/>
          <w:kern w:val="0"/>
          <w:sz w:val="24"/>
          <w:szCs w:val="24"/>
          <w:lang w:eastAsia="en-MY"/>
          <w14:ligatures w14:val="none"/>
        </w:rPr>
        <w:t xml:space="preserve">, including waqf of commercial real estate. People with strong religious beliefs tend to be more motivated to participate in commercial property waqf. In addition, the study by Sabri (2018) emphasizes the role of cultural norms in shaping the desire </w:t>
      </w:r>
      <w:r w:rsidR="006A132D">
        <w:rPr>
          <w:rFonts w:ascii="Times New Roman" w:eastAsia="Times New Roman" w:hAnsi="Times New Roman" w:cs="Times New Roman"/>
          <w:noProof w:val="0"/>
          <w:kern w:val="0"/>
          <w:sz w:val="24"/>
          <w:szCs w:val="24"/>
          <w:lang w:eastAsia="en-MY"/>
          <w14:ligatures w14:val="none"/>
        </w:rPr>
        <w:t>for</w:t>
      </w:r>
      <w:r w:rsidRPr="0034084F">
        <w:rPr>
          <w:rFonts w:ascii="Times New Roman" w:eastAsia="Times New Roman" w:hAnsi="Times New Roman" w:cs="Times New Roman"/>
          <w:noProof w:val="0"/>
          <w:kern w:val="0"/>
          <w:sz w:val="24"/>
          <w:szCs w:val="24"/>
          <w:lang w:eastAsia="en-MY"/>
          <w14:ligatures w14:val="none"/>
        </w:rPr>
        <w:t xml:space="preserve"> commercial real estate waqf. Cultural norms that value and encourage waqf can influence the acceptance and desire of society to engage in commercial real estate waqf. Another study conducted by Abdul Razak et al. (2019) shows that the public's understanding and acceptance of the concept of waqf influenced by religion and culture also contributes to their desire for commercial real estate. People who have a good understanding of the concept of waqf and accept the importance of waqf as a social and religious responsibility are more likely to have </w:t>
      </w:r>
      <w:r w:rsidR="006A132D">
        <w:rPr>
          <w:rFonts w:ascii="Times New Roman" w:eastAsia="Times New Roman" w:hAnsi="Times New Roman" w:cs="Times New Roman"/>
          <w:noProof w:val="0"/>
          <w:kern w:val="0"/>
          <w:sz w:val="24"/>
          <w:szCs w:val="24"/>
          <w:lang w:eastAsia="en-MY"/>
          <w14:ligatures w14:val="none"/>
        </w:rPr>
        <w:t>the</w:t>
      </w:r>
      <w:r w:rsidRPr="0034084F">
        <w:rPr>
          <w:rFonts w:ascii="Times New Roman" w:eastAsia="Times New Roman" w:hAnsi="Times New Roman" w:cs="Times New Roman"/>
          <w:noProof w:val="0"/>
          <w:kern w:val="0"/>
          <w:sz w:val="24"/>
          <w:szCs w:val="24"/>
          <w:lang w:eastAsia="en-MY"/>
          <w14:ligatures w14:val="none"/>
        </w:rPr>
        <w:t xml:space="preserve"> desire to </w:t>
      </w:r>
      <w:r w:rsidR="006A132D">
        <w:rPr>
          <w:rFonts w:ascii="Times New Roman" w:eastAsia="Times New Roman" w:hAnsi="Times New Roman" w:cs="Times New Roman"/>
          <w:noProof w:val="0"/>
          <w:kern w:val="0"/>
          <w:sz w:val="24"/>
          <w:szCs w:val="24"/>
          <w:lang w:eastAsia="en-MY"/>
          <w14:ligatures w14:val="none"/>
        </w:rPr>
        <w:t>waqf</w:t>
      </w:r>
      <w:r w:rsidRPr="0034084F">
        <w:rPr>
          <w:rFonts w:ascii="Times New Roman" w:eastAsia="Times New Roman" w:hAnsi="Times New Roman" w:cs="Times New Roman"/>
          <w:noProof w:val="0"/>
          <w:kern w:val="0"/>
          <w:sz w:val="24"/>
          <w:szCs w:val="24"/>
          <w:lang w:eastAsia="en-MY"/>
          <w14:ligatures w14:val="none"/>
        </w:rPr>
        <w:t xml:space="preserve"> commercial real estate.</w:t>
      </w:r>
    </w:p>
    <w:p w14:paraId="082878F9" w14:textId="163FE27B" w:rsidR="0034084F" w:rsidRDefault="005D1EBB" w:rsidP="005240D5">
      <w:pPr>
        <w:spacing w:before="100" w:beforeAutospacing="1" w:after="100" w:afterAutospacing="1" w:line="360" w:lineRule="auto"/>
        <w:ind w:firstLine="720"/>
        <w:contextualSpacing/>
        <w:jc w:val="both"/>
        <w:rPr>
          <w:rFonts w:ascii="Times New Roman" w:eastAsia="Times New Roman" w:hAnsi="Times New Roman" w:cs="Times New Roman"/>
          <w:noProof w:val="0"/>
          <w:kern w:val="0"/>
          <w:sz w:val="24"/>
          <w:szCs w:val="24"/>
          <w:lang w:eastAsia="en-MY"/>
          <w14:ligatures w14:val="none"/>
        </w:rPr>
      </w:pPr>
      <w:r w:rsidRPr="005D1EBB">
        <w:rPr>
          <w:rFonts w:ascii="Times New Roman" w:eastAsia="Times New Roman" w:hAnsi="Times New Roman" w:cs="Times New Roman"/>
          <w:noProof w:val="0"/>
          <w:kern w:val="0"/>
          <w:sz w:val="24"/>
          <w:szCs w:val="24"/>
          <w:lang w:eastAsia="en-MY"/>
          <w14:ligatures w14:val="none"/>
        </w:rPr>
        <w:t xml:space="preserve">In conclusion, religious beliefs and cultural norms have a significant positive influence on the community's desire for commercial real estate in Malaysian society. A good understanding of the concept of waqf, as well as the public's acceptance of social and religious responsibilities in maintaining and managing waqf, are important factors that affect the desire </w:t>
      </w:r>
      <w:r w:rsidR="006A132D">
        <w:rPr>
          <w:rFonts w:ascii="Times New Roman" w:eastAsia="Times New Roman" w:hAnsi="Times New Roman" w:cs="Times New Roman"/>
          <w:noProof w:val="0"/>
          <w:kern w:val="0"/>
          <w:sz w:val="24"/>
          <w:szCs w:val="24"/>
          <w:lang w:eastAsia="en-MY"/>
          <w14:ligatures w14:val="none"/>
        </w:rPr>
        <w:t>for</w:t>
      </w:r>
      <w:r w:rsidRPr="005D1EBB">
        <w:rPr>
          <w:rFonts w:ascii="Times New Roman" w:eastAsia="Times New Roman" w:hAnsi="Times New Roman" w:cs="Times New Roman"/>
          <w:noProof w:val="0"/>
          <w:kern w:val="0"/>
          <w:sz w:val="24"/>
          <w:szCs w:val="24"/>
          <w:lang w:eastAsia="en-MY"/>
          <w14:ligatures w14:val="none"/>
        </w:rPr>
        <w:t xml:space="preserve"> </w:t>
      </w:r>
      <w:r w:rsidR="006A132D">
        <w:rPr>
          <w:rFonts w:ascii="Times New Roman" w:eastAsia="Times New Roman" w:hAnsi="Times New Roman" w:cs="Times New Roman"/>
          <w:noProof w:val="0"/>
          <w:kern w:val="0"/>
          <w:sz w:val="24"/>
          <w:szCs w:val="24"/>
          <w:lang w:eastAsia="en-MY"/>
          <w14:ligatures w14:val="none"/>
        </w:rPr>
        <w:t>waqf</w:t>
      </w:r>
      <w:r w:rsidRPr="005D1EBB">
        <w:rPr>
          <w:rFonts w:ascii="Times New Roman" w:eastAsia="Times New Roman" w:hAnsi="Times New Roman" w:cs="Times New Roman"/>
          <w:noProof w:val="0"/>
          <w:kern w:val="0"/>
          <w:sz w:val="24"/>
          <w:szCs w:val="24"/>
          <w:lang w:eastAsia="en-MY"/>
          <w14:ligatures w14:val="none"/>
        </w:rPr>
        <w:t xml:space="preserve"> commercial real estate.</w:t>
      </w:r>
    </w:p>
    <w:p w14:paraId="20C5D5C4" w14:textId="77777777" w:rsidR="00991BEE" w:rsidRPr="0039167F" w:rsidRDefault="00991BEE" w:rsidP="005240D5">
      <w:pPr>
        <w:spacing w:before="100" w:beforeAutospacing="1" w:after="100" w:afterAutospacing="1" w:line="360" w:lineRule="auto"/>
        <w:ind w:firstLine="720"/>
        <w:contextualSpacing/>
        <w:jc w:val="both"/>
        <w:rPr>
          <w:rFonts w:ascii="Times New Roman" w:eastAsia="Times New Roman" w:hAnsi="Times New Roman" w:cs="Times New Roman"/>
          <w:noProof w:val="0"/>
          <w:kern w:val="0"/>
          <w:sz w:val="24"/>
          <w:szCs w:val="24"/>
          <w:lang w:eastAsia="en-MY"/>
          <w14:ligatures w14:val="none"/>
        </w:rPr>
      </w:pPr>
    </w:p>
    <w:p w14:paraId="5E140780" w14:textId="7A356305" w:rsidR="0003624F" w:rsidRPr="0039167F" w:rsidRDefault="0003624F" w:rsidP="005240D5">
      <w:pPr>
        <w:spacing w:before="100" w:beforeAutospacing="1" w:after="100" w:afterAutospacing="1" w:line="360" w:lineRule="auto"/>
        <w:contextualSpacing/>
        <w:jc w:val="both"/>
        <w:rPr>
          <w:rFonts w:ascii="Times New Roman" w:eastAsia="Times New Roman" w:hAnsi="Times New Roman" w:cs="Times New Roman"/>
          <w:i/>
          <w:iCs/>
          <w:noProof w:val="0"/>
          <w:kern w:val="0"/>
          <w:sz w:val="24"/>
          <w:szCs w:val="24"/>
          <w:lang w:eastAsia="en-MY"/>
          <w14:ligatures w14:val="none"/>
        </w:rPr>
      </w:pPr>
      <w:bookmarkStart w:id="6" w:name="_Hlk137417347"/>
      <w:r w:rsidRPr="0039167F">
        <w:rPr>
          <w:rFonts w:ascii="Times New Roman" w:eastAsia="Times New Roman" w:hAnsi="Times New Roman" w:cs="Times New Roman"/>
          <w:i/>
          <w:iCs/>
          <w:noProof w:val="0"/>
          <w:kern w:val="0"/>
          <w:sz w:val="24"/>
          <w:szCs w:val="24"/>
          <w:lang w:eastAsia="en-MY"/>
          <w14:ligatures w14:val="none"/>
        </w:rPr>
        <w:t xml:space="preserve">H3: Trust in management and administrative transparency has a significant positive impact on the desire </w:t>
      </w:r>
      <w:r w:rsidR="006A132D">
        <w:rPr>
          <w:rFonts w:ascii="Times New Roman" w:eastAsia="Times New Roman" w:hAnsi="Times New Roman" w:cs="Times New Roman"/>
          <w:i/>
          <w:iCs/>
          <w:noProof w:val="0"/>
          <w:kern w:val="0"/>
          <w:sz w:val="24"/>
          <w:szCs w:val="24"/>
          <w:lang w:eastAsia="en-MY"/>
          <w14:ligatures w14:val="none"/>
        </w:rPr>
        <w:t>for</w:t>
      </w:r>
      <w:r w:rsidRPr="0039167F">
        <w:rPr>
          <w:rFonts w:ascii="Times New Roman" w:eastAsia="Times New Roman" w:hAnsi="Times New Roman" w:cs="Times New Roman"/>
          <w:i/>
          <w:iCs/>
          <w:noProof w:val="0"/>
          <w:kern w:val="0"/>
          <w:sz w:val="24"/>
          <w:szCs w:val="24"/>
          <w:lang w:eastAsia="en-MY"/>
          <w14:ligatures w14:val="none"/>
        </w:rPr>
        <w:t xml:space="preserve"> commercial property waqf in Malaysian society.</w:t>
      </w:r>
    </w:p>
    <w:bookmarkEnd w:id="6"/>
    <w:p w14:paraId="364C0BF9" w14:textId="77777777" w:rsidR="003C251E" w:rsidRDefault="003C251E" w:rsidP="005240D5">
      <w:pPr>
        <w:spacing w:before="100" w:beforeAutospacing="1" w:after="100" w:afterAutospacing="1" w:line="360" w:lineRule="auto"/>
        <w:ind w:firstLine="426"/>
        <w:contextualSpacing/>
        <w:jc w:val="both"/>
        <w:rPr>
          <w:rFonts w:ascii="Times New Roman" w:eastAsia="Times New Roman" w:hAnsi="Times New Roman" w:cs="Times New Roman"/>
          <w:noProof w:val="0"/>
          <w:kern w:val="0"/>
          <w:sz w:val="24"/>
          <w:szCs w:val="24"/>
          <w:lang w:eastAsia="en-MY"/>
          <w14:ligatures w14:val="none"/>
        </w:rPr>
      </w:pPr>
    </w:p>
    <w:p w14:paraId="067E9C00" w14:textId="6FDE1803" w:rsidR="00837A4E" w:rsidRDefault="00837A4E" w:rsidP="003C251E">
      <w:pPr>
        <w:spacing w:before="100" w:beforeAutospacing="1" w:after="100" w:afterAutospacing="1" w:line="360" w:lineRule="auto"/>
        <w:contextualSpacing/>
        <w:jc w:val="both"/>
        <w:rPr>
          <w:rFonts w:ascii="Times New Roman" w:eastAsia="Times New Roman" w:hAnsi="Times New Roman" w:cs="Times New Roman"/>
          <w:noProof w:val="0"/>
          <w:kern w:val="0"/>
          <w:sz w:val="24"/>
          <w:szCs w:val="24"/>
          <w:lang w:eastAsia="en-MY"/>
          <w14:ligatures w14:val="none"/>
        </w:rPr>
      </w:pPr>
      <w:proofErr w:type="spellStart"/>
      <w:r w:rsidRPr="00837A4E">
        <w:rPr>
          <w:rFonts w:ascii="Times New Roman" w:eastAsia="Times New Roman" w:hAnsi="Times New Roman" w:cs="Times New Roman"/>
          <w:noProof w:val="0"/>
          <w:kern w:val="0"/>
          <w:sz w:val="24"/>
          <w:szCs w:val="24"/>
          <w:lang w:eastAsia="en-MY"/>
          <w14:ligatures w14:val="none"/>
        </w:rPr>
        <w:t>Trust</w:t>
      </w:r>
      <w:proofErr w:type="spellEnd"/>
      <w:r w:rsidRPr="00837A4E">
        <w:rPr>
          <w:rFonts w:ascii="Times New Roman" w:eastAsia="Times New Roman" w:hAnsi="Times New Roman" w:cs="Times New Roman"/>
          <w:noProof w:val="0"/>
          <w:kern w:val="0"/>
          <w:sz w:val="24"/>
          <w:szCs w:val="24"/>
          <w:lang w:eastAsia="en-MY"/>
          <w14:ligatures w14:val="none"/>
        </w:rPr>
        <w:t xml:space="preserve"> in </w:t>
      </w:r>
      <w:proofErr w:type="spellStart"/>
      <w:r w:rsidRPr="00837A4E">
        <w:rPr>
          <w:rFonts w:ascii="Times New Roman" w:eastAsia="Times New Roman" w:hAnsi="Times New Roman" w:cs="Times New Roman"/>
          <w:noProof w:val="0"/>
          <w:kern w:val="0"/>
          <w:sz w:val="24"/>
          <w:szCs w:val="24"/>
          <w:lang w:eastAsia="en-MY"/>
          <w14:ligatures w14:val="none"/>
        </w:rPr>
        <w:t>management</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and</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administrative</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transparency</w:t>
      </w:r>
      <w:proofErr w:type="spellEnd"/>
      <w:r w:rsidRPr="00837A4E">
        <w:rPr>
          <w:rFonts w:ascii="Times New Roman" w:eastAsia="Times New Roman" w:hAnsi="Times New Roman" w:cs="Times New Roman"/>
          <w:noProof w:val="0"/>
          <w:kern w:val="0"/>
          <w:sz w:val="24"/>
          <w:szCs w:val="24"/>
          <w:lang w:eastAsia="en-MY"/>
          <w14:ligatures w14:val="none"/>
        </w:rPr>
        <w:t xml:space="preserve"> has a significant positive impact on the desire </w:t>
      </w:r>
      <w:r w:rsidR="006A132D">
        <w:rPr>
          <w:rFonts w:ascii="Times New Roman" w:eastAsia="Times New Roman" w:hAnsi="Times New Roman" w:cs="Times New Roman"/>
          <w:noProof w:val="0"/>
          <w:kern w:val="0"/>
          <w:sz w:val="24"/>
          <w:szCs w:val="24"/>
          <w:lang w:eastAsia="en-MY"/>
          <w14:ligatures w14:val="none"/>
        </w:rPr>
        <w:t>for</w:t>
      </w:r>
      <w:r w:rsidRPr="00837A4E">
        <w:rPr>
          <w:rFonts w:ascii="Times New Roman" w:eastAsia="Times New Roman" w:hAnsi="Times New Roman" w:cs="Times New Roman"/>
          <w:noProof w:val="0"/>
          <w:kern w:val="0"/>
          <w:sz w:val="24"/>
          <w:szCs w:val="24"/>
          <w:lang w:eastAsia="en-MY"/>
          <w14:ligatures w14:val="none"/>
        </w:rPr>
        <w:t xml:space="preserve"> commercial real estate waqf with significant value t-statistics= 3.019 and value-P=003. Belief in administrative management and transparency plays an important role in influencing the public's desire for commercial real estate in Malaysian society. Several studies have been done to research the relationship between trust in management and administrative transparency and the desire </w:t>
      </w:r>
      <w:r w:rsidR="006A132D">
        <w:rPr>
          <w:rFonts w:ascii="Times New Roman" w:eastAsia="Times New Roman" w:hAnsi="Times New Roman" w:cs="Times New Roman"/>
          <w:noProof w:val="0"/>
          <w:kern w:val="0"/>
          <w:sz w:val="24"/>
          <w:szCs w:val="24"/>
          <w:lang w:eastAsia="en-MY"/>
          <w14:ligatures w14:val="none"/>
        </w:rPr>
        <w:t>for</w:t>
      </w:r>
      <w:r w:rsidRPr="00837A4E">
        <w:rPr>
          <w:rFonts w:ascii="Times New Roman" w:eastAsia="Times New Roman" w:hAnsi="Times New Roman" w:cs="Times New Roman"/>
          <w:noProof w:val="0"/>
          <w:kern w:val="0"/>
          <w:sz w:val="24"/>
          <w:szCs w:val="24"/>
          <w:lang w:eastAsia="en-MY"/>
          <w14:ligatures w14:val="none"/>
        </w:rPr>
        <w:t xml:space="preserve"> commercial real estate waqf. This study supports previous </w:t>
      </w:r>
      <w:r w:rsidRPr="00837A4E">
        <w:rPr>
          <w:rFonts w:ascii="Times New Roman" w:eastAsia="Times New Roman" w:hAnsi="Times New Roman" w:cs="Times New Roman"/>
          <w:noProof w:val="0"/>
          <w:kern w:val="0"/>
          <w:sz w:val="24"/>
          <w:szCs w:val="24"/>
          <w:lang w:eastAsia="en-MY"/>
          <w14:ligatures w14:val="none"/>
        </w:rPr>
        <w:lastRenderedPageBreak/>
        <w:t xml:space="preserve">findings by Ibrahim et al. (2017) which found that public trust in waqf management and administrative transparency has a significant positive influence on their desire for commercial real estate. People who have high confidence in the ability of waqf managers and transparent administrative processes are more likely to have a desire to engage in commercial property waqf. </w:t>
      </w:r>
    </w:p>
    <w:p w14:paraId="1A2D9079" w14:textId="1C0224A7" w:rsidR="00837A4E" w:rsidRPr="00837A4E" w:rsidRDefault="00837A4E" w:rsidP="005240D5">
      <w:pPr>
        <w:spacing w:before="100" w:beforeAutospacing="1" w:after="100" w:afterAutospacing="1" w:line="360" w:lineRule="auto"/>
        <w:ind w:firstLine="426"/>
        <w:contextualSpacing/>
        <w:jc w:val="both"/>
        <w:rPr>
          <w:rFonts w:ascii="Times New Roman" w:eastAsia="Times New Roman" w:hAnsi="Times New Roman" w:cs="Times New Roman"/>
          <w:noProof w:val="0"/>
          <w:kern w:val="0"/>
          <w:sz w:val="24"/>
          <w:szCs w:val="24"/>
          <w:lang w:eastAsia="en-MY"/>
          <w14:ligatures w14:val="none"/>
        </w:rPr>
      </w:pPr>
      <w:r w:rsidRPr="00837A4E">
        <w:rPr>
          <w:rFonts w:ascii="Times New Roman" w:eastAsia="Times New Roman" w:hAnsi="Times New Roman" w:cs="Times New Roman"/>
          <w:noProof w:val="0"/>
          <w:kern w:val="0"/>
          <w:sz w:val="24"/>
          <w:szCs w:val="24"/>
          <w:lang w:eastAsia="en-MY"/>
          <w14:ligatures w14:val="none"/>
        </w:rPr>
        <w:t xml:space="preserve">In </w:t>
      </w:r>
      <w:proofErr w:type="spellStart"/>
      <w:r w:rsidRPr="00837A4E">
        <w:rPr>
          <w:rFonts w:ascii="Times New Roman" w:eastAsia="Times New Roman" w:hAnsi="Times New Roman" w:cs="Times New Roman"/>
          <w:noProof w:val="0"/>
          <w:kern w:val="0"/>
          <w:sz w:val="24"/>
          <w:szCs w:val="24"/>
          <w:lang w:eastAsia="en-MY"/>
          <w14:ligatures w14:val="none"/>
        </w:rPr>
        <w:t>addition</w:t>
      </w:r>
      <w:proofErr w:type="spellEnd"/>
      <w:r w:rsidRPr="00837A4E">
        <w:rPr>
          <w:rFonts w:ascii="Times New Roman" w:eastAsia="Times New Roman" w:hAnsi="Times New Roman" w:cs="Times New Roman"/>
          <w:noProof w:val="0"/>
          <w:kern w:val="0"/>
          <w:sz w:val="24"/>
          <w:szCs w:val="24"/>
          <w:lang w:eastAsia="en-MY"/>
          <w14:ligatures w14:val="none"/>
        </w:rPr>
        <w:t xml:space="preserve">, a </w:t>
      </w:r>
      <w:proofErr w:type="spellStart"/>
      <w:r w:rsidRPr="00837A4E">
        <w:rPr>
          <w:rFonts w:ascii="Times New Roman" w:eastAsia="Times New Roman" w:hAnsi="Times New Roman" w:cs="Times New Roman"/>
          <w:noProof w:val="0"/>
          <w:kern w:val="0"/>
          <w:sz w:val="24"/>
          <w:szCs w:val="24"/>
          <w:lang w:eastAsia="en-MY"/>
          <w14:ligatures w14:val="none"/>
        </w:rPr>
        <w:t>study</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by</w:t>
      </w:r>
      <w:proofErr w:type="spellEnd"/>
      <w:r w:rsidRPr="00837A4E">
        <w:rPr>
          <w:rFonts w:ascii="Times New Roman" w:eastAsia="Times New Roman" w:hAnsi="Times New Roman" w:cs="Times New Roman"/>
          <w:noProof w:val="0"/>
          <w:kern w:val="0"/>
          <w:sz w:val="24"/>
          <w:szCs w:val="24"/>
          <w:lang w:eastAsia="en-MY"/>
          <w14:ligatures w14:val="none"/>
        </w:rPr>
        <w:t xml:space="preserve"> Abdul Razak </w:t>
      </w:r>
      <w:proofErr w:type="spellStart"/>
      <w:r w:rsidRPr="00837A4E">
        <w:rPr>
          <w:rFonts w:ascii="Times New Roman" w:eastAsia="Times New Roman" w:hAnsi="Times New Roman" w:cs="Times New Roman"/>
          <w:noProof w:val="0"/>
          <w:kern w:val="0"/>
          <w:sz w:val="24"/>
          <w:szCs w:val="24"/>
          <w:lang w:eastAsia="en-MY"/>
          <w14:ligatures w14:val="none"/>
        </w:rPr>
        <w:t>et</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al</w:t>
      </w:r>
      <w:proofErr w:type="spellEnd"/>
      <w:r w:rsidRPr="00837A4E">
        <w:rPr>
          <w:rFonts w:ascii="Times New Roman" w:eastAsia="Times New Roman" w:hAnsi="Times New Roman" w:cs="Times New Roman"/>
          <w:noProof w:val="0"/>
          <w:kern w:val="0"/>
          <w:sz w:val="24"/>
          <w:szCs w:val="24"/>
          <w:lang w:eastAsia="en-MY"/>
          <w14:ligatures w14:val="none"/>
        </w:rPr>
        <w:t>.</w:t>
      </w:r>
      <w:r w:rsidR="002D6A44">
        <w:rPr>
          <w:rFonts w:ascii="Times New Roman" w:eastAsia="Times New Roman" w:hAnsi="Times New Roman" w:cs="Times New Roman"/>
          <w:noProof w:val="0"/>
          <w:kern w:val="0"/>
          <w:sz w:val="24"/>
          <w:szCs w:val="24"/>
          <w:lang w:eastAsia="en-MY"/>
          <w14:ligatures w14:val="none"/>
        </w:rPr>
        <w:t>,</w:t>
      </w:r>
      <w:r w:rsidRPr="00837A4E">
        <w:rPr>
          <w:rFonts w:ascii="Times New Roman" w:eastAsia="Times New Roman" w:hAnsi="Times New Roman" w:cs="Times New Roman"/>
          <w:noProof w:val="0"/>
          <w:kern w:val="0"/>
          <w:sz w:val="24"/>
          <w:szCs w:val="24"/>
          <w:lang w:eastAsia="en-MY"/>
          <w14:ligatures w14:val="none"/>
        </w:rPr>
        <w:t xml:space="preserve"> (2020) shows that the public's belief in administrative management and transparency is also related to their acceptance of the integrity and sustainability of commercial property waqf. People who believe that waqf management is done well and the administration is done transparently tend to have a positive acceptance of the desire for commercial real estate. </w:t>
      </w:r>
      <w:proofErr w:type="spellStart"/>
      <w:r w:rsidRPr="00837A4E">
        <w:rPr>
          <w:rFonts w:ascii="Times New Roman" w:eastAsia="Times New Roman" w:hAnsi="Times New Roman" w:cs="Times New Roman"/>
          <w:noProof w:val="0"/>
          <w:kern w:val="0"/>
          <w:sz w:val="24"/>
          <w:szCs w:val="24"/>
          <w:lang w:eastAsia="en-MY"/>
          <w14:ligatures w14:val="none"/>
        </w:rPr>
        <w:t>Other</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research</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conducted</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by</w:t>
      </w:r>
      <w:proofErr w:type="spellEnd"/>
      <w:r w:rsidRPr="00837A4E">
        <w:rPr>
          <w:rFonts w:ascii="Times New Roman" w:eastAsia="Times New Roman" w:hAnsi="Times New Roman" w:cs="Times New Roman"/>
          <w:noProof w:val="0"/>
          <w:kern w:val="0"/>
          <w:sz w:val="24"/>
          <w:szCs w:val="24"/>
          <w:lang w:eastAsia="en-MY"/>
          <w14:ligatures w14:val="none"/>
        </w:rPr>
        <w:t xml:space="preserve"> Nor </w:t>
      </w:r>
      <w:proofErr w:type="spellStart"/>
      <w:r w:rsidRPr="00837A4E">
        <w:rPr>
          <w:rFonts w:ascii="Times New Roman" w:eastAsia="Times New Roman" w:hAnsi="Times New Roman" w:cs="Times New Roman"/>
          <w:noProof w:val="0"/>
          <w:kern w:val="0"/>
          <w:sz w:val="24"/>
          <w:szCs w:val="24"/>
          <w:lang w:eastAsia="en-MY"/>
          <w14:ligatures w14:val="none"/>
        </w:rPr>
        <w:t>et</w:t>
      </w:r>
      <w:proofErr w:type="spellEnd"/>
      <w:r w:rsidRPr="00837A4E">
        <w:rPr>
          <w:rFonts w:ascii="Times New Roman" w:eastAsia="Times New Roman" w:hAnsi="Times New Roman" w:cs="Times New Roman"/>
          <w:noProof w:val="0"/>
          <w:kern w:val="0"/>
          <w:sz w:val="24"/>
          <w:szCs w:val="24"/>
          <w:lang w:eastAsia="en-MY"/>
          <w14:ligatures w14:val="none"/>
        </w:rPr>
        <w:t xml:space="preserve"> </w:t>
      </w:r>
      <w:proofErr w:type="spellStart"/>
      <w:r w:rsidRPr="00837A4E">
        <w:rPr>
          <w:rFonts w:ascii="Times New Roman" w:eastAsia="Times New Roman" w:hAnsi="Times New Roman" w:cs="Times New Roman"/>
          <w:noProof w:val="0"/>
          <w:kern w:val="0"/>
          <w:sz w:val="24"/>
          <w:szCs w:val="24"/>
          <w:lang w:eastAsia="en-MY"/>
          <w14:ligatures w14:val="none"/>
        </w:rPr>
        <w:t>al</w:t>
      </w:r>
      <w:proofErr w:type="spellEnd"/>
      <w:r w:rsidRPr="00837A4E">
        <w:rPr>
          <w:rFonts w:ascii="Times New Roman" w:eastAsia="Times New Roman" w:hAnsi="Times New Roman" w:cs="Times New Roman"/>
          <w:noProof w:val="0"/>
          <w:kern w:val="0"/>
          <w:sz w:val="24"/>
          <w:szCs w:val="24"/>
          <w:lang w:eastAsia="en-MY"/>
          <w14:ligatures w14:val="none"/>
        </w:rPr>
        <w:t>.</w:t>
      </w:r>
      <w:r w:rsidR="002D6A44">
        <w:rPr>
          <w:rFonts w:ascii="Times New Roman" w:eastAsia="Times New Roman" w:hAnsi="Times New Roman" w:cs="Times New Roman"/>
          <w:noProof w:val="0"/>
          <w:kern w:val="0"/>
          <w:sz w:val="24"/>
          <w:szCs w:val="24"/>
          <w:lang w:eastAsia="en-MY"/>
          <w14:ligatures w14:val="none"/>
        </w:rPr>
        <w:t>,</w:t>
      </w:r>
      <w:r w:rsidRPr="00837A4E">
        <w:rPr>
          <w:rFonts w:ascii="Times New Roman" w:eastAsia="Times New Roman" w:hAnsi="Times New Roman" w:cs="Times New Roman"/>
          <w:noProof w:val="0"/>
          <w:kern w:val="0"/>
          <w:sz w:val="24"/>
          <w:szCs w:val="24"/>
          <w:lang w:eastAsia="en-MY"/>
          <w14:ligatures w14:val="none"/>
        </w:rPr>
        <w:t xml:space="preserve"> (2018) emphasizes the importance of public trust in the management and transparency of the administration in developing good relations between the management of waqf and the community. A high degree of trust in management and administrative transparency helps to strengthen relationships and magnify society's desire for commercial real estate.</w:t>
      </w:r>
    </w:p>
    <w:p w14:paraId="610C3E88" w14:textId="74316D38" w:rsidR="00837A4E" w:rsidRPr="00837A4E" w:rsidRDefault="00837A4E" w:rsidP="005240D5">
      <w:pPr>
        <w:spacing w:before="100" w:beforeAutospacing="1" w:after="100" w:afterAutospacing="1" w:line="360" w:lineRule="auto"/>
        <w:ind w:firstLine="426"/>
        <w:contextualSpacing/>
        <w:jc w:val="both"/>
        <w:rPr>
          <w:rFonts w:ascii="Times New Roman" w:eastAsia="Times New Roman" w:hAnsi="Times New Roman" w:cs="Times New Roman"/>
          <w:noProof w:val="0"/>
          <w:kern w:val="0"/>
          <w:sz w:val="24"/>
          <w:szCs w:val="24"/>
          <w:lang w:eastAsia="en-MY"/>
          <w14:ligatures w14:val="none"/>
        </w:rPr>
      </w:pPr>
      <w:r w:rsidRPr="00837A4E">
        <w:rPr>
          <w:rFonts w:ascii="Times New Roman" w:eastAsia="Times New Roman" w:hAnsi="Times New Roman" w:cs="Times New Roman"/>
          <w:noProof w:val="0"/>
          <w:kern w:val="0"/>
          <w:sz w:val="24"/>
          <w:szCs w:val="24"/>
          <w:lang w:eastAsia="en-MY"/>
          <w14:ligatures w14:val="none"/>
        </w:rPr>
        <w:t xml:space="preserve">In conclusion, the belief in management and administrative transparency has a significant positive influence on the public's desire to create commercial real estate in Malaysian society. Belief in the ability of waqf managers, acceptance of the integrity of waqf, and confidence in administrative transparency play an important role in shaping the desire </w:t>
      </w:r>
      <w:r w:rsidR="006A132D">
        <w:rPr>
          <w:rFonts w:ascii="Times New Roman" w:eastAsia="Times New Roman" w:hAnsi="Times New Roman" w:cs="Times New Roman"/>
          <w:noProof w:val="0"/>
          <w:kern w:val="0"/>
          <w:sz w:val="24"/>
          <w:szCs w:val="24"/>
          <w:lang w:eastAsia="en-MY"/>
          <w14:ligatures w14:val="none"/>
        </w:rPr>
        <w:t>for</w:t>
      </w:r>
      <w:r w:rsidRPr="00837A4E">
        <w:rPr>
          <w:rFonts w:ascii="Times New Roman" w:eastAsia="Times New Roman" w:hAnsi="Times New Roman" w:cs="Times New Roman"/>
          <w:noProof w:val="0"/>
          <w:kern w:val="0"/>
          <w:sz w:val="24"/>
          <w:szCs w:val="24"/>
          <w:lang w:eastAsia="en-MY"/>
          <w14:ligatures w14:val="none"/>
        </w:rPr>
        <w:t xml:space="preserve"> commercial real estate waqf.</w:t>
      </w:r>
    </w:p>
    <w:p w14:paraId="7CD16E17" w14:textId="77777777" w:rsidR="005D1EBB" w:rsidRPr="0039167F" w:rsidRDefault="005D1EBB" w:rsidP="005240D5">
      <w:pPr>
        <w:spacing w:before="100" w:beforeAutospacing="1" w:after="100" w:afterAutospacing="1" w:line="360" w:lineRule="auto"/>
        <w:contextualSpacing/>
        <w:jc w:val="both"/>
        <w:rPr>
          <w:rFonts w:ascii="Times New Roman" w:eastAsia="Times New Roman" w:hAnsi="Times New Roman" w:cs="Times New Roman"/>
          <w:noProof w:val="0"/>
          <w:kern w:val="0"/>
          <w:sz w:val="24"/>
          <w:szCs w:val="24"/>
          <w:lang w:eastAsia="en-MY"/>
          <w14:ligatures w14:val="none"/>
        </w:rPr>
      </w:pPr>
    </w:p>
    <w:p w14:paraId="130A9612" w14:textId="5C8AF79A" w:rsidR="0039167F" w:rsidRDefault="0003624F" w:rsidP="005240D5">
      <w:pPr>
        <w:spacing w:before="100" w:beforeAutospacing="1" w:after="100" w:afterAutospacing="1" w:line="360" w:lineRule="auto"/>
        <w:contextualSpacing/>
        <w:jc w:val="both"/>
        <w:rPr>
          <w:rFonts w:ascii="Times New Roman" w:eastAsia="Times New Roman" w:hAnsi="Times New Roman" w:cs="Times New Roman"/>
          <w:i/>
          <w:iCs/>
          <w:noProof w:val="0"/>
          <w:kern w:val="0"/>
          <w:sz w:val="24"/>
          <w:szCs w:val="24"/>
          <w:lang w:eastAsia="en-MY"/>
          <w14:ligatures w14:val="none"/>
        </w:rPr>
      </w:pPr>
      <w:r w:rsidRPr="0039167F">
        <w:rPr>
          <w:rFonts w:ascii="Times New Roman" w:eastAsia="Times New Roman" w:hAnsi="Times New Roman" w:cs="Times New Roman"/>
          <w:i/>
          <w:iCs/>
          <w:noProof w:val="0"/>
          <w:kern w:val="0"/>
          <w:sz w:val="24"/>
          <w:szCs w:val="24"/>
          <w:lang w:eastAsia="en-MY"/>
          <w14:ligatures w14:val="none"/>
        </w:rPr>
        <w:t xml:space="preserve">H4: The Socioeconomic level of the community has a significant positive impact </w:t>
      </w:r>
      <w:proofErr w:type="spellStart"/>
      <w:r w:rsidRPr="0039167F">
        <w:rPr>
          <w:rFonts w:ascii="Times New Roman" w:eastAsia="Times New Roman" w:hAnsi="Times New Roman" w:cs="Times New Roman"/>
          <w:i/>
          <w:iCs/>
          <w:noProof w:val="0"/>
          <w:kern w:val="0"/>
          <w:sz w:val="24"/>
          <w:szCs w:val="24"/>
          <w:lang w:eastAsia="en-MY"/>
          <w14:ligatures w14:val="none"/>
        </w:rPr>
        <w:t>on</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the</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desire</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006A132D">
        <w:rPr>
          <w:rFonts w:ascii="Times New Roman" w:eastAsia="Times New Roman" w:hAnsi="Times New Roman" w:cs="Times New Roman"/>
          <w:i/>
          <w:iCs/>
          <w:noProof w:val="0"/>
          <w:kern w:val="0"/>
          <w:sz w:val="24"/>
          <w:szCs w:val="24"/>
          <w:lang w:eastAsia="en-MY"/>
          <w14:ligatures w14:val="none"/>
        </w:rPr>
        <w:t>for</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commercial</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property</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waqf</w:t>
      </w:r>
      <w:proofErr w:type="spellEnd"/>
      <w:r w:rsidRPr="0039167F">
        <w:rPr>
          <w:rFonts w:ascii="Times New Roman" w:eastAsia="Times New Roman" w:hAnsi="Times New Roman" w:cs="Times New Roman"/>
          <w:i/>
          <w:iCs/>
          <w:noProof w:val="0"/>
          <w:kern w:val="0"/>
          <w:sz w:val="24"/>
          <w:szCs w:val="24"/>
          <w:lang w:eastAsia="en-MY"/>
          <w14:ligatures w14:val="none"/>
        </w:rPr>
        <w:t xml:space="preserve"> in </w:t>
      </w:r>
      <w:proofErr w:type="spellStart"/>
      <w:r w:rsidRPr="0039167F">
        <w:rPr>
          <w:rFonts w:ascii="Times New Roman" w:eastAsia="Times New Roman" w:hAnsi="Times New Roman" w:cs="Times New Roman"/>
          <w:i/>
          <w:iCs/>
          <w:noProof w:val="0"/>
          <w:kern w:val="0"/>
          <w:sz w:val="24"/>
          <w:szCs w:val="24"/>
          <w:lang w:eastAsia="en-MY"/>
          <w14:ligatures w14:val="none"/>
        </w:rPr>
        <w:t>Malaysian</w:t>
      </w:r>
      <w:proofErr w:type="spellEnd"/>
      <w:r w:rsidRPr="0039167F">
        <w:rPr>
          <w:rFonts w:ascii="Times New Roman" w:eastAsia="Times New Roman" w:hAnsi="Times New Roman" w:cs="Times New Roman"/>
          <w:i/>
          <w:iCs/>
          <w:noProof w:val="0"/>
          <w:kern w:val="0"/>
          <w:sz w:val="24"/>
          <w:szCs w:val="24"/>
          <w:lang w:eastAsia="en-MY"/>
          <w14:ligatures w14:val="none"/>
        </w:rPr>
        <w:t xml:space="preserve"> </w:t>
      </w:r>
      <w:proofErr w:type="spellStart"/>
      <w:r w:rsidRPr="0039167F">
        <w:rPr>
          <w:rFonts w:ascii="Times New Roman" w:eastAsia="Times New Roman" w:hAnsi="Times New Roman" w:cs="Times New Roman"/>
          <w:i/>
          <w:iCs/>
          <w:noProof w:val="0"/>
          <w:kern w:val="0"/>
          <w:sz w:val="24"/>
          <w:szCs w:val="24"/>
          <w:lang w:eastAsia="en-MY"/>
          <w14:ligatures w14:val="none"/>
        </w:rPr>
        <w:t>society</w:t>
      </w:r>
      <w:proofErr w:type="spellEnd"/>
      <w:r w:rsidRPr="0039167F">
        <w:rPr>
          <w:rFonts w:ascii="Times New Roman" w:eastAsia="Times New Roman" w:hAnsi="Times New Roman" w:cs="Times New Roman"/>
          <w:i/>
          <w:iCs/>
          <w:noProof w:val="0"/>
          <w:kern w:val="0"/>
          <w:sz w:val="24"/>
          <w:szCs w:val="24"/>
          <w:lang w:eastAsia="en-MY"/>
          <w14:ligatures w14:val="none"/>
        </w:rPr>
        <w:t>.</w:t>
      </w:r>
      <w:bookmarkStart w:id="7" w:name="_Hlk137419634"/>
      <w:bookmarkEnd w:id="7"/>
    </w:p>
    <w:p w14:paraId="278D9C44" w14:textId="77777777" w:rsidR="002D6A44" w:rsidRPr="0039167F" w:rsidRDefault="002D6A44" w:rsidP="005240D5">
      <w:pPr>
        <w:spacing w:before="100" w:beforeAutospacing="1" w:after="100" w:afterAutospacing="1" w:line="360" w:lineRule="auto"/>
        <w:contextualSpacing/>
        <w:jc w:val="both"/>
        <w:rPr>
          <w:rFonts w:ascii="Times New Roman" w:eastAsia="Times New Roman" w:hAnsi="Times New Roman" w:cs="Times New Roman"/>
          <w:i/>
          <w:iCs/>
          <w:noProof w:val="0"/>
          <w:kern w:val="0"/>
          <w:sz w:val="24"/>
          <w:szCs w:val="24"/>
          <w:lang w:eastAsia="en-MY"/>
          <w14:ligatures w14:val="none"/>
        </w:rPr>
      </w:pPr>
    </w:p>
    <w:p w14:paraId="77AF2C20" w14:textId="594CB5EA" w:rsidR="00837A4E" w:rsidRPr="003C251E" w:rsidRDefault="00837A4E" w:rsidP="003C251E">
      <w:pPr>
        <w:spacing w:before="100" w:beforeAutospacing="1" w:after="100" w:afterAutospacing="1" w:line="360" w:lineRule="auto"/>
        <w:contextualSpacing/>
        <w:jc w:val="both"/>
        <w:rPr>
          <w:rFonts w:eastAsia="Times New Roman"/>
          <w:noProof w:val="0"/>
          <w:kern w:val="0"/>
          <w:lang w:val="en-MY" w:eastAsia="en-MY"/>
          <w14:ligatures w14:val="none"/>
        </w:rPr>
      </w:pPr>
      <w:r w:rsidRPr="00837A4E">
        <w:rPr>
          <w:rFonts w:ascii="Times New Roman" w:eastAsia="Times New Roman" w:hAnsi="Times New Roman" w:cs="Times New Roman"/>
          <w:noProof w:val="0"/>
          <w:kern w:val="0"/>
          <w:sz w:val="24"/>
          <w:szCs w:val="24"/>
          <w:lang w:eastAsia="en-MY"/>
          <w14:ligatures w14:val="none"/>
        </w:rPr>
        <w:t xml:space="preserve">The socioeconomic level of society does not have a significant impact on the desire </w:t>
      </w:r>
      <w:r w:rsidR="006A132D">
        <w:rPr>
          <w:rFonts w:ascii="Times New Roman" w:eastAsia="Times New Roman" w:hAnsi="Times New Roman" w:cs="Times New Roman"/>
          <w:noProof w:val="0"/>
          <w:kern w:val="0"/>
          <w:sz w:val="24"/>
          <w:szCs w:val="24"/>
          <w:lang w:eastAsia="en-MY"/>
          <w14:ligatures w14:val="none"/>
        </w:rPr>
        <w:t>for</w:t>
      </w:r>
      <w:r w:rsidRPr="00837A4E">
        <w:rPr>
          <w:rFonts w:ascii="Times New Roman" w:eastAsia="Times New Roman" w:hAnsi="Times New Roman" w:cs="Times New Roman"/>
          <w:noProof w:val="0"/>
          <w:kern w:val="0"/>
          <w:sz w:val="24"/>
          <w:szCs w:val="24"/>
          <w:lang w:eastAsia="en-MY"/>
          <w14:ligatures w14:val="none"/>
        </w:rPr>
        <w:t xml:space="preserve"> commercial property waqf in Malaysian society with a t-statistical value= of 1.384 and a value-P=0.168. </w:t>
      </w:r>
      <w:r w:rsidRPr="00837A4E">
        <w:rPr>
          <w:rFonts w:ascii="Times New Roman" w:eastAsia="Times New Roman" w:hAnsi="Times New Roman" w:cs="Times New Roman"/>
          <w:kern w:val="0"/>
          <w:sz w:val="24"/>
          <w:szCs w:val="24"/>
          <w:lang w:eastAsia="en-MY"/>
          <w14:ligatures w14:val="none"/>
        </w:rPr>
        <w:t>A study by Ismail et al. (2016) shows that socio-economic factors such as income, education, and employment do not have a significant influence on society's desire for commercial real estate. Although there are differences in the socio-economic level of society, this does not significantly affect their desire to engage in commercial property waqf. The results of this study were stated by previous researchers. Yusuf et al.</w:t>
      </w:r>
      <w:r w:rsidR="002D6A44">
        <w:rPr>
          <w:rFonts w:ascii="Times New Roman" w:eastAsia="Times New Roman" w:hAnsi="Times New Roman" w:cs="Times New Roman"/>
          <w:kern w:val="0"/>
          <w:sz w:val="24"/>
          <w:szCs w:val="24"/>
          <w:lang w:eastAsia="en-MY"/>
          <w14:ligatures w14:val="none"/>
        </w:rPr>
        <w:t>,</w:t>
      </w:r>
      <w:r w:rsidRPr="00837A4E">
        <w:rPr>
          <w:rFonts w:ascii="Times New Roman" w:eastAsia="Times New Roman" w:hAnsi="Times New Roman" w:cs="Times New Roman"/>
          <w:kern w:val="0"/>
          <w:sz w:val="24"/>
          <w:szCs w:val="24"/>
          <w:lang w:eastAsia="en-MY"/>
          <w14:ligatures w14:val="none"/>
        </w:rPr>
        <w:t xml:space="preserve"> (2019) also supported the findings. They found that socio-economic factors did not have a significant relationship with the desire for commercial property waqf among the Malaysian community.</w:t>
      </w:r>
    </w:p>
    <w:p w14:paraId="30D9EF15" w14:textId="046DBC06" w:rsidR="00837A4E" w:rsidRPr="00837A4E" w:rsidRDefault="00837A4E" w:rsidP="003C251E">
      <w:pPr>
        <w:spacing w:before="100" w:beforeAutospacing="1" w:after="100" w:afterAutospacing="1" w:line="360" w:lineRule="auto"/>
        <w:ind w:firstLine="720"/>
        <w:contextualSpacing/>
        <w:jc w:val="both"/>
        <w:rPr>
          <w:rFonts w:ascii="Times New Roman" w:eastAsia="Times New Roman" w:hAnsi="Times New Roman" w:cs="Times New Roman"/>
          <w:kern w:val="0"/>
          <w:sz w:val="24"/>
          <w:szCs w:val="24"/>
          <w:lang w:eastAsia="en-MY"/>
          <w14:ligatures w14:val="none"/>
        </w:rPr>
      </w:pPr>
      <w:r w:rsidRPr="00837A4E">
        <w:rPr>
          <w:rFonts w:ascii="Times New Roman" w:eastAsia="Times New Roman" w:hAnsi="Times New Roman" w:cs="Times New Roman"/>
          <w:kern w:val="0"/>
          <w:sz w:val="24"/>
          <w:szCs w:val="24"/>
          <w:lang w:eastAsia="en-MY"/>
          <w14:ligatures w14:val="none"/>
        </w:rPr>
        <w:t>Other studies conducted by Mohd Nawi et al.</w:t>
      </w:r>
      <w:r w:rsidR="002D6A44">
        <w:rPr>
          <w:rFonts w:ascii="Times New Roman" w:eastAsia="Times New Roman" w:hAnsi="Times New Roman" w:cs="Times New Roman"/>
          <w:kern w:val="0"/>
          <w:sz w:val="24"/>
          <w:szCs w:val="24"/>
          <w:lang w:eastAsia="en-MY"/>
          <w14:ligatures w14:val="none"/>
        </w:rPr>
        <w:t>,</w:t>
      </w:r>
      <w:r w:rsidRPr="00837A4E">
        <w:rPr>
          <w:rFonts w:ascii="Times New Roman" w:eastAsia="Times New Roman" w:hAnsi="Times New Roman" w:cs="Times New Roman"/>
          <w:kern w:val="0"/>
          <w:sz w:val="24"/>
          <w:szCs w:val="24"/>
          <w:lang w:eastAsia="en-MY"/>
          <w14:ligatures w14:val="none"/>
        </w:rPr>
        <w:t xml:space="preserve"> (2018) highlighted that other factors such as religious beliefs, acceptance of the benefits of waqf, and knowledge of waqf have a stronger </w:t>
      </w:r>
      <w:r w:rsidRPr="00837A4E">
        <w:rPr>
          <w:rFonts w:ascii="Times New Roman" w:eastAsia="Times New Roman" w:hAnsi="Times New Roman" w:cs="Times New Roman"/>
          <w:kern w:val="0"/>
          <w:sz w:val="24"/>
          <w:szCs w:val="24"/>
          <w:lang w:eastAsia="en-MY"/>
          <w14:ligatures w14:val="none"/>
        </w:rPr>
        <w:lastRenderedPageBreak/>
        <w:t xml:space="preserve">influence on the desire </w:t>
      </w:r>
      <w:r w:rsidR="006A132D">
        <w:rPr>
          <w:rFonts w:ascii="Times New Roman" w:eastAsia="Times New Roman" w:hAnsi="Times New Roman" w:cs="Times New Roman"/>
          <w:kern w:val="0"/>
          <w:sz w:val="24"/>
          <w:szCs w:val="24"/>
          <w:lang w:eastAsia="en-MY"/>
          <w14:ligatures w14:val="none"/>
        </w:rPr>
        <w:t>for</w:t>
      </w:r>
      <w:r w:rsidRPr="00837A4E">
        <w:rPr>
          <w:rFonts w:ascii="Times New Roman" w:eastAsia="Times New Roman" w:hAnsi="Times New Roman" w:cs="Times New Roman"/>
          <w:kern w:val="0"/>
          <w:sz w:val="24"/>
          <w:szCs w:val="24"/>
          <w:lang w:eastAsia="en-MY"/>
          <w14:ligatures w14:val="none"/>
        </w:rPr>
        <w:t xml:space="preserve"> commercial property waqf than socioeconomic factors. In conclusion, the results showed that the socio-economic level of society does not have a significant influence on the desire </w:t>
      </w:r>
      <w:r w:rsidR="006A132D">
        <w:rPr>
          <w:rFonts w:ascii="Times New Roman" w:eastAsia="Times New Roman" w:hAnsi="Times New Roman" w:cs="Times New Roman"/>
          <w:kern w:val="0"/>
          <w:sz w:val="24"/>
          <w:szCs w:val="24"/>
          <w:lang w:eastAsia="en-MY"/>
          <w14:ligatures w14:val="none"/>
        </w:rPr>
        <w:t>for</w:t>
      </w:r>
      <w:r w:rsidRPr="00837A4E">
        <w:rPr>
          <w:rFonts w:ascii="Times New Roman" w:eastAsia="Times New Roman" w:hAnsi="Times New Roman" w:cs="Times New Roman"/>
          <w:kern w:val="0"/>
          <w:sz w:val="24"/>
          <w:szCs w:val="24"/>
          <w:lang w:eastAsia="en-MY"/>
          <w14:ligatures w14:val="none"/>
        </w:rPr>
        <w:t xml:space="preserve"> commercial property waqf in Malaysian society. Other factors such as religious beliefs, acceptance of waqf benefits, and knowledge of waqf are more dominant in influencing society's desire for commercial real estate.</w:t>
      </w:r>
    </w:p>
    <w:p w14:paraId="5F905BE1" w14:textId="77777777" w:rsidR="00626346" w:rsidRPr="00837A4E" w:rsidRDefault="00626346" w:rsidP="005240D5">
      <w:pPr>
        <w:spacing w:line="360" w:lineRule="auto"/>
        <w:contextualSpacing/>
        <w:jc w:val="both"/>
        <w:rPr>
          <w:rFonts w:ascii="Times New Roman" w:eastAsia="Times New Roman" w:hAnsi="Times New Roman" w:cs="Times New Roman"/>
          <w:noProof w:val="0"/>
          <w:kern w:val="0"/>
          <w:sz w:val="24"/>
          <w:szCs w:val="24"/>
          <w:lang w:eastAsia="en-MY"/>
          <w14:ligatures w14:val="none"/>
        </w:rPr>
      </w:pPr>
    </w:p>
    <w:p w14:paraId="41E31899" w14:textId="77777777" w:rsidR="003C251E" w:rsidRPr="003C251E" w:rsidRDefault="00745D83" w:rsidP="003C251E">
      <w:pPr>
        <w:spacing w:line="360" w:lineRule="auto"/>
        <w:contextualSpacing/>
        <w:jc w:val="center"/>
        <w:rPr>
          <w:rFonts w:ascii="Times New Roman" w:hAnsi="Times New Roman" w:cs="Times New Roman"/>
          <w:noProof w:val="0"/>
          <w:sz w:val="24"/>
          <w:szCs w:val="24"/>
        </w:rPr>
      </w:pPr>
      <w:r w:rsidRPr="003C251E">
        <w:rPr>
          <w:rFonts w:ascii="Times New Roman" w:hAnsi="Times New Roman" w:cs="Times New Roman"/>
          <w:noProof w:val="0"/>
          <w:sz w:val="24"/>
          <w:szCs w:val="24"/>
        </w:rPr>
        <w:t>CONCLUSION</w:t>
      </w:r>
      <w:r w:rsidRPr="003C251E">
        <w:rPr>
          <w:rFonts w:ascii="Times New Roman" w:hAnsi="Times New Roman" w:cs="Times New Roman"/>
          <w:noProof w:val="0"/>
          <w:sz w:val="24"/>
          <w:szCs w:val="24"/>
        </w:rPr>
        <w:br/>
      </w:r>
    </w:p>
    <w:p w14:paraId="02E787C5" w14:textId="50CC1F8C" w:rsidR="003411FB" w:rsidRPr="003411FB" w:rsidRDefault="003411FB" w:rsidP="003C251E">
      <w:pPr>
        <w:spacing w:line="360" w:lineRule="auto"/>
        <w:contextualSpacing/>
        <w:jc w:val="both"/>
        <w:rPr>
          <w:rFonts w:ascii="Times New Roman" w:hAnsi="Times New Roman" w:cs="Times New Roman"/>
          <w:noProof w:val="0"/>
          <w:sz w:val="24"/>
          <w:szCs w:val="24"/>
        </w:rPr>
      </w:pPr>
      <w:proofErr w:type="spellStart"/>
      <w:r>
        <w:rPr>
          <w:rFonts w:ascii="Times New Roman" w:hAnsi="Times New Roman" w:cs="Times New Roman"/>
          <w:noProof w:val="0"/>
          <w:sz w:val="24"/>
          <w:szCs w:val="24"/>
        </w:rPr>
        <w:t>This</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study</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uses</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quantitative</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measurements</w:t>
      </w:r>
      <w:proofErr w:type="spellEnd"/>
      <w:r>
        <w:rPr>
          <w:rFonts w:ascii="Times New Roman" w:hAnsi="Times New Roman" w:cs="Times New Roman"/>
          <w:noProof w:val="0"/>
          <w:sz w:val="24"/>
          <w:szCs w:val="24"/>
        </w:rPr>
        <w:t xml:space="preserve"> </w:t>
      </w:r>
      <w:proofErr w:type="spellStart"/>
      <w:r w:rsidR="006A132D">
        <w:rPr>
          <w:rFonts w:ascii="Times New Roman" w:hAnsi="Times New Roman" w:cs="Times New Roman"/>
          <w:noProof w:val="0"/>
          <w:sz w:val="24"/>
          <w:szCs w:val="24"/>
        </w:rPr>
        <w:t>to</w:t>
      </w:r>
      <w:proofErr w:type="spellEnd"/>
      <w:r w:rsidR="006A132D">
        <w:rPr>
          <w:rFonts w:ascii="Times New Roman" w:hAnsi="Times New Roman" w:cs="Times New Roman"/>
          <w:noProof w:val="0"/>
          <w:sz w:val="24"/>
          <w:szCs w:val="24"/>
        </w:rPr>
        <w:t xml:space="preserve"> </w:t>
      </w:r>
      <w:proofErr w:type="spellStart"/>
      <w:r w:rsidR="006A132D">
        <w:rPr>
          <w:rFonts w:ascii="Times New Roman" w:hAnsi="Times New Roman" w:cs="Times New Roman"/>
          <w:noProof w:val="0"/>
          <w:sz w:val="24"/>
          <w:szCs w:val="24"/>
        </w:rPr>
        <w:t>look</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at</w:t>
      </w:r>
      <w:proofErr w:type="spellEnd"/>
      <w:r>
        <w:rPr>
          <w:rFonts w:ascii="Times New Roman" w:hAnsi="Times New Roman" w:cs="Times New Roman"/>
          <w:noProof w:val="0"/>
          <w:sz w:val="24"/>
          <w:szCs w:val="24"/>
        </w:rPr>
        <w:t xml:space="preserve"> the effectiveness of commercial property waqf acceptance factors among the community. The results showed that the understanding and acceptance of the community towards the concept of waqf commercial real estate can be a significant factor in the participation of the waqf. In addition, religious beliefs and cultural norms serve as the basis and justification for the implementation of waqf as a social and religious responsibility. </w:t>
      </w:r>
      <w:r w:rsidR="005F4DE6">
        <w:rPr>
          <w:rFonts w:ascii="Times New Roman" w:hAnsi="Times New Roman" w:cs="Times New Roman"/>
          <w:noProof w:val="0"/>
          <w:sz w:val="24"/>
          <w:szCs w:val="24"/>
        </w:rPr>
        <w:t>While</w:t>
      </w:r>
      <w:r>
        <w:rPr>
          <w:rFonts w:ascii="Times New Roman" w:hAnsi="Times New Roman" w:cs="Times New Roman"/>
          <w:noProof w:val="0"/>
          <w:sz w:val="24"/>
          <w:szCs w:val="24"/>
        </w:rPr>
        <w:t xml:space="preserve"> trust in the management and transparency of the administration of waqf is significant in the integrity and sustainability of commercial property waqf.</w:t>
      </w:r>
    </w:p>
    <w:p w14:paraId="07504E3C" w14:textId="7CC168AD" w:rsidR="003411FB" w:rsidRPr="003411FB" w:rsidRDefault="003411FB" w:rsidP="005240D5">
      <w:pPr>
        <w:spacing w:line="360" w:lineRule="auto"/>
        <w:contextualSpacing/>
        <w:jc w:val="both"/>
        <w:rPr>
          <w:rFonts w:ascii="Times New Roman" w:hAnsi="Times New Roman" w:cs="Times New Roman"/>
          <w:noProof w:val="0"/>
          <w:sz w:val="24"/>
          <w:szCs w:val="24"/>
        </w:rPr>
      </w:pPr>
      <w:r>
        <w:rPr>
          <w:rFonts w:ascii="Times New Roman" w:hAnsi="Times New Roman" w:cs="Times New Roman"/>
          <w:noProof w:val="0"/>
          <w:sz w:val="24"/>
          <w:szCs w:val="24"/>
        </w:rPr>
        <w:t>This study has some limitations. First, this study was only done in a limited population, i.e. the community in the State of Selangor. Therefore, the findings of this study may not be generali</w:t>
      </w:r>
      <w:r w:rsidR="006A132D">
        <w:rPr>
          <w:rFonts w:ascii="Times New Roman" w:hAnsi="Times New Roman" w:cs="Times New Roman"/>
          <w:noProof w:val="0"/>
          <w:sz w:val="24"/>
          <w:szCs w:val="24"/>
        </w:rPr>
        <w:t>z</w:t>
      </w:r>
      <w:r>
        <w:rPr>
          <w:rFonts w:ascii="Times New Roman" w:hAnsi="Times New Roman" w:cs="Times New Roman"/>
          <w:noProof w:val="0"/>
          <w:sz w:val="24"/>
          <w:szCs w:val="24"/>
        </w:rPr>
        <w:t>ed to the wider population throughout Malaysia. As a recommendation, the study would be broader and more representative if it involved populations from across the country.</w:t>
      </w:r>
    </w:p>
    <w:p w14:paraId="0CF4DFB8" w14:textId="1251A483" w:rsidR="003411FB" w:rsidRPr="003411FB" w:rsidRDefault="003411FB" w:rsidP="005240D5">
      <w:pPr>
        <w:spacing w:line="360" w:lineRule="auto"/>
        <w:contextualSpacing/>
        <w:jc w:val="both"/>
        <w:rPr>
          <w:rFonts w:ascii="Times New Roman" w:hAnsi="Times New Roman" w:cs="Times New Roman"/>
          <w:noProof w:val="0"/>
          <w:sz w:val="24"/>
          <w:szCs w:val="24"/>
        </w:rPr>
      </w:pPr>
      <w:r w:rsidRPr="003411FB">
        <w:rPr>
          <w:rFonts w:ascii="Times New Roman" w:hAnsi="Times New Roman" w:cs="Times New Roman"/>
          <w:noProof w:val="0"/>
          <w:sz w:val="24"/>
          <w:szCs w:val="24"/>
        </w:rPr>
        <w:t xml:space="preserve">For the study of the front, </w:t>
      </w:r>
      <w:r w:rsidR="006A132D">
        <w:rPr>
          <w:rFonts w:ascii="Times New Roman" w:hAnsi="Times New Roman" w:cs="Times New Roman"/>
          <w:noProof w:val="0"/>
          <w:sz w:val="24"/>
          <w:szCs w:val="24"/>
        </w:rPr>
        <w:t>several recommendations</w:t>
      </w:r>
      <w:r w:rsidRPr="003411FB">
        <w:rPr>
          <w:rFonts w:ascii="Times New Roman" w:hAnsi="Times New Roman" w:cs="Times New Roman"/>
          <w:noProof w:val="0"/>
          <w:sz w:val="24"/>
          <w:szCs w:val="24"/>
        </w:rPr>
        <w:t xml:space="preserve"> can be taken into account. First, the study uses a quantitative approach by using survey forms as data collection instruments. Therefore, future studies can take a qualitative approach to research in depth the public's perception and desire towards commercial real estate waqf. In addition, further studies can also involve a wider target group such as various levels of society, including not only individuals involved in commercial property waqf, but also individuals who have not been involved. This will provide a more comprehensive understanding of the public's perception and desire towards commercial property waqf. </w:t>
      </w:r>
    </w:p>
    <w:p w14:paraId="29373E02" w14:textId="77777777" w:rsidR="003411FB" w:rsidRPr="003411FB" w:rsidRDefault="003411FB" w:rsidP="005240D5">
      <w:pPr>
        <w:spacing w:line="360" w:lineRule="auto"/>
        <w:ind w:firstLine="720"/>
        <w:contextualSpacing/>
        <w:jc w:val="both"/>
        <w:rPr>
          <w:rFonts w:ascii="Times New Roman" w:hAnsi="Times New Roman" w:cs="Times New Roman"/>
          <w:noProof w:val="0"/>
          <w:sz w:val="24"/>
          <w:szCs w:val="24"/>
        </w:rPr>
      </w:pPr>
      <w:r w:rsidRPr="003411FB">
        <w:rPr>
          <w:rFonts w:ascii="Times New Roman" w:hAnsi="Times New Roman" w:cs="Times New Roman"/>
          <w:noProof w:val="0"/>
          <w:sz w:val="24"/>
          <w:szCs w:val="24"/>
        </w:rPr>
        <w:t>Overall, this study provides a deeper understanding of the factors that influence the public's perception and desire towards the agenda of commercial property waqf in Malaysian society. Despite some limitations, the results of this study provide valuable initial insights to researchers and stakeholders in understanding the factors that need to be noted in planning and implementing the commercial property waqf program in Malaysia.</w:t>
      </w:r>
    </w:p>
    <w:p w14:paraId="024D8BC2" w14:textId="2779CD6E" w:rsidR="00FC282C" w:rsidRPr="003C251E" w:rsidRDefault="00643018" w:rsidP="003C251E">
      <w:pPr>
        <w:spacing w:line="360" w:lineRule="auto"/>
        <w:contextualSpacing/>
        <w:jc w:val="center"/>
        <w:rPr>
          <w:rFonts w:ascii="Times New Roman" w:hAnsi="Times New Roman" w:cs="Times New Roman"/>
          <w:noProof w:val="0"/>
          <w:sz w:val="24"/>
          <w:szCs w:val="24"/>
        </w:rPr>
      </w:pPr>
      <w:r w:rsidRPr="0039167F">
        <w:rPr>
          <w:rFonts w:ascii="Times New Roman" w:hAnsi="Times New Roman" w:cs="Times New Roman"/>
          <w:b/>
          <w:bCs/>
          <w:noProof w:val="0"/>
          <w:sz w:val="24"/>
          <w:szCs w:val="24"/>
        </w:rPr>
        <w:br/>
      </w:r>
      <w:r w:rsidR="00FC282C" w:rsidRPr="003C251E">
        <w:rPr>
          <w:rFonts w:ascii="Times New Roman" w:hAnsi="Times New Roman" w:cs="Times New Roman"/>
          <w:noProof w:val="0"/>
          <w:sz w:val="24"/>
          <w:szCs w:val="24"/>
        </w:rPr>
        <w:t>ACKNOWLEDGEMENT</w:t>
      </w:r>
    </w:p>
    <w:p w14:paraId="127B461C" w14:textId="77777777" w:rsidR="003C251E" w:rsidRDefault="003C251E" w:rsidP="005240D5">
      <w:pPr>
        <w:spacing w:line="360" w:lineRule="auto"/>
        <w:contextualSpacing/>
        <w:jc w:val="both"/>
        <w:rPr>
          <w:rFonts w:ascii="Times New Roman" w:hAnsi="Times New Roman" w:cs="Times New Roman"/>
          <w:noProof w:val="0"/>
          <w:sz w:val="24"/>
          <w:szCs w:val="24"/>
        </w:rPr>
      </w:pPr>
    </w:p>
    <w:p w14:paraId="7B02FD23" w14:textId="40337E26" w:rsidR="005726CC" w:rsidRPr="00FF4F61" w:rsidRDefault="005726CC" w:rsidP="005240D5">
      <w:pPr>
        <w:spacing w:line="360" w:lineRule="auto"/>
        <w:contextualSpacing/>
        <w:jc w:val="both"/>
        <w:rPr>
          <w:rFonts w:ascii="Times New Roman" w:hAnsi="Times New Roman" w:cs="Times New Roman"/>
          <w:noProof w:val="0"/>
          <w:sz w:val="24"/>
          <w:szCs w:val="24"/>
        </w:rPr>
      </w:pPr>
      <w:proofErr w:type="spellStart"/>
      <w:r w:rsidRPr="00FF4F61">
        <w:rPr>
          <w:rFonts w:ascii="Times New Roman" w:hAnsi="Times New Roman" w:cs="Times New Roman"/>
          <w:noProof w:val="0"/>
          <w:sz w:val="24"/>
          <w:szCs w:val="24"/>
        </w:rPr>
        <w:t>This</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research</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is</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funded</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by</w:t>
      </w:r>
      <w:proofErr w:type="spellEnd"/>
      <w:r w:rsidRPr="00FF4F61">
        <w:rPr>
          <w:rFonts w:ascii="Times New Roman" w:hAnsi="Times New Roman" w:cs="Times New Roman"/>
          <w:noProof w:val="0"/>
          <w:sz w:val="24"/>
          <w:szCs w:val="24"/>
        </w:rPr>
        <w:t xml:space="preserve"> Universiti Kebangsaan Malaysia </w:t>
      </w:r>
      <w:proofErr w:type="spellStart"/>
      <w:r w:rsidR="00FF4F61" w:rsidRPr="00FF4F61">
        <w:rPr>
          <w:rFonts w:ascii="Times New Roman" w:hAnsi="Times New Roman" w:cs="Times New Roman"/>
          <w:noProof w:val="0"/>
          <w:sz w:val="24"/>
          <w:szCs w:val="24"/>
        </w:rPr>
        <w:t>under</w:t>
      </w:r>
      <w:proofErr w:type="spellEnd"/>
      <w:r w:rsidR="00FF4F61" w:rsidRPr="00FF4F61">
        <w:rPr>
          <w:rFonts w:ascii="Times New Roman" w:hAnsi="Times New Roman" w:cs="Times New Roman"/>
          <w:noProof w:val="0"/>
          <w:sz w:val="24"/>
          <w:szCs w:val="24"/>
        </w:rPr>
        <w:t xml:space="preserve"> Geran Galakan Penyelidik Muda </w:t>
      </w:r>
      <w:r w:rsidRPr="00FF4F61">
        <w:rPr>
          <w:rFonts w:ascii="Times New Roman" w:hAnsi="Times New Roman" w:cs="Times New Roman"/>
          <w:noProof w:val="0"/>
          <w:sz w:val="24"/>
          <w:szCs w:val="24"/>
        </w:rPr>
        <w:t xml:space="preserve">(GGPM) </w:t>
      </w:r>
      <w:proofErr w:type="spellStart"/>
      <w:r w:rsidRPr="00FF4F61">
        <w:rPr>
          <w:rFonts w:ascii="Times New Roman" w:hAnsi="Times New Roman" w:cs="Times New Roman"/>
          <w:noProof w:val="0"/>
          <w:sz w:val="24"/>
          <w:szCs w:val="24"/>
        </w:rPr>
        <w:t>titled</w:t>
      </w:r>
      <w:proofErr w:type="spellEnd"/>
      <w:r w:rsidRPr="00FF4F61">
        <w:rPr>
          <w:rFonts w:ascii="Times New Roman" w:hAnsi="Times New Roman" w:cs="Times New Roman"/>
          <w:noProof w:val="0"/>
          <w:sz w:val="24"/>
          <w:szCs w:val="24"/>
        </w:rPr>
        <w:t>, "</w:t>
      </w:r>
      <w:proofErr w:type="spellStart"/>
      <w:r w:rsidRPr="00FF4F61">
        <w:rPr>
          <w:rFonts w:ascii="Times New Roman" w:hAnsi="Times New Roman" w:cs="Times New Roman"/>
          <w:noProof w:val="0"/>
          <w:sz w:val="24"/>
          <w:szCs w:val="24"/>
        </w:rPr>
        <w:t>Comprehensive</w:t>
      </w:r>
      <w:proofErr w:type="spellEnd"/>
      <w:r w:rsidRPr="00FF4F61">
        <w:rPr>
          <w:rFonts w:ascii="Times New Roman" w:hAnsi="Times New Roman" w:cs="Times New Roman"/>
          <w:noProof w:val="0"/>
          <w:sz w:val="24"/>
          <w:szCs w:val="24"/>
        </w:rPr>
        <w:t xml:space="preserve"> Legal Framework </w:t>
      </w:r>
      <w:proofErr w:type="spellStart"/>
      <w:r w:rsidRPr="00FF4F61">
        <w:rPr>
          <w:rFonts w:ascii="Times New Roman" w:hAnsi="Times New Roman" w:cs="Times New Roman"/>
          <w:noProof w:val="0"/>
          <w:sz w:val="24"/>
          <w:szCs w:val="24"/>
        </w:rPr>
        <w:t>of</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Waqf</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for</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Housing</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Waqf</w:t>
      </w:r>
      <w:proofErr w:type="spellEnd"/>
      <w:r w:rsidRPr="00FF4F61">
        <w:rPr>
          <w:rFonts w:ascii="Times New Roman" w:hAnsi="Times New Roman" w:cs="Times New Roman"/>
          <w:noProof w:val="0"/>
          <w:sz w:val="24"/>
          <w:szCs w:val="24"/>
        </w:rPr>
        <w:t xml:space="preserve"> </w:t>
      </w:r>
      <w:proofErr w:type="spellStart"/>
      <w:r w:rsidRPr="00FF4F61">
        <w:rPr>
          <w:rFonts w:ascii="Times New Roman" w:hAnsi="Times New Roman" w:cs="Times New Roman"/>
          <w:noProof w:val="0"/>
          <w:sz w:val="24"/>
          <w:szCs w:val="24"/>
        </w:rPr>
        <w:t>Development</w:t>
      </w:r>
      <w:proofErr w:type="spellEnd"/>
      <w:r w:rsidRPr="00FF4F61">
        <w:rPr>
          <w:rFonts w:ascii="Times New Roman" w:hAnsi="Times New Roman" w:cs="Times New Roman"/>
          <w:noProof w:val="0"/>
          <w:sz w:val="24"/>
          <w:szCs w:val="24"/>
        </w:rPr>
        <w:t xml:space="preserve"> in Malaysia" (Project </w:t>
      </w:r>
      <w:proofErr w:type="spellStart"/>
      <w:r w:rsidRPr="00FF4F61">
        <w:rPr>
          <w:rFonts w:ascii="Times New Roman" w:hAnsi="Times New Roman" w:cs="Times New Roman"/>
          <w:noProof w:val="0"/>
          <w:sz w:val="24"/>
          <w:szCs w:val="24"/>
        </w:rPr>
        <w:t>Code</w:t>
      </w:r>
      <w:proofErr w:type="spellEnd"/>
      <w:r w:rsidRPr="00FF4F61">
        <w:rPr>
          <w:rFonts w:ascii="Times New Roman" w:hAnsi="Times New Roman" w:cs="Times New Roman"/>
          <w:noProof w:val="0"/>
          <w:sz w:val="24"/>
          <w:szCs w:val="24"/>
        </w:rPr>
        <w:t>: GGPM-2023-074).</w:t>
      </w:r>
    </w:p>
    <w:p w14:paraId="52A4C8E0" w14:textId="77777777" w:rsidR="00FF4F61" w:rsidRDefault="00FF4F61" w:rsidP="005240D5">
      <w:pPr>
        <w:spacing w:line="360" w:lineRule="auto"/>
        <w:contextualSpacing/>
        <w:jc w:val="both"/>
        <w:rPr>
          <w:rFonts w:ascii="Times New Roman" w:hAnsi="Times New Roman" w:cs="Times New Roman"/>
          <w:b/>
          <w:bCs/>
          <w:noProof w:val="0"/>
          <w:sz w:val="24"/>
          <w:szCs w:val="24"/>
        </w:rPr>
      </w:pPr>
    </w:p>
    <w:p w14:paraId="31F6DEE1" w14:textId="2A10694F" w:rsidR="00643018" w:rsidRPr="003C251E" w:rsidRDefault="00FF4F61" w:rsidP="003C251E">
      <w:pPr>
        <w:spacing w:line="360" w:lineRule="auto"/>
        <w:contextualSpacing/>
        <w:jc w:val="center"/>
        <w:rPr>
          <w:rFonts w:ascii="Times New Roman" w:hAnsi="Times New Roman" w:cs="Times New Roman"/>
          <w:noProof w:val="0"/>
          <w:sz w:val="24"/>
          <w:szCs w:val="24"/>
        </w:rPr>
      </w:pPr>
      <w:r w:rsidRPr="003C251E">
        <w:rPr>
          <w:rFonts w:ascii="Times New Roman" w:hAnsi="Times New Roman" w:cs="Times New Roman"/>
          <w:noProof w:val="0"/>
          <w:sz w:val="24"/>
          <w:szCs w:val="24"/>
        </w:rPr>
        <w:t>REFERENCES</w:t>
      </w:r>
    </w:p>
    <w:p w14:paraId="19A37C15" w14:textId="77777777" w:rsidR="008513A5" w:rsidRPr="0034084F" w:rsidRDefault="008513A5" w:rsidP="005240D5">
      <w:pPr>
        <w:spacing w:line="360" w:lineRule="auto"/>
        <w:ind w:left="567" w:hanging="567"/>
        <w:contextualSpacing/>
        <w:jc w:val="both"/>
        <w:rPr>
          <w:rFonts w:ascii="Times New Roman" w:hAnsi="Times New Roman" w:cs="Times New Roman"/>
          <w:noProof w:val="0"/>
          <w:sz w:val="24"/>
          <w:szCs w:val="24"/>
          <w:lang w:val="en-MY"/>
        </w:rPr>
      </w:pPr>
      <w:r w:rsidRPr="0034084F">
        <w:rPr>
          <w:rFonts w:ascii="Times New Roman" w:hAnsi="Times New Roman" w:cs="Times New Roman"/>
          <w:noProof w:val="0"/>
          <w:sz w:val="24"/>
          <w:szCs w:val="24"/>
        </w:rPr>
        <w:t>Abdul Razak, D., Ali, N. A., &amp; Shahzad, K. (2019). Exploring the attitude of Muslim millennials towards waqf: The case of Malaysia. Journal of Islamic Accounting and Business Research, 10(2), 232-249.</w:t>
      </w:r>
    </w:p>
    <w:p w14:paraId="2FDBFD02" w14:textId="77777777" w:rsidR="008513A5" w:rsidRPr="00643018" w:rsidRDefault="008513A5" w:rsidP="005240D5">
      <w:pPr>
        <w:spacing w:line="360" w:lineRule="auto"/>
        <w:ind w:left="426" w:hanging="426"/>
        <w:contextualSpacing/>
        <w:jc w:val="both"/>
        <w:rPr>
          <w:rFonts w:ascii="Times New Roman" w:hAnsi="Times New Roman" w:cs="Times New Roman"/>
          <w:noProof w:val="0"/>
          <w:sz w:val="24"/>
          <w:szCs w:val="24"/>
        </w:rPr>
      </w:pPr>
      <w:r w:rsidRPr="00643018">
        <w:rPr>
          <w:rFonts w:ascii="Times New Roman" w:hAnsi="Times New Roman" w:cs="Times New Roman"/>
          <w:noProof w:val="0"/>
          <w:sz w:val="24"/>
          <w:szCs w:val="24"/>
        </w:rPr>
        <w:t>Abdul-Rahman, A., Fadhil, H., Ahmad, A., &amp; Yusoff, H. M. (2017). Waqf land development: the case of Malaysia. Planning Malaysia: Journal of the Malaysian Institute of Planners, 15(1), 105-116.</w:t>
      </w:r>
    </w:p>
    <w:p w14:paraId="2586053A" w14:textId="77777777" w:rsidR="008513A5" w:rsidRPr="008513A5"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8513A5">
        <w:rPr>
          <w:rFonts w:ascii="Times New Roman" w:hAnsi="Times New Roman" w:cs="Times New Roman"/>
          <w:noProof w:val="0"/>
          <w:sz w:val="24"/>
          <w:szCs w:val="24"/>
          <w:lang w:val="en-MY"/>
        </w:rPr>
        <w:t>Ali, A. F. (2020). Challenges of financing waqf properties in Malaysia. International Journal of Nusantara Islam, 8(1), 73-78. https://doi.org/10.15575/ijni.v8i1.9852</w:t>
      </w:r>
    </w:p>
    <w:p w14:paraId="21835132" w14:textId="77777777" w:rsidR="008513A5" w:rsidRPr="0039167F" w:rsidRDefault="008513A5" w:rsidP="005240D5">
      <w:pPr>
        <w:spacing w:line="360" w:lineRule="auto"/>
        <w:ind w:left="567" w:hanging="567"/>
        <w:contextualSpacing/>
        <w:jc w:val="both"/>
        <w:rPr>
          <w:rFonts w:ascii="Times New Roman" w:hAnsi="Times New Roman" w:cs="Times New Roman"/>
          <w:b/>
          <w:bCs/>
          <w:noProof w:val="0"/>
          <w:sz w:val="24"/>
          <w:szCs w:val="24"/>
        </w:rPr>
      </w:pPr>
      <w:r w:rsidRPr="0039167F">
        <w:rPr>
          <w:rFonts w:ascii="Times New Roman" w:hAnsi="Times New Roman" w:cs="Times New Roman"/>
          <w:noProof w:val="0"/>
          <w:sz w:val="24"/>
          <w:szCs w:val="24"/>
        </w:rPr>
        <w:t>Aziz, N. A., Baharuddin, M. N., &amp; Mohammad, M. T. M. (2017). Factors influencing the intention to make waqf land: Empirical evidence from Malaysia. Journal of Islamic Accounting and Business Research, 8(2), 164-175.</w:t>
      </w:r>
    </w:p>
    <w:p w14:paraId="45CEBDCF" w14:textId="77777777" w:rsidR="008513A5" w:rsidRPr="0034084F" w:rsidRDefault="008513A5" w:rsidP="005240D5">
      <w:pPr>
        <w:spacing w:line="360" w:lineRule="auto"/>
        <w:ind w:left="567" w:hanging="567"/>
        <w:contextualSpacing/>
        <w:jc w:val="both"/>
        <w:rPr>
          <w:rFonts w:ascii="Times New Roman" w:hAnsi="Times New Roman" w:cs="Times New Roman"/>
          <w:noProof w:val="0"/>
          <w:sz w:val="24"/>
          <w:szCs w:val="24"/>
          <w:lang w:val="en-MY"/>
        </w:rPr>
      </w:pPr>
      <w:r w:rsidRPr="0034084F">
        <w:rPr>
          <w:rFonts w:ascii="Times New Roman" w:hAnsi="Times New Roman" w:cs="Times New Roman"/>
          <w:noProof w:val="0"/>
          <w:sz w:val="24"/>
          <w:szCs w:val="24"/>
        </w:rPr>
        <w:t>Banna, H., &amp; Munawar, S. M. (2016). Factors influencing the intention to donate waqf land: A case of Malaysian Muslims. Journal of Islamic Marketing, 7(2), 236-256.</w:t>
      </w:r>
    </w:p>
    <w:p w14:paraId="27549574" w14:textId="513DD2AF" w:rsidR="008513A5" w:rsidRPr="00991BEE"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991BEE">
        <w:rPr>
          <w:rFonts w:ascii="Times New Roman" w:hAnsi="Times New Roman" w:cs="Times New Roman"/>
          <w:noProof w:val="0"/>
          <w:sz w:val="24"/>
          <w:szCs w:val="24"/>
        </w:rPr>
        <w:t>Hair, Joe F., Sarstedt, M., Hopkins, L., &amp; Kuppelwieser, V. G. (2014). Partial least squares structural equation modeling (</w:t>
      </w:r>
      <w:r w:rsidR="007C4A83">
        <w:rPr>
          <w:rFonts w:ascii="Times New Roman" w:hAnsi="Times New Roman" w:cs="Times New Roman"/>
          <w:noProof w:val="0"/>
          <w:sz w:val="24"/>
          <w:szCs w:val="24"/>
        </w:rPr>
        <w:t>PLS-SEM</w:t>
      </w:r>
      <w:r w:rsidRPr="00991BEE">
        <w:rPr>
          <w:rFonts w:ascii="Times New Roman" w:hAnsi="Times New Roman" w:cs="Times New Roman"/>
          <w:noProof w:val="0"/>
          <w:sz w:val="24"/>
          <w:szCs w:val="24"/>
        </w:rPr>
        <w:t>): An emerging tool in business research. European Business Review, 26(2), 106–121. https://doi.org/10.1108/EBR-10-2013-0128</w:t>
      </w:r>
    </w:p>
    <w:p w14:paraId="72F64227" w14:textId="6497106E" w:rsidR="008513A5" w:rsidRPr="00991BEE"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991BEE">
        <w:rPr>
          <w:rFonts w:ascii="Times New Roman" w:hAnsi="Times New Roman" w:cs="Times New Roman"/>
          <w:noProof w:val="0"/>
          <w:sz w:val="24"/>
          <w:szCs w:val="24"/>
        </w:rPr>
        <w:t xml:space="preserve">Hair, Joseph F., Risher, J. J., Sarstedt, M., &amp; Ringle, C. M. (2019). When to use and how to report the results of </w:t>
      </w:r>
      <w:r w:rsidR="007C4A83">
        <w:rPr>
          <w:rFonts w:ascii="Times New Roman" w:hAnsi="Times New Roman" w:cs="Times New Roman"/>
          <w:noProof w:val="0"/>
          <w:sz w:val="24"/>
          <w:szCs w:val="24"/>
        </w:rPr>
        <w:t>PLS-SEM</w:t>
      </w:r>
      <w:r w:rsidRPr="00991BEE">
        <w:rPr>
          <w:rFonts w:ascii="Times New Roman" w:hAnsi="Times New Roman" w:cs="Times New Roman"/>
          <w:noProof w:val="0"/>
          <w:sz w:val="24"/>
          <w:szCs w:val="24"/>
        </w:rPr>
        <w:t>. European Business Review, 31(1), 2–24. https://doi.org/10.1108/EBR-11-2018-0203</w:t>
      </w:r>
    </w:p>
    <w:p w14:paraId="6C54C927" w14:textId="77777777" w:rsidR="008513A5" w:rsidRPr="00643018" w:rsidRDefault="008513A5" w:rsidP="005240D5">
      <w:pPr>
        <w:spacing w:line="360" w:lineRule="auto"/>
        <w:ind w:left="426" w:hanging="426"/>
        <w:contextualSpacing/>
        <w:jc w:val="both"/>
        <w:rPr>
          <w:rFonts w:ascii="Times New Roman" w:hAnsi="Times New Roman" w:cs="Times New Roman"/>
          <w:noProof w:val="0"/>
          <w:sz w:val="24"/>
          <w:szCs w:val="24"/>
        </w:rPr>
      </w:pPr>
      <w:r w:rsidRPr="00643018">
        <w:rPr>
          <w:rFonts w:ascii="Times New Roman" w:hAnsi="Times New Roman" w:cs="Times New Roman"/>
          <w:noProof w:val="0"/>
          <w:sz w:val="24"/>
          <w:szCs w:val="24"/>
        </w:rPr>
        <w:t>Hamid, N. A., Sulaiman, N., &amp; Zahari, I. (2019). The Influence of Socioeconomic Factors on the Intention to Donate to Waqf in Malaysia: A Preliminary Study. Journal of Contemporary Islamic Studies, 5(1), 1-18.</w:t>
      </w:r>
    </w:p>
    <w:p w14:paraId="0BB5C818" w14:textId="77777777" w:rsidR="008513A5" w:rsidRPr="0039167F" w:rsidRDefault="008513A5" w:rsidP="005240D5">
      <w:pPr>
        <w:spacing w:line="360" w:lineRule="auto"/>
        <w:ind w:left="567" w:hanging="567"/>
        <w:contextualSpacing/>
        <w:jc w:val="both"/>
        <w:rPr>
          <w:rFonts w:ascii="Times New Roman" w:hAnsi="Times New Roman" w:cs="Times New Roman"/>
          <w:b/>
          <w:bCs/>
          <w:noProof w:val="0"/>
          <w:sz w:val="24"/>
          <w:szCs w:val="24"/>
        </w:rPr>
      </w:pPr>
      <w:r w:rsidRPr="0039167F">
        <w:rPr>
          <w:rFonts w:ascii="Times New Roman" w:hAnsi="Times New Roman" w:cs="Times New Roman"/>
          <w:noProof w:val="0"/>
          <w:sz w:val="24"/>
          <w:szCs w:val="24"/>
        </w:rPr>
        <w:t>Hussin, N., Mohd Saat, N. Z., Abdul Rahim, R., &amp; Amat Saat, M. R. (2018). Determinants of waqf land development: Evidence from Malaysia. International Journal of Built Environment and Sustainability, 5(1), 55-63.</w:t>
      </w:r>
    </w:p>
    <w:p w14:paraId="57C9FBFC" w14:textId="77777777" w:rsidR="008513A5" w:rsidRPr="00837A4E"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837A4E">
        <w:rPr>
          <w:rFonts w:ascii="Times New Roman" w:hAnsi="Times New Roman" w:cs="Times New Roman"/>
          <w:noProof w:val="0"/>
          <w:sz w:val="24"/>
          <w:szCs w:val="24"/>
        </w:rPr>
        <w:t>Ibrahim, S., Ali, N. A., &amp; Shahzad, K. (2017). Factors affecting waqf donation behavior in Malaysia: An analysis of Muslim millennials. Journal of Islamic Accounting and Business Research, 8(2), 140-156.</w:t>
      </w:r>
    </w:p>
    <w:p w14:paraId="7AD4E662" w14:textId="77777777" w:rsidR="008513A5" w:rsidRPr="008513A5"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8513A5">
        <w:rPr>
          <w:rFonts w:ascii="Times New Roman" w:hAnsi="Times New Roman" w:cs="Times New Roman"/>
          <w:noProof w:val="0"/>
          <w:sz w:val="24"/>
          <w:szCs w:val="24"/>
          <w:lang w:val="en-MY"/>
        </w:rPr>
        <w:lastRenderedPageBreak/>
        <w:t xml:space="preserve">Iman, A. H. M., &amp; Mohammad, M. T. S. H. (2017). Waqf financing: Classical principles and innovative models. Review of Islamic Economics, 11(2), 151-166. </w:t>
      </w:r>
    </w:p>
    <w:p w14:paraId="549736C2" w14:textId="77777777" w:rsidR="008513A5" w:rsidRPr="003B0CF5"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3B0CF5">
        <w:rPr>
          <w:rFonts w:ascii="Times New Roman" w:hAnsi="Times New Roman" w:cs="Times New Roman"/>
          <w:noProof w:val="0"/>
          <w:sz w:val="24"/>
          <w:szCs w:val="24"/>
        </w:rPr>
        <w:t>Ismail, A. A., Mohamed, W. M. N. W., &amp; Mohd Nor, N. (2016). Factors influencing Muslim donations in Malaysia: A study on waqf (endowment) intention. Asian Journal of Business and Accounting, 9(1), 65-97.</w:t>
      </w:r>
    </w:p>
    <w:p w14:paraId="481CA5BD" w14:textId="77777777" w:rsidR="008513A5" w:rsidRPr="003B0CF5"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3B0CF5">
        <w:rPr>
          <w:rFonts w:ascii="Times New Roman" w:hAnsi="Times New Roman" w:cs="Times New Roman"/>
          <w:noProof w:val="0"/>
          <w:sz w:val="24"/>
          <w:szCs w:val="24"/>
        </w:rPr>
        <w:t>Ismail, A. A., Mohd Shariff, R. N., &amp; Razak, D. A. (2017). Examining factors influencing intention to donate waqf in Malaysia. Journal of Islamic Accounting and Business Research, 8(1), 2-19.</w:t>
      </w:r>
    </w:p>
    <w:p w14:paraId="0E0F27C5" w14:textId="77777777" w:rsidR="008513A5" w:rsidRPr="0039167F" w:rsidRDefault="008513A5" w:rsidP="005240D5">
      <w:pPr>
        <w:spacing w:line="360" w:lineRule="auto"/>
        <w:ind w:left="567" w:hanging="567"/>
        <w:contextualSpacing/>
        <w:jc w:val="both"/>
        <w:rPr>
          <w:rFonts w:ascii="Times New Roman" w:hAnsi="Times New Roman" w:cs="Times New Roman"/>
          <w:b/>
          <w:bCs/>
          <w:noProof w:val="0"/>
          <w:sz w:val="24"/>
          <w:szCs w:val="24"/>
        </w:rPr>
      </w:pPr>
      <w:r w:rsidRPr="0039167F">
        <w:rPr>
          <w:rFonts w:ascii="Times New Roman" w:hAnsi="Times New Roman" w:cs="Times New Roman"/>
          <w:noProof w:val="0"/>
          <w:sz w:val="24"/>
          <w:szCs w:val="24"/>
        </w:rPr>
        <w:t>Jamaludin, A. F., Razak, N. Z., &amp; Che Nordin, N. A. (2016). Exploring the factors affecting the intention to donate waqf land in Malaysia. International Journal of Economics, Commerce and Management, 4(4), 68-80.</w:t>
      </w:r>
    </w:p>
    <w:p w14:paraId="76755774" w14:textId="77777777" w:rsidR="008513A5" w:rsidRPr="008513A5" w:rsidRDefault="008513A5" w:rsidP="005240D5">
      <w:pPr>
        <w:spacing w:line="360" w:lineRule="auto"/>
        <w:ind w:left="426" w:hanging="426"/>
        <w:contextualSpacing/>
        <w:jc w:val="both"/>
        <w:rPr>
          <w:rFonts w:ascii="Times New Roman" w:hAnsi="Times New Roman" w:cs="Times New Roman"/>
          <w:noProof w:val="0"/>
          <w:sz w:val="24"/>
          <w:szCs w:val="24"/>
          <w:lang w:val="en-MY"/>
        </w:rPr>
      </w:pPr>
      <w:proofErr w:type="spellStart"/>
      <w:r w:rsidRPr="008513A5">
        <w:rPr>
          <w:rFonts w:ascii="Times New Roman" w:hAnsi="Times New Roman" w:cs="Times New Roman"/>
          <w:noProof w:val="0"/>
          <w:sz w:val="24"/>
          <w:szCs w:val="24"/>
          <w:lang w:val="en-MY"/>
        </w:rPr>
        <w:t>Kahf</w:t>
      </w:r>
      <w:proofErr w:type="spellEnd"/>
      <w:r w:rsidRPr="008513A5">
        <w:rPr>
          <w:rFonts w:ascii="Times New Roman" w:hAnsi="Times New Roman" w:cs="Times New Roman"/>
          <w:noProof w:val="0"/>
          <w:sz w:val="24"/>
          <w:szCs w:val="24"/>
          <w:lang w:val="en-MY"/>
        </w:rPr>
        <w:t>, M. (2015). Waqf and its sociopolitical aspects: Essential readings in contemporary waqf issues. Kube Publishing.</w:t>
      </w:r>
    </w:p>
    <w:p w14:paraId="0EA8E166" w14:textId="77777777" w:rsidR="008513A5" w:rsidRDefault="008513A5" w:rsidP="005240D5">
      <w:pPr>
        <w:spacing w:line="360" w:lineRule="auto"/>
        <w:ind w:left="567" w:hanging="567"/>
        <w:contextualSpacing/>
        <w:jc w:val="both"/>
        <w:rPr>
          <w:rFonts w:ascii="Times New Roman" w:hAnsi="Times New Roman" w:cs="Times New Roman"/>
          <w:noProof w:val="0"/>
          <w:sz w:val="24"/>
          <w:szCs w:val="24"/>
          <w:lang w:val="en-MY"/>
        </w:rPr>
      </w:pPr>
      <w:r w:rsidRPr="0034084F">
        <w:rPr>
          <w:rFonts w:ascii="Times New Roman" w:hAnsi="Times New Roman" w:cs="Times New Roman"/>
          <w:noProof w:val="0"/>
          <w:sz w:val="24"/>
          <w:szCs w:val="24"/>
        </w:rPr>
        <w:t>Kamaruddin, A. N., Zainol, F. A., &amp; Abdullah, M. M. (2018). Factors influencing the intention to donate land for waqf purposes: An empirical study in Malaysia. International Journal of Academic Research in Business and Social Sciences, 8(2), 233-248.</w:t>
      </w:r>
    </w:p>
    <w:p w14:paraId="7FDBBB07" w14:textId="77777777" w:rsidR="008513A5" w:rsidRPr="003B0CF5"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3B0CF5">
        <w:rPr>
          <w:rFonts w:ascii="Times New Roman" w:hAnsi="Times New Roman" w:cs="Times New Roman"/>
          <w:noProof w:val="0"/>
          <w:sz w:val="24"/>
          <w:szCs w:val="24"/>
        </w:rPr>
        <w:t>Mohd Nawi, N. E., Salleh, N. M., &amp; Jusoh, M. R. (2018). Determinants of endowment (waqf) intention among employees in Malaysia. Journal of Islamic Marketing, 9(2), 428-443.</w:t>
      </w:r>
    </w:p>
    <w:p w14:paraId="2BA2E57E" w14:textId="77777777" w:rsidR="008513A5" w:rsidRPr="008513A5"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8513A5">
        <w:rPr>
          <w:rFonts w:ascii="Times New Roman" w:hAnsi="Times New Roman" w:cs="Times New Roman"/>
          <w:noProof w:val="0"/>
          <w:sz w:val="24"/>
          <w:szCs w:val="24"/>
          <w:lang w:val="en-MY"/>
        </w:rPr>
        <w:t>Mohsin, M. I. A. (2013). Financing through cash-waqf: A revitalization to finance different needs. International Journal of Islamic and Middle Eastern Finance and Management, 6(4), 304-321</w:t>
      </w:r>
    </w:p>
    <w:p w14:paraId="234AE69F" w14:textId="77777777" w:rsidR="008513A5" w:rsidRDefault="008513A5" w:rsidP="005240D5">
      <w:pPr>
        <w:spacing w:line="360" w:lineRule="auto"/>
        <w:ind w:left="567" w:hanging="567"/>
        <w:contextualSpacing/>
        <w:jc w:val="both"/>
        <w:rPr>
          <w:rFonts w:ascii="Times New Roman" w:hAnsi="Times New Roman" w:cs="Times New Roman"/>
          <w:noProof w:val="0"/>
          <w:sz w:val="24"/>
          <w:szCs w:val="24"/>
          <w:lang w:val="en-MY"/>
        </w:rPr>
      </w:pPr>
      <w:r w:rsidRPr="0034084F">
        <w:rPr>
          <w:rFonts w:ascii="Times New Roman" w:hAnsi="Times New Roman" w:cs="Times New Roman"/>
          <w:noProof w:val="0"/>
          <w:sz w:val="24"/>
          <w:szCs w:val="24"/>
        </w:rPr>
        <w:t>Mustafa, R., Shahimi, S., &amp; Ahmad, R. (2018). The influence of religiosity on the intention to donate waqf land: The mediating role of attitudes. International Journal of Economics, Commerce and Management, 6(9), 269-283.</w:t>
      </w:r>
    </w:p>
    <w:p w14:paraId="0B7E1F0E" w14:textId="77777777" w:rsidR="008513A5" w:rsidRPr="008513A5" w:rsidRDefault="008513A5" w:rsidP="005240D5">
      <w:pPr>
        <w:spacing w:line="360" w:lineRule="auto"/>
        <w:ind w:left="426" w:hanging="426"/>
        <w:contextualSpacing/>
        <w:jc w:val="both"/>
        <w:rPr>
          <w:rFonts w:ascii="Times New Roman" w:hAnsi="Times New Roman" w:cs="Times New Roman"/>
          <w:noProof w:val="0"/>
          <w:sz w:val="24"/>
          <w:szCs w:val="24"/>
          <w:lang w:val="en-MY"/>
        </w:rPr>
      </w:pPr>
      <w:proofErr w:type="spellStart"/>
      <w:r w:rsidRPr="008513A5">
        <w:rPr>
          <w:rFonts w:ascii="Times New Roman" w:hAnsi="Times New Roman" w:cs="Times New Roman"/>
          <w:noProof w:val="0"/>
          <w:sz w:val="24"/>
          <w:szCs w:val="24"/>
          <w:lang w:val="en-MY"/>
        </w:rPr>
        <w:t>Namim</w:t>
      </w:r>
      <w:proofErr w:type="spellEnd"/>
      <w:r w:rsidRPr="008513A5">
        <w:rPr>
          <w:rFonts w:ascii="Times New Roman" w:hAnsi="Times New Roman" w:cs="Times New Roman"/>
          <w:noProof w:val="0"/>
          <w:sz w:val="24"/>
          <w:szCs w:val="24"/>
          <w:lang w:val="en-MY"/>
        </w:rPr>
        <w:t xml:space="preserve">, A. A. (2019). The challenges facing the development of waqf properties in Malaysia. Humanities &amp; Social Sciences Reviews, 7(2), 471-478. </w:t>
      </w:r>
    </w:p>
    <w:p w14:paraId="007A25E5" w14:textId="77777777" w:rsidR="008513A5" w:rsidRPr="00643018" w:rsidRDefault="008513A5" w:rsidP="005240D5">
      <w:pPr>
        <w:spacing w:line="360" w:lineRule="auto"/>
        <w:ind w:left="426" w:hanging="426"/>
        <w:contextualSpacing/>
        <w:jc w:val="both"/>
        <w:rPr>
          <w:rFonts w:ascii="Times New Roman" w:hAnsi="Times New Roman" w:cs="Times New Roman"/>
          <w:noProof w:val="0"/>
          <w:sz w:val="24"/>
          <w:szCs w:val="24"/>
        </w:rPr>
      </w:pPr>
      <w:r w:rsidRPr="00643018">
        <w:rPr>
          <w:rFonts w:ascii="Times New Roman" w:hAnsi="Times New Roman" w:cs="Times New Roman"/>
          <w:noProof w:val="0"/>
          <w:sz w:val="24"/>
          <w:szCs w:val="24"/>
        </w:rPr>
        <w:t>Nizar, M. F. M., Nor, M. N. M., Yussof, I., &amp; Haron, R. (2018). The Effect of Socioeconomic Factors on the Willingness to Waqf: A Preliminary Study among Malaysian Muslims. Journal of Fatwa Management and Research, 14(1), 1-14.</w:t>
      </w:r>
    </w:p>
    <w:p w14:paraId="690C7271" w14:textId="77777777" w:rsidR="008513A5" w:rsidRPr="00837A4E"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837A4E">
        <w:rPr>
          <w:rFonts w:ascii="Times New Roman" w:hAnsi="Times New Roman" w:cs="Times New Roman"/>
          <w:noProof w:val="0"/>
          <w:sz w:val="24"/>
          <w:szCs w:val="24"/>
        </w:rPr>
        <w:t>Nor, N. F. M., Shafii, Z., Ahmad, N., &amp; Roshidi, A. H. (2018). Factors influencing the intention to donate commercial waqf properties: A conceptual framework. Journal of Islamic, Social, Economics and Development, 3(9), 15-26.</w:t>
      </w:r>
    </w:p>
    <w:p w14:paraId="1D8F585C" w14:textId="77777777" w:rsidR="008513A5" w:rsidRPr="003B0CF5"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8513A5">
        <w:rPr>
          <w:rFonts w:ascii="Times New Roman" w:hAnsi="Times New Roman" w:cs="Times New Roman"/>
          <w:noProof w:val="0"/>
          <w:sz w:val="24"/>
          <w:szCs w:val="24"/>
          <w:lang w:val="en-MY"/>
        </w:rPr>
        <w:t>Omar, P. F. (2015). Financing waqf property development: A Malaysian perspective. Journal of Accounting, Finance and Economics, 5(1), 13-23.</w:t>
      </w:r>
    </w:p>
    <w:p w14:paraId="1F3D714E" w14:textId="77777777" w:rsidR="008513A5" w:rsidRDefault="008513A5" w:rsidP="005240D5">
      <w:pPr>
        <w:spacing w:line="360" w:lineRule="auto"/>
        <w:ind w:left="426" w:hanging="426"/>
        <w:contextualSpacing/>
        <w:jc w:val="both"/>
        <w:rPr>
          <w:rFonts w:ascii="Times New Roman" w:hAnsi="Times New Roman" w:cs="Times New Roman"/>
          <w:noProof w:val="0"/>
          <w:sz w:val="24"/>
          <w:szCs w:val="24"/>
        </w:rPr>
      </w:pPr>
      <w:r w:rsidRPr="00643018">
        <w:rPr>
          <w:rFonts w:ascii="Times New Roman" w:hAnsi="Times New Roman" w:cs="Times New Roman"/>
          <w:noProof w:val="0"/>
          <w:sz w:val="24"/>
          <w:szCs w:val="24"/>
        </w:rPr>
        <w:lastRenderedPageBreak/>
        <w:t xml:space="preserve">Othman, A., Ismail, A. G., &amp; Mahmud, M. (2015). </w:t>
      </w:r>
      <w:r>
        <w:rPr>
          <w:rFonts w:ascii="Times New Roman" w:hAnsi="Times New Roman" w:cs="Times New Roman"/>
          <w:noProof w:val="0"/>
          <w:sz w:val="24"/>
          <w:szCs w:val="24"/>
        </w:rPr>
        <w:t>Waqf</w:t>
      </w:r>
      <w:r w:rsidRPr="00643018">
        <w:rPr>
          <w:rFonts w:ascii="Times New Roman" w:hAnsi="Times New Roman" w:cs="Times New Roman"/>
          <w:noProof w:val="0"/>
          <w:sz w:val="24"/>
          <w:szCs w:val="24"/>
        </w:rPr>
        <w:t xml:space="preserve"> law and challenge. Journal of Islam in Asia, 12(2), 67-90.</w:t>
      </w:r>
    </w:p>
    <w:p w14:paraId="13307370" w14:textId="77777777" w:rsidR="008513A5" w:rsidRPr="0039167F" w:rsidRDefault="008513A5" w:rsidP="005240D5">
      <w:pPr>
        <w:spacing w:line="360" w:lineRule="auto"/>
        <w:ind w:left="567" w:hanging="567"/>
        <w:contextualSpacing/>
        <w:jc w:val="both"/>
        <w:rPr>
          <w:rFonts w:ascii="Times New Roman" w:hAnsi="Times New Roman" w:cs="Times New Roman"/>
          <w:b/>
          <w:bCs/>
          <w:noProof w:val="0"/>
          <w:sz w:val="24"/>
          <w:szCs w:val="24"/>
        </w:rPr>
      </w:pPr>
      <w:r w:rsidRPr="0039167F">
        <w:rPr>
          <w:rFonts w:ascii="Times New Roman" w:hAnsi="Times New Roman" w:cs="Times New Roman"/>
          <w:noProof w:val="0"/>
          <w:sz w:val="24"/>
          <w:szCs w:val="24"/>
        </w:rPr>
        <w:t>Othman, R., Razak, D. A., &amp; Zulkifli, N. N. (2020). The development of waqf land in Malaysia: Challenges and prospects. Planning Malaysia, 18(2), 234-246.</w:t>
      </w:r>
    </w:p>
    <w:p w14:paraId="44C948B5" w14:textId="77777777" w:rsidR="008513A5" w:rsidRPr="00643018" w:rsidRDefault="008513A5" w:rsidP="005240D5">
      <w:pPr>
        <w:spacing w:line="360" w:lineRule="auto"/>
        <w:ind w:left="426" w:hanging="426"/>
        <w:contextualSpacing/>
        <w:jc w:val="both"/>
        <w:rPr>
          <w:rFonts w:ascii="Times New Roman" w:hAnsi="Times New Roman" w:cs="Times New Roman"/>
          <w:noProof w:val="0"/>
          <w:sz w:val="24"/>
          <w:szCs w:val="24"/>
        </w:rPr>
      </w:pPr>
      <w:r w:rsidRPr="00643018">
        <w:rPr>
          <w:rFonts w:ascii="Times New Roman" w:hAnsi="Times New Roman" w:cs="Times New Roman"/>
          <w:noProof w:val="0"/>
          <w:sz w:val="24"/>
          <w:szCs w:val="24"/>
        </w:rPr>
        <w:t>Ramli, N. A., Aaron, N. H., &amp; Kamil, M. M. (2016). The Role of Waqf in Reducing Socio-Economic Inequality: A Conceptual Paper. In 4th International Conference on Islamic Economics and Economies of the OIC Countries (pp. 116-129).</w:t>
      </w:r>
    </w:p>
    <w:p w14:paraId="78F72A5B" w14:textId="77777777" w:rsidR="008513A5" w:rsidRDefault="008513A5" w:rsidP="005240D5">
      <w:pPr>
        <w:spacing w:line="360" w:lineRule="auto"/>
        <w:ind w:left="567" w:hanging="567"/>
        <w:contextualSpacing/>
        <w:jc w:val="both"/>
        <w:rPr>
          <w:rFonts w:ascii="Times New Roman" w:hAnsi="Times New Roman" w:cs="Times New Roman"/>
          <w:noProof w:val="0"/>
          <w:sz w:val="24"/>
          <w:szCs w:val="24"/>
        </w:rPr>
      </w:pPr>
      <w:r w:rsidRPr="0039167F">
        <w:rPr>
          <w:rFonts w:ascii="Times New Roman" w:hAnsi="Times New Roman" w:cs="Times New Roman"/>
          <w:noProof w:val="0"/>
          <w:sz w:val="24"/>
          <w:szCs w:val="24"/>
        </w:rPr>
        <w:t>Sabri, S. (2018). The role of perception and knowledge in waqf performance: A study on waqf entrepreneurs in Malaysia. Journal of Islamic Monetary Economics and Finance, 3(1), 35-52.</w:t>
      </w:r>
    </w:p>
    <w:p w14:paraId="3D20E6C3" w14:textId="77777777" w:rsidR="008513A5" w:rsidRPr="00991BEE"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991BEE">
        <w:rPr>
          <w:rFonts w:ascii="Times New Roman" w:hAnsi="Times New Roman" w:cs="Times New Roman"/>
          <w:noProof w:val="0"/>
          <w:sz w:val="24"/>
          <w:szCs w:val="24"/>
        </w:rPr>
        <w:t xml:space="preserve">Sarstedt, M., Ringle, C. M., &amp; Hair, J. F. (2022). Partial Least Squares Structural Equation Modeling. Handbook of Market Research, May 2020, 587–632. </w:t>
      </w:r>
    </w:p>
    <w:p w14:paraId="32418A80" w14:textId="77777777" w:rsidR="008513A5" w:rsidRPr="00991BEE" w:rsidRDefault="008513A5" w:rsidP="005240D5">
      <w:pPr>
        <w:spacing w:line="360" w:lineRule="auto"/>
        <w:ind w:left="426" w:hanging="426"/>
        <w:contextualSpacing/>
        <w:jc w:val="both"/>
        <w:rPr>
          <w:rFonts w:ascii="Times New Roman" w:hAnsi="Times New Roman" w:cs="Times New Roman"/>
          <w:noProof w:val="0"/>
          <w:sz w:val="24"/>
          <w:szCs w:val="24"/>
          <w:lang w:val="en-MY"/>
        </w:rPr>
      </w:pPr>
      <w:r w:rsidRPr="00991BEE">
        <w:rPr>
          <w:rFonts w:ascii="Times New Roman" w:hAnsi="Times New Roman" w:cs="Times New Roman"/>
          <w:noProof w:val="0"/>
          <w:sz w:val="24"/>
          <w:szCs w:val="24"/>
        </w:rPr>
        <w:t>Taber, K. S. (2018). The Use of Cronbach's Alpha When Developing and Reporting Research Instruments in Science Education. Research in Science Education, 48(6), 1273–1296. https://doi.org/10.1007/s11165-016-9602-2</w:t>
      </w:r>
    </w:p>
    <w:p w14:paraId="176B2B2B" w14:textId="77777777" w:rsidR="008513A5" w:rsidRDefault="008513A5" w:rsidP="005240D5">
      <w:pPr>
        <w:spacing w:line="360" w:lineRule="auto"/>
        <w:ind w:left="426" w:hanging="426"/>
        <w:contextualSpacing/>
        <w:jc w:val="both"/>
        <w:rPr>
          <w:rFonts w:ascii="Times New Roman" w:hAnsi="Times New Roman" w:cs="Times New Roman"/>
          <w:noProof w:val="0"/>
          <w:sz w:val="24"/>
          <w:szCs w:val="24"/>
        </w:rPr>
      </w:pPr>
      <w:r w:rsidRPr="003B0CF5">
        <w:rPr>
          <w:rFonts w:ascii="Times New Roman" w:hAnsi="Times New Roman" w:cs="Times New Roman"/>
          <w:noProof w:val="0"/>
          <w:sz w:val="24"/>
          <w:szCs w:val="24"/>
        </w:rPr>
        <w:t xml:space="preserve">Yusuf, M. F., Abdul Razak, D., &amp; Alias, R. (2019). Factors affecting intention to donate waqf property in Malaysia. Journal of Islamic Monetary Economics </w:t>
      </w:r>
      <w:proofErr w:type="spellStart"/>
      <w:r w:rsidRPr="003B0CF5">
        <w:rPr>
          <w:rFonts w:ascii="Times New Roman" w:hAnsi="Times New Roman" w:cs="Times New Roman"/>
          <w:noProof w:val="0"/>
          <w:sz w:val="24"/>
          <w:szCs w:val="24"/>
        </w:rPr>
        <w:t>and</w:t>
      </w:r>
      <w:proofErr w:type="spellEnd"/>
      <w:r w:rsidRPr="003B0CF5">
        <w:rPr>
          <w:rFonts w:ascii="Times New Roman" w:hAnsi="Times New Roman" w:cs="Times New Roman"/>
          <w:noProof w:val="0"/>
          <w:sz w:val="24"/>
          <w:szCs w:val="24"/>
        </w:rPr>
        <w:t xml:space="preserve"> </w:t>
      </w:r>
      <w:proofErr w:type="spellStart"/>
      <w:r w:rsidRPr="003B0CF5">
        <w:rPr>
          <w:rFonts w:ascii="Times New Roman" w:hAnsi="Times New Roman" w:cs="Times New Roman"/>
          <w:noProof w:val="0"/>
          <w:sz w:val="24"/>
          <w:szCs w:val="24"/>
        </w:rPr>
        <w:t>Finance</w:t>
      </w:r>
      <w:proofErr w:type="spellEnd"/>
      <w:r w:rsidRPr="003B0CF5">
        <w:rPr>
          <w:rFonts w:ascii="Times New Roman" w:hAnsi="Times New Roman" w:cs="Times New Roman"/>
          <w:noProof w:val="0"/>
          <w:sz w:val="24"/>
          <w:szCs w:val="24"/>
        </w:rPr>
        <w:t>, 5(2), 473-490.</w:t>
      </w:r>
    </w:p>
    <w:p w14:paraId="1898D075" w14:textId="77777777" w:rsidR="00FE010A" w:rsidRDefault="00FE010A" w:rsidP="005240D5">
      <w:pPr>
        <w:spacing w:line="360" w:lineRule="auto"/>
        <w:ind w:left="426" w:hanging="426"/>
        <w:contextualSpacing/>
        <w:jc w:val="both"/>
        <w:rPr>
          <w:rFonts w:ascii="Times New Roman" w:hAnsi="Times New Roman" w:cs="Times New Roman"/>
          <w:noProof w:val="0"/>
          <w:sz w:val="24"/>
          <w:szCs w:val="24"/>
        </w:rPr>
      </w:pPr>
    </w:p>
    <w:p w14:paraId="4632CE8F" w14:textId="77777777" w:rsidR="00FE010A" w:rsidRDefault="00FE010A" w:rsidP="005240D5">
      <w:pPr>
        <w:spacing w:line="360" w:lineRule="auto"/>
        <w:ind w:left="426" w:hanging="426"/>
        <w:contextualSpacing/>
        <w:jc w:val="both"/>
        <w:rPr>
          <w:rFonts w:ascii="Times New Roman" w:hAnsi="Times New Roman" w:cs="Times New Roman"/>
          <w:noProof w:val="0"/>
          <w:sz w:val="24"/>
          <w:szCs w:val="24"/>
        </w:rPr>
      </w:pPr>
    </w:p>
    <w:p w14:paraId="15496AEA"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Mohd Izzat Amsyar Mohd Arif (Corresponding author)</w:t>
      </w:r>
    </w:p>
    <w:p w14:paraId="3C975FBC" w14:textId="70D65ED5"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Fa</w:t>
      </w:r>
      <w:r>
        <w:rPr>
          <w:rFonts w:ascii="Times New Roman" w:hAnsi="Times New Roman" w:cs="Times New Roman"/>
          <w:sz w:val="24"/>
        </w:rPr>
        <w:t>culty of Law</w:t>
      </w:r>
    </w:p>
    <w:p w14:paraId="16408924"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Unversiti Kebangsaan Malaysia</w:t>
      </w:r>
    </w:p>
    <w:p w14:paraId="44D9D563"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43600 Bangi, Selangor, Malaysia</w:t>
      </w:r>
    </w:p>
    <w:p w14:paraId="73DC105A"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Emel: izzatamsyar@ukm.edu.my</w:t>
      </w:r>
    </w:p>
    <w:p w14:paraId="5C6C4148" w14:textId="77777777" w:rsidR="00FE010A" w:rsidRPr="00630A7B" w:rsidRDefault="00FE010A" w:rsidP="00FE010A">
      <w:pPr>
        <w:spacing w:after="0" w:line="240" w:lineRule="auto"/>
        <w:rPr>
          <w:rFonts w:ascii="Times New Roman" w:hAnsi="Times New Roman" w:cs="Times New Roman"/>
          <w:sz w:val="24"/>
        </w:rPr>
      </w:pPr>
    </w:p>
    <w:p w14:paraId="40115946"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Ruzian Markom</w:t>
      </w:r>
    </w:p>
    <w:p w14:paraId="4AB438BA"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Fa</w:t>
      </w:r>
      <w:r>
        <w:rPr>
          <w:rFonts w:ascii="Times New Roman" w:hAnsi="Times New Roman" w:cs="Times New Roman"/>
          <w:sz w:val="24"/>
        </w:rPr>
        <w:t>culty of Law</w:t>
      </w:r>
    </w:p>
    <w:p w14:paraId="6ABBDCA9"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Unversiti Kebangsaan Malaysia</w:t>
      </w:r>
    </w:p>
    <w:p w14:paraId="440D3A5A"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43600 Bangi, Selangor, Malaysia</w:t>
      </w:r>
    </w:p>
    <w:p w14:paraId="4A846B4E"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Emel: ruzian@ukm.edu.my</w:t>
      </w:r>
    </w:p>
    <w:p w14:paraId="55157CA8" w14:textId="77777777" w:rsidR="00FE010A" w:rsidRPr="00630A7B" w:rsidRDefault="00FE010A" w:rsidP="00FE010A">
      <w:pPr>
        <w:spacing w:after="0" w:line="240" w:lineRule="auto"/>
        <w:rPr>
          <w:rFonts w:ascii="Times New Roman" w:hAnsi="Times New Roman" w:cs="Times New Roman"/>
          <w:sz w:val="24"/>
        </w:rPr>
      </w:pPr>
    </w:p>
    <w:p w14:paraId="345C1365"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Faezy Adenan</w:t>
      </w:r>
    </w:p>
    <w:p w14:paraId="4B60E5C7" w14:textId="5D0A71A9" w:rsidR="00FE010A" w:rsidRPr="00630A7B" w:rsidRDefault="00FE010A" w:rsidP="00FE010A">
      <w:pPr>
        <w:spacing w:after="0" w:line="240" w:lineRule="auto"/>
        <w:rPr>
          <w:rFonts w:ascii="Times New Roman" w:hAnsi="Times New Roman" w:cs="Times New Roman"/>
          <w:sz w:val="24"/>
        </w:rPr>
      </w:pPr>
      <w:r>
        <w:rPr>
          <w:rFonts w:ascii="Times New Roman" w:hAnsi="Times New Roman" w:cs="Times New Roman"/>
          <w:sz w:val="24"/>
        </w:rPr>
        <w:t>Academy of Contemporary Islamic Studies</w:t>
      </w:r>
    </w:p>
    <w:p w14:paraId="5F5BE632"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 xml:space="preserve">Universiti Teknologi MARA </w:t>
      </w:r>
    </w:p>
    <w:p w14:paraId="639B0360"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40450 Shah Alam, Selangor, Malaysia</w:t>
      </w:r>
    </w:p>
    <w:p w14:paraId="4CDD5357" w14:textId="77777777" w:rsidR="00FE010A" w:rsidRPr="00630A7B" w:rsidRDefault="00FE010A" w:rsidP="00FE010A">
      <w:pPr>
        <w:spacing w:after="0" w:line="240" w:lineRule="auto"/>
        <w:rPr>
          <w:rFonts w:ascii="Times New Roman" w:hAnsi="Times New Roman" w:cs="Times New Roman"/>
          <w:color w:val="000000" w:themeColor="text1"/>
          <w:sz w:val="28"/>
          <w:szCs w:val="24"/>
        </w:rPr>
      </w:pPr>
      <w:r w:rsidRPr="00630A7B">
        <w:rPr>
          <w:rFonts w:ascii="Times New Roman" w:hAnsi="Times New Roman" w:cs="Times New Roman"/>
          <w:sz w:val="24"/>
        </w:rPr>
        <w:t>faezyadenan@uitm.edu.my</w:t>
      </w:r>
    </w:p>
    <w:p w14:paraId="61D305CC" w14:textId="77777777" w:rsidR="00FE010A" w:rsidRPr="00630A7B" w:rsidRDefault="00FE010A" w:rsidP="00FE010A">
      <w:pPr>
        <w:spacing w:after="0" w:line="360" w:lineRule="auto"/>
        <w:jc w:val="both"/>
        <w:rPr>
          <w:rFonts w:ascii="Times New Roman" w:hAnsi="Times New Roman" w:cs="Times New Roman"/>
          <w:color w:val="000000" w:themeColor="text1"/>
          <w:sz w:val="24"/>
          <w:szCs w:val="24"/>
        </w:rPr>
      </w:pPr>
    </w:p>
    <w:p w14:paraId="7792511A" w14:textId="4962B56D" w:rsidR="00FE010A" w:rsidRPr="00630A7B" w:rsidRDefault="00FE010A" w:rsidP="00FE010A">
      <w:pPr>
        <w:spacing w:after="0" w:line="240" w:lineRule="auto"/>
        <w:rPr>
          <w:rFonts w:ascii="Times New Roman" w:hAnsi="Times New Roman" w:cs="Times New Roman"/>
          <w:sz w:val="24"/>
        </w:rPr>
      </w:pPr>
      <w:r w:rsidRPr="005E4CA0">
        <w:rPr>
          <w:rFonts w:ascii="Times New Roman" w:hAnsi="Times New Roman" w:cs="Times New Roman"/>
          <w:sz w:val="24"/>
        </w:rPr>
        <w:t>Muhammad Syahrul Deen Ahmad Rosli</w:t>
      </w:r>
    </w:p>
    <w:p w14:paraId="3C2B88CD" w14:textId="77777777" w:rsidR="00FE010A" w:rsidRPr="00630A7B" w:rsidRDefault="00FE010A" w:rsidP="00FE010A">
      <w:pPr>
        <w:spacing w:after="0" w:line="240" w:lineRule="auto"/>
        <w:rPr>
          <w:rFonts w:ascii="Times New Roman" w:hAnsi="Times New Roman" w:cs="Times New Roman"/>
          <w:sz w:val="24"/>
        </w:rPr>
      </w:pPr>
      <w:r>
        <w:rPr>
          <w:rFonts w:ascii="Times New Roman" w:hAnsi="Times New Roman" w:cs="Times New Roman"/>
          <w:sz w:val="24"/>
        </w:rPr>
        <w:t>Academy of Contemporary Islamic Studies</w:t>
      </w:r>
    </w:p>
    <w:p w14:paraId="46F01354"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t xml:space="preserve">Universiti Teknologi MARA </w:t>
      </w:r>
    </w:p>
    <w:p w14:paraId="03226AC4" w14:textId="77777777" w:rsidR="00FE010A" w:rsidRPr="00630A7B" w:rsidRDefault="00FE010A" w:rsidP="00FE010A">
      <w:pPr>
        <w:spacing w:after="0" w:line="240" w:lineRule="auto"/>
        <w:rPr>
          <w:rFonts w:ascii="Times New Roman" w:hAnsi="Times New Roman" w:cs="Times New Roman"/>
          <w:sz w:val="24"/>
        </w:rPr>
      </w:pPr>
      <w:r w:rsidRPr="00630A7B">
        <w:rPr>
          <w:rFonts w:ascii="Times New Roman" w:hAnsi="Times New Roman" w:cs="Times New Roman"/>
          <w:sz w:val="24"/>
        </w:rPr>
        <w:lastRenderedPageBreak/>
        <w:t>40450 Shah Alam, Selangor, Malaysia</w:t>
      </w:r>
    </w:p>
    <w:p w14:paraId="5A668E3C" w14:textId="77777777" w:rsidR="00FE010A" w:rsidRPr="00630A7B" w:rsidRDefault="00FE010A" w:rsidP="00FE010A">
      <w:pPr>
        <w:spacing w:after="0" w:line="240" w:lineRule="auto"/>
        <w:rPr>
          <w:rFonts w:ascii="Times New Roman" w:hAnsi="Times New Roman" w:cs="Times New Roman"/>
          <w:color w:val="000000" w:themeColor="text1"/>
          <w:sz w:val="28"/>
          <w:szCs w:val="24"/>
        </w:rPr>
      </w:pPr>
      <w:r>
        <w:rPr>
          <w:rFonts w:ascii="Times New Roman" w:hAnsi="Times New Roman" w:cs="Times New Roman"/>
          <w:sz w:val="24"/>
        </w:rPr>
        <w:t>syahruldeen</w:t>
      </w:r>
      <w:r w:rsidRPr="00630A7B">
        <w:rPr>
          <w:rFonts w:ascii="Times New Roman" w:hAnsi="Times New Roman" w:cs="Times New Roman"/>
          <w:sz w:val="24"/>
        </w:rPr>
        <w:t>@uitm.edu.my</w:t>
      </w:r>
    </w:p>
    <w:p w14:paraId="5F172092" w14:textId="77777777" w:rsidR="00FE010A" w:rsidRDefault="00FE010A" w:rsidP="005240D5">
      <w:pPr>
        <w:spacing w:line="360" w:lineRule="auto"/>
        <w:ind w:left="426" w:hanging="426"/>
        <w:contextualSpacing/>
        <w:jc w:val="both"/>
        <w:rPr>
          <w:rFonts w:ascii="Times New Roman" w:hAnsi="Times New Roman" w:cs="Times New Roman"/>
          <w:noProof w:val="0"/>
          <w:sz w:val="24"/>
          <w:szCs w:val="24"/>
        </w:rPr>
      </w:pPr>
    </w:p>
    <w:p w14:paraId="601252B1" w14:textId="77777777" w:rsidR="00361212" w:rsidRDefault="00361212" w:rsidP="00CC08C5">
      <w:pPr>
        <w:spacing w:after="0" w:line="240" w:lineRule="auto"/>
        <w:rPr>
          <w:rFonts w:ascii="Times New Roman" w:hAnsi="Times New Roman" w:cs="Times New Roman"/>
          <w:sz w:val="24"/>
        </w:rPr>
      </w:pPr>
      <w:r w:rsidRPr="00361212">
        <w:rPr>
          <w:rFonts w:ascii="Times New Roman" w:hAnsi="Times New Roman" w:cs="Times New Roman"/>
          <w:sz w:val="24"/>
        </w:rPr>
        <w:t xml:space="preserve">Suhaizad Saifuddin </w:t>
      </w:r>
    </w:p>
    <w:p w14:paraId="7263377A" w14:textId="2778CB0C" w:rsidR="00CC08C5" w:rsidRPr="00630A7B" w:rsidRDefault="00CC08C5" w:rsidP="00CC08C5">
      <w:pPr>
        <w:spacing w:after="0" w:line="240" w:lineRule="auto"/>
        <w:rPr>
          <w:rFonts w:ascii="Times New Roman" w:hAnsi="Times New Roman" w:cs="Times New Roman"/>
          <w:sz w:val="24"/>
        </w:rPr>
      </w:pPr>
      <w:r w:rsidRPr="00630A7B">
        <w:rPr>
          <w:rFonts w:ascii="Times New Roman" w:hAnsi="Times New Roman" w:cs="Times New Roman"/>
          <w:sz w:val="24"/>
        </w:rPr>
        <w:t>Fa</w:t>
      </w:r>
      <w:r>
        <w:rPr>
          <w:rFonts w:ascii="Times New Roman" w:hAnsi="Times New Roman" w:cs="Times New Roman"/>
          <w:sz w:val="24"/>
        </w:rPr>
        <w:t>culty of Law</w:t>
      </w:r>
    </w:p>
    <w:p w14:paraId="63544A57" w14:textId="77777777" w:rsidR="00CC08C5" w:rsidRPr="00630A7B" w:rsidRDefault="00CC08C5" w:rsidP="00CC08C5">
      <w:pPr>
        <w:spacing w:after="0" w:line="240" w:lineRule="auto"/>
        <w:rPr>
          <w:rFonts w:ascii="Times New Roman" w:hAnsi="Times New Roman" w:cs="Times New Roman"/>
          <w:sz w:val="24"/>
        </w:rPr>
      </w:pPr>
      <w:r w:rsidRPr="00630A7B">
        <w:rPr>
          <w:rFonts w:ascii="Times New Roman" w:hAnsi="Times New Roman" w:cs="Times New Roman"/>
          <w:sz w:val="24"/>
        </w:rPr>
        <w:t>Unversiti Kebangsaan Malaysia</w:t>
      </w:r>
    </w:p>
    <w:p w14:paraId="33B4D1BC" w14:textId="77777777" w:rsidR="00CC08C5" w:rsidRPr="00630A7B" w:rsidRDefault="00CC08C5" w:rsidP="00CC08C5">
      <w:pPr>
        <w:spacing w:after="0" w:line="240" w:lineRule="auto"/>
        <w:rPr>
          <w:rFonts w:ascii="Times New Roman" w:hAnsi="Times New Roman" w:cs="Times New Roman"/>
          <w:sz w:val="24"/>
        </w:rPr>
      </w:pPr>
      <w:r w:rsidRPr="00630A7B">
        <w:rPr>
          <w:rFonts w:ascii="Times New Roman" w:hAnsi="Times New Roman" w:cs="Times New Roman"/>
          <w:sz w:val="24"/>
        </w:rPr>
        <w:t>43600 Bangi, Selangor, Malaysia</w:t>
      </w:r>
    </w:p>
    <w:p w14:paraId="3ADEE2E1" w14:textId="37C9AE94" w:rsidR="00CC08C5" w:rsidRPr="00630A7B" w:rsidRDefault="00CC08C5" w:rsidP="00CC08C5">
      <w:pPr>
        <w:spacing w:after="0" w:line="240" w:lineRule="auto"/>
        <w:rPr>
          <w:rFonts w:ascii="Times New Roman" w:hAnsi="Times New Roman" w:cs="Times New Roman"/>
          <w:sz w:val="24"/>
        </w:rPr>
      </w:pPr>
      <w:r w:rsidRPr="00630A7B">
        <w:rPr>
          <w:rFonts w:ascii="Times New Roman" w:hAnsi="Times New Roman" w:cs="Times New Roman"/>
          <w:sz w:val="24"/>
        </w:rPr>
        <w:t xml:space="preserve">Emel: </w:t>
      </w:r>
      <w:r w:rsidR="00361212">
        <w:rPr>
          <w:rFonts w:ascii="Times New Roman" w:hAnsi="Times New Roman" w:cs="Times New Roman"/>
          <w:sz w:val="24"/>
        </w:rPr>
        <w:t>suhaizad</w:t>
      </w:r>
      <w:r w:rsidRPr="00630A7B">
        <w:rPr>
          <w:rFonts w:ascii="Times New Roman" w:hAnsi="Times New Roman" w:cs="Times New Roman"/>
          <w:sz w:val="24"/>
        </w:rPr>
        <w:t>@ukm.edu.my</w:t>
      </w:r>
    </w:p>
    <w:p w14:paraId="7EC99502" w14:textId="77777777" w:rsidR="00CC08C5" w:rsidRPr="008513A5" w:rsidRDefault="00CC08C5" w:rsidP="005240D5">
      <w:pPr>
        <w:spacing w:line="360" w:lineRule="auto"/>
        <w:ind w:left="426" w:hanging="426"/>
        <w:contextualSpacing/>
        <w:jc w:val="both"/>
        <w:rPr>
          <w:rFonts w:ascii="Times New Roman" w:hAnsi="Times New Roman" w:cs="Times New Roman"/>
          <w:noProof w:val="0"/>
          <w:sz w:val="24"/>
          <w:szCs w:val="24"/>
        </w:rPr>
      </w:pPr>
    </w:p>
    <w:sectPr w:rsidR="00CC08C5" w:rsidRPr="008513A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7D7B" w14:textId="77777777" w:rsidR="00E33418" w:rsidRDefault="00E33418" w:rsidP="00626346">
      <w:pPr>
        <w:spacing w:after="0" w:line="240" w:lineRule="auto"/>
      </w:pPr>
      <w:r>
        <w:separator/>
      </w:r>
    </w:p>
  </w:endnote>
  <w:endnote w:type="continuationSeparator" w:id="0">
    <w:p w14:paraId="14E60F08" w14:textId="77777777" w:rsidR="00E33418" w:rsidRDefault="00E33418" w:rsidP="0062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13516628"/>
      <w:docPartObj>
        <w:docPartGallery w:val="Page Numbers (Bottom of Page)"/>
        <w:docPartUnique/>
      </w:docPartObj>
    </w:sdtPr>
    <w:sdtEndPr>
      <w:rPr>
        <w:noProof/>
      </w:rPr>
    </w:sdtEndPr>
    <w:sdtContent>
      <w:p w14:paraId="72BDE602" w14:textId="2E1A7B81" w:rsidR="00626346" w:rsidRDefault="00626346">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B1087FF" w14:textId="77777777" w:rsidR="00626346" w:rsidRDefault="0062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8C2F" w14:textId="77777777" w:rsidR="00E33418" w:rsidRDefault="00E33418" w:rsidP="00626346">
      <w:pPr>
        <w:spacing w:after="0" w:line="240" w:lineRule="auto"/>
      </w:pPr>
      <w:r>
        <w:separator/>
      </w:r>
    </w:p>
  </w:footnote>
  <w:footnote w:type="continuationSeparator" w:id="0">
    <w:p w14:paraId="55940303" w14:textId="77777777" w:rsidR="00E33418" w:rsidRDefault="00E33418" w:rsidP="00626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5418"/>
    <w:multiLevelType w:val="hybridMultilevel"/>
    <w:tmpl w:val="A9F806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1145D1E"/>
    <w:multiLevelType w:val="multilevel"/>
    <w:tmpl w:val="3570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F40F8E"/>
    <w:multiLevelType w:val="multilevel"/>
    <w:tmpl w:val="00E4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AC2116"/>
    <w:multiLevelType w:val="multilevel"/>
    <w:tmpl w:val="1E1C8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531E8"/>
    <w:multiLevelType w:val="hybridMultilevel"/>
    <w:tmpl w:val="A9F806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B0548EF"/>
    <w:multiLevelType w:val="hybridMultilevel"/>
    <w:tmpl w:val="A9F80616"/>
    <w:lvl w:ilvl="0" w:tplc="4409000F">
      <w:start w:val="1"/>
      <w:numFmt w:val="decimal"/>
      <w:lvlText w:val="%1."/>
      <w:lvlJc w:val="left"/>
      <w:pPr>
        <w:ind w:left="50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30D5782"/>
    <w:multiLevelType w:val="hybridMultilevel"/>
    <w:tmpl w:val="A9F806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4A788F"/>
    <w:multiLevelType w:val="multilevel"/>
    <w:tmpl w:val="A86C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C81A29"/>
    <w:multiLevelType w:val="multilevel"/>
    <w:tmpl w:val="B58E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102663">
    <w:abstractNumId w:val="4"/>
  </w:num>
  <w:num w:numId="2" w16cid:durableId="879130677">
    <w:abstractNumId w:val="5"/>
  </w:num>
  <w:num w:numId="3" w16cid:durableId="1679038469">
    <w:abstractNumId w:val="0"/>
  </w:num>
  <w:num w:numId="4" w16cid:durableId="967783774">
    <w:abstractNumId w:val="6"/>
  </w:num>
  <w:num w:numId="5" w16cid:durableId="1532718130">
    <w:abstractNumId w:val="8"/>
  </w:num>
  <w:num w:numId="6" w16cid:durableId="641302476">
    <w:abstractNumId w:val="2"/>
  </w:num>
  <w:num w:numId="7" w16cid:durableId="1277638169">
    <w:abstractNumId w:val="3"/>
  </w:num>
  <w:num w:numId="8" w16cid:durableId="703865745">
    <w:abstractNumId w:val="1"/>
  </w:num>
  <w:num w:numId="9" w16cid:durableId="992955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zsLQwNLc0MjU0MbNU0lEKTi0uzszPAymwrAUAexluyywAAAA="/>
  </w:docVars>
  <w:rsids>
    <w:rsidRoot w:val="00F41E0E"/>
    <w:rsid w:val="00021E1C"/>
    <w:rsid w:val="00022710"/>
    <w:rsid w:val="0003624F"/>
    <w:rsid w:val="00050C23"/>
    <w:rsid w:val="000D007D"/>
    <w:rsid w:val="001008A8"/>
    <w:rsid w:val="001471A4"/>
    <w:rsid w:val="00180463"/>
    <w:rsid w:val="00186DFF"/>
    <w:rsid w:val="001873EE"/>
    <w:rsid w:val="001A6CAC"/>
    <w:rsid w:val="001B49B0"/>
    <w:rsid w:val="001C395B"/>
    <w:rsid w:val="002D6A44"/>
    <w:rsid w:val="00311F45"/>
    <w:rsid w:val="0034084F"/>
    <w:rsid w:val="003411FB"/>
    <w:rsid w:val="00342857"/>
    <w:rsid w:val="00342AC2"/>
    <w:rsid w:val="00361212"/>
    <w:rsid w:val="0039167F"/>
    <w:rsid w:val="00391782"/>
    <w:rsid w:val="003B0CF5"/>
    <w:rsid w:val="003B1013"/>
    <w:rsid w:val="003C251E"/>
    <w:rsid w:val="003D6715"/>
    <w:rsid w:val="00414029"/>
    <w:rsid w:val="00447796"/>
    <w:rsid w:val="004F36E0"/>
    <w:rsid w:val="004F7D66"/>
    <w:rsid w:val="005240D5"/>
    <w:rsid w:val="005365EA"/>
    <w:rsid w:val="0055119E"/>
    <w:rsid w:val="005726CC"/>
    <w:rsid w:val="005D1EBB"/>
    <w:rsid w:val="005F2BD8"/>
    <w:rsid w:val="005F4DE6"/>
    <w:rsid w:val="005F7407"/>
    <w:rsid w:val="00622240"/>
    <w:rsid w:val="00626346"/>
    <w:rsid w:val="00643018"/>
    <w:rsid w:val="00657349"/>
    <w:rsid w:val="006722F4"/>
    <w:rsid w:val="006A132D"/>
    <w:rsid w:val="006B6ABD"/>
    <w:rsid w:val="006E4D4E"/>
    <w:rsid w:val="0071371E"/>
    <w:rsid w:val="00745D83"/>
    <w:rsid w:val="007472A3"/>
    <w:rsid w:val="007A1A7F"/>
    <w:rsid w:val="007C4A83"/>
    <w:rsid w:val="007D0EF9"/>
    <w:rsid w:val="007E70DA"/>
    <w:rsid w:val="00837A4E"/>
    <w:rsid w:val="008513A5"/>
    <w:rsid w:val="00871647"/>
    <w:rsid w:val="008717AB"/>
    <w:rsid w:val="00882A0B"/>
    <w:rsid w:val="008E08C1"/>
    <w:rsid w:val="009532DE"/>
    <w:rsid w:val="00955699"/>
    <w:rsid w:val="00991BEE"/>
    <w:rsid w:val="009A1C96"/>
    <w:rsid w:val="009F48D3"/>
    <w:rsid w:val="009F584A"/>
    <w:rsid w:val="009F7399"/>
    <w:rsid w:val="00A3396D"/>
    <w:rsid w:val="00AF3F45"/>
    <w:rsid w:val="00B12CE6"/>
    <w:rsid w:val="00B90845"/>
    <w:rsid w:val="00B9254E"/>
    <w:rsid w:val="00BA191E"/>
    <w:rsid w:val="00BA3BCE"/>
    <w:rsid w:val="00BC3DB3"/>
    <w:rsid w:val="00BC5EBA"/>
    <w:rsid w:val="00C02C54"/>
    <w:rsid w:val="00C638BE"/>
    <w:rsid w:val="00CC08C5"/>
    <w:rsid w:val="00D331FF"/>
    <w:rsid w:val="00D36502"/>
    <w:rsid w:val="00DA33AF"/>
    <w:rsid w:val="00DA5135"/>
    <w:rsid w:val="00DB4EA9"/>
    <w:rsid w:val="00E33418"/>
    <w:rsid w:val="00E52A53"/>
    <w:rsid w:val="00F022F4"/>
    <w:rsid w:val="00F10A2F"/>
    <w:rsid w:val="00F41E0E"/>
    <w:rsid w:val="00F854B3"/>
    <w:rsid w:val="00F87502"/>
    <w:rsid w:val="00F87C0B"/>
    <w:rsid w:val="00F94DDE"/>
    <w:rsid w:val="00FA471D"/>
    <w:rsid w:val="00FC282C"/>
    <w:rsid w:val="00FE010A"/>
    <w:rsid w:val="00FE1EAC"/>
    <w:rsid w:val="00FF4F6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FFA6B"/>
  <w15:chartTrackingRefBased/>
  <w15:docId w15:val="{5DE31891-FE52-439E-A85B-28368B3D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paragraph" w:styleId="Heading1">
    <w:name w:val="heading 1"/>
    <w:basedOn w:val="Normal"/>
    <w:next w:val="Normal"/>
    <w:link w:val="Heading1Char1"/>
    <w:uiPriority w:val="9"/>
    <w:qFormat/>
    <w:rsid w:val="00955699"/>
    <w:pPr>
      <w:keepNext/>
      <w:keepLines/>
      <w:spacing w:before="360" w:after="120" w:line="240" w:lineRule="auto"/>
      <w:jc w:val="center"/>
      <w:outlineLvl w:val="0"/>
    </w:pPr>
    <w:rPr>
      <w:rFonts w:ascii="Times New Roman" w:eastAsia="Times New Roman" w:hAnsi="Times New Roman"/>
      <w:b/>
      <w:color w:val="000000" w:themeColor="text1"/>
      <w:sz w:val="28"/>
      <w:szCs w:val="32"/>
    </w:rPr>
  </w:style>
  <w:style w:type="paragraph" w:styleId="Heading2">
    <w:name w:val="heading 2"/>
    <w:basedOn w:val="Normal"/>
    <w:next w:val="Normal"/>
    <w:link w:val="Heading2Char1"/>
    <w:uiPriority w:val="9"/>
    <w:unhideWhenUsed/>
    <w:qFormat/>
    <w:rsid w:val="004F36E0"/>
    <w:pPr>
      <w:keepNext/>
      <w:keepLines/>
      <w:spacing w:before="160" w:after="120" w:line="360" w:lineRule="auto"/>
      <w:outlineLvl w:val="1"/>
    </w:pPr>
    <w:rPr>
      <w:rFonts w:ascii="Times New Roman" w:eastAsia="Times New Roman" w:hAnsi="Times New Roman"/>
      <w:b/>
      <w:color w:val="000000"/>
      <w:sz w:val="24"/>
      <w:szCs w:val="26"/>
    </w:rPr>
  </w:style>
  <w:style w:type="paragraph" w:styleId="Heading3">
    <w:name w:val="heading 3"/>
    <w:basedOn w:val="Normal"/>
    <w:next w:val="Normal"/>
    <w:link w:val="Heading3Char"/>
    <w:uiPriority w:val="9"/>
    <w:unhideWhenUsed/>
    <w:qFormat/>
    <w:rsid w:val="00955699"/>
    <w:pPr>
      <w:keepNext/>
      <w:keepLines/>
      <w:spacing w:before="160" w:after="120" w:line="360" w:lineRule="auto"/>
      <w:outlineLvl w:val="2"/>
    </w:pPr>
    <w:rPr>
      <w:rFonts w:ascii="Times New Roman" w:eastAsia="Times New Roman" w:hAnsi="Times New Roman"/>
      <w:b/>
      <w:bCs/>
      <w:noProof w:val="0"/>
      <w:color w:val="000000" w:themeColor="text1"/>
      <w:sz w:val="24"/>
      <w:lang w:val="en-GB"/>
    </w:rPr>
  </w:style>
  <w:style w:type="paragraph" w:styleId="Heading4">
    <w:name w:val="heading 4"/>
    <w:basedOn w:val="Normal"/>
    <w:next w:val="Normal"/>
    <w:link w:val="Heading4Char"/>
    <w:uiPriority w:val="9"/>
    <w:semiHidden/>
    <w:unhideWhenUsed/>
    <w:qFormat/>
    <w:rsid w:val="00955699"/>
    <w:pPr>
      <w:keepNext/>
      <w:keepLines/>
      <w:spacing w:before="160" w:after="120" w:line="360" w:lineRule="auto"/>
      <w:outlineLvl w:val="3"/>
    </w:pPr>
    <w:rPr>
      <w:rFonts w:ascii="Times New Roman" w:eastAsia="Times New Roman" w:hAnsi="Times New Roman"/>
      <w:b/>
      <w:bCs/>
      <w:i/>
      <w:iCs/>
      <w:noProof w:val="0"/>
      <w:color w:val="000000" w:themeColor="text1"/>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55699"/>
    <w:rPr>
      <w:rFonts w:asciiTheme="majorHAnsi" w:eastAsiaTheme="majorEastAsia" w:hAnsiTheme="majorHAnsi" w:cstheme="majorBidi"/>
      <w:noProof/>
      <w:color w:val="2F5496" w:themeColor="accent1" w:themeShade="BF"/>
      <w:sz w:val="32"/>
      <w:szCs w:val="32"/>
      <w:lang w:val="ms-MY"/>
    </w:rPr>
  </w:style>
  <w:style w:type="character" w:customStyle="1" w:styleId="Heading1Char1">
    <w:name w:val="Heading 1 Char1"/>
    <w:link w:val="Heading1"/>
    <w:uiPriority w:val="9"/>
    <w:rsid w:val="00955699"/>
    <w:rPr>
      <w:rFonts w:ascii="Times New Roman" w:eastAsia="Times New Roman" w:hAnsi="Times New Roman"/>
      <w:b/>
      <w:noProof/>
      <w:color w:val="000000" w:themeColor="text1"/>
      <w:sz w:val="28"/>
      <w:szCs w:val="32"/>
      <w:lang w:val="ms-MY"/>
    </w:rPr>
  </w:style>
  <w:style w:type="character" w:customStyle="1" w:styleId="Heading2Char">
    <w:name w:val="Heading 2 Char"/>
    <w:basedOn w:val="DefaultParagraphFont"/>
    <w:uiPriority w:val="9"/>
    <w:semiHidden/>
    <w:rsid w:val="00955699"/>
    <w:rPr>
      <w:rFonts w:asciiTheme="majorHAnsi" w:eastAsiaTheme="majorEastAsia" w:hAnsiTheme="majorHAnsi" w:cstheme="majorBidi"/>
      <w:noProof/>
      <w:color w:val="2F5496" w:themeColor="accent1" w:themeShade="BF"/>
      <w:sz w:val="26"/>
      <w:szCs w:val="26"/>
      <w:lang w:val="ms-MY"/>
    </w:rPr>
  </w:style>
  <w:style w:type="character" w:customStyle="1" w:styleId="Heading2Char1">
    <w:name w:val="Heading 2 Char1"/>
    <w:link w:val="Heading2"/>
    <w:uiPriority w:val="9"/>
    <w:rsid w:val="004F36E0"/>
    <w:rPr>
      <w:rFonts w:ascii="Times New Roman" w:eastAsia="Times New Roman" w:hAnsi="Times New Roman"/>
      <w:b/>
      <w:noProof/>
      <w:color w:val="000000"/>
      <w:sz w:val="24"/>
      <w:szCs w:val="26"/>
      <w:lang w:val="ms-MY"/>
    </w:rPr>
  </w:style>
  <w:style w:type="character" w:customStyle="1" w:styleId="Heading3Char">
    <w:name w:val="Heading 3 Char"/>
    <w:link w:val="Heading3"/>
    <w:uiPriority w:val="9"/>
    <w:rsid w:val="00955699"/>
    <w:rPr>
      <w:rFonts w:ascii="Times New Roman" w:eastAsia="Times New Roman" w:hAnsi="Times New Roman"/>
      <w:b/>
      <w:bCs/>
      <w:color w:val="000000" w:themeColor="text1"/>
      <w:sz w:val="24"/>
      <w:lang w:val="en-GB"/>
    </w:rPr>
  </w:style>
  <w:style w:type="character" w:customStyle="1" w:styleId="Heading4Char">
    <w:name w:val="Heading 4 Char"/>
    <w:link w:val="Heading4"/>
    <w:uiPriority w:val="9"/>
    <w:semiHidden/>
    <w:rsid w:val="00955699"/>
    <w:rPr>
      <w:rFonts w:ascii="Times New Roman" w:eastAsia="Times New Roman" w:hAnsi="Times New Roman"/>
      <w:b/>
      <w:bCs/>
      <w:i/>
      <w:iCs/>
      <w:color w:val="000000" w:themeColor="text1"/>
      <w:sz w:val="24"/>
      <w:lang w:val="en-GB"/>
    </w:rPr>
  </w:style>
  <w:style w:type="paragraph" w:styleId="NormalWeb">
    <w:name w:val="Normal (Web)"/>
    <w:basedOn w:val="Normal"/>
    <w:uiPriority w:val="99"/>
    <w:semiHidden/>
    <w:unhideWhenUsed/>
    <w:rsid w:val="006E4D4E"/>
    <w:rPr>
      <w:rFonts w:ascii="Times New Roman" w:hAnsi="Times New Roman" w:cs="Times New Roman"/>
      <w:sz w:val="24"/>
      <w:szCs w:val="24"/>
    </w:rPr>
  </w:style>
  <w:style w:type="table" w:styleId="TableGrid">
    <w:name w:val="Table Grid"/>
    <w:basedOn w:val="TableNormal"/>
    <w:uiPriority w:val="39"/>
    <w:rsid w:val="000362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0362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0362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26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346"/>
    <w:rPr>
      <w:noProof/>
      <w:lang w:val="ms-MY"/>
    </w:rPr>
  </w:style>
  <w:style w:type="paragraph" w:styleId="Footer">
    <w:name w:val="footer"/>
    <w:basedOn w:val="Normal"/>
    <w:link w:val="FooterChar"/>
    <w:uiPriority w:val="99"/>
    <w:unhideWhenUsed/>
    <w:rsid w:val="00626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346"/>
    <w:rPr>
      <w:noProof/>
      <w:lang w:val="ms-MY"/>
    </w:rPr>
  </w:style>
  <w:style w:type="character" w:styleId="PlaceholderText">
    <w:name w:val="Placeholder Text"/>
    <w:basedOn w:val="DefaultParagraphFont"/>
    <w:uiPriority w:val="99"/>
    <w:semiHidden/>
    <w:rsid w:val="005F4D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4288">
      <w:bodyDiv w:val="1"/>
      <w:marLeft w:val="0"/>
      <w:marRight w:val="0"/>
      <w:marTop w:val="0"/>
      <w:marBottom w:val="0"/>
      <w:divBdr>
        <w:top w:val="none" w:sz="0" w:space="0" w:color="auto"/>
        <w:left w:val="none" w:sz="0" w:space="0" w:color="auto"/>
        <w:bottom w:val="none" w:sz="0" w:space="0" w:color="auto"/>
        <w:right w:val="none" w:sz="0" w:space="0" w:color="auto"/>
      </w:divBdr>
    </w:div>
    <w:div w:id="205875382">
      <w:bodyDiv w:val="1"/>
      <w:marLeft w:val="0"/>
      <w:marRight w:val="0"/>
      <w:marTop w:val="0"/>
      <w:marBottom w:val="0"/>
      <w:divBdr>
        <w:top w:val="none" w:sz="0" w:space="0" w:color="auto"/>
        <w:left w:val="none" w:sz="0" w:space="0" w:color="auto"/>
        <w:bottom w:val="none" w:sz="0" w:space="0" w:color="auto"/>
        <w:right w:val="none" w:sz="0" w:space="0" w:color="auto"/>
      </w:divBdr>
    </w:div>
    <w:div w:id="418259215">
      <w:bodyDiv w:val="1"/>
      <w:marLeft w:val="0"/>
      <w:marRight w:val="0"/>
      <w:marTop w:val="0"/>
      <w:marBottom w:val="0"/>
      <w:divBdr>
        <w:top w:val="none" w:sz="0" w:space="0" w:color="auto"/>
        <w:left w:val="none" w:sz="0" w:space="0" w:color="auto"/>
        <w:bottom w:val="none" w:sz="0" w:space="0" w:color="auto"/>
        <w:right w:val="none" w:sz="0" w:space="0" w:color="auto"/>
      </w:divBdr>
      <w:divsChild>
        <w:div w:id="1874875895">
          <w:marLeft w:val="0"/>
          <w:marRight w:val="0"/>
          <w:marTop w:val="0"/>
          <w:marBottom w:val="0"/>
          <w:divBdr>
            <w:top w:val="none" w:sz="0" w:space="0" w:color="auto"/>
            <w:left w:val="none" w:sz="0" w:space="0" w:color="auto"/>
            <w:bottom w:val="none" w:sz="0" w:space="0" w:color="auto"/>
            <w:right w:val="none" w:sz="0" w:space="0" w:color="auto"/>
          </w:divBdr>
          <w:divsChild>
            <w:div w:id="1319725960">
              <w:marLeft w:val="0"/>
              <w:marRight w:val="0"/>
              <w:marTop w:val="0"/>
              <w:marBottom w:val="0"/>
              <w:divBdr>
                <w:top w:val="none" w:sz="0" w:space="0" w:color="auto"/>
                <w:left w:val="none" w:sz="0" w:space="0" w:color="auto"/>
                <w:bottom w:val="none" w:sz="0" w:space="0" w:color="auto"/>
                <w:right w:val="none" w:sz="0" w:space="0" w:color="auto"/>
              </w:divBdr>
              <w:divsChild>
                <w:div w:id="7254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16566">
      <w:bodyDiv w:val="1"/>
      <w:marLeft w:val="0"/>
      <w:marRight w:val="0"/>
      <w:marTop w:val="0"/>
      <w:marBottom w:val="0"/>
      <w:divBdr>
        <w:top w:val="none" w:sz="0" w:space="0" w:color="auto"/>
        <w:left w:val="none" w:sz="0" w:space="0" w:color="auto"/>
        <w:bottom w:val="none" w:sz="0" w:space="0" w:color="auto"/>
        <w:right w:val="none" w:sz="0" w:space="0" w:color="auto"/>
      </w:divBdr>
    </w:div>
    <w:div w:id="604508859">
      <w:bodyDiv w:val="1"/>
      <w:marLeft w:val="0"/>
      <w:marRight w:val="0"/>
      <w:marTop w:val="0"/>
      <w:marBottom w:val="0"/>
      <w:divBdr>
        <w:top w:val="none" w:sz="0" w:space="0" w:color="auto"/>
        <w:left w:val="none" w:sz="0" w:space="0" w:color="auto"/>
        <w:bottom w:val="none" w:sz="0" w:space="0" w:color="auto"/>
        <w:right w:val="none" w:sz="0" w:space="0" w:color="auto"/>
      </w:divBdr>
    </w:div>
    <w:div w:id="1065759732">
      <w:bodyDiv w:val="1"/>
      <w:marLeft w:val="0"/>
      <w:marRight w:val="0"/>
      <w:marTop w:val="0"/>
      <w:marBottom w:val="0"/>
      <w:divBdr>
        <w:top w:val="none" w:sz="0" w:space="0" w:color="auto"/>
        <w:left w:val="none" w:sz="0" w:space="0" w:color="auto"/>
        <w:bottom w:val="none" w:sz="0" w:space="0" w:color="auto"/>
        <w:right w:val="none" w:sz="0" w:space="0" w:color="auto"/>
      </w:divBdr>
    </w:div>
    <w:div w:id="1142189301">
      <w:bodyDiv w:val="1"/>
      <w:marLeft w:val="0"/>
      <w:marRight w:val="0"/>
      <w:marTop w:val="0"/>
      <w:marBottom w:val="0"/>
      <w:divBdr>
        <w:top w:val="none" w:sz="0" w:space="0" w:color="auto"/>
        <w:left w:val="none" w:sz="0" w:space="0" w:color="auto"/>
        <w:bottom w:val="none" w:sz="0" w:space="0" w:color="auto"/>
        <w:right w:val="none" w:sz="0" w:space="0" w:color="auto"/>
      </w:divBdr>
    </w:div>
    <w:div w:id="1233277136">
      <w:bodyDiv w:val="1"/>
      <w:marLeft w:val="0"/>
      <w:marRight w:val="0"/>
      <w:marTop w:val="0"/>
      <w:marBottom w:val="0"/>
      <w:divBdr>
        <w:top w:val="none" w:sz="0" w:space="0" w:color="auto"/>
        <w:left w:val="none" w:sz="0" w:space="0" w:color="auto"/>
        <w:bottom w:val="none" w:sz="0" w:space="0" w:color="auto"/>
        <w:right w:val="none" w:sz="0" w:space="0" w:color="auto"/>
      </w:divBdr>
    </w:div>
    <w:div w:id="1251164078">
      <w:bodyDiv w:val="1"/>
      <w:marLeft w:val="0"/>
      <w:marRight w:val="0"/>
      <w:marTop w:val="0"/>
      <w:marBottom w:val="0"/>
      <w:divBdr>
        <w:top w:val="none" w:sz="0" w:space="0" w:color="auto"/>
        <w:left w:val="none" w:sz="0" w:space="0" w:color="auto"/>
        <w:bottom w:val="none" w:sz="0" w:space="0" w:color="auto"/>
        <w:right w:val="none" w:sz="0" w:space="0" w:color="auto"/>
      </w:divBdr>
    </w:div>
    <w:div w:id="1252424389">
      <w:bodyDiv w:val="1"/>
      <w:marLeft w:val="0"/>
      <w:marRight w:val="0"/>
      <w:marTop w:val="0"/>
      <w:marBottom w:val="0"/>
      <w:divBdr>
        <w:top w:val="none" w:sz="0" w:space="0" w:color="auto"/>
        <w:left w:val="none" w:sz="0" w:space="0" w:color="auto"/>
        <w:bottom w:val="none" w:sz="0" w:space="0" w:color="auto"/>
        <w:right w:val="none" w:sz="0" w:space="0" w:color="auto"/>
      </w:divBdr>
    </w:div>
    <w:div w:id="1310206610">
      <w:bodyDiv w:val="1"/>
      <w:marLeft w:val="0"/>
      <w:marRight w:val="0"/>
      <w:marTop w:val="0"/>
      <w:marBottom w:val="0"/>
      <w:divBdr>
        <w:top w:val="none" w:sz="0" w:space="0" w:color="auto"/>
        <w:left w:val="none" w:sz="0" w:space="0" w:color="auto"/>
        <w:bottom w:val="none" w:sz="0" w:space="0" w:color="auto"/>
        <w:right w:val="none" w:sz="0" w:space="0" w:color="auto"/>
      </w:divBdr>
    </w:div>
    <w:div w:id="1553151093">
      <w:bodyDiv w:val="1"/>
      <w:marLeft w:val="0"/>
      <w:marRight w:val="0"/>
      <w:marTop w:val="0"/>
      <w:marBottom w:val="0"/>
      <w:divBdr>
        <w:top w:val="none" w:sz="0" w:space="0" w:color="auto"/>
        <w:left w:val="none" w:sz="0" w:space="0" w:color="auto"/>
        <w:bottom w:val="none" w:sz="0" w:space="0" w:color="auto"/>
        <w:right w:val="none" w:sz="0" w:space="0" w:color="auto"/>
      </w:divBdr>
    </w:div>
    <w:div w:id="1593583121">
      <w:bodyDiv w:val="1"/>
      <w:marLeft w:val="0"/>
      <w:marRight w:val="0"/>
      <w:marTop w:val="0"/>
      <w:marBottom w:val="0"/>
      <w:divBdr>
        <w:top w:val="none" w:sz="0" w:space="0" w:color="auto"/>
        <w:left w:val="none" w:sz="0" w:space="0" w:color="auto"/>
        <w:bottom w:val="none" w:sz="0" w:space="0" w:color="auto"/>
        <w:right w:val="none" w:sz="0" w:space="0" w:color="auto"/>
      </w:divBdr>
    </w:div>
    <w:div w:id="1648365438">
      <w:bodyDiv w:val="1"/>
      <w:marLeft w:val="0"/>
      <w:marRight w:val="0"/>
      <w:marTop w:val="0"/>
      <w:marBottom w:val="0"/>
      <w:divBdr>
        <w:top w:val="none" w:sz="0" w:space="0" w:color="auto"/>
        <w:left w:val="none" w:sz="0" w:space="0" w:color="auto"/>
        <w:bottom w:val="none" w:sz="0" w:space="0" w:color="auto"/>
        <w:right w:val="none" w:sz="0" w:space="0" w:color="auto"/>
      </w:divBdr>
    </w:div>
    <w:div w:id="1671368444">
      <w:bodyDiv w:val="1"/>
      <w:marLeft w:val="0"/>
      <w:marRight w:val="0"/>
      <w:marTop w:val="0"/>
      <w:marBottom w:val="0"/>
      <w:divBdr>
        <w:top w:val="none" w:sz="0" w:space="0" w:color="auto"/>
        <w:left w:val="none" w:sz="0" w:space="0" w:color="auto"/>
        <w:bottom w:val="none" w:sz="0" w:space="0" w:color="auto"/>
        <w:right w:val="none" w:sz="0" w:space="0" w:color="auto"/>
      </w:divBdr>
    </w:div>
    <w:div w:id="1762722026">
      <w:bodyDiv w:val="1"/>
      <w:marLeft w:val="0"/>
      <w:marRight w:val="0"/>
      <w:marTop w:val="0"/>
      <w:marBottom w:val="0"/>
      <w:divBdr>
        <w:top w:val="none" w:sz="0" w:space="0" w:color="auto"/>
        <w:left w:val="none" w:sz="0" w:space="0" w:color="auto"/>
        <w:bottom w:val="none" w:sz="0" w:space="0" w:color="auto"/>
        <w:right w:val="none" w:sz="0" w:space="0" w:color="auto"/>
      </w:divBdr>
    </w:div>
    <w:div w:id="1786270027">
      <w:bodyDiv w:val="1"/>
      <w:marLeft w:val="0"/>
      <w:marRight w:val="0"/>
      <w:marTop w:val="0"/>
      <w:marBottom w:val="0"/>
      <w:divBdr>
        <w:top w:val="none" w:sz="0" w:space="0" w:color="auto"/>
        <w:left w:val="none" w:sz="0" w:space="0" w:color="auto"/>
        <w:bottom w:val="none" w:sz="0" w:space="0" w:color="auto"/>
        <w:right w:val="none" w:sz="0" w:space="0" w:color="auto"/>
      </w:divBdr>
    </w:div>
    <w:div w:id="1787390741">
      <w:bodyDiv w:val="1"/>
      <w:marLeft w:val="0"/>
      <w:marRight w:val="0"/>
      <w:marTop w:val="0"/>
      <w:marBottom w:val="0"/>
      <w:divBdr>
        <w:top w:val="none" w:sz="0" w:space="0" w:color="auto"/>
        <w:left w:val="none" w:sz="0" w:space="0" w:color="auto"/>
        <w:bottom w:val="none" w:sz="0" w:space="0" w:color="auto"/>
        <w:right w:val="none" w:sz="0" w:space="0" w:color="auto"/>
      </w:divBdr>
    </w:div>
    <w:div w:id="1802116535">
      <w:bodyDiv w:val="1"/>
      <w:marLeft w:val="0"/>
      <w:marRight w:val="0"/>
      <w:marTop w:val="0"/>
      <w:marBottom w:val="0"/>
      <w:divBdr>
        <w:top w:val="none" w:sz="0" w:space="0" w:color="auto"/>
        <w:left w:val="none" w:sz="0" w:space="0" w:color="auto"/>
        <w:bottom w:val="none" w:sz="0" w:space="0" w:color="auto"/>
        <w:right w:val="none" w:sz="0" w:space="0" w:color="auto"/>
      </w:divBdr>
    </w:div>
    <w:div w:id="1853567020">
      <w:bodyDiv w:val="1"/>
      <w:marLeft w:val="0"/>
      <w:marRight w:val="0"/>
      <w:marTop w:val="0"/>
      <w:marBottom w:val="0"/>
      <w:divBdr>
        <w:top w:val="none" w:sz="0" w:space="0" w:color="auto"/>
        <w:left w:val="none" w:sz="0" w:space="0" w:color="auto"/>
        <w:bottom w:val="none" w:sz="0" w:space="0" w:color="auto"/>
        <w:right w:val="none" w:sz="0" w:space="0" w:color="auto"/>
      </w:divBdr>
    </w:div>
    <w:div w:id="1899316764">
      <w:bodyDiv w:val="1"/>
      <w:marLeft w:val="0"/>
      <w:marRight w:val="0"/>
      <w:marTop w:val="0"/>
      <w:marBottom w:val="0"/>
      <w:divBdr>
        <w:top w:val="none" w:sz="0" w:space="0" w:color="auto"/>
        <w:left w:val="none" w:sz="0" w:space="0" w:color="auto"/>
        <w:bottom w:val="none" w:sz="0" w:space="0" w:color="auto"/>
        <w:right w:val="none" w:sz="0" w:space="0" w:color="auto"/>
      </w:divBdr>
      <w:divsChild>
        <w:div w:id="863403900">
          <w:marLeft w:val="0"/>
          <w:marRight w:val="0"/>
          <w:marTop w:val="0"/>
          <w:marBottom w:val="0"/>
          <w:divBdr>
            <w:top w:val="none" w:sz="0" w:space="0" w:color="auto"/>
            <w:left w:val="none" w:sz="0" w:space="0" w:color="auto"/>
            <w:bottom w:val="none" w:sz="0" w:space="0" w:color="auto"/>
            <w:right w:val="none" w:sz="0" w:space="0" w:color="auto"/>
          </w:divBdr>
        </w:div>
      </w:divsChild>
    </w:div>
    <w:div w:id="19898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7263-2D78-4F86-B5E2-52CF4A88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9803</Words>
  <Characters>55878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syahrul</dc:creator>
  <cp:keywords/>
  <dc:description/>
  <cp:lastModifiedBy>User</cp:lastModifiedBy>
  <cp:revision>5</cp:revision>
  <dcterms:created xsi:type="dcterms:W3CDTF">2024-02-28T05:25:00Z</dcterms:created>
  <dcterms:modified xsi:type="dcterms:W3CDTF">2024-02-28T05:34:00Z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2023-06-09T07:28:10Z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547fd845-42c5-4226-b830-f75f12f6aa9e</vt:lpwstr>
  </property>
  <property fmtid="{D5CDD505-2E9C-101B-9397-08002B2CF9AE}" pid="7" name="MSIP_Label_defa4170-0d19-0005-0004-bc88714345d2_ActionId">
    <vt:lpwstr>5c59dc54-af98-4be9-b87c-f9eed3f6f76c</vt:lpwstr>
  </property>
  <property fmtid="{D5CDD505-2E9C-101B-9397-08002B2CF9AE}" pid="8" name="MSIP_Label_defa4170-0d19-0005-0004-bc88714345d2_ContentBits">
    <vt:lpwstr>0</vt:lpwstr>
  </property>
  <property fmtid="{D5CDD505-2E9C-101B-9397-08002B2CF9AE}" pid="9" name="Mendeley Document_1">
    <vt:lpwstr>True</vt:lpwstr>
  </property>
  <property fmtid="{D5CDD505-2E9C-101B-9397-08002B2CF9AE}" pid="10" name="Mendeley Unique User Id_1">
    <vt:lpwstr>8c212d32-63ef-31f8-9c26-3f13611ceb9e</vt:lpwstr>
  </property>
  <property fmtid="{D5CDD505-2E9C-101B-9397-08002B2CF9AE}" pid="11" name="Mendeley Citation Style_1">
    <vt:lpwstr>http://www.zotero.org/styles/apa</vt:lpwstr>
  </property>
</Properties>
</file>