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C48AE" w14:textId="2A4E31E3" w:rsidR="00F65F0D" w:rsidRPr="00763CA5" w:rsidRDefault="00B40C25" w:rsidP="00F65F0D">
      <w:pPr>
        <w:pStyle w:val="MDPI11articletype"/>
        <w:rPr>
          <w:rFonts w:ascii="Times" w:hAnsi="Times"/>
        </w:rPr>
      </w:pPr>
      <w:r>
        <w:rPr>
          <w:rFonts w:ascii="Times" w:hAnsi="Times"/>
        </w:rPr>
        <w:t xml:space="preserve">Article </w:t>
      </w:r>
    </w:p>
    <w:p w14:paraId="08266C3E" w14:textId="21B0BE98" w:rsidR="00B40C25" w:rsidRPr="00B40C25" w:rsidRDefault="00B40C25" w:rsidP="00B40C25">
      <w:pPr>
        <w:pStyle w:val="MDPI12title"/>
        <w:spacing w:after="0"/>
        <w:rPr>
          <w:rFonts w:ascii="Times" w:hAnsi="Times"/>
        </w:rPr>
      </w:pPr>
      <w:r w:rsidRPr="00B40C25">
        <w:rPr>
          <w:rFonts w:ascii="Times" w:hAnsi="Times"/>
          <w:bCs/>
          <w:lang w:val="en-MY"/>
        </w:rPr>
        <w:t xml:space="preserve">Teacher’s acceptance and readiness in implementing Zero Reject Policy </w:t>
      </w:r>
      <w:r w:rsidR="0072478C">
        <w:rPr>
          <w:rFonts w:ascii="Times" w:hAnsi="Times"/>
          <w:bCs/>
          <w:lang w:val="en-MY"/>
        </w:rPr>
        <w:t xml:space="preserve">(ZRP) in rural </w:t>
      </w:r>
      <w:r w:rsidR="008F2FE0">
        <w:rPr>
          <w:rFonts w:ascii="Times" w:hAnsi="Times"/>
          <w:bCs/>
          <w:lang w:val="en-MY"/>
        </w:rPr>
        <w:t>school:</w:t>
      </w:r>
      <w:r w:rsidR="0072478C">
        <w:rPr>
          <w:rFonts w:ascii="Times" w:hAnsi="Times"/>
          <w:bCs/>
          <w:lang w:val="en-MY"/>
        </w:rPr>
        <w:t xml:space="preserve"> A pilot study </w:t>
      </w:r>
    </w:p>
    <w:p w14:paraId="7AFD2382" w14:textId="4F286B0B" w:rsidR="00F65F0D" w:rsidRPr="00763CA5" w:rsidRDefault="00F65F0D" w:rsidP="005F679A">
      <w:pPr>
        <w:pStyle w:val="MDPI12title"/>
        <w:spacing w:after="0"/>
        <w:rPr>
          <w:rFonts w:ascii="Times" w:hAnsi="Times"/>
          <w:sz w:val="24"/>
          <w:szCs w:val="24"/>
        </w:rPr>
      </w:pPr>
    </w:p>
    <w:p w14:paraId="5C482C6F" w14:textId="06888BB3" w:rsidR="00F65F0D" w:rsidRPr="00B40C25" w:rsidRDefault="00B40C25" w:rsidP="005F679A">
      <w:pPr>
        <w:pStyle w:val="MDPI13authornames"/>
        <w:spacing w:after="0"/>
        <w:rPr>
          <w:rFonts w:ascii="Times" w:hAnsi="Times"/>
          <w:b w:val="0"/>
          <w:bCs/>
          <w:sz w:val="24"/>
          <w:szCs w:val="24"/>
          <w:vertAlign w:val="superscript"/>
        </w:rPr>
      </w:pPr>
      <w:proofErr w:type="spellStart"/>
      <w:r>
        <w:rPr>
          <w:rFonts w:ascii="Times" w:hAnsi="Times"/>
          <w:b w:val="0"/>
          <w:bCs/>
          <w:sz w:val="24"/>
          <w:szCs w:val="24"/>
        </w:rPr>
        <w:t>Nur</w:t>
      </w:r>
      <w:proofErr w:type="spellEnd"/>
      <w:r>
        <w:rPr>
          <w:rFonts w:ascii="Times" w:hAnsi="Times"/>
          <w:b w:val="0"/>
          <w:bCs/>
          <w:sz w:val="24"/>
          <w:szCs w:val="24"/>
        </w:rPr>
        <w:t xml:space="preserve"> </w:t>
      </w:r>
      <w:proofErr w:type="spellStart"/>
      <w:r>
        <w:rPr>
          <w:rFonts w:ascii="Times" w:hAnsi="Times"/>
          <w:b w:val="0"/>
          <w:bCs/>
          <w:sz w:val="24"/>
          <w:szCs w:val="24"/>
        </w:rPr>
        <w:t>Kamariah</w:t>
      </w:r>
      <w:proofErr w:type="spellEnd"/>
      <w:r>
        <w:rPr>
          <w:rFonts w:ascii="Times" w:hAnsi="Times"/>
          <w:b w:val="0"/>
          <w:bCs/>
          <w:sz w:val="24"/>
          <w:szCs w:val="24"/>
        </w:rPr>
        <w:t xml:space="preserve"> </w:t>
      </w:r>
      <w:proofErr w:type="spellStart"/>
      <w:r>
        <w:rPr>
          <w:rFonts w:ascii="Times" w:hAnsi="Times"/>
          <w:b w:val="0"/>
          <w:bCs/>
          <w:sz w:val="24"/>
          <w:szCs w:val="24"/>
        </w:rPr>
        <w:t>Ensimau</w:t>
      </w:r>
      <w:proofErr w:type="spellEnd"/>
      <w:r>
        <w:rPr>
          <w:rFonts w:ascii="Times" w:hAnsi="Times"/>
          <w:b w:val="0"/>
          <w:bCs/>
          <w:sz w:val="24"/>
          <w:szCs w:val="24"/>
        </w:rPr>
        <w:t xml:space="preserve"> Abdullah</w:t>
      </w:r>
      <w:r w:rsidR="00F65F0D" w:rsidRPr="00763CA5">
        <w:rPr>
          <w:rFonts w:ascii="Times" w:hAnsi="Times"/>
          <w:b w:val="0"/>
          <w:bCs/>
          <w:sz w:val="24"/>
          <w:szCs w:val="24"/>
        </w:rPr>
        <w:t xml:space="preserve"> </w:t>
      </w:r>
      <w:r w:rsidR="00F65F0D" w:rsidRPr="00763CA5">
        <w:rPr>
          <w:rFonts w:ascii="Times" w:hAnsi="Times"/>
          <w:b w:val="0"/>
          <w:bCs/>
          <w:sz w:val="24"/>
          <w:szCs w:val="24"/>
          <w:vertAlign w:val="superscript"/>
        </w:rPr>
        <w:t>1</w:t>
      </w:r>
      <w:r>
        <w:rPr>
          <w:rFonts w:ascii="Times" w:hAnsi="Times"/>
          <w:b w:val="0"/>
          <w:bCs/>
          <w:sz w:val="24"/>
          <w:szCs w:val="24"/>
        </w:rPr>
        <w:t xml:space="preserve">, </w:t>
      </w:r>
      <w:proofErr w:type="spellStart"/>
      <w:r>
        <w:rPr>
          <w:rFonts w:ascii="Times" w:hAnsi="Times"/>
          <w:b w:val="0"/>
          <w:bCs/>
          <w:sz w:val="24"/>
          <w:szCs w:val="24"/>
        </w:rPr>
        <w:t>Mohd</w:t>
      </w:r>
      <w:proofErr w:type="spellEnd"/>
      <w:r>
        <w:rPr>
          <w:rFonts w:ascii="Times" w:hAnsi="Times"/>
          <w:b w:val="0"/>
          <w:bCs/>
          <w:sz w:val="24"/>
          <w:szCs w:val="24"/>
        </w:rPr>
        <w:t xml:space="preserve"> Isa </w:t>
      </w:r>
      <w:proofErr w:type="spellStart"/>
      <w:r>
        <w:rPr>
          <w:rFonts w:ascii="Times" w:hAnsi="Times"/>
          <w:b w:val="0"/>
          <w:bCs/>
          <w:sz w:val="24"/>
          <w:szCs w:val="24"/>
        </w:rPr>
        <w:t>Hamzah</w:t>
      </w:r>
      <w:proofErr w:type="spellEnd"/>
      <w:r w:rsidR="00F65F0D" w:rsidRPr="00763CA5">
        <w:rPr>
          <w:rFonts w:ascii="Times" w:hAnsi="Times"/>
          <w:b w:val="0"/>
          <w:bCs/>
          <w:sz w:val="24"/>
          <w:szCs w:val="24"/>
        </w:rPr>
        <w:t xml:space="preserve"> </w:t>
      </w:r>
      <w:r w:rsidR="00F65F0D" w:rsidRPr="00763CA5">
        <w:rPr>
          <w:rFonts w:ascii="Times" w:hAnsi="Times"/>
          <w:b w:val="0"/>
          <w:bCs/>
          <w:sz w:val="24"/>
          <w:szCs w:val="24"/>
          <w:vertAlign w:val="superscript"/>
        </w:rPr>
        <w:t>2</w:t>
      </w:r>
      <w:r>
        <w:rPr>
          <w:rFonts w:ascii="Times" w:hAnsi="Times"/>
          <w:b w:val="0"/>
          <w:bCs/>
          <w:sz w:val="24"/>
          <w:szCs w:val="24"/>
        </w:rPr>
        <w:t xml:space="preserve">, </w:t>
      </w:r>
      <w:proofErr w:type="spellStart"/>
      <w:r>
        <w:rPr>
          <w:rFonts w:ascii="Times" w:hAnsi="Times"/>
          <w:b w:val="0"/>
          <w:bCs/>
          <w:sz w:val="24"/>
          <w:szCs w:val="24"/>
        </w:rPr>
        <w:t>Mohd</w:t>
      </w:r>
      <w:proofErr w:type="spellEnd"/>
      <w:r>
        <w:rPr>
          <w:rFonts w:ascii="Times" w:hAnsi="Times"/>
          <w:b w:val="0"/>
          <w:bCs/>
          <w:sz w:val="24"/>
          <w:szCs w:val="24"/>
        </w:rPr>
        <w:t xml:space="preserve"> Hanafi </w:t>
      </w:r>
      <w:proofErr w:type="spellStart"/>
      <w:r>
        <w:rPr>
          <w:rFonts w:ascii="Times" w:hAnsi="Times"/>
          <w:b w:val="0"/>
          <w:bCs/>
          <w:sz w:val="24"/>
          <w:szCs w:val="24"/>
        </w:rPr>
        <w:t>Mohd</w:t>
      </w:r>
      <w:proofErr w:type="spellEnd"/>
      <w:r>
        <w:rPr>
          <w:rFonts w:ascii="Times" w:hAnsi="Times"/>
          <w:b w:val="0"/>
          <w:bCs/>
          <w:sz w:val="24"/>
          <w:szCs w:val="24"/>
        </w:rPr>
        <w:t xml:space="preserve"> Yasin</w:t>
      </w:r>
      <w:r>
        <w:rPr>
          <w:rFonts w:ascii="Times" w:hAnsi="Times"/>
          <w:b w:val="0"/>
          <w:bCs/>
          <w:sz w:val="24"/>
          <w:szCs w:val="24"/>
          <w:vertAlign w:val="superscript"/>
        </w:rPr>
        <w:t>3</w:t>
      </w:r>
      <w:r w:rsidR="00F65F0D" w:rsidRPr="00763CA5">
        <w:rPr>
          <w:rFonts w:ascii="Times" w:hAnsi="Times"/>
          <w:b w:val="0"/>
          <w:bCs/>
          <w:sz w:val="24"/>
          <w:szCs w:val="24"/>
          <w:vertAlign w:val="superscript"/>
        </w:rPr>
        <w:t>,</w:t>
      </w:r>
      <w:r>
        <w:rPr>
          <w:rFonts w:ascii="Times" w:hAnsi="Times"/>
          <w:b w:val="0"/>
          <w:bCs/>
          <w:sz w:val="24"/>
          <w:szCs w:val="24"/>
          <w:vertAlign w:val="superscript"/>
        </w:rPr>
        <w:t xml:space="preserve"> </w:t>
      </w:r>
      <w:r>
        <w:rPr>
          <w:rFonts w:ascii="Times" w:hAnsi="Times"/>
          <w:b w:val="0"/>
          <w:bCs/>
          <w:sz w:val="24"/>
          <w:szCs w:val="24"/>
        </w:rPr>
        <w:t xml:space="preserve">and </w:t>
      </w:r>
      <w:proofErr w:type="spellStart"/>
      <w:r>
        <w:rPr>
          <w:rFonts w:ascii="Times" w:hAnsi="Times"/>
          <w:b w:val="0"/>
          <w:bCs/>
          <w:sz w:val="24"/>
          <w:szCs w:val="24"/>
        </w:rPr>
        <w:t>Nurfaradilla</w:t>
      </w:r>
      <w:proofErr w:type="spellEnd"/>
      <w:r>
        <w:rPr>
          <w:rFonts w:ascii="Times" w:hAnsi="Times"/>
          <w:b w:val="0"/>
          <w:bCs/>
          <w:sz w:val="24"/>
          <w:szCs w:val="24"/>
        </w:rPr>
        <w:t xml:space="preserve"> Mohamad Nasri</w:t>
      </w:r>
      <w:r>
        <w:rPr>
          <w:rFonts w:ascii="Times" w:hAnsi="Times"/>
          <w:b w:val="0"/>
          <w:bCs/>
          <w:sz w:val="24"/>
          <w:szCs w:val="24"/>
          <w:vertAlign w:val="superscript"/>
        </w:rPr>
        <w:t>4*</w:t>
      </w:r>
    </w:p>
    <w:p w14:paraId="4321145C" w14:textId="77777777" w:rsidR="001D0A2B" w:rsidRPr="00763CA5" w:rsidRDefault="001D0A2B" w:rsidP="001D0A2B">
      <w:pPr>
        <w:rPr>
          <w:rFonts w:ascii="Times" w:hAnsi="Times"/>
          <w:lang w:eastAsia="de-DE" w:bidi="en-US"/>
        </w:rPr>
      </w:pPr>
    </w:p>
    <w:p w14:paraId="3985D099" w14:textId="2D5C1D67" w:rsidR="001D0A2B" w:rsidRPr="007B4AEB" w:rsidRDefault="001125B5" w:rsidP="005F679A">
      <w:pPr>
        <w:rPr>
          <w:rFonts w:ascii="Times" w:hAnsi="Times"/>
          <w:bCs/>
          <w:sz w:val="20"/>
          <w:szCs w:val="20"/>
        </w:rPr>
      </w:pPr>
      <w:r w:rsidRPr="007B4AEB">
        <w:rPr>
          <w:rFonts w:ascii="Times" w:hAnsi="Times"/>
          <w:bCs/>
          <w:sz w:val="20"/>
          <w:szCs w:val="20"/>
          <w:vertAlign w:val="superscript"/>
        </w:rPr>
        <w:t>1</w:t>
      </w:r>
      <w:r w:rsidR="00B40C25">
        <w:rPr>
          <w:rFonts w:ascii="Times" w:hAnsi="Times"/>
          <w:bCs/>
          <w:sz w:val="20"/>
          <w:szCs w:val="20"/>
          <w:vertAlign w:val="superscript"/>
        </w:rPr>
        <w:t>234</w:t>
      </w:r>
      <w:r w:rsidR="00B40C25">
        <w:rPr>
          <w:rFonts w:ascii="Times" w:hAnsi="Times"/>
          <w:bCs/>
          <w:sz w:val="20"/>
          <w:szCs w:val="20"/>
        </w:rPr>
        <w:t>Faculty of Education</w:t>
      </w:r>
      <w:r w:rsidR="001D0A2B" w:rsidRPr="007B4AEB">
        <w:rPr>
          <w:rFonts w:ascii="Times" w:hAnsi="Times"/>
          <w:bCs/>
          <w:sz w:val="20"/>
          <w:szCs w:val="20"/>
        </w:rPr>
        <w:t>,</w:t>
      </w:r>
      <w:r w:rsidR="00B40C25">
        <w:rPr>
          <w:rFonts w:ascii="Times" w:hAnsi="Times"/>
          <w:bCs/>
          <w:sz w:val="20"/>
          <w:szCs w:val="20"/>
        </w:rPr>
        <w:t xml:space="preserve"> </w:t>
      </w:r>
      <w:proofErr w:type="gramStart"/>
      <w:r w:rsidR="00B40C25">
        <w:rPr>
          <w:rFonts w:ascii="Times" w:hAnsi="Times"/>
          <w:bCs/>
          <w:sz w:val="20"/>
          <w:szCs w:val="20"/>
        </w:rPr>
        <w:t>The</w:t>
      </w:r>
      <w:proofErr w:type="gramEnd"/>
      <w:r w:rsidR="00B40C25">
        <w:rPr>
          <w:rFonts w:ascii="Times" w:hAnsi="Times"/>
          <w:bCs/>
          <w:sz w:val="20"/>
          <w:szCs w:val="20"/>
        </w:rPr>
        <w:t xml:space="preserve"> National University of Malaysia, </w:t>
      </w:r>
      <w:proofErr w:type="spellStart"/>
      <w:r w:rsidR="00B40C25">
        <w:rPr>
          <w:rFonts w:ascii="Times" w:hAnsi="Times"/>
          <w:bCs/>
          <w:sz w:val="20"/>
          <w:szCs w:val="20"/>
        </w:rPr>
        <w:t>Bangi</w:t>
      </w:r>
      <w:proofErr w:type="spellEnd"/>
      <w:r w:rsidR="00B40C25">
        <w:rPr>
          <w:rFonts w:ascii="Times" w:hAnsi="Times"/>
          <w:bCs/>
          <w:sz w:val="20"/>
          <w:szCs w:val="20"/>
        </w:rPr>
        <w:t>, Selangor, Malaysia</w:t>
      </w:r>
    </w:p>
    <w:p w14:paraId="76548FDC" w14:textId="77777777" w:rsidR="001D0A2B" w:rsidRPr="007B4AEB" w:rsidRDefault="001D0A2B" w:rsidP="005F679A">
      <w:pPr>
        <w:rPr>
          <w:rFonts w:ascii="Times" w:hAnsi="Times"/>
          <w:bCs/>
          <w:sz w:val="20"/>
          <w:szCs w:val="20"/>
        </w:rPr>
      </w:pPr>
    </w:p>
    <w:p w14:paraId="7D468738" w14:textId="78D232C6" w:rsidR="001D0A2B" w:rsidRPr="007B4AEB" w:rsidRDefault="001D0A2B" w:rsidP="001D0A2B">
      <w:pPr>
        <w:rPr>
          <w:rFonts w:ascii="Times" w:hAnsi="Times"/>
          <w:bCs/>
          <w:sz w:val="20"/>
          <w:szCs w:val="20"/>
        </w:rPr>
      </w:pPr>
      <w:r w:rsidRPr="007B4AEB">
        <w:rPr>
          <w:rFonts w:ascii="Times" w:hAnsi="Times"/>
          <w:bCs/>
          <w:sz w:val="20"/>
          <w:szCs w:val="20"/>
          <w:vertAlign w:val="superscript"/>
        </w:rPr>
        <w:t>*</w:t>
      </w:r>
      <w:r w:rsidRPr="007B4AEB">
        <w:rPr>
          <w:rFonts w:ascii="Times" w:hAnsi="Times"/>
          <w:bCs/>
          <w:sz w:val="20"/>
          <w:szCs w:val="20"/>
        </w:rPr>
        <w:t>Corre</w:t>
      </w:r>
      <w:r w:rsidR="00B40C25">
        <w:rPr>
          <w:rFonts w:ascii="Times" w:hAnsi="Times"/>
          <w:bCs/>
          <w:sz w:val="20"/>
          <w:szCs w:val="20"/>
        </w:rPr>
        <w:t>sponding author: isa_hamzah@ukm.edu.my</w:t>
      </w:r>
    </w:p>
    <w:p w14:paraId="18F2495F" w14:textId="77777777" w:rsidR="005F679A" w:rsidRPr="00763CA5" w:rsidRDefault="005F679A" w:rsidP="005F679A">
      <w:pPr>
        <w:rPr>
          <w:rFonts w:ascii="Times" w:hAnsi="Times"/>
          <w:b/>
        </w:rPr>
      </w:pPr>
    </w:p>
    <w:p w14:paraId="056F9F4D" w14:textId="5473FD5B" w:rsidR="00B40C25" w:rsidRDefault="005F679A" w:rsidP="0044014A">
      <w:pPr>
        <w:jc w:val="both"/>
        <w:rPr>
          <w:rFonts w:ascii="Times" w:hAnsi="Times"/>
        </w:rPr>
      </w:pPr>
      <w:r w:rsidRPr="00763CA5">
        <w:rPr>
          <w:rFonts w:ascii="Times" w:hAnsi="Times"/>
          <w:b/>
        </w:rPr>
        <w:t xml:space="preserve">Abstract: </w:t>
      </w:r>
      <w:r w:rsidR="00B262C7">
        <w:rPr>
          <w:rFonts w:ascii="Times" w:hAnsi="Times"/>
          <w:lang w:val="ms-MY"/>
        </w:rPr>
        <w:t xml:space="preserve">Zero reject policy (ZRP) </w:t>
      </w:r>
      <w:r w:rsidR="00A60A01">
        <w:rPr>
          <w:rFonts w:ascii="Times" w:hAnsi="Times"/>
          <w:lang w:val="ms-MY"/>
        </w:rPr>
        <w:t xml:space="preserve">was </w:t>
      </w:r>
      <w:r w:rsidR="00B40C25" w:rsidRPr="00B40C25">
        <w:rPr>
          <w:rFonts w:ascii="Times" w:hAnsi="Times"/>
          <w:lang w:val="ms-MY"/>
        </w:rPr>
        <w:t>policy introduced by Ministery of Education in Malaysia, December 2018 purposely to adhance the implementation of Education For All Policy in Malaysia. Therefore, this pilot study aims is to identify the level of teacher readiness and acceptance in implenting ZRP among mainstreams teachers spesifically in rural school in Malaysia. This quantitative studies involved 120 mainstream teachers . The questionare distributed and the data analyzed using SPSS V23. The research findings indicated that the level of teachers teachers acceptance and readiness bothly in the moderate level. Therefore, more exposure about ZRP thru courses and workshop s</w:t>
      </w:r>
      <w:r w:rsidR="00A60A01">
        <w:rPr>
          <w:rFonts w:ascii="Times" w:hAnsi="Times"/>
          <w:lang w:val="ms-MY"/>
        </w:rPr>
        <w:t>hould conducted in order to incre</w:t>
      </w:r>
      <w:r w:rsidR="00B40C25" w:rsidRPr="00B40C25">
        <w:rPr>
          <w:rFonts w:ascii="Times" w:hAnsi="Times"/>
          <w:lang w:val="ms-MY"/>
        </w:rPr>
        <w:t xml:space="preserve">ase teachers acceptances and readiness to implement ZRP in </w:t>
      </w:r>
      <w:r w:rsidR="00B262C7">
        <w:rPr>
          <w:rFonts w:ascii="Times" w:hAnsi="Times"/>
          <w:lang w:val="ms-MY"/>
        </w:rPr>
        <w:t xml:space="preserve">rural </w:t>
      </w:r>
      <w:r w:rsidR="00B40C25" w:rsidRPr="00B40C25">
        <w:rPr>
          <w:rFonts w:ascii="Times" w:hAnsi="Times"/>
          <w:lang w:val="ms-MY"/>
        </w:rPr>
        <w:t>school</w:t>
      </w:r>
    </w:p>
    <w:p w14:paraId="174D6FC7" w14:textId="295CBD49" w:rsidR="005F679A" w:rsidRPr="00B40C25" w:rsidRDefault="005F679A" w:rsidP="005F679A">
      <w:pPr>
        <w:jc w:val="both"/>
        <w:rPr>
          <w:rFonts w:ascii="Times" w:hAnsi="Times"/>
          <w:b/>
        </w:rPr>
      </w:pPr>
    </w:p>
    <w:p w14:paraId="2050A4F0" w14:textId="08AD2C47" w:rsidR="005F679A" w:rsidRDefault="005F679A" w:rsidP="005F679A">
      <w:pPr>
        <w:rPr>
          <w:rFonts w:ascii="Times" w:hAnsi="Times"/>
        </w:rPr>
      </w:pPr>
      <w:r w:rsidRPr="00763CA5">
        <w:rPr>
          <w:rFonts w:ascii="Times" w:hAnsi="Times"/>
          <w:b/>
        </w:rPr>
        <w:t>Keywords:</w:t>
      </w:r>
      <w:r w:rsidR="00B40C25">
        <w:rPr>
          <w:rFonts w:ascii="Times" w:hAnsi="Times"/>
        </w:rPr>
        <w:t xml:space="preserve"> </w:t>
      </w:r>
      <w:r w:rsidR="00B40C25" w:rsidRPr="00B40C25">
        <w:rPr>
          <w:rFonts w:ascii="Times" w:hAnsi="Times"/>
          <w:lang w:val="en-US"/>
        </w:rPr>
        <w:t>Zero Reject Policy, Readiness, Acceptance, SEN, rural schoo</w:t>
      </w:r>
      <w:r w:rsidR="00B40C25">
        <w:rPr>
          <w:rFonts w:ascii="Times" w:hAnsi="Times"/>
          <w:lang w:val="en-US"/>
        </w:rPr>
        <w:t>l</w:t>
      </w:r>
    </w:p>
    <w:p w14:paraId="783B0742" w14:textId="0B927926" w:rsidR="00341B3A" w:rsidRDefault="00341B3A" w:rsidP="005F679A">
      <w:pPr>
        <w:pBdr>
          <w:bottom w:val="single" w:sz="12" w:space="1" w:color="auto"/>
        </w:pBdr>
        <w:rPr>
          <w:rFonts w:ascii="Times" w:hAnsi="Times"/>
        </w:rPr>
      </w:pPr>
    </w:p>
    <w:p w14:paraId="51A23A38" w14:textId="57A04C36" w:rsidR="00225147" w:rsidRDefault="00225147" w:rsidP="00F65F0D"/>
    <w:p w14:paraId="0F4854C8" w14:textId="71076F87" w:rsidR="00CB5B34" w:rsidRDefault="00341B3A" w:rsidP="00341B3A">
      <w:pPr>
        <w:rPr>
          <w:b/>
        </w:rPr>
      </w:pPr>
      <w:r w:rsidRPr="006172C0">
        <w:rPr>
          <w:b/>
        </w:rPr>
        <w:t>I</w:t>
      </w:r>
      <w:r w:rsidR="00CB5B34">
        <w:rPr>
          <w:b/>
        </w:rPr>
        <w:t>ntroduction</w:t>
      </w:r>
    </w:p>
    <w:p w14:paraId="6B4AA469" w14:textId="36A9B3A1" w:rsidR="00B40C25" w:rsidRPr="00B40C25" w:rsidRDefault="00B40C25" w:rsidP="00B40C25">
      <w:pPr>
        <w:jc w:val="both"/>
        <w:rPr>
          <w:bCs/>
          <w:lang w:val="en-US"/>
        </w:rPr>
      </w:pPr>
      <w:r w:rsidRPr="00B40C25">
        <w:rPr>
          <w:bCs/>
          <w:lang w:val="sv-SE"/>
        </w:rPr>
        <w:t>The Special Education in Malays</w:t>
      </w:r>
      <w:r>
        <w:rPr>
          <w:bCs/>
          <w:lang w:val="sv-SE"/>
        </w:rPr>
        <w:t xml:space="preserve">ia started since 1929 when the </w:t>
      </w:r>
      <w:r w:rsidRPr="00B40C25">
        <w:rPr>
          <w:bCs/>
          <w:lang w:val="sv-SE"/>
        </w:rPr>
        <w:t xml:space="preserve">St Nicholas Primary School in Malacca, manage by </w:t>
      </w:r>
      <w:r>
        <w:rPr>
          <w:bCs/>
          <w:lang w:val="sv-SE"/>
        </w:rPr>
        <w:t>Anglican Church. (Salmah et.al.</w:t>
      </w:r>
      <w:r w:rsidRPr="00B40C25">
        <w:rPr>
          <w:bCs/>
          <w:lang w:val="sv-SE"/>
        </w:rPr>
        <w:t xml:space="preserve">2020). The revoluation of Special Education been more rapidly when Special Teachers Training Collage specificially produce Special Education teachers was established in 1964. Due to human rights and equalities in education, </w:t>
      </w:r>
      <w:r w:rsidRPr="00B40C25">
        <w:rPr>
          <w:bCs/>
          <w:lang w:val="en-US"/>
        </w:rPr>
        <w:t xml:space="preserve">United Nations Educational, Scientific and Cultural Organization (UNESCO) had introduce The Education for All Goals were introduce in </w:t>
      </w:r>
      <w:proofErr w:type="spellStart"/>
      <w:r w:rsidRPr="00B40C25">
        <w:rPr>
          <w:bCs/>
          <w:lang w:val="en-US"/>
        </w:rPr>
        <w:t>Jomtien</w:t>
      </w:r>
      <w:proofErr w:type="spellEnd"/>
      <w:r w:rsidRPr="00B40C25">
        <w:rPr>
          <w:bCs/>
          <w:lang w:val="en-US"/>
        </w:rPr>
        <w:t xml:space="preserve">, Thailand in 1990 reinforce in World Education Forum in Dakar Senegal in 2000. </w:t>
      </w:r>
      <w:r>
        <w:rPr>
          <w:bCs/>
          <w:lang w:val="en-US"/>
        </w:rPr>
        <w:t>(</w:t>
      </w:r>
      <w:proofErr w:type="spellStart"/>
      <w:r>
        <w:rPr>
          <w:bCs/>
          <w:lang w:val="en-US"/>
        </w:rPr>
        <w:t>Ainscow</w:t>
      </w:r>
      <w:proofErr w:type="spellEnd"/>
      <w:r>
        <w:rPr>
          <w:bCs/>
          <w:lang w:val="en-US"/>
        </w:rPr>
        <w:t xml:space="preserve"> </w:t>
      </w:r>
      <w:r w:rsidRPr="00B40C25">
        <w:rPr>
          <w:bCs/>
          <w:lang w:val="en-US"/>
        </w:rPr>
        <w:t>2020). Ministry of Education (MOE) had been involved in this International Conferences, purposely to provide a pla</w:t>
      </w:r>
      <w:r>
        <w:rPr>
          <w:bCs/>
          <w:lang w:val="en-US"/>
        </w:rPr>
        <w:t>tform for the disabled children</w:t>
      </w:r>
      <w:r w:rsidRPr="00B40C25">
        <w:rPr>
          <w:bCs/>
          <w:lang w:val="sv-SE"/>
        </w:rPr>
        <w:t xml:space="preserve">. </w:t>
      </w:r>
      <w:r w:rsidRPr="00B40C25">
        <w:rPr>
          <w:bCs/>
          <w:lang w:val="en-US"/>
        </w:rPr>
        <w:t>This participation is to fight for the rights of the disabled or Special Education Needs Pupils (SEN) to</w:t>
      </w:r>
      <w:r>
        <w:rPr>
          <w:bCs/>
          <w:lang w:val="en-US"/>
        </w:rPr>
        <w:t xml:space="preserve"> enroll in mainstream education</w:t>
      </w:r>
      <w:r w:rsidRPr="00B40C25">
        <w:rPr>
          <w:bCs/>
          <w:lang w:val="en-US"/>
        </w:rPr>
        <w:t>.</w:t>
      </w:r>
      <w:r>
        <w:rPr>
          <w:bCs/>
          <w:lang w:val="en-US"/>
        </w:rPr>
        <w:t xml:space="preserve"> (</w:t>
      </w:r>
      <w:proofErr w:type="spellStart"/>
      <w:r>
        <w:rPr>
          <w:bCs/>
          <w:lang w:val="en-US"/>
        </w:rPr>
        <w:t>Zalizan</w:t>
      </w:r>
      <w:proofErr w:type="spellEnd"/>
      <w:r>
        <w:rPr>
          <w:bCs/>
          <w:lang w:val="en-US"/>
        </w:rPr>
        <w:t xml:space="preserve"> at el 2000), (</w:t>
      </w:r>
      <w:proofErr w:type="spellStart"/>
      <w:r>
        <w:rPr>
          <w:bCs/>
          <w:lang w:val="en-US"/>
        </w:rPr>
        <w:t>Zuki</w:t>
      </w:r>
      <w:proofErr w:type="spellEnd"/>
      <w:r>
        <w:rPr>
          <w:bCs/>
          <w:lang w:val="en-US"/>
        </w:rPr>
        <w:t xml:space="preserve"> at el 2016), (</w:t>
      </w:r>
      <w:proofErr w:type="spellStart"/>
      <w:r>
        <w:rPr>
          <w:bCs/>
          <w:lang w:val="en-US"/>
        </w:rPr>
        <w:t>Liyana</w:t>
      </w:r>
      <w:proofErr w:type="spellEnd"/>
      <w:r>
        <w:rPr>
          <w:bCs/>
          <w:lang w:val="en-US"/>
        </w:rPr>
        <w:t xml:space="preserve"> </w:t>
      </w:r>
      <w:r w:rsidR="001259E6">
        <w:rPr>
          <w:bCs/>
          <w:lang w:val="en-US"/>
        </w:rPr>
        <w:t>2013), (</w:t>
      </w:r>
      <w:proofErr w:type="spellStart"/>
      <w:r w:rsidR="001259E6">
        <w:rPr>
          <w:bCs/>
          <w:lang w:val="en-US"/>
        </w:rPr>
        <w:t>Norliah</w:t>
      </w:r>
      <w:proofErr w:type="spellEnd"/>
      <w:r w:rsidR="001259E6">
        <w:rPr>
          <w:bCs/>
          <w:lang w:val="en-US"/>
        </w:rPr>
        <w:t xml:space="preserve"> at el </w:t>
      </w:r>
      <w:r w:rsidRPr="00B40C25">
        <w:rPr>
          <w:bCs/>
          <w:lang w:val="en-US"/>
        </w:rPr>
        <w:t>2016).</w:t>
      </w:r>
    </w:p>
    <w:p w14:paraId="3EC91DF2" w14:textId="06FD0529" w:rsidR="00341B3A" w:rsidRPr="00E20004" w:rsidRDefault="00341B3A" w:rsidP="00341B3A">
      <w:pPr>
        <w:rPr>
          <w:i/>
        </w:rPr>
      </w:pPr>
    </w:p>
    <w:p w14:paraId="32E069EF" w14:textId="454E8D45" w:rsidR="00351457" w:rsidRPr="00351457" w:rsidRDefault="00CB5B34" w:rsidP="00341B3A">
      <w:pPr>
        <w:rPr>
          <w:b/>
        </w:rPr>
      </w:pPr>
      <w:r>
        <w:rPr>
          <w:b/>
        </w:rPr>
        <w:t>Literature Review</w:t>
      </w:r>
    </w:p>
    <w:p w14:paraId="194ECCAE" w14:textId="0679839E" w:rsidR="001259E6" w:rsidRPr="001259E6" w:rsidRDefault="001259E6" w:rsidP="001259E6">
      <w:pPr>
        <w:jc w:val="both"/>
        <w:rPr>
          <w:lang w:val="ms-MY"/>
        </w:rPr>
      </w:pPr>
      <w:r w:rsidRPr="001259E6">
        <w:rPr>
          <w:lang w:val="ms-MY"/>
        </w:rPr>
        <w:t>The Malaysian Education Development Plan ( PPPM) 2013 - 2025 was the transformation on education which aims to increase in universal access rates among children from pre</w:t>
      </w:r>
      <w:r w:rsidR="00D319A8">
        <w:rPr>
          <w:lang w:val="ms-MY"/>
        </w:rPr>
        <w:t xml:space="preserve"> – school to</w:t>
      </w:r>
      <w:r w:rsidRPr="001259E6">
        <w:rPr>
          <w:lang w:val="ms-MY"/>
        </w:rPr>
        <w:t xml:space="preserve"> upper secondary level by 2020.  Therefore, MOE  introduced a policy announced in December 2018, known as  Zero Reject Policy (ZRP) with the tagline "Education for All, Responsibility of All" which given an autonomy and accountability for schools and universities. </w:t>
      </w:r>
    </w:p>
    <w:p w14:paraId="0FDB36EE" w14:textId="77BA765A" w:rsidR="00180705" w:rsidRDefault="001259E6" w:rsidP="00D319A8">
      <w:pPr>
        <w:ind w:firstLine="720"/>
        <w:jc w:val="both"/>
        <w:rPr>
          <w:lang w:val="ms-MY"/>
        </w:rPr>
      </w:pPr>
      <w:r w:rsidRPr="001259E6">
        <w:rPr>
          <w:lang w:val="ms-MY"/>
        </w:rPr>
        <w:lastRenderedPageBreak/>
        <w:t>Relatively ZRP is not a new policy but is related to compliance with the Education Ac</w:t>
      </w:r>
      <w:r w:rsidR="00D319A8">
        <w:rPr>
          <w:lang w:val="ms-MY"/>
        </w:rPr>
        <w:t>t 1996 [Act 550], Section 29A.B</w:t>
      </w:r>
      <w:bookmarkStart w:id="0" w:name="_GoBack"/>
      <w:bookmarkEnd w:id="0"/>
      <w:r w:rsidR="00180705" w:rsidRPr="00180705">
        <w:rPr>
          <w:lang w:val="ms-MY"/>
        </w:rPr>
        <w:t xml:space="preserve">ased on ACT 550, Ministery of Education in Malaysia  emphasizes that SEN has the right to receive compulsory education at the primary school level. Student with SEN also has the right to receive education in line with their disability either to Special Education Schools or mainstream schools through Inclusive Education or Special Education Integration Program . With the implementation of this ZRP, Students with Special Needs (SEN) can register anywhere in the school they are interested in and the school cannot reject the student's application. </w:t>
      </w:r>
    </w:p>
    <w:p w14:paraId="5D5649CF" w14:textId="77777777" w:rsidR="00180705" w:rsidRPr="00180705" w:rsidRDefault="00180705" w:rsidP="00180705">
      <w:pPr>
        <w:ind w:firstLine="720"/>
        <w:jc w:val="both"/>
        <w:rPr>
          <w:lang w:val="ms-MY"/>
        </w:rPr>
      </w:pPr>
      <w:r w:rsidRPr="00180705">
        <w:rPr>
          <w:lang w:val="ms-MY"/>
        </w:rPr>
        <w:t>In 2019, the Ministry has introduced a comprehensive Zero Reject Policy for Students with Special Needs (SEN). The implementation of this policy is to ensure that all people with disabilities are not exempted from entering the school environment . Apart from that, the ‘Circular on Voluntary Parental Involvement in the Classroom’ is also an important policy through “Initiative number 62 on Parental Involvement, Community and Private Sector in line with the aspirations in the Malaysian Education Development Plan (PPPM) 2013 to 2025”. Involvement of Volunteers in the Classroom in the preschool, primary, secondary school levels including special education schools and integrated special education programs will be able to assist in the launch of the Teaching and Learning (TL) process. The statement also clarified that at the end of June 2019, a total of 735 schools with fewer students with SEN had accepted this policy  without any complaints. This is seen to have led to good and positive achievements at the initial stage in the implementation of the Zero Rejection Policy in the country. The implementation of this policy is also for the monitoring of each SEN in terms of their respective strengths and weaknesses so that teachers can provide individual educational plans and TL methods for the students.</w:t>
      </w:r>
    </w:p>
    <w:p w14:paraId="095FC1E5" w14:textId="5426C767" w:rsidR="00687513" w:rsidRDefault="00180705" w:rsidP="00687513">
      <w:pPr>
        <w:ind w:firstLine="720"/>
        <w:jc w:val="both"/>
        <w:rPr>
          <w:rFonts w:ascii="Arial" w:eastAsiaTheme="minorEastAsia" w:hAnsi="Arial" w:cs="Arial"/>
          <w:b/>
          <w:lang w:val="ms-MY" w:eastAsia="zh-CN"/>
        </w:rPr>
      </w:pPr>
      <w:r w:rsidRPr="00180705">
        <w:rPr>
          <w:lang w:val="ms-MY"/>
        </w:rPr>
        <w:t>Due to the characteristics of education are dynamic and constantly evolving, this change is a process of learning and improving the quality and delivery of knowledge.</w:t>
      </w:r>
      <w:r>
        <w:rPr>
          <w:lang w:val="ms-MY"/>
        </w:rPr>
        <w:t xml:space="preserve">( Lynch,S et.al </w:t>
      </w:r>
      <w:r w:rsidRPr="00180705">
        <w:rPr>
          <w:lang w:val="ms-MY"/>
        </w:rPr>
        <w:t>2008),</w:t>
      </w:r>
      <w:r w:rsidR="008F2FE0">
        <w:rPr>
          <w:lang w:val="ms-MY"/>
        </w:rPr>
        <w:t xml:space="preserve">(Lawrance &amp; </w:t>
      </w:r>
      <w:r w:rsidR="00687513">
        <w:rPr>
          <w:lang w:val="ms-MY"/>
        </w:rPr>
        <w:t>Brown</w:t>
      </w:r>
      <w:r w:rsidRPr="00180705">
        <w:rPr>
          <w:lang w:val="ms-MY"/>
        </w:rPr>
        <w:t xml:space="preserve"> 2004) </w:t>
      </w:r>
      <w:r w:rsidR="00687513">
        <w:rPr>
          <w:lang w:val="ms-MY"/>
        </w:rPr>
        <w:t xml:space="preserve">(Ainscow </w:t>
      </w:r>
      <w:r w:rsidRPr="00180705">
        <w:rPr>
          <w:lang w:val="ms-MY"/>
        </w:rPr>
        <w:t xml:space="preserve">2020). However, the change is closely related to the implementation of teachers in the classroom </w:t>
      </w:r>
      <w:r w:rsidR="00687513">
        <w:rPr>
          <w:lang w:val="ms-MY"/>
        </w:rPr>
        <w:t xml:space="preserve">(Sallend </w:t>
      </w:r>
      <w:r w:rsidRPr="00180705">
        <w:rPr>
          <w:lang w:val="ms-MY"/>
        </w:rPr>
        <w:t>2005) because teachers whose role is to ensure the success of a policy covers the quality or effectiveness of a policy because policy implementation will include aspects of readiness and ability and capacity of teachers to complete the policy.</w:t>
      </w:r>
      <w:r w:rsidR="00687513">
        <w:rPr>
          <w:lang w:val="ms-MY"/>
        </w:rPr>
        <w:t xml:space="preserve">(Al quairini et.al 2020), (Wan et.al </w:t>
      </w:r>
      <w:r w:rsidRPr="00180705">
        <w:rPr>
          <w:lang w:val="ms-MY"/>
        </w:rPr>
        <w:t>2016)</w:t>
      </w:r>
      <w:r w:rsidR="00687513" w:rsidRPr="00687513">
        <w:rPr>
          <w:rFonts w:ascii="Arial" w:eastAsiaTheme="minorEastAsia" w:hAnsi="Arial" w:cs="Arial"/>
          <w:b/>
          <w:lang w:val="ms-MY" w:eastAsia="zh-CN"/>
        </w:rPr>
        <w:t xml:space="preserve"> </w:t>
      </w:r>
    </w:p>
    <w:p w14:paraId="12B39635" w14:textId="77777777" w:rsidR="00687513" w:rsidRDefault="00687513" w:rsidP="00687513">
      <w:pPr>
        <w:jc w:val="both"/>
        <w:rPr>
          <w:rFonts w:ascii="Arial" w:eastAsiaTheme="minorEastAsia" w:hAnsi="Arial" w:cs="Arial"/>
          <w:b/>
          <w:lang w:val="ms-MY" w:eastAsia="zh-CN"/>
        </w:rPr>
      </w:pPr>
    </w:p>
    <w:p w14:paraId="2C09D455" w14:textId="1C415DAE" w:rsidR="00687513" w:rsidRPr="00687513" w:rsidRDefault="00687513" w:rsidP="00687513">
      <w:pPr>
        <w:jc w:val="both"/>
        <w:rPr>
          <w:b/>
          <w:lang w:val="ms-MY"/>
        </w:rPr>
      </w:pPr>
      <w:r w:rsidRPr="00687513">
        <w:rPr>
          <w:b/>
          <w:lang w:val="ms-MY"/>
        </w:rPr>
        <w:t xml:space="preserve">Teacher’s acceptance on ZRP and Inclusive education </w:t>
      </w:r>
    </w:p>
    <w:p w14:paraId="10238E95" w14:textId="3E29037E" w:rsidR="00687513" w:rsidRPr="00687513" w:rsidRDefault="00687513" w:rsidP="00687513">
      <w:pPr>
        <w:jc w:val="both"/>
        <w:rPr>
          <w:lang w:val="ms-MY"/>
        </w:rPr>
      </w:pPr>
      <w:r w:rsidRPr="00687513">
        <w:rPr>
          <w:lang w:val="ms-MY"/>
        </w:rPr>
        <w:t xml:space="preserve">Inclusive education provides opportunities for students with special needs to undergo teaching and learning process as well as socialize with other mainstream students. Inclusive education coincides with ‘Public Law 94-142 part B’ which states that inclusive education provides educational opportunities to all students with special needs. A report from the Special Education Division, </w:t>
      </w:r>
      <w:r>
        <w:rPr>
          <w:lang w:val="ms-MY"/>
        </w:rPr>
        <w:t xml:space="preserve">(MOE </w:t>
      </w:r>
      <w:r w:rsidRPr="00687513">
        <w:rPr>
          <w:lang w:val="ms-MY"/>
        </w:rPr>
        <w:t>2012) mentioned that the schools that have the Special Education Integration Program  and implement inclusive education are 355 schools, namely 161 primary schools and 194 secondary schools. This recorded only 6% of SEN student placed under Incluside Education, while 89% registered under Special Education Integration Program  and 5% enrolled in Special Education Schools. This enrollment percentage needs to be increased to reach 75% in 2025. As of 2018, the inclusive education enrollment percentage increase to is 40.54% (data as of January 2018).</w:t>
      </w:r>
    </w:p>
    <w:p w14:paraId="3F21AB77" w14:textId="5D358B53" w:rsidR="00687513" w:rsidRPr="00687513" w:rsidRDefault="00687513" w:rsidP="00687513">
      <w:pPr>
        <w:ind w:firstLine="720"/>
        <w:jc w:val="both"/>
        <w:rPr>
          <w:lang w:val="ms-MY"/>
        </w:rPr>
      </w:pPr>
      <w:r>
        <w:rPr>
          <w:lang w:val="ms-MY"/>
        </w:rPr>
        <w:t>MOE</w:t>
      </w:r>
      <w:r w:rsidRPr="00687513">
        <w:rPr>
          <w:lang w:val="ms-MY"/>
        </w:rPr>
        <w:t xml:space="preserve"> report also touched on the acceptance of some primary teachers, including administrators, on the presence of students with special needs in mainstream classes. This is due to a lack of understanding of the implementation of inclusive programs in schools. Many are of the opinion that the presence of these students will complicate administrative matters as well as affect school performance, due </w:t>
      </w:r>
      <w:r w:rsidR="00D81A72">
        <w:rPr>
          <w:lang w:val="ms-MY"/>
        </w:rPr>
        <w:t xml:space="preserve">to teachers perception towards </w:t>
      </w:r>
      <w:r w:rsidRPr="00687513">
        <w:rPr>
          <w:lang w:val="ms-MY"/>
        </w:rPr>
        <w:t xml:space="preserve">students with SEN have low cognitive ability due to problems in comprehension, speech, writing and </w:t>
      </w:r>
      <w:r w:rsidRPr="00687513">
        <w:rPr>
          <w:lang w:val="ms-MY"/>
        </w:rPr>
        <w:lastRenderedPageBreak/>
        <w:t>solving mathematical problems as well as physical and sensory disabilities that will lead to overall academic performance of the school.</w:t>
      </w:r>
    </w:p>
    <w:p w14:paraId="09BBDD0F" w14:textId="243ADA9B" w:rsidR="00687513" w:rsidRPr="00687513" w:rsidRDefault="00687513" w:rsidP="00687513">
      <w:pPr>
        <w:ind w:firstLine="720"/>
        <w:jc w:val="both"/>
        <w:rPr>
          <w:lang w:val="ms-MY"/>
        </w:rPr>
      </w:pPr>
      <w:r w:rsidRPr="00687513">
        <w:rPr>
          <w:lang w:val="ms-MY"/>
        </w:rPr>
        <w:t>Teachers 'and administrators' acceptance of inclusive education is closely related to the readiness and experience of handling students with special needs during teaching and learning process. Most of the mainstream teachers involved in inclusive programs were found to be less experienced and skilled in educating and teaching student with disabilities. In addition, the interaction between peers with SEN student is limited due to peers do not know about SEN  as well as the lack of mastery of social skills and interaction of SEN itself. Pupils with special needs usual</w:t>
      </w:r>
      <w:r w:rsidR="00D81A72">
        <w:rPr>
          <w:lang w:val="ms-MY"/>
        </w:rPr>
        <w:t>ly have low levels of self</w:t>
      </w:r>
      <w:r w:rsidRPr="00687513">
        <w:rPr>
          <w:lang w:val="ms-MY"/>
        </w:rPr>
        <w:t>-confidence which makes them insecure to associate and interact with friends and teachers.</w:t>
      </w:r>
    </w:p>
    <w:p w14:paraId="61DD5D23" w14:textId="6F1CC4E3" w:rsidR="00687513" w:rsidRPr="00687513" w:rsidRDefault="00687513" w:rsidP="00687513">
      <w:pPr>
        <w:ind w:firstLine="720"/>
        <w:jc w:val="both"/>
        <w:rPr>
          <w:lang w:val="ms-MY"/>
        </w:rPr>
      </w:pPr>
      <w:r w:rsidRPr="00687513">
        <w:rPr>
          <w:lang w:val="ms-MY"/>
        </w:rPr>
        <w:t xml:space="preserve">Meanwhile, the United Nations, 2018 also estimates that 57 million primary school children from low -status families around the world are still out of school while what will definitely improve the quality of education has been recognized as an urgent concern in the world. In addition, equality in access to education is not shared especially involving children with disabilities. This group still faces widespread exclusion from education. </w:t>
      </w:r>
      <w:r w:rsidR="00D81A72">
        <w:rPr>
          <w:lang w:val="ms-MY"/>
        </w:rPr>
        <w:t>(Brugg</w:t>
      </w:r>
      <w:r w:rsidR="008F2FE0">
        <w:rPr>
          <w:lang w:val="ms-MY"/>
        </w:rPr>
        <w:t>ink et al</w:t>
      </w:r>
      <w:r w:rsidR="00D81A72">
        <w:rPr>
          <w:lang w:val="ms-MY"/>
        </w:rPr>
        <w:t xml:space="preserve"> </w:t>
      </w:r>
      <w:r w:rsidRPr="00687513">
        <w:rPr>
          <w:lang w:val="ms-MY"/>
        </w:rPr>
        <w:t xml:space="preserve">2016); </w:t>
      </w:r>
      <w:r w:rsidR="00D81A72">
        <w:rPr>
          <w:lang w:val="ms-MY"/>
        </w:rPr>
        <w:t>(UNESCO</w:t>
      </w:r>
      <w:r w:rsidRPr="00687513">
        <w:rPr>
          <w:lang w:val="ms-MY"/>
        </w:rPr>
        <w:t xml:space="preserve"> 2010</w:t>
      </w:r>
      <w:r w:rsidR="00D81A72">
        <w:rPr>
          <w:lang w:val="ms-MY"/>
        </w:rPr>
        <w:t>)</w:t>
      </w:r>
      <w:r w:rsidRPr="00687513">
        <w:rPr>
          <w:lang w:val="ms-MY"/>
        </w:rPr>
        <w:t xml:space="preserve">; </w:t>
      </w:r>
      <w:r w:rsidR="00D81A72">
        <w:rPr>
          <w:lang w:val="ms-MY"/>
        </w:rPr>
        <w:t>(WHO, &amp; World Bank</w:t>
      </w:r>
      <w:r w:rsidRPr="00687513">
        <w:rPr>
          <w:lang w:val="ms-MY"/>
        </w:rPr>
        <w:t xml:space="preserve"> 2011).</w:t>
      </w:r>
    </w:p>
    <w:p w14:paraId="044AFA82" w14:textId="51BDF05E" w:rsidR="00687513" w:rsidRPr="00687513" w:rsidRDefault="00687513" w:rsidP="00687513">
      <w:pPr>
        <w:ind w:firstLine="720"/>
        <w:jc w:val="both"/>
        <w:rPr>
          <w:lang w:val="ms-MY"/>
        </w:rPr>
      </w:pPr>
      <w:r w:rsidRPr="00687513">
        <w:rPr>
          <w:lang w:val="ms-MY"/>
        </w:rPr>
        <w:t>In low- and middle-income countries, children with disabilities have lower school attendance rates and lower transition rates to higher levels o</w:t>
      </w:r>
      <w:r w:rsidR="00D81A72">
        <w:rPr>
          <w:lang w:val="ms-MY"/>
        </w:rPr>
        <w:t>f education ( WHO &amp; World Bank</w:t>
      </w:r>
      <w:r w:rsidRPr="00687513">
        <w:rPr>
          <w:lang w:val="ms-MY"/>
        </w:rPr>
        <w:t xml:space="preserve"> 2011) .Analysis revealed that across 30 countries, children with disabilities are likely to have 10 times lower percentage of attendance to school</w:t>
      </w:r>
      <w:r w:rsidR="008F2FE0">
        <w:rPr>
          <w:lang w:val="ms-MY"/>
        </w:rPr>
        <w:t xml:space="preserve"> than their peers (Lessard et.al</w:t>
      </w:r>
      <w:r w:rsidRPr="00687513">
        <w:rPr>
          <w:lang w:val="ms-MY"/>
        </w:rPr>
        <w:t xml:space="preserve"> 2014). The influence of this disability is one of the strongest factors in their non -attendance at school compared to other factors. (WHO, &amp; World Bank, 2011). This is because, these disabilities make their learning process very limited.</w:t>
      </w:r>
    </w:p>
    <w:p w14:paraId="4B790B31" w14:textId="158B1FB9" w:rsidR="00687513" w:rsidRPr="00687513" w:rsidRDefault="00687513" w:rsidP="00687513">
      <w:pPr>
        <w:ind w:firstLine="720"/>
        <w:jc w:val="both"/>
        <w:rPr>
          <w:b/>
          <w:lang w:val="ms-MY"/>
        </w:rPr>
      </w:pPr>
      <w:r w:rsidRPr="00687513">
        <w:rPr>
          <w:lang w:val="ms-MY"/>
        </w:rPr>
        <w:t>Although SEN enrollment is increasing in most developing countries and this increase also includes</w:t>
      </w:r>
      <w:r w:rsidR="00D81A72">
        <w:rPr>
          <w:lang w:val="ms-MY"/>
        </w:rPr>
        <w:t xml:space="preserve"> the quality of SEN education (</w:t>
      </w:r>
      <w:r w:rsidRPr="00687513">
        <w:rPr>
          <w:lang w:val="ms-MY"/>
        </w:rPr>
        <w:t xml:space="preserve">Maulana et.al ,2015, </w:t>
      </w:r>
      <w:r w:rsidR="00D81A72">
        <w:rPr>
          <w:lang w:val="ms-MY"/>
        </w:rPr>
        <w:t>(</w:t>
      </w:r>
      <w:r w:rsidRPr="00687513">
        <w:rPr>
          <w:lang w:val="ms-MY"/>
        </w:rPr>
        <w:t>Maclister et.al, 2019) but evidenced from research showing how student with SEN is less excluded from the curriculum and teach</w:t>
      </w:r>
      <w:r w:rsidR="008F2FE0">
        <w:rPr>
          <w:lang w:val="ms-MY"/>
        </w:rPr>
        <w:t xml:space="preserve">ing as the mainstream. (Kaushik </w:t>
      </w:r>
      <w:r w:rsidRPr="00687513">
        <w:rPr>
          <w:lang w:val="ms-MY"/>
        </w:rPr>
        <w:t>2018). In addition to school practices that isolate the student with SEN is not support the inclusive learning and environments th</w:t>
      </w:r>
      <w:r w:rsidR="00B262C7">
        <w:rPr>
          <w:lang w:val="ms-MY"/>
        </w:rPr>
        <w:t xml:space="preserve">at can also contribute towards </w:t>
      </w:r>
      <w:r w:rsidRPr="00687513">
        <w:rPr>
          <w:lang w:val="ms-MY"/>
        </w:rPr>
        <w:t>why SEN</w:t>
      </w:r>
      <w:r w:rsidR="00AA3BBA">
        <w:rPr>
          <w:lang w:val="ms-MY"/>
        </w:rPr>
        <w:t xml:space="preserve"> do not attend school. (</w:t>
      </w:r>
      <w:r w:rsidR="00D81A72">
        <w:rPr>
          <w:lang w:val="ms-MY"/>
        </w:rPr>
        <w:t xml:space="preserve">Miles </w:t>
      </w:r>
      <w:r w:rsidRPr="00687513">
        <w:rPr>
          <w:lang w:val="ms-MY"/>
        </w:rPr>
        <w:t>et</w:t>
      </w:r>
      <w:r w:rsidR="00D81A72">
        <w:rPr>
          <w:lang w:val="ms-MY"/>
        </w:rPr>
        <w:t xml:space="preserve">.al </w:t>
      </w:r>
      <w:r w:rsidRPr="00687513">
        <w:rPr>
          <w:lang w:val="ms-MY"/>
        </w:rPr>
        <w:t>2010</w:t>
      </w:r>
      <w:r w:rsidR="00D81A72">
        <w:rPr>
          <w:lang w:val="ms-MY"/>
        </w:rPr>
        <w:t>)</w:t>
      </w:r>
      <w:r w:rsidRPr="00687513">
        <w:rPr>
          <w:lang w:val="ms-MY"/>
        </w:rPr>
        <w:t xml:space="preserve">, </w:t>
      </w:r>
      <w:r w:rsidR="00D81A72">
        <w:rPr>
          <w:lang w:val="ms-MY"/>
        </w:rPr>
        <w:t xml:space="preserve">(Maclister et.al </w:t>
      </w:r>
      <w:r w:rsidRPr="00687513">
        <w:rPr>
          <w:lang w:val="ms-MY"/>
        </w:rPr>
        <w:t>2019</w:t>
      </w:r>
      <w:r w:rsidR="00D81A72">
        <w:rPr>
          <w:lang w:val="ms-MY"/>
        </w:rPr>
        <w:t>)</w:t>
      </w:r>
      <w:r w:rsidRPr="00687513">
        <w:rPr>
          <w:lang w:val="ms-MY"/>
        </w:rPr>
        <w:t xml:space="preserve">, </w:t>
      </w:r>
      <w:r w:rsidR="00D81A72">
        <w:rPr>
          <w:lang w:val="ms-MY"/>
        </w:rPr>
        <w:t>(</w:t>
      </w:r>
      <w:r w:rsidR="00B262C7">
        <w:rPr>
          <w:lang w:val="ms-MY"/>
        </w:rPr>
        <w:t>Molosiwa et.al</w:t>
      </w:r>
      <w:r w:rsidRPr="00687513">
        <w:rPr>
          <w:lang w:val="ms-MY"/>
        </w:rPr>
        <w:t xml:space="preserve"> 2016</w:t>
      </w:r>
      <w:r w:rsidR="00D81A72">
        <w:rPr>
          <w:lang w:val="ms-MY"/>
        </w:rPr>
        <w:t>)</w:t>
      </w:r>
      <w:r w:rsidRPr="00687513">
        <w:rPr>
          <w:lang w:val="ms-MY"/>
        </w:rPr>
        <w:t xml:space="preserve">, </w:t>
      </w:r>
    </w:p>
    <w:p w14:paraId="7DAF38F4" w14:textId="77777777" w:rsidR="00687513" w:rsidRPr="00687513" w:rsidRDefault="00687513" w:rsidP="00687513">
      <w:pPr>
        <w:ind w:firstLine="720"/>
        <w:jc w:val="both"/>
        <w:rPr>
          <w:b/>
          <w:lang w:val="ms-MY"/>
        </w:rPr>
      </w:pPr>
    </w:p>
    <w:p w14:paraId="4628E6E5" w14:textId="77777777" w:rsidR="00687513" w:rsidRPr="00687513" w:rsidRDefault="00687513" w:rsidP="00687513">
      <w:pPr>
        <w:jc w:val="both"/>
        <w:rPr>
          <w:b/>
          <w:lang w:val="ms-MY"/>
        </w:rPr>
      </w:pPr>
      <w:r w:rsidRPr="00687513">
        <w:rPr>
          <w:b/>
          <w:lang w:val="ms-MY"/>
        </w:rPr>
        <w:t>Teacher’s Readiness</w:t>
      </w:r>
    </w:p>
    <w:p w14:paraId="5DDEF52E" w14:textId="46CCEBEB" w:rsidR="00687513" w:rsidRPr="00687513" w:rsidRDefault="00687513" w:rsidP="00687513">
      <w:pPr>
        <w:jc w:val="both"/>
        <w:rPr>
          <w:lang w:val="ms-MY"/>
        </w:rPr>
      </w:pPr>
      <w:r w:rsidRPr="00687513">
        <w:rPr>
          <w:lang w:val="ms-MY"/>
        </w:rPr>
        <w:t xml:space="preserve">Teacher readiness is one of the aspect should be emphasized to produce quality education for students. Teachers must be  knowledgable  and dedication in education so  every student can acquire knowledge with enthusiasm and discipline while applying positive values. </w:t>
      </w:r>
      <w:r w:rsidR="00AA3BBA">
        <w:rPr>
          <w:lang w:val="ms-MY"/>
        </w:rPr>
        <w:t>(</w:t>
      </w:r>
      <w:r w:rsidRPr="00687513">
        <w:rPr>
          <w:lang w:val="ms-MY"/>
        </w:rPr>
        <w:t>Mau</w:t>
      </w:r>
      <w:r w:rsidR="00AA3BBA">
        <w:rPr>
          <w:lang w:val="ms-MY"/>
        </w:rPr>
        <w:t xml:space="preserve">lana et al 2015),(Thomson et.al </w:t>
      </w:r>
      <w:r w:rsidRPr="00687513">
        <w:rPr>
          <w:lang w:val="ms-MY"/>
        </w:rPr>
        <w:t>1999</w:t>
      </w:r>
      <w:r w:rsidR="00AA3BBA">
        <w:rPr>
          <w:lang w:val="ms-MY"/>
        </w:rPr>
        <w:t>), (Ravenscorft et.al 2019),</w:t>
      </w:r>
      <w:r w:rsidRPr="00687513">
        <w:rPr>
          <w:lang w:val="ms-MY"/>
        </w:rPr>
        <w:t>the achievement of a student is based on the positive values ​​conveyed as a result of a teacher's technique that will have an impact in an education. They also stressed that teachers should apply appropriate approaches to produce quality education for students such as involving all students in problem solving techniques regardless of their background. This will be able to reduce the gap between normal students and students with special needs. Teachers should have this value awareness to achieve equality of every student in the education sector.</w:t>
      </w:r>
    </w:p>
    <w:p w14:paraId="4D70CC70" w14:textId="0AC85EF3" w:rsidR="00687513" w:rsidRPr="00687513" w:rsidRDefault="00687513" w:rsidP="00687513">
      <w:pPr>
        <w:ind w:firstLine="720"/>
        <w:jc w:val="both"/>
        <w:rPr>
          <w:lang w:val="ms-MY"/>
        </w:rPr>
      </w:pPr>
      <w:r w:rsidRPr="00687513">
        <w:rPr>
          <w:lang w:val="ms-MY"/>
        </w:rPr>
        <w:t xml:space="preserve">Social, race, ethnic, religious and language aspects are also among the approaches that should be given emphasis to teachers in delivering education In addition, Malaysia, which is known as a multicultural country, must emphasize consistent education regardless of race, ethnic background or disability to enable every individual to obtain the same education. This effort will be able to create inclusiveness to the education system in Malaysia by creating a system or process of reform in a more comprehensive institution </w:t>
      </w:r>
      <w:r w:rsidR="00AA3BBA">
        <w:rPr>
          <w:lang w:val="ms-MY"/>
        </w:rPr>
        <w:t>(</w:t>
      </w:r>
      <w:r w:rsidRPr="00687513">
        <w:rPr>
          <w:lang w:val="ms-MY"/>
        </w:rPr>
        <w:t>Zuki</w:t>
      </w:r>
      <w:r w:rsidR="00AA3BBA">
        <w:rPr>
          <w:lang w:val="ms-MY"/>
        </w:rPr>
        <w:t xml:space="preserve"> et.al 2016), </w:t>
      </w:r>
      <w:r w:rsidR="00AA3BBA">
        <w:rPr>
          <w:lang w:val="ms-MY"/>
        </w:rPr>
        <w:lastRenderedPageBreak/>
        <w:t xml:space="preserve">(Zalizan et al </w:t>
      </w:r>
      <w:r w:rsidRPr="00687513">
        <w:rPr>
          <w:lang w:val="ms-MY"/>
        </w:rPr>
        <w:t>201</w:t>
      </w:r>
      <w:r w:rsidR="00AA3BBA">
        <w:rPr>
          <w:lang w:val="ms-MY"/>
        </w:rPr>
        <w:t>2)</w:t>
      </w:r>
      <w:r w:rsidRPr="00687513">
        <w:rPr>
          <w:lang w:val="ms-MY"/>
        </w:rPr>
        <w:t xml:space="preserve">. To achieve this goal, teachers must be sensitive in the emphasis on strategy by ensuring that equality is given equally to every student.According to </w:t>
      </w:r>
      <w:r w:rsidR="00B262C7">
        <w:rPr>
          <w:lang w:val="ms-MY"/>
        </w:rPr>
        <w:t>(</w:t>
      </w:r>
      <w:r w:rsidRPr="00687513">
        <w:rPr>
          <w:lang w:val="ms-MY"/>
        </w:rPr>
        <w:t xml:space="preserve">Obidike, </w:t>
      </w:r>
      <w:r w:rsidR="00AA3BBA">
        <w:rPr>
          <w:lang w:val="ms-MY"/>
        </w:rPr>
        <w:t xml:space="preserve">Anyikwa &amp; Enemou </w:t>
      </w:r>
      <w:r w:rsidRPr="00687513">
        <w:rPr>
          <w:lang w:val="ms-MY"/>
        </w:rPr>
        <w:t>2010), apart from the aspects already mentioned above, teachers should be exposed to knowledge and skills in the use of technology in the classroo</w:t>
      </w:r>
      <w:r w:rsidR="00A60A01">
        <w:rPr>
          <w:lang w:val="ms-MY"/>
        </w:rPr>
        <w:t>m. Recently, in modern era,</w:t>
      </w:r>
      <w:r w:rsidRPr="00687513">
        <w:rPr>
          <w:lang w:val="ms-MY"/>
        </w:rPr>
        <w:t xml:space="preserve"> the use of technology has been widely used indefinitely, so teachers must use this opportunity by applying technology -based teaching techniques. However, today, most teachers are less exposed to the use of information technology. This is due to the limitations of the platform in channeling this exposure to the teacher community. The mastery of these skills is considered as a linear movement that begins with the teacher's awareness of the importance of information technology. The adaptation and innovation of teachers in the use of information technology will in turn improve learning and teaching techniques. Therefore, the exposure of information technology is important to educators and teachers in facing the era of modernization in the 21st century to produce a younger generation that is more competitive and innovative in the future.</w:t>
      </w:r>
    </w:p>
    <w:p w14:paraId="06862A71" w14:textId="0593E211" w:rsidR="00180705" w:rsidRDefault="00180705" w:rsidP="00825DB3">
      <w:pPr>
        <w:rPr>
          <w:b/>
        </w:rPr>
      </w:pPr>
    </w:p>
    <w:p w14:paraId="41EBBCA8" w14:textId="20A574FF" w:rsidR="008E5446" w:rsidRDefault="008E5446" w:rsidP="00825DB3">
      <w:pPr>
        <w:rPr>
          <w:b/>
        </w:rPr>
      </w:pPr>
      <w:r>
        <w:rPr>
          <w:b/>
        </w:rPr>
        <w:t>Methodology</w:t>
      </w:r>
    </w:p>
    <w:p w14:paraId="0BEDAED3" w14:textId="66A30198" w:rsidR="00EB1BE5" w:rsidRPr="00EB1BE5" w:rsidRDefault="00EB1BE5" w:rsidP="00EB1BE5">
      <w:pPr>
        <w:jc w:val="both"/>
      </w:pPr>
      <w:r>
        <w:t xml:space="preserve">A </w:t>
      </w:r>
      <w:r w:rsidRPr="00EB1BE5">
        <w:t xml:space="preserve">survey study with a quantitative approach </w:t>
      </w:r>
      <w:proofErr w:type="gramStart"/>
      <w:r w:rsidRPr="00EB1BE5">
        <w:t>was used</w:t>
      </w:r>
      <w:proofErr w:type="gramEnd"/>
      <w:r w:rsidRPr="00EB1BE5">
        <w:t xml:space="preserve"> in this study. The researcher used a questionnaire instrument to obtain accurate descriptive data. Questionnaires are one of the popular and often used instruments to</w:t>
      </w:r>
      <w:r w:rsidR="00D90B79">
        <w:t xml:space="preserve"> obtain information </w:t>
      </w:r>
      <w:r w:rsidRPr="00EB1BE5">
        <w:t xml:space="preserve">the most practical and effective instrument in measuring the characteristics of the variables to be measured and suitable examine large populations. This study </w:t>
      </w:r>
      <w:proofErr w:type="gramStart"/>
      <w:r w:rsidRPr="00EB1BE5">
        <w:t>was conducted</w:t>
      </w:r>
      <w:proofErr w:type="gramEnd"/>
      <w:r w:rsidRPr="00EB1BE5">
        <w:t xml:space="preserve"> in </w:t>
      </w:r>
      <w:proofErr w:type="spellStart"/>
      <w:r w:rsidRPr="00EB1BE5">
        <w:t>Kapit</w:t>
      </w:r>
      <w:proofErr w:type="spellEnd"/>
      <w:r w:rsidRPr="00EB1BE5">
        <w:t xml:space="preserve"> Sarawak, whereby 120 primary school teachers involved in this study Due to the small sample size in this study; it cannot be generalized to all teachers throughout Malaysia. The questionnaire divided into three section, which is demographic section, readiness construct, and acceptances construct. Each construct consist of ten item. </w:t>
      </w:r>
      <w:r w:rsidRPr="00EB1BE5">
        <w:rPr>
          <w:lang w:val="ms-MY"/>
        </w:rPr>
        <w:t>In this study, the researcher has constructed a questionnaire with Five Likert Scale measurement. This measurement contains five scales namely Scale 1-Strongly Disagree, Scale 2-Disagree, Scale 3-Neutral, Scale 4-Agree and Scale 5-Strongly Agree.</w:t>
      </w:r>
      <w:r w:rsidRPr="00EB1BE5">
        <w:t xml:space="preserve"> </w:t>
      </w:r>
    </w:p>
    <w:p w14:paraId="24B9BBFD" w14:textId="25D629CC" w:rsidR="0072478C" w:rsidRDefault="00EB1BE5" w:rsidP="00465953">
      <w:pPr>
        <w:ind w:firstLine="720"/>
        <w:jc w:val="both"/>
        <w:rPr>
          <w:lang w:val="ms-MY"/>
        </w:rPr>
      </w:pPr>
      <w:r w:rsidRPr="00EB1BE5">
        <w:rPr>
          <w:lang w:val="ms-MY"/>
        </w:rPr>
        <w:t>The validity and reliability of the instrument in obtaining information and data is very important for a study. The higher the value of validity and reliability of the instrument, the higher and more accurate the data obtained to produce the best quality study.herefore, the questionnaire used was adapted from Hamzah(2019). The data obtained were analyzed using SPSS software version 23. Cronbach's alpha coefficient was used to obtain the validity and internal reliability of the items.Before distributing the questionnaire, the respondents of the study will be given a brief description related to the study conducted. The aim was for the study respondents to be calm and always ready to answer the questions posed. After that, all respondents were given a certain amount of time to answer. If there are any doubts and questions in the questionnaire, respondents can continue to ask the researcher. Overall, the time period required in the coll</w:t>
      </w:r>
      <w:r w:rsidR="0072478C">
        <w:rPr>
          <w:lang w:val="ms-MY"/>
        </w:rPr>
        <w:t>ection of study data was for two</w:t>
      </w:r>
      <w:r w:rsidRPr="00EB1BE5">
        <w:rPr>
          <w:lang w:val="ms-MY"/>
        </w:rPr>
        <w:t xml:space="preserve"> week.</w:t>
      </w:r>
    </w:p>
    <w:p w14:paraId="647F19BC" w14:textId="77777777" w:rsidR="0072478C" w:rsidRPr="0072478C" w:rsidRDefault="0072478C" w:rsidP="0072478C">
      <w:pPr>
        <w:ind w:firstLine="510"/>
        <w:jc w:val="both"/>
        <w:rPr>
          <w:lang w:val="ms-MY"/>
        </w:rPr>
      </w:pPr>
    </w:p>
    <w:p w14:paraId="279A2E8A" w14:textId="548D5C94" w:rsidR="00351457" w:rsidRPr="00351457" w:rsidRDefault="00351457" w:rsidP="00825DB3">
      <w:pPr>
        <w:rPr>
          <w:b/>
        </w:rPr>
      </w:pPr>
      <w:r>
        <w:rPr>
          <w:b/>
        </w:rPr>
        <w:t>The Findings</w:t>
      </w:r>
    </w:p>
    <w:p w14:paraId="31A4851B" w14:textId="5A867B14" w:rsidR="0072478C" w:rsidRDefault="00EB1BE5" w:rsidP="0072478C">
      <w:pPr>
        <w:jc w:val="both"/>
        <w:rPr>
          <w:iCs/>
          <w:lang w:val="ms-MY"/>
        </w:rPr>
      </w:pPr>
      <w:r w:rsidRPr="00EB1BE5">
        <w:rPr>
          <w:iCs/>
          <w:lang w:val="ms-MY"/>
        </w:rPr>
        <w:t>The data obtained from the survey study were analyzed in order to determine the accuracy of the data in achieving the objectives of the study. The data obtained from the questionnaire will be analyzed descriptively involving frequency and mean using SPSS software version 23. Descriptive analysis was used to show the main features of the data collection aimed at summarizing the sample. It also has a brief summary of the representative sample and the surveys that h</w:t>
      </w:r>
      <w:r>
        <w:rPr>
          <w:iCs/>
          <w:lang w:val="ms-MY"/>
        </w:rPr>
        <w:t>ave been con</w:t>
      </w:r>
      <w:r w:rsidR="006542FD">
        <w:rPr>
          <w:iCs/>
          <w:lang w:val="ms-MY"/>
        </w:rPr>
        <w:t>ducted (</w:t>
      </w:r>
      <w:r>
        <w:rPr>
          <w:iCs/>
          <w:lang w:val="ms-MY"/>
        </w:rPr>
        <w:t xml:space="preserve">Sekaran </w:t>
      </w:r>
      <w:r w:rsidRPr="00EB1BE5">
        <w:rPr>
          <w:iCs/>
          <w:lang w:val="ms-MY"/>
        </w:rPr>
        <w:t>2013).</w:t>
      </w:r>
    </w:p>
    <w:p w14:paraId="3513C90B" w14:textId="77777777" w:rsidR="009741CE" w:rsidRDefault="009741CE" w:rsidP="009741CE">
      <w:pPr>
        <w:jc w:val="both"/>
        <w:rPr>
          <w:iCs/>
          <w:lang w:val="ms-MY"/>
        </w:rPr>
      </w:pPr>
    </w:p>
    <w:p w14:paraId="40270AED" w14:textId="2F77BE30" w:rsidR="007E7244" w:rsidRPr="00465953" w:rsidRDefault="007E7244" w:rsidP="009741CE">
      <w:pPr>
        <w:pStyle w:val="ListParagraph"/>
        <w:numPr>
          <w:ilvl w:val="0"/>
          <w:numId w:val="36"/>
        </w:numPr>
        <w:jc w:val="both"/>
        <w:rPr>
          <w:rFonts w:ascii="Times New Roman" w:hAnsi="Times New Roman" w:cs="Times New Roman"/>
          <w:iCs/>
          <w:sz w:val="24"/>
          <w:szCs w:val="24"/>
          <w:lang w:val="ms-MY"/>
        </w:rPr>
      </w:pPr>
      <w:r w:rsidRPr="00465953">
        <w:rPr>
          <w:rFonts w:ascii="Times New Roman" w:hAnsi="Times New Roman" w:cs="Times New Roman"/>
          <w:iCs/>
          <w:sz w:val="24"/>
          <w:szCs w:val="24"/>
          <w:lang w:val="ms-MY"/>
        </w:rPr>
        <w:lastRenderedPageBreak/>
        <w:t xml:space="preserve">Respondent demography </w:t>
      </w:r>
    </w:p>
    <w:p w14:paraId="0F932C63" w14:textId="1B3C0C23" w:rsidR="0072478C" w:rsidRPr="00EB1BE5" w:rsidRDefault="00DC6E17" w:rsidP="0072478C">
      <w:pPr>
        <w:spacing w:after="120"/>
        <w:jc w:val="center"/>
        <w:rPr>
          <w:lang w:val="ms-MY"/>
        </w:rPr>
      </w:pPr>
      <w:r>
        <w:rPr>
          <w:lang w:val="ms-MY"/>
        </w:rPr>
        <w:t xml:space="preserve">Table 1.0 </w:t>
      </w:r>
      <w:r w:rsidR="0072478C" w:rsidRPr="00EB1BE5">
        <w:rPr>
          <w:lang w:val="ms-MY"/>
        </w:rPr>
        <w:t>Respondent gender, teaching experiences and education backgrou</w:t>
      </w:r>
      <w:r w:rsidR="0072478C">
        <w:rPr>
          <w:lang w:val="ms-MY"/>
        </w:rPr>
        <w:t>n</w:t>
      </w:r>
      <w:r w:rsidR="0072478C" w:rsidRPr="00EB1BE5">
        <w:rPr>
          <w:lang w:val="ms-MY"/>
        </w:rPr>
        <w:t>d</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49"/>
        <w:gridCol w:w="2041"/>
        <w:gridCol w:w="2070"/>
      </w:tblGrid>
      <w:tr w:rsidR="0072478C" w:rsidRPr="001D5E41" w14:paraId="70E1A680" w14:textId="77777777" w:rsidTr="002A7513">
        <w:trPr>
          <w:jc w:val="center"/>
        </w:trPr>
        <w:tc>
          <w:tcPr>
            <w:tcW w:w="2520" w:type="dxa"/>
            <w:tcBorders>
              <w:top w:val="single" w:sz="4" w:space="0" w:color="auto"/>
              <w:bottom w:val="single" w:sz="4" w:space="0" w:color="auto"/>
            </w:tcBorders>
          </w:tcPr>
          <w:p w14:paraId="1C1A81B2" w14:textId="77777777" w:rsidR="0072478C" w:rsidRPr="001D5E41" w:rsidRDefault="0072478C" w:rsidP="002A7513">
            <w:pPr>
              <w:spacing w:after="120" w:line="240" w:lineRule="auto"/>
              <w:jc w:val="center"/>
              <w:rPr>
                <w:color w:val="auto"/>
                <w:sz w:val="20"/>
                <w:szCs w:val="20"/>
              </w:rPr>
            </w:pPr>
          </w:p>
        </w:tc>
        <w:tc>
          <w:tcPr>
            <w:tcW w:w="2549" w:type="dxa"/>
            <w:tcBorders>
              <w:top w:val="single" w:sz="4" w:space="0" w:color="auto"/>
              <w:bottom w:val="single" w:sz="4" w:space="0" w:color="auto"/>
            </w:tcBorders>
          </w:tcPr>
          <w:p w14:paraId="3FEE5830" w14:textId="77777777" w:rsidR="0072478C" w:rsidRPr="001D5E41" w:rsidRDefault="0072478C" w:rsidP="002A7513">
            <w:pPr>
              <w:spacing w:after="120" w:line="240" w:lineRule="auto"/>
              <w:jc w:val="center"/>
              <w:rPr>
                <w:color w:val="auto"/>
                <w:sz w:val="20"/>
                <w:szCs w:val="20"/>
              </w:rPr>
            </w:pPr>
          </w:p>
        </w:tc>
        <w:tc>
          <w:tcPr>
            <w:tcW w:w="2041" w:type="dxa"/>
            <w:tcBorders>
              <w:top w:val="single" w:sz="4" w:space="0" w:color="auto"/>
              <w:bottom w:val="single" w:sz="4" w:space="0" w:color="auto"/>
            </w:tcBorders>
          </w:tcPr>
          <w:p w14:paraId="35BA1110" w14:textId="77777777" w:rsidR="0072478C" w:rsidRPr="0072478C" w:rsidRDefault="0072478C" w:rsidP="002A7513">
            <w:pPr>
              <w:spacing w:after="120" w:line="240" w:lineRule="auto"/>
              <w:jc w:val="center"/>
              <w:rPr>
                <w:b/>
                <w:color w:val="auto"/>
                <w:sz w:val="20"/>
                <w:szCs w:val="20"/>
              </w:rPr>
            </w:pPr>
            <w:r w:rsidRPr="0072478C">
              <w:rPr>
                <w:b/>
                <w:color w:val="auto"/>
                <w:sz w:val="20"/>
                <w:szCs w:val="20"/>
              </w:rPr>
              <w:t>Frequency</w:t>
            </w:r>
          </w:p>
        </w:tc>
        <w:tc>
          <w:tcPr>
            <w:tcW w:w="2070" w:type="dxa"/>
            <w:tcBorders>
              <w:top w:val="single" w:sz="4" w:space="0" w:color="auto"/>
              <w:bottom w:val="single" w:sz="4" w:space="0" w:color="auto"/>
            </w:tcBorders>
          </w:tcPr>
          <w:p w14:paraId="3E2D74AB" w14:textId="77777777" w:rsidR="0072478C" w:rsidRPr="0072478C" w:rsidRDefault="0072478C" w:rsidP="002A7513">
            <w:pPr>
              <w:spacing w:after="120" w:line="240" w:lineRule="auto"/>
              <w:jc w:val="center"/>
              <w:rPr>
                <w:b/>
                <w:color w:val="auto"/>
                <w:sz w:val="20"/>
                <w:szCs w:val="20"/>
              </w:rPr>
            </w:pPr>
            <w:r w:rsidRPr="0072478C">
              <w:rPr>
                <w:b/>
                <w:color w:val="auto"/>
                <w:sz w:val="20"/>
                <w:szCs w:val="20"/>
              </w:rPr>
              <w:t>Percent</w:t>
            </w:r>
          </w:p>
        </w:tc>
      </w:tr>
      <w:tr w:rsidR="0072478C" w:rsidRPr="001D5E41" w14:paraId="1EF9A529" w14:textId="77777777" w:rsidTr="002A7513">
        <w:trPr>
          <w:jc w:val="center"/>
        </w:trPr>
        <w:tc>
          <w:tcPr>
            <w:tcW w:w="2520" w:type="dxa"/>
            <w:tcBorders>
              <w:top w:val="single" w:sz="4" w:space="0" w:color="auto"/>
            </w:tcBorders>
          </w:tcPr>
          <w:p w14:paraId="1BBD694C" w14:textId="77777777" w:rsidR="0072478C" w:rsidRPr="001D5E41" w:rsidRDefault="0072478C" w:rsidP="002A7513">
            <w:pPr>
              <w:spacing w:after="120" w:line="240" w:lineRule="auto"/>
              <w:jc w:val="left"/>
              <w:rPr>
                <w:color w:val="auto"/>
                <w:sz w:val="20"/>
                <w:szCs w:val="20"/>
              </w:rPr>
            </w:pPr>
            <w:r w:rsidRPr="001D5E41">
              <w:rPr>
                <w:color w:val="auto"/>
                <w:sz w:val="20"/>
                <w:szCs w:val="20"/>
              </w:rPr>
              <w:t xml:space="preserve">Gender </w:t>
            </w:r>
          </w:p>
        </w:tc>
        <w:tc>
          <w:tcPr>
            <w:tcW w:w="2549" w:type="dxa"/>
            <w:tcBorders>
              <w:top w:val="single" w:sz="4" w:space="0" w:color="auto"/>
            </w:tcBorders>
          </w:tcPr>
          <w:p w14:paraId="4C7D588F" w14:textId="77777777" w:rsidR="0072478C" w:rsidRPr="001D5E41" w:rsidRDefault="0072478C" w:rsidP="002A7513">
            <w:pPr>
              <w:spacing w:after="120" w:line="240" w:lineRule="auto"/>
              <w:jc w:val="center"/>
              <w:rPr>
                <w:color w:val="auto"/>
                <w:sz w:val="20"/>
                <w:szCs w:val="20"/>
              </w:rPr>
            </w:pPr>
            <w:r w:rsidRPr="001D5E41">
              <w:rPr>
                <w:color w:val="auto"/>
                <w:sz w:val="20"/>
                <w:szCs w:val="20"/>
              </w:rPr>
              <w:t xml:space="preserve">Male </w:t>
            </w:r>
          </w:p>
        </w:tc>
        <w:tc>
          <w:tcPr>
            <w:tcW w:w="2041" w:type="dxa"/>
            <w:tcBorders>
              <w:top w:val="single" w:sz="4" w:space="0" w:color="auto"/>
            </w:tcBorders>
          </w:tcPr>
          <w:p w14:paraId="7FBB3884" w14:textId="77777777" w:rsidR="0072478C" w:rsidRPr="001D5E41" w:rsidRDefault="0072478C" w:rsidP="002A7513">
            <w:pPr>
              <w:spacing w:after="120" w:line="240" w:lineRule="auto"/>
              <w:jc w:val="center"/>
              <w:rPr>
                <w:color w:val="auto"/>
                <w:sz w:val="20"/>
                <w:szCs w:val="20"/>
              </w:rPr>
            </w:pPr>
            <w:r w:rsidRPr="001D5E41">
              <w:rPr>
                <w:color w:val="auto"/>
                <w:sz w:val="20"/>
                <w:szCs w:val="20"/>
              </w:rPr>
              <w:t>49</w:t>
            </w:r>
          </w:p>
        </w:tc>
        <w:tc>
          <w:tcPr>
            <w:tcW w:w="2070" w:type="dxa"/>
            <w:tcBorders>
              <w:top w:val="single" w:sz="4" w:space="0" w:color="auto"/>
            </w:tcBorders>
          </w:tcPr>
          <w:p w14:paraId="4C742699" w14:textId="77777777" w:rsidR="0072478C" w:rsidRPr="001D5E41" w:rsidRDefault="0072478C" w:rsidP="002A7513">
            <w:pPr>
              <w:spacing w:after="120" w:line="240" w:lineRule="auto"/>
              <w:jc w:val="center"/>
              <w:rPr>
                <w:color w:val="auto"/>
                <w:sz w:val="20"/>
                <w:szCs w:val="20"/>
              </w:rPr>
            </w:pPr>
            <w:r w:rsidRPr="001D5E41">
              <w:rPr>
                <w:color w:val="auto"/>
                <w:sz w:val="20"/>
                <w:szCs w:val="20"/>
              </w:rPr>
              <w:t>40.8</w:t>
            </w:r>
          </w:p>
        </w:tc>
      </w:tr>
      <w:tr w:rsidR="0072478C" w:rsidRPr="001D5E41" w14:paraId="33773C16" w14:textId="77777777" w:rsidTr="002A7513">
        <w:trPr>
          <w:jc w:val="center"/>
        </w:trPr>
        <w:tc>
          <w:tcPr>
            <w:tcW w:w="2520" w:type="dxa"/>
          </w:tcPr>
          <w:p w14:paraId="6A41C6BF" w14:textId="77777777" w:rsidR="0072478C" w:rsidRPr="001D5E41" w:rsidRDefault="0072478C" w:rsidP="002A7513">
            <w:pPr>
              <w:spacing w:after="120" w:line="240" w:lineRule="auto"/>
              <w:jc w:val="left"/>
              <w:rPr>
                <w:color w:val="auto"/>
                <w:sz w:val="20"/>
                <w:szCs w:val="20"/>
              </w:rPr>
            </w:pPr>
          </w:p>
        </w:tc>
        <w:tc>
          <w:tcPr>
            <w:tcW w:w="2549" w:type="dxa"/>
          </w:tcPr>
          <w:p w14:paraId="787277B5" w14:textId="77777777" w:rsidR="0072478C" w:rsidRPr="001D5E41" w:rsidRDefault="0072478C" w:rsidP="002A7513">
            <w:pPr>
              <w:spacing w:after="120" w:line="240" w:lineRule="auto"/>
              <w:jc w:val="center"/>
              <w:rPr>
                <w:color w:val="auto"/>
                <w:sz w:val="20"/>
                <w:szCs w:val="20"/>
              </w:rPr>
            </w:pPr>
            <w:r w:rsidRPr="001D5E41">
              <w:rPr>
                <w:color w:val="auto"/>
                <w:sz w:val="20"/>
                <w:szCs w:val="20"/>
              </w:rPr>
              <w:t xml:space="preserve">Female </w:t>
            </w:r>
          </w:p>
        </w:tc>
        <w:tc>
          <w:tcPr>
            <w:tcW w:w="2041" w:type="dxa"/>
          </w:tcPr>
          <w:p w14:paraId="5A67514A" w14:textId="77777777" w:rsidR="0072478C" w:rsidRPr="001D5E41" w:rsidRDefault="0072478C" w:rsidP="002A7513">
            <w:pPr>
              <w:spacing w:after="120" w:line="240" w:lineRule="auto"/>
              <w:jc w:val="center"/>
              <w:rPr>
                <w:color w:val="auto"/>
                <w:sz w:val="20"/>
                <w:szCs w:val="20"/>
              </w:rPr>
            </w:pPr>
            <w:r w:rsidRPr="001D5E41">
              <w:rPr>
                <w:color w:val="auto"/>
                <w:sz w:val="20"/>
                <w:szCs w:val="20"/>
              </w:rPr>
              <w:t>71</w:t>
            </w:r>
          </w:p>
        </w:tc>
        <w:tc>
          <w:tcPr>
            <w:tcW w:w="2070" w:type="dxa"/>
          </w:tcPr>
          <w:p w14:paraId="48A66B82" w14:textId="77777777" w:rsidR="0072478C" w:rsidRPr="001D5E41" w:rsidRDefault="0072478C" w:rsidP="002A7513">
            <w:pPr>
              <w:spacing w:after="120" w:line="240" w:lineRule="auto"/>
              <w:jc w:val="center"/>
              <w:rPr>
                <w:color w:val="auto"/>
                <w:sz w:val="20"/>
                <w:szCs w:val="20"/>
              </w:rPr>
            </w:pPr>
            <w:r w:rsidRPr="001D5E41">
              <w:rPr>
                <w:color w:val="auto"/>
                <w:sz w:val="20"/>
                <w:szCs w:val="20"/>
              </w:rPr>
              <w:t>59.2</w:t>
            </w:r>
          </w:p>
        </w:tc>
      </w:tr>
      <w:tr w:rsidR="0072478C" w:rsidRPr="001D5E41" w14:paraId="0666F8ED" w14:textId="77777777" w:rsidTr="002A7513">
        <w:trPr>
          <w:jc w:val="center"/>
        </w:trPr>
        <w:tc>
          <w:tcPr>
            <w:tcW w:w="2520" w:type="dxa"/>
            <w:vMerge w:val="restart"/>
          </w:tcPr>
          <w:p w14:paraId="0048D404" w14:textId="77777777" w:rsidR="0072478C" w:rsidRPr="001D5E41" w:rsidRDefault="0072478C" w:rsidP="002A7513">
            <w:pPr>
              <w:spacing w:after="120" w:line="240" w:lineRule="auto"/>
              <w:jc w:val="left"/>
              <w:rPr>
                <w:color w:val="auto"/>
                <w:sz w:val="20"/>
                <w:szCs w:val="20"/>
              </w:rPr>
            </w:pPr>
            <w:r w:rsidRPr="001D5E41">
              <w:rPr>
                <w:color w:val="auto"/>
                <w:sz w:val="20"/>
                <w:szCs w:val="20"/>
              </w:rPr>
              <w:t>Teaching Experience</w:t>
            </w:r>
          </w:p>
        </w:tc>
        <w:tc>
          <w:tcPr>
            <w:tcW w:w="2549" w:type="dxa"/>
          </w:tcPr>
          <w:p w14:paraId="04FA3D87" w14:textId="77777777" w:rsidR="0072478C" w:rsidRPr="001D5E41" w:rsidRDefault="0072478C" w:rsidP="002A7513">
            <w:pPr>
              <w:spacing w:after="120" w:line="240" w:lineRule="auto"/>
              <w:jc w:val="center"/>
              <w:rPr>
                <w:color w:val="auto"/>
                <w:sz w:val="20"/>
                <w:szCs w:val="20"/>
              </w:rPr>
            </w:pPr>
            <w:r w:rsidRPr="001D5E41">
              <w:rPr>
                <w:color w:val="auto"/>
                <w:sz w:val="20"/>
                <w:szCs w:val="20"/>
              </w:rPr>
              <w:t>1 to 3 years</w:t>
            </w:r>
          </w:p>
        </w:tc>
        <w:tc>
          <w:tcPr>
            <w:tcW w:w="2041" w:type="dxa"/>
          </w:tcPr>
          <w:p w14:paraId="0F170DA2" w14:textId="77777777" w:rsidR="0072478C" w:rsidRPr="001D5E41" w:rsidRDefault="0072478C" w:rsidP="002A7513">
            <w:pPr>
              <w:spacing w:after="120" w:line="240" w:lineRule="auto"/>
              <w:jc w:val="center"/>
              <w:rPr>
                <w:color w:val="auto"/>
                <w:sz w:val="20"/>
                <w:szCs w:val="20"/>
              </w:rPr>
            </w:pPr>
            <w:r w:rsidRPr="001D5E41">
              <w:rPr>
                <w:color w:val="auto"/>
                <w:sz w:val="20"/>
                <w:szCs w:val="20"/>
              </w:rPr>
              <w:t>26</w:t>
            </w:r>
          </w:p>
        </w:tc>
        <w:tc>
          <w:tcPr>
            <w:tcW w:w="2070" w:type="dxa"/>
          </w:tcPr>
          <w:p w14:paraId="0272BA6F" w14:textId="77777777" w:rsidR="0072478C" w:rsidRPr="001D5E41" w:rsidRDefault="0072478C" w:rsidP="002A7513">
            <w:pPr>
              <w:spacing w:after="120" w:line="240" w:lineRule="auto"/>
              <w:jc w:val="center"/>
              <w:rPr>
                <w:color w:val="auto"/>
                <w:sz w:val="20"/>
                <w:szCs w:val="20"/>
              </w:rPr>
            </w:pPr>
            <w:r w:rsidRPr="001D5E41">
              <w:rPr>
                <w:color w:val="auto"/>
                <w:sz w:val="20"/>
                <w:szCs w:val="20"/>
              </w:rPr>
              <w:t>21.7</w:t>
            </w:r>
          </w:p>
        </w:tc>
      </w:tr>
      <w:tr w:rsidR="0072478C" w:rsidRPr="001D5E41" w14:paraId="485B435F" w14:textId="77777777" w:rsidTr="002A7513">
        <w:trPr>
          <w:jc w:val="center"/>
        </w:trPr>
        <w:tc>
          <w:tcPr>
            <w:tcW w:w="2520" w:type="dxa"/>
            <w:vMerge/>
          </w:tcPr>
          <w:p w14:paraId="37684799" w14:textId="77777777" w:rsidR="0072478C" w:rsidRPr="001D5E41" w:rsidRDefault="0072478C" w:rsidP="002A7513">
            <w:pPr>
              <w:spacing w:after="120" w:line="240" w:lineRule="auto"/>
              <w:jc w:val="left"/>
              <w:rPr>
                <w:color w:val="auto"/>
                <w:sz w:val="20"/>
                <w:szCs w:val="20"/>
              </w:rPr>
            </w:pPr>
          </w:p>
        </w:tc>
        <w:tc>
          <w:tcPr>
            <w:tcW w:w="2549" w:type="dxa"/>
          </w:tcPr>
          <w:p w14:paraId="368F80D8" w14:textId="77777777" w:rsidR="0072478C" w:rsidRPr="001D5E41" w:rsidRDefault="0072478C" w:rsidP="002A7513">
            <w:pPr>
              <w:spacing w:after="120" w:line="240" w:lineRule="auto"/>
              <w:jc w:val="center"/>
              <w:rPr>
                <w:color w:val="auto"/>
                <w:sz w:val="20"/>
                <w:szCs w:val="20"/>
              </w:rPr>
            </w:pPr>
            <w:r w:rsidRPr="001D5E41">
              <w:rPr>
                <w:color w:val="auto"/>
                <w:sz w:val="20"/>
                <w:szCs w:val="20"/>
              </w:rPr>
              <w:t>4 to 5 years</w:t>
            </w:r>
          </w:p>
        </w:tc>
        <w:tc>
          <w:tcPr>
            <w:tcW w:w="2041" w:type="dxa"/>
          </w:tcPr>
          <w:p w14:paraId="3A4E9D42" w14:textId="77777777" w:rsidR="0072478C" w:rsidRPr="001D5E41" w:rsidRDefault="0072478C" w:rsidP="002A7513">
            <w:pPr>
              <w:spacing w:after="120" w:line="240" w:lineRule="auto"/>
              <w:jc w:val="center"/>
              <w:rPr>
                <w:color w:val="auto"/>
                <w:sz w:val="20"/>
                <w:szCs w:val="20"/>
              </w:rPr>
            </w:pPr>
            <w:r w:rsidRPr="001D5E41">
              <w:rPr>
                <w:color w:val="auto"/>
                <w:sz w:val="20"/>
                <w:szCs w:val="20"/>
              </w:rPr>
              <w:t>20</w:t>
            </w:r>
          </w:p>
        </w:tc>
        <w:tc>
          <w:tcPr>
            <w:tcW w:w="2070" w:type="dxa"/>
          </w:tcPr>
          <w:p w14:paraId="74F3CF0E" w14:textId="77777777" w:rsidR="0072478C" w:rsidRPr="001D5E41" w:rsidRDefault="0072478C" w:rsidP="002A7513">
            <w:pPr>
              <w:spacing w:after="120" w:line="240" w:lineRule="auto"/>
              <w:jc w:val="center"/>
              <w:rPr>
                <w:color w:val="auto"/>
                <w:sz w:val="20"/>
                <w:szCs w:val="20"/>
              </w:rPr>
            </w:pPr>
            <w:r w:rsidRPr="001D5E41">
              <w:rPr>
                <w:color w:val="auto"/>
                <w:sz w:val="20"/>
                <w:szCs w:val="20"/>
              </w:rPr>
              <w:t>16.7</w:t>
            </w:r>
          </w:p>
        </w:tc>
      </w:tr>
      <w:tr w:rsidR="0072478C" w:rsidRPr="001D5E41" w14:paraId="3F37A76D" w14:textId="77777777" w:rsidTr="002A7513">
        <w:trPr>
          <w:jc w:val="center"/>
        </w:trPr>
        <w:tc>
          <w:tcPr>
            <w:tcW w:w="2520" w:type="dxa"/>
            <w:vMerge/>
          </w:tcPr>
          <w:p w14:paraId="703473F1" w14:textId="77777777" w:rsidR="0072478C" w:rsidRPr="001D5E41" w:rsidRDefault="0072478C" w:rsidP="002A7513">
            <w:pPr>
              <w:spacing w:after="120" w:line="240" w:lineRule="auto"/>
              <w:jc w:val="left"/>
              <w:rPr>
                <w:color w:val="auto"/>
                <w:sz w:val="20"/>
                <w:szCs w:val="20"/>
              </w:rPr>
            </w:pPr>
          </w:p>
        </w:tc>
        <w:tc>
          <w:tcPr>
            <w:tcW w:w="2549" w:type="dxa"/>
          </w:tcPr>
          <w:p w14:paraId="2750DBFD" w14:textId="77777777" w:rsidR="0072478C" w:rsidRPr="001D5E41" w:rsidRDefault="0072478C" w:rsidP="002A7513">
            <w:pPr>
              <w:spacing w:after="120" w:line="240" w:lineRule="auto"/>
              <w:jc w:val="center"/>
              <w:rPr>
                <w:color w:val="auto"/>
                <w:sz w:val="20"/>
                <w:szCs w:val="20"/>
              </w:rPr>
            </w:pPr>
            <w:r w:rsidRPr="001D5E41">
              <w:rPr>
                <w:color w:val="auto"/>
                <w:sz w:val="20"/>
                <w:szCs w:val="20"/>
              </w:rPr>
              <w:t>6 to 14 years</w:t>
            </w:r>
          </w:p>
        </w:tc>
        <w:tc>
          <w:tcPr>
            <w:tcW w:w="2041" w:type="dxa"/>
          </w:tcPr>
          <w:p w14:paraId="64144110" w14:textId="77777777" w:rsidR="0072478C" w:rsidRPr="001D5E41" w:rsidRDefault="0072478C" w:rsidP="002A7513">
            <w:pPr>
              <w:spacing w:after="120" w:line="240" w:lineRule="auto"/>
              <w:jc w:val="center"/>
              <w:rPr>
                <w:color w:val="auto"/>
                <w:sz w:val="20"/>
                <w:szCs w:val="20"/>
              </w:rPr>
            </w:pPr>
            <w:r w:rsidRPr="001D5E41">
              <w:rPr>
                <w:color w:val="auto"/>
                <w:sz w:val="20"/>
                <w:szCs w:val="20"/>
              </w:rPr>
              <w:t>48</w:t>
            </w:r>
          </w:p>
        </w:tc>
        <w:tc>
          <w:tcPr>
            <w:tcW w:w="2070" w:type="dxa"/>
          </w:tcPr>
          <w:p w14:paraId="7810FFF1" w14:textId="77777777" w:rsidR="0072478C" w:rsidRPr="001D5E41" w:rsidRDefault="0072478C" w:rsidP="002A7513">
            <w:pPr>
              <w:spacing w:after="120" w:line="240" w:lineRule="auto"/>
              <w:jc w:val="center"/>
              <w:rPr>
                <w:color w:val="auto"/>
                <w:sz w:val="20"/>
                <w:szCs w:val="20"/>
              </w:rPr>
            </w:pPr>
            <w:r w:rsidRPr="001D5E41">
              <w:rPr>
                <w:color w:val="auto"/>
                <w:sz w:val="20"/>
                <w:szCs w:val="20"/>
              </w:rPr>
              <w:t>40.0</w:t>
            </w:r>
          </w:p>
        </w:tc>
      </w:tr>
      <w:tr w:rsidR="0072478C" w:rsidRPr="001D5E41" w14:paraId="4951A4AC" w14:textId="77777777" w:rsidTr="002A7513">
        <w:trPr>
          <w:jc w:val="center"/>
        </w:trPr>
        <w:tc>
          <w:tcPr>
            <w:tcW w:w="2520" w:type="dxa"/>
            <w:vMerge/>
          </w:tcPr>
          <w:p w14:paraId="551EE992" w14:textId="77777777" w:rsidR="0072478C" w:rsidRPr="001D5E41" w:rsidRDefault="0072478C" w:rsidP="002A7513">
            <w:pPr>
              <w:spacing w:after="120" w:line="240" w:lineRule="auto"/>
              <w:jc w:val="left"/>
              <w:rPr>
                <w:color w:val="auto"/>
                <w:sz w:val="20"/>
                <w:szCs w:val="20"/>
              </w:rPr>
            </w:pPr>
          </w:p>
        </w:tc>
        <w:tc>
          <w:tcPr>
            <w:tcW w:w="2549" w:type="dxa"/>
          </w:tcPr>
          <w:p w14:paraId="1DF3723D" w14:textId="77777777" w:rsidR="0072478C" w:rsidRPr="001D5E41" w:rsidRDefault="0072478C" w:rsidP="002A7513">
            <w:pPr>
              <w:spacing w:after="120" w:line="240" w:lineRule="auto"/>
              <w:jc w:val="center"/>
              <w:rPr>
                <w:color w:val="auto"/>
                <w:sz w:val="20"/>
                <w:szCs w:val="20"/>
              </w:rPr>
            </w:pPr>
            <w:r w:rsidRPr="001D5E41">
              <w:rPr>
                <w:color w:val="auto"/>
                <w:sz w:val="20"/>
                <w:szCs w:val="20"/>
              </w:rPr>
              <w:t>More than 15 years</w:t>
            </w:r>
          </w:p>
        </w:tc>
        <w:tc>
          <w:tcPr>
            <w:tcW w:w="2041" w:type="dxa"/>
          </w:tcPr>
          <w:p w14:paraId="1F724CBA" w14:textId="77777777" w:rsidR="0072478C" w:rsidRPr="001D5E41" w:rsidRDefault="0072478C" w:rsidP="002A7513">
            <w:pPr>
              <w:spacing w:after="120" w:line="240" w:lineRule="auto"/>
              <w:jc w:val="center"/>
              <w:rPr>
                <w:color w:val="auto"/>
                <w:sz w:val="20"/>
                <w:szCs w:val="20"/>
              </w:rPr>
            </w:pPr>
            <w:r w:rsidRPr="001D5E41">
              <w:rPr>
                <w:color w:val="auto"/>
                <w:sz w:val="20"/>
                <w:szCs w:val="20"/>
              </w:rPr>
              <w:t>26</w:t>
            </w:r>
          </w:p>
        </w:tc>
        <w:tc>
          <w:tcPr>
            <w:tcW w:w="2070" w:type="dxa"/>
          </w:tcPr>
          <w:p w14:paraId="7EF648BE" w14:textId="77777777" w:rsidR="0072478C" w:rsidRPr="001D5E41" w:rsidRDefault="0072478C" w:rsidP="002A7513">
            <w:pPr>
              <w:spacing w:after="120" w:line="240" w:lineRule="auto"/>
              <w:jc w:val="center"/>
              <w:rPr>
                <w:color w:val="auto"/>
                <w:sz w:val="20"/>
                <w:szCs w:val="20"/>
              </w:rPr>
            </w:pPr>
            <w:r w:rsidRPr="001D5E41">
              <w:rPr>
                <w:color w:val="auto"/>
                <w:sz w:val="20"/>
                <w:szCs w:val="20"/>
              </w:rPr>
              <w:t>21.7</w:t>
            </w:r>
          </w:p>
        </w:tc>
      </w:tr>
      <w:tr w:rsidR="0072478C" w:rsidRPr="001D5E41" w14:paraId="08C1ACC5" w14:textId="77777777" w:rsidTr="002A7513">
        <w:trPr>
          <w:jc w:val="center"/>
        </w:trPr>
        <w:tc>
          <w:tcPr>
            <w:tcW w:w="2520" w:type="dxa"/>
            <w:vMerge w:val="restart"/>
          </w:tcPr>
          <w:p w14:paraId="5C2739DE" w14:textId="77777777" w:rsidR="0072478C" w:rsidRPr="001D5E41" w:rsidRDefault="0072478C" w:rsidP="002A7513">
            <w:pPr>
              <w:spacing w:after="120" w:line="240" w:lineRule="auto"/>
              <w:jc w:val="left"/>
              <w:rPr>
                <w:color w:val="auto"/>
                <w:sz w:val="20"/>
                <w:szCs w:val="20"/>
              </w:rPr>
            </w:pPr>
            <w:r w:rsidRPr="001D5E41">
              <w:rPr>
                <w:color w:val="auto"/>
                <w:sz w:val="20"/>
                <w:szCs w:val="20"/>
              </w:rPr>
              <w:t xml:space="preserve">Education Background </w:t>
            </w:r>
          </w:p>
        </w:tc>
        <w:tc>
          <w:tcPr>
            <w:tcW w:w="2549" w:type="dxa"/>
          </w:tcPr>
          <w:p w14:paraId="67E3DC41" w14:textId="77777777" w:rsidR="0072478C" w:rsidRPr="001D5E41" w:rsidRDefault="0072478C" w:rsidP="002A7513">
            <w:pPr>
              <w:spacing w:after="120" w:line="240" w:lineRule="auto"/>
              <w:jc w:val="center"/>
              <w:rPr>
                <w:color w:val="auto"/>
                <w:sz w:val="20"/>
                <w:szCs w:val="20"/>
              </w:rPr>
            </w:pPr>
            <w:r w:rsidRPr="001D5E41">
              <w:rPr>
                <w:color w:val="auto"/>
                <w:sz w:val="20"/>
                <w:szCs w:val="20"/>
              </w:rPr>
              <w:t>SPM/SPMV</w:t>
            </w:r>
          </w:p>
        </w:tc>
        <w:tc>
          <w:tcPr>
            <w:tcW w:w="2041" w:type="dxa"/>
          </w:tcPr>
          <w:p w14:paraId="2B8584F4" w14:textId="77777777" w:rsidR="0072478C" w:rsidRPr="001D5E41" w:rsidRDefault="0072478C" w:rsidP="002A7513">
            <w:pPr>
              <w:spacing w:after="120" w:line="240" w:lineRule="auto"/>
              <w:jc w:val="center"/>
              <w:rPr>
                <w:color w:val="auto"/>
                <w:sz w:val="20"/>
                <w:szCs w:val="20"/>
              </w:rPr>
            </w:pPr>
            <w:r w:rsidRPr="001D5E41">
              <w:rPr>
                <w:color w:val="auto"/>
                <w:sz w:val="20"/>
                <w:szCs w:val="20"/>
              </w:rPr>
              <w:t>2</w:t>
            </w:r>
          </w:p>
        </w:tc>
        <w:tc>
          <w:tcPr>
            <w:tcW w:w="2070" w:type="dxa"/>
          </w:tcPr>
          <w:p w14:paraId="3C4A483A" w14:textId="77777777" w:rsidR="0072478C" w:rsidRPr="001D5E41" w:rsidRDefault="0072478C" w:rsidP="002A7513">
            <w:pPr>
              <w:spacing w:after="120" w:line="240" w:lineRule="auto"/>
              <w:jc w:val="center"/>
              <w:rPr>
                <w:color w:val="auto"/>
                <w:sz w:val="20"/>
                <w:szCs w:val="20"/>
              </w:rPr>
            </w:pPr>
            <w:r w:rsidRPr="001D5E41">
              <w:rPr>
                <w:color w:val="auto"/>
                <w:sz w:val="20"/>
                <w:szCs w:val="20"/>
              </w:rPr>
              <w:t>1.7</w:t>
            </w:r>
          </w:p>
        </w:tc>
      </w:tr>
      <w:tr w:rsidR="0072478C" w:rsidRPr="001D5E41" w14:paraId="4AB40420" w14:textId="77777777" w:rsidTr="002A7513">
        <w:trPr>
          <w:jc w:val="center"/>
        </w:trPr>
        <w:tc>
          <w:tcPr>
            <w:tcW w:w="2520" w:type="dxa"/>
            <w:vMerge/>
          </w:tcPr>
          <w:p w14:paraId="090DB0ED" w14:textId="77777777" w:rsidR="0072478C" w:rsidRPr="001D5E41" w:rsidRDefault="0072478C" w:rsidP="002A7513">
            <w:pPr>
              <w:spacing w:after="120" w:line="240" w:lineRule="auto"/>
              <w:jc w:val="center"/>
              <w:rPr>
                <w:color w:val="auto"/>
                <w:sz w:val="20"/>
                <w:szCs w:val="20"/>
              </w:rPr>
            </w:pPr>
          </w:p>
        </w:tc>
        <w:tc>
          <w:tcPr>
            <w:tcW w:w="2549" w:type="dxa"/>
          </w:tcPr>
          <w:p w14:paraId="6D491FC7" w14:textId="77777777" w:rsidR="0072478C" w:rsidRPr="001D5E41" w:rsidRDefault="0072478C" w:rsidP="002A7513">
            <w:pPr>
              <w:spacing w:after="120" w:line="240" w:lineRule="auto"/>
              <w:jc w:val="center"/>
              <w:rPr>
                <w:color w:val="auto"/>
                <w:sz w:val="20"/>
                <w:szCs w:val="20"/>
              </w:rPr>
            </w:pPr>
            <w:r w:rsidRPr="001D5E41">
              <w:rPr>
                <w:color w:val="auto"/>
                <w:sz w:val="20"/>
                <w:szCs w:val="20"/>
              </w:rPr>
              <w:t>Diploma</w:t>
            </w:r>
          </w:p>
        </w:tc>
        <w:tc>
          <w:tcPr>
            <w:tcW w:w="2041" w:type="dxa"/>
          </w:tcPr>
          <w:p w14:paraId="29551187" w14:textId="77777777" w:rsidR="0072478C" w:rsidRPr="001D5E41" w:rsidRDefault="0072478C" w:rsidP="002A7513">
            <w:pPr>
              <w:spacing w:after="120" w:line="240" w:lineRule="auto"/>
              <w:jc w:val="center"/>
              <w:rPr>
                <w:color w:val="auto"/>
                <w:sz w:val="20"/>
                <w:szCs w:val="20"/>
              </w:rPr>
            </w:pPr>
            <w:r w:rsidRPr="001D5E41">
              <w:rPr>
                <w:color w:val="auto"/>
                <w:sz w:val="20"/>
                <w:szCs w:val="20"/>
              </w:rPr>
              <w:t>6</w:t>
            </w:r>
          </w:p>
        </w:tc>
        <w:tc>
          <w:tcPr>
            <w:tcW w:w="2070" w:type="dxa"/>
          </w:tcPr>
          <w:p w14:paraId="3F8E21D0" w14:textId="77777777" w:rsidR="0072478C" w:rsidRPr="001D5E41" w:rsidRDefault="0072478C" w:rsidP="002A7513">
            <w:pPr>
              <w:spacing w:after="120" w:line="240" w:lineRule="auto"/>
              <w:jc w:val="center"/>
              <w:rPr>
                <w:color w:val="auto"/>
                <w:sz w:val="20"/>
                <w:szCs w:val="20"/>
              </w:rPr>
            </w:pPr>
            <w:r w:rsidRPr="001D5E41">
              <w:rPr>
                <w:color w:val="auto"/>
                <w:sz w:val="20"/>
                <w:szCs w:val="20"/>
              </w:rPr>
              <w:t>5.0</w:t>
            </w:r>
          </w:p>
        </w:tc>
      </w:tr>
      <w:tr w:rsidR="0072478C" w:rsidRPr="001D5E41" w14:paraId="01F7D536" w14:textId="77777777" w:rsidTr="002A7513">
        <w:trPr>
          <w:jc w:val="center"/>
        </w:trPr>
        <w:tc>
          <w:tcPr>
            <w:tcW w:w="2520" w:type="dxa"/>
            <w:vMerge/>
          </w:tcPr>
          <w:p w14:paraId="770F181D" w14:textId="77777777" w:rsidR="0072478C" w:rsidRPr="001D5E41" w:rsidRDefault="0072478C" w:rsidP="002A7513">
            <w:pPr>
              <w:spacing w:after="120" w:line="240" w:lineRule="auto"/>
              <w:jc w:val="center"/>
              <w:rPr>
                <w:color w:val="auto"/>
                <w:sz w:val="20"/>
                <w:szCs w:val="20"/>
              </w:rPr>
            </w:pPr>
          </w:p>
        </w:tc>
        <w:tc>
          <w:tcPr>
            <w:tcW w:w="2549" w:type="dxa"/>
          </w:tcPr>
          <w:p w14:paraId="191CFE3C" w14:textId="77777777" w:rsidR="0072478C" w:rsidRPr="001D5E41" w:rsidRDefault="0072478C" w:rsidP="002A7513">
            <w:pPr>
              <w:spacing w:after="120" w:line="240" w:lineRule="auto"/>
              <w:jc w:val="center"/>
              <w:rPr>
                <w:color w:val="auto"/>
                <w:sz w:val="20"/>
                <w:szCs w:val="20"/>
              </w:rPr>
            </w:pPr>
            <w:r w:rsidRPr="001D5E41">
              <w:rPr>
                <w:color w:val="auto"/>
                <w:sz w:val="20"/>
                <w:szCs w:val="20"/>
              </w:rPr>
              <w:t xml:space="preserve">Degree </w:t>
            </w:r>
          </w:p>
        </w:tc>
        <w:tc>
          <w:tcPr>
            <w:tcW w:w="2041" w:type="dxa"/>
          </w:tcPr>
          <w:p w14:paraId="0851F447" w14:textId="77777777" w:rsidR="0072478C" w:rsidRPr="001D5E41" w:rsidRDefault="0072478C" w:rsidP="002A7513">
            <w:pPr>
              <w:spacing w:after="120" w:line="240" w:lineRule="auto"/>
              <w:jc w:val="center"/>
              <w:rPr>
                <w:color w:val="auto"/>
                <w:sz w:val="20"/>
                <w:szCs w:val="20"/>
              </w:rPr>
            </w:pPr>
            <w:r w:rsidRPr="001D5E41">
              <w:rPr>
                <w:color w:val="auto"/>
                <w:sz w:val="20"/>
                <w:szCs w:val="20"/>
              </w:rPr>
              <w:t>88</w:t>
            </w:r>
          </w:p>
        </w:tc>
        <w:tc>
          <w:tcPr>
            <w:tcW w:w="2070" w:type="dxa"/>
          </w:tcPr>
          <w:p w14:paraId="4B150F46" w14:textId="77777777" w:rsidR="0072478C" w:rsidRPr="001D5E41" w:rsidRDefault="0072478C" w:rsidP="002A7513">
            <w:pPr>
              <w:spacing w:after="120" w:line="240" w:lineRule="auto"/>
              <w:jc w:val="center"/>
              <w:rPr>
                <w:color w:val="auto"/>
                <w:sz w:val="20"/>
                <w:szCs w:val="20"/>
              </w:rPr>
            </w:pPr>
            <w:r w:rsidRPr="001D5E41">
              <w:rPr>
                <w:color w:val="auto"/>
                <w:sz w:val="20"/>
                <w:szCs w:val="20"/>
              </w:rPr>
              <w:t>73.3</w:t>
            </w:r>
          </w:p>
        </w:tc>
      </w:tr>
      <w:tr w:rsidR="0072478C" w:rsidRPr="001D5E41" w14:paraId="30F8E788" w14:textId="77777777" w:rsidTr="002A7513">
        <w:trPr>
          <w:jc w:val="center"/>
        </w:trPr>
        <w:tc>
          <w:tcPr>
            <w:tcW w:w="2520" w:type="dxa"/>
            <w:vMerge/>
          </w:tcPr>
          <w:p w14:paraId="1BBB37DC" w14:textId="77777777" w:rsidR="0072478C" w:rsidRPr="001D5E41" w:rsidRDefault="0072478C" w:rsidP="002A7513">
            <w:pPr>
              <w:spacing w:after="120" w:line="240" w:lineRule="auto"/>
              <w:jc w:val="center"/>
              <w:rPr>
                <w:color w:val="auto"/>
                <w:sz w:val="20"/>
                <w:szCs w:val="20"/>
              </w:rPr>
            </w:pPr>
          </w:p>
        </w:tc>
        <w:tc>
          <w:tcPr>
            <w:tcW w:w="2549" w:type="dxa"/>
          </w:tcPr>
          <w:p w14:paraId="785AB216" w14:textId="77777777" w:rsidR="0072478C" w:rsidRPr="001D5E41" w:rsidRDefault="0072478C" w:rsidP="002A7513">
            <w:pPr>
              <w:spacing w:after="120" w:line="240" w:lineRule="auto"/>
              <w:jc w:val="center"/>
              <w:rPr>
                <w:color w:val="auto"/>
                <w:sz w:val="20"/>
                <w:szCs w:val="20"/>
              </w:rPr>
            </w:pPr>
            <w:r w:rsidRPr="001D5E41">
              <w:rPr>
                <w:color w:val="auto"/>
                <w:sz w:val="20"/>
                <w:szCs w:val="20"/>
              </w:rPr>
              <w:t>Master</w:t>
            </w:r>
          </w:p>
        </w:tc>
        <w:tc>
          <w:tcPr>
            <w:tcW w:w="2041" w:type="dxa"/>
          </w:tcPr>
          <w:p w14:paraId="4A6EEB8E" w14:textId="77777777" w:rsidR="0072478C" w:rsidRPr="001D5E41" w:rsidRDefault="0072478C" w:rsidP="002A7513">
            <w:pPr>
              <w:spacing w:after="120" w:line="240" w:lineRule="auto"/>
              <w:jc w:val="center"/>
              <w:rPr>
                <w:color w:val="auto"/>
                <w:sz w:val="20"/>
                <w:szCs w:val="20"/>
              </w:rPr>
            </w:pPr>
            <w:r w:rsidRPr="001D5E41">
              <w:rPr>
                <w:color w:val="auto"/>
                <w:sz w:val="20"/>
                <w:szCs w:val="20"/>
              </w:rPr>
              <w:t>24</w:t>
            </w:r>
          </w:p>
        </w:tc>
        <w:tc>
          <w:tcPr>
            <w:tcW w:w="2070" w:type="dxa"/>
          </w:tcPr>
          <w:p w14:paraId="1C4F8047" w14:textId="77777777" w:rsidR="0072478C" w:rsidRPr="001D5E41" w:rsidRDefault="0072478C" w:rsidP="002A7513">
            <w:pPr>
              <w:spacing w:after="120" w:line="240" w:lineRule="auto"/>
              <w:jc w:val="center"/>
              <w:rPr>
                <w:color w:val="auto"/>
                <w:sz w:val="20"/>
                <w:szCs w:val="20"/>
              </w:rPr>
            </w:pPr>
            <w:r w:rsidRPr="001D5E41">
              <w:rPr>
                <w:color w:val="auto"/>
                <w:sz w:val="20"/>
                <w:szCs w:val="20"/>
              </w:rPr>
              <w:t>20.0</w:t>
            </w:r>
          </w:p>
        </w:tc>
      </w:tr>
    </w:tbl>
    <w:p w14:paraId="63960418" w14:textId="1750EE0D" w:rsidR="0072478C" w:rsidRDefault="0072478C" w:rsidP="0072478C">
      <w:pPr>
        <w:jc w:val="both"/>
        <w:rPr>
          <w:iCs/>
          <w:lang w:val="ms-MY"/>
        </w:rPr>
      </w:pPr>
    </w:p>
    <w:p w14:paraId="2C0E2740" w14:textId="462ADC65" w:rsidR="0072478C" w:rsidRPr="0072478C" w:rsidRDefault="0072478C" w:rsidP="0072478C">
      <w:pPr>
        <w:jc w:val="both"/>
        <w:rPr>
          <w:iCs/>
        </w:rPr>
      </w:pPr>
      <w:r>
        <w:rPr>
          <w:iCs/>
        </w:rPr>
        <w:t xml:space="preserve">Based on Table </w:t>
      </w:r>
      <w:r w:rsidRPr="0072478C">
        <w:rPr>
          <w:iCs/>
        </w:rPr>
        <w:t>1</w:t>
      </w:r>
      <w:r>
        <w:rPr>
          <w:iCs/>
        </w:rPr>
        <w:t>.0 above</w:t>
      </w:r>
      <w:r w:rsidRPr="0072478C">
        <w:rPr>
          <w:iCs/>
        </w:rPr>
        <w:t xml:space="preserve">, from total 120 primary school teachers that involved in this study, 40.8% respondent were male while 59.2 percent were female. Based on the data given, most of the respondent were experiences teachers, whereby, 40% respondent already get experience up to </w:t>
      </w:r>
      <w:proofErr w:type="gramStart"/>
      <w:r w:rsidRPr="0072478C">
        <w:rPr>
          <w:iCs/>
        </w:rPr>
        <w:t>6</w:t>
      </w:r>
      <w:proofErr w:type="gramEnd"/>
      <w:r w:rsidRPr="0072478C">
        <w:rPr>
          <w:iCs/>
        </w:rPr>
        <w:t xml:space="preserve"> to 14 years meanwhile 21.7 % respondent more than 15 years experiences and 1 to 3 years respectively. The lowest score were 16.7% belong to teachers with 4 to 5 years. Research also found that, more than half of respondent, 73.3 % qualified with bachelor and 20.0% have a Master, only a few respondent from SPM and Diploma background. </w:t>
      </w:r>
    </w:p>
    <w:p w14:paraId="16C92E2F" w14:textId="5A82F705" w:rsidR="0072478C" w:rsidRDefault="0072478C" w:rsidP="0072478C">
      <w:pPr>
        <w:jc w:val="center"/>
        <w:rPr>
          <w:iCs/>
        </w:rPr>
      </w:pPr>
    </w:p>
    <w:p w14:paraId="6D4B6C42" w14:textId="0B44355B" w:rsidR="0072478C" w:rsidRDefault="00DC6E17" w:rsidP="0072478C">
      <w:pPr>
        <w:jc w:val="center"/>
        <w:rPr>
          <w:iCs/>
        </w:rPr>
      </w:pPr>
      <w:r>
        <w:rPr>
          <w:iCs/>
        </w:rPr>
        <w:t>Table 1.1</w:t>
      </w:r>
      <w:r w:rsidR="0072478C">
        <w:rPr>
          <w:iCs/>
        </w:rPr>
        <w:t xml:space="preserve"> </w:t>
      </w:r>
      <w:r w:rsidRPr="00DC6E17">
        <w:rPr>
          <w:iCs/>
        </w:rPr>
        <w:t>Experience related to Special education</w:t>
      </w:r>
    </w:p>
    <w:tbl>
      <w:tblPr>
        <w:tblStyle w:val="TableGrid"/>
        <w:tblW w:w="93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620"/>
        <w:gridCol w:w="1710"/>
        <w:gridCol w:w="1980"/>
      </w:tblGrid>
      <w:tr w:rsidR="00DC6E17" w:rsidRPr="00DC6E17" w14:paraId="66FA6667" w14:textId="77777777" w:rsidTr="00DC6E17">
        <w:trPr>
          <w:jc w:val="center"/>
        </w:trPr>
        <w:tc>
          <w:tcPr>
            <w:tcW w:w="4050" w:type="dxa"/>
            <w:tcBorders>
              <w:top w:val="single" w:sz="4" w:space="0" w:color="auto"/>
              <w:bottom w:val="single" w:sz="4" w:space="0" w:color="auto"/>
            </w:tcBorders>
          </w:tcPr>
          <w:p w14:paraId="56F04096" w14:textId="77777777" w:rsidR="00DC6E17" w:rsidRPr="00DC6E17" w:rsidRDefault="00DC6E17" w:rsidP="00DC6E17">
            <w:pPr>
              <w:spacing w:line="240" w:lineRule="auto"/>
              <w:jc w:val="center"/>
              <w:rPr>
                <w:b/>
                <w:iCs/>
                <w:color w:val="auto"/>
                <w:sz w:val="20"/>
                <w:szCs w:val="20"/>
              </w:rPr>
            </w:pPr>
          </w:p>
        </w:tc>
        <w:tc>
          <w:tcPr>
            <w:tcW w:w="1620" w:type="dxa"/>
            <w:tcBorders>
              <w:top w:val="single" w:sz="4" w:space="0" w:color="auto"/>
              <w:bottom w:val="single" w:sz="4" w:space="0" w:color="auto"/>
            </w:tcBorders>
          </w:tcPr>
          <w:p w14:paraId="59EA8D5D" w14:textId="77777777" w:rsidR="00DC6E17" w:rsidRPr="00DC6E17" w:rsidRDefault="00DC6E17" w:rsidP="00DC6E17">
            <w:pPr>
              <w:spacing w:line="240" w:lineRule="auto"/>
              <w:jc w:val="center"/>
              <w:rPr>
                <w:b/>
                <w:iCs/>
                <w:color w:val="auto"/>
                <w:sz w:val="20"/>
                <w:szCs w:val="20"/>
              </w:rPr>
            </w:pPr>
          </w:p>
        </w:tc>
        <w:tc>
          <w:tcPr>
            <w:tcW w:w="1710" w:type="dxa"/>
            <w:tcBorders>
              <w:top w:val="single" w:sz="4" w:space="0" w:color="auto"/>
              <w:bottom w:val="single" w:sz="4" w:space="0" w:color="auto"/>
            </w:tcBorders>
          </w:tcPr>
          <w:p w14:paraId="163DFE95" w14:textId="77777777" w:rsidR="00DC6E17" w:rsidRPr="00DC6E17" w:rsidRDefault="00DC6E17" w:rsidP="00DC6E17">
            <w:pPr>
              <w:spacing w:line="240" w:lineRule="auto"/>
              <w:jc w:val="center"/>
              <w:rPr>
                <w:b/>
                <w:iCs/>
                <w:color w:val="auto"/>
                <w:sz w:val="20"/>
                <w:szCs w:val="20"/>
              </w:rPr>
            </w:pPr>
            <w:r w:rsidRPr="00DC6E17">
              <w:rPr>
                <w:b/>
                <w:iCs/>
                <w:color w:val="auto"/>
                <w:sz w:val="20"/>
                <w:szCs w:val="20"/>
              </w:rPr>
              <w:t>Frequency</w:t>
            </w:r>
          </w:p>
        </w:tc>
        <w:tc>
          <w:tcPr>
            <w:tcW w:w="1980" w:type="dxa"/>
            <w:tcBorders>
              <w:top w:val="single" w:sz="4" w:space="0" w:color="auto"/>
              <w:bottom w:val="single" w:sz="4" w:space="0" w:color="auto"/>
            </w:tcBorders>
          </w:tcPr>
          <w:p w14:paraId="635C4CC7" w14:textId="77777777" w:rsidR="00DC6E17" w:rsidRPr="00DC6E17" w:rsidRDefault="00DC6E17" w:rsidP="00DC6E17">
            <w:pPr>
              <w:spacing w:line="240" w:lineRule="auto"/>
              <w:jc w:val="center"/>
              <w:rPr>
                <w:b/>
                <w:iCs/>
                <w:color w:val="auto"/>
                <w:sz w:val="20"/>
                <w:szCs w:val="20"/>
              </w:rPr>
            </w:pPr>
            <w:r w:rsidRPr="00DC6E17">
              <w:rPr>
                <w:b/>
                <w:iCs/>
                <w:color w:val="auto"/>
                <w:sz w:val="20"/>
                <w:szCs w:val="20"/>
              </w:rPr>
              <w:t>Percent</w:t>
            </w:r>
          </w:p>
        </w:tc>
      </w:tr>
      <w:tr w:rsidR="00DC6E17" w:rsidRPr="00DC6E17" w14:paraId="6A874AAE" w14:textId="77777777" w:rsidTr="00DC6E17">
        <w:trPr>
          <w:jc w:val="center"/>
        </w:trPr>
        <w:tc>
          <w:tcPr>
            <w:tcW w:w="4050" w:type="dxa"/>
            <w:tcBorders>
              <w:top w:val="single" w:sz="4" w:space="0" w:color="auto"/>
            </w:tcBorders>
          </w:tcPr>
          <w:p w14:paraId="2F375DC7" w14:textId="77777777" w:rsidR="00DC6E17" w:rsidRPr="00DC6E17" w:rsidRDefault="00DC6E17" w:rsidP="00DC6E17">
            <w:pPr>
              <w:spacing w:line="240" w:lineRule="auto"/>
              <w:jc w:val="left"/>
              <w:rPr>
                <w:iCs/>
                <w:color w:val="auto"/>
                <w:sz w:val="20"/>
                <w:szCs w:val="20"/>
              </w:rPr>
            </w:pPr>
            <w:r w:rsidRPr="00DC6E17">
              <w:rPr>
                <w:iCs/>
                <w:color w:val="auto"/>
                <w:sz w:val="20"/>
                <w:szCs w:val="20"/>
              </w:rPr>
              <w:t>Attended special education course</w:t>
            </w:r>
          </w:p>
        </w:tc>
        <w:tc>
          <w:tcPr>
            <w:tcW w:w="1620" w:type="dxa"/>
            <w:tcBorders>
              <w:top w:val="single" w:sz="4" w:space="0" w:color="auto"/>
            </w:tcBorders>
          </w:tcPr>
          <w:p w14:paraId="7A156565" w14:textId="77777777" w:rsidR="00DC6E17" w:rsidRPr="00DC6E17" w:rsidRDefault="00DC6E17" w:rsidP="00DC6E17">
            <w:pPr>
              <w:spacing w:line="240" w:lineRule="auto"/>
              <w:jc w:val="center"/>
              <w:rPr>
                <w:iCs/>
                <w:color w:val="auto"/>
                <w:sz w:val="20"/>
                <w:szCs w:val="20"/>
              </w:rPr>
            </w:pPr>
            <w:r w:rsidRPr="00DC6E17">
              <w:rPr>
                <w:iCs/>
                <w:color w:val="auto"/>
                <w:sz w:val="20"/>
                <w:szCs w:val="20"/>
              </w:rPr>
              <w:t xml:space="preserve">Yes </w:t>
            </w:r>
          </w:p>
        </w:tc>
        <w:tc>
          <w:tcPr>
            <w:tcW w:w="1710" w:type="dxa"/>
            <w:tcBorders>
              <w:top w:val="single" w:sz="4" w:space="0" w:color="auto"/>
            </w:tcBorders>
          </w:tcPr>
          <w:p w14:paraId="21DFC62F" w14:textId="77777777" w:rsidR="00DC6E17" w:rsidRPr="00DC6E17" w:rsidRDefault="00DC6E17" w:rsidP="00DC6E17">
            <w:pPr>
              <w:spacing w:line="240" w:lineRule="auto"/>
              <w:jc w:val="center"/>
              <w:rPr>
                <w:iCs/>
                <w:color w:val="auto"/>
                <w:sz w:val="20"/>
                <w:szCs w:val="20"/>
              </w:rPr>
            </w:pPr>
            <w:r w:rsidRPr="00DC6E17">
              <w:rPr>
                <w:iCs/>
                <w:color w:val="auto"/>
                <w:sz w:val="20"/>
                <w:szCs w:val="20"/>
              </w:rPr>
              <w:t>46</w:t>
            </w:r>
          </w:p>
        </w:tc>
        <w:tc>
          <w:tcPr>
            <w:tcW w:w="1980" w:type="dxa"/>
            <w:tcBorders>
              <w:top w:val="single" w:sz="4" w:space="0" w:color="auto"/>
            </w:tcBorders>
          </w:tcPr>
          <w:p w14:paraId="20C2C188" w14:textId="77777777" w:rsidR="00DC6E17" w:rsidRPr="00DC6E17" w:rsidRDefault="00DC6E17" w:rsidP="00DC6E17">
            <w:pPr>
              <w:spacing w:line="240" w:lineRule="auto"/>
              <w:jc w:val="center"/>
              <w:rPr>
                <w:iCs/>
                <w:color w:val="auto"/>
                <w:sz w:val="20"/>
                <w:szCs w:val="20"/>
              </w:rPr>
            </w:pPr>
            <w:r w:rsidRPr="00DC6E17">
              <w:rPr>
                <w:iCs/>
                <w:color w:val="auto"/>
                <w:sz w:val="20"/>
                <w:szCs w:val="20"/>
              </w:rPr>
              <w:t>38.3</w:t>
            </w:r>
          </w:p>
        </w:tc>
      </w:tr>
      <w:tr w:rsidR="00DC6E17" w:rsidRPr="00DC6E17" w14:paraId="2AFBA8C4" w14:textId="77777777" w:rsidTr="00DC6E17">
        <w:trPr>
          <w:jc w:val="center"/>
        </w:trPr>
        <w:tc>
          <w:tcPr>
            <w:tcW w:w="4050" w:type="dxa"/>
          </w:tcPr>
          <w:p w14:paraId="6348F1F7" w14:textId="77777777" w:rsidR="00DC6E17" w:rsidRPr="00DC6E17" w:rsidRDefault="00DC6E17" w:rsidP="00DC6E17">
            <w:pPr>
              <w:spacing w:line="240" w:lineRule="auto"/>
              <w:jc w:val="left"/>
              <w:rPr>
                <w:iCs/>
                <w:color w:val="auto"/>
                <w:sz w:val="20"/>
                <w:szCs w:val="20"/>
              </w:rPr>
            </w:pPr>
          </w:p>
        </w:tc>
        <w:tc>
          <w:tcPr>
            <w:tcW w:w="1620" w:type="dxa"/>
          </w:tcPr>
          <w:p w14:paraId="00777B22" w14:textId="77777777" w:rsidR="00DC6E17" w:rsidRPr="00DC6E17" w:rsidRDefault="00DC6E17" w:rsidP="00DC6E17">
            <w:pPr>
              <w:spacing w:line="240" w:lineRule="auto"/>
              <w:jc w:val="center"/>
              <w:rPr>
                <w:iCs/>
                <w:color w:val="auto"/>
                <w:sz w:val="20"/>
                <w:szCs w:val="20"/>
              </w:rPr>
            </w:pPr>
            <w:r w:rsidRPr="00DC6E17">
              <w:rPr>
                <w:iCs/>
                <w:color w:val="auto"/>
                <w:sz w:val="20"/>
                <w:szCs w:val="20"/>
              </w:rPr>
              <w:t xml:space="preserve">No </w:t>
            </w:r>
          </w:p>
        </w:tc>
        <w:tc>
          <w:tcPr>
            <w:tcW w:w="1710" w:type="dxa"/>
          </w:tcPr>
          <w:p w14:paraId="02BB7822" w14:textId="77777777" w:rsidR="00DC6E17" w:rsidRPr="00DC6E17" w:rsidRDefault="00DC6E17" w:rsidP="00DC6E17">
            <w:pPr>
              <w:spacing w:line="240" w:lineRule="auto"/>
              <w:jc w:val="center"/>
              <w:rPr>
                <w:iCs/>
                <w:color w:val="auto"/>
                <w:sz w:val="20"/>
                <w:szCs w:val="20"/>
              </w:rPr>
            </w:pPr>
            <w:r w:rsidRPr="00DC6E17">
              <w:rPr>
                <w:iCs/>
                <w:color w:val="auto"/>
                <w:sz w:val="20"/>
                <w:szCs w:val="20"/>
              </w:rPr>
              <w:t>74</w:t>
            </w:r>
          </w:p>
        </w:tc>
        <w:tc>
          <w:tcPr>
            <w:tcW w:w="1980" w:type="dxa"/>
          </w:tcPr>
          <w:p w14:paraId="6CFC6D58" w14:textId="77777777" w:rsidR="00DC6E17" w:rsidRPr="00DC6E17" w:rsidRDefault="00DC6E17" w:rsidP="00DC6E17">
            <w:pPr>
              <w:spacing w:line="240" w:lineRule="auto"/>
              <w:jc w:val="center"/>
              <w:rPr>
                <w:iCs/>
                <w:color w:val="auto"/>
                <w:sz w:val="20"/>
                <w:szCs w:val="20"/>
              </w:rPr>
            </w:pPr>
            <w:r w:rsidRPr="00DC6E17">
              <w:rPr>
                <w:iCs/>
                <w:color w:val="auto"/>
                <w:sz w:val="20"/>
                <w:szCs w:val="20"/>
              </w:rPr>
              <w:t>61.7</w:t>
            </w:r>
          </w:p>
        </w:tc>
      </w:tr>
      <w:tr w:rsidR="00DC6E17" w:rsidRPr="00DC6E17" w14:paraId="37C39F1B" w14:textId="77777777" w:rsidTr="00DC6E17">
        <w:trPr>
          <w:jc w:val="center"/>
        </w:trPr>
        <w:tc>
          <w:tcPr>
            <w:tcW w:w="4050" w:type="dxa"/>
            <w:vMerge w:val="restart"/>
          </w:tcPr>
          <w:p w14:paraId="13861FA1" w14:textId="77777777" w:rsidR="00DC6E17" w:rsidRPr="00DC6E17" w:rsidRDefault="00DC6E17" w:rsidP="00DC6E17">
            <w:pPr>
              <w:spacing w:line="240" w:lineRule="auto"/>
              <w:jc w:val="left"/>
              <w:rPr>
                <w:iCs/>
                <w:color w:val="auto"/>
                <w:sz w:val="20"/>
                <w:szCs w:val="20"/>
              </w:rPr>
            </w:pPr>
            <w:r w:rsidRPr="00DC6E17">
              <w:rPr>
                <w:iCs/>
                <w:color w:val="auto"/>
                <w:sz w:val="20"/>
                <w:szCs w:val="20"/>
              </w:rPr>
              <w:t xml:space="preserve">Teaching Inclusive Education </w:t>
            </w:r>
          </w:p>
        </w:tc>
        <w:tc>
          <w:tcPr>
            <w:tcW w:w="1620" w:type="dxa"/>
          </w:tcPr>
          <w:p w14:paraId="1B780E5A" w14:textId="77777777" w:rsidR="00DC6E17" w:rsidRPr="00DC6E17" w:rsidRDefault="00DC6E17" w:rsidP="00DC6E17">
            <w:pPr>
              <w:spacing w:line="240" w:lineRule="auto"/>
              <w:jc w:val="center"/>
              <w:rPr>
                <w:iCs/>
                <w:color w:val="auto"/>
                <w:sz w:val="20"/>
                <w:szCs w:val="20"/>
              </w:rPr>
            </w:pPr>
            <w:r w:rsidRPr="00DC6E17">
              <w:rPr>
                <w:iCs/>
                <w:color w:val="auto"/>
                <w:sz w:val="20"/>
                <w:szCs w:val="20"/>
              </w:rPr>
              <w:t>Yes</w:t>
            </w:r>
          </w:p>
        </w:tc>
        <w:tc>
          <w:tcPr>
            <w:tcW w:w="1710" w:type="dxa"/>
          </w:tcPr>
          <w:p w14:paraId="67CB4246" w14:textId="77777777" w:rsidR="00DC6E17" w:rsidRPr="00DC6E17" w:rsidRDefault="00DC6E17" w:rsidP="00DC6E17">
            <w:pPr>
              <w:spacing w:line="240" w:lineRule="auto"/>
              <w:jc w:val="center"/>
              <w:rPr>
                <w:iCs/>
                <w:color w:val="auto"/>
                <w:sz w:val="20"/>
                <w:szCs w:val="20"/>
              </w:rPr>
            </w:pPr>
            <w:r w:rsidRPr="00DC6E17">
              <w:rPr>
                <w:iCs/>
                <w:color w:val="auto"/>
                <w:sz w:val="20"/>
                <w:szCs w:val="20"/>
              </w:rPr>
              <w:t>28</w:t>
            </w:r>
          </w:p>
        </w:tc>
        <w:tc>
          <w:tcPr>
            <w:tcW w:w="1980" w:type="dxa"/>
          </w:tcPr>
          <w:p w14:paraId="7BBA5E61" w14:textId="77777777" w:rsidR="00DC6E17" w:rsidRPr="00DC6E17" w:rsidRDefault="00DC6E17" w:rsidP="00DC6E17">
            <w:pPr>
              <w:spacing w:line="240" w:lineRule="auto"/>
              <w:jc w:val="center"/>
              <w:rPr>
                <w:iCs/>
                <w:color w:val="auto"/>
                <w:sz w:val="20"/>
                <w:szCs w:val="20"/>
              </w:rPr>
            </w:pPr>
            <w:r w:rsidRPr="00DC6E17">
              <w:rPr>
                <w:iCs/>
                <w:color w:val="auto"/>
                <w:sz w:val="20"/>
                <w:szCs w:val="20"/>
              </w:rPr>
              <w:t>23.3</w:t>
            </w:r>
          </w:p>
        </w:tc>
      </w:tr>
      <w:tr w:rsidR="00DC6E17" w:rsidRPr="00DC6E17" w14:paraId="01B63A63" w14:textId="77777777" w:rsidTr="00DC6E17">
        <w:trPr>
          <w:jc w:val="center"/>
        </w:trPr>
        <w:tc>
          <w:tcPr>
            <w:tcW w:w="4050" w:type="dxa"/>
            <w:vMerge/>
          </w:tcPr>
          <w:p w14:paraId="66BBAFFD" w14:textId="77777777" w:rsidR="00DC6E17" w:rsidRPr="00DC6E17" w:rsidRDefault="00DC6E17" w:rsidP="00DC6E17">
            <w:pPr>
              <w:spacing w:line="240" w:lineRule="auto"/>
              <w:jc w:val="center"/>
              <w:rPr>
                <w:iCs/>
                <w:color w:val="auto"/>
                <w:sz w:val="20"/>
                <w:szCs w:val="20"/>
              </w:rPr>
            </w:pPr>
          </w:p>
        </w:tc>
        <w:tc>
          <w:tcPr>
            <w:tcW w:w="1620" w:type="dxa"/>
          </w:tcPr>
          <w:p w14:paraId="495B6D4D" w14:textId="77777777" w:rsidR="00DC6E17" w:rsidRPr="00DC6E17" w:rsidRDefault="00DC6E17" w:rsidP="00DC6E17">
            <w:pPr>
              <w:spacing w:line="240" w:lineRule="auto"/>
              <w:jc w:val="center"/>
              <w:rPr>
                <w:iCs/>
                <w:color w:val="auto"/>
                <w:sz w:val="20"/>
                <w:szCs w:val="20"/>
              </w:rPr>
            </w:pPr>
            <w:r w:rsidRPr="00DC6E17">
              <w:rPr>
                <w:iCs/>
                <w:color w:val="auto"/>
                <w:sz w:val="20"/>
                <w:szCs w:val="20"/>
              </w:rPr>
              <w:t xml:space="preserve">No </w:t>
            </w:r>
          </w:p>
        </w:tc>
        <w:tc>
          <w:tcPr>
            <w:tcW w:w="1710" w:type="dxa"/>
          </w:tcPr>
          <w:p w14:paraId="537D0E7E" w14:textId="77777777" w:rsidR="00DC6E17" w:rsidRPr="00DC6E17" w:rsidRDefault="00DC6E17" w:rsidP="00DC6E17">
            <w:pPr>
              <w:spacing w:line="240" w:lineRule="auto"/>
              <w:jc w:val="center"/>
              <w:rPr>
                <w:iCs/>
                <w:color w:val="auto"/>
                <w:sz w:val="20"/>
                <w:szCs w:val="20"/>
              </w:rPr>
            </w:pPr>
            <w:r w:rsidRPr="00DC6E17">
              <w:rPr>
                <w:iCs/>
                <w:color w:val="auto"/>
                <w:sz w:val="20"/>
                <w:szCs w:val="20"/>
              </w:rPr>
              <w:t>92</w:t>
            </w:r>
          </w:p>
        </w:tc>
        <w:tc>
          <w:tcPr>
            <w:tcW w:w="1980" w:type="dxa"/>
          </w:tcPr>
          <w:p w14:paraId="7FA1EAB6" w14:textId="77777777" w:rsidR="00DC6E17" w:rsidRPr="00DC6E17" w:rsidRDefault="00DC6E17" w:rsidP="00DC6E17">
            <w:pPr>
              <w:spacing w:line="240" w:lineRule="auto"/>
              <w:jc w:val="center"/>
              <w:rPr>
                <w:iCs/>
                <w:color w:val="auto"/>
                <w:sz w:val="20"/>
                <w:szCs w:val="20"/>
              </w:rPr>
            </w:pPr>
            <w:r w:rsidRPr="00DC6E17">
              <w:rPr>
                <w:iCs/>
                <w:color w:val="auto"/>
                <w:sz w:val="20"/>
                <w:szCs w:val="20"/>
              </w:rPr>
              <w:t>76.7</w:t>
            </w:r>
          </w:p>
        </w:tc>
      </w:tr>
    </w:tbl>
    <w:p w14:paraId="4E569195" w14:textId="3EB600E2" w:rsidR="00DC6E17" w:rsidRDefault="007E7244" w:rsidP="000F1772">
      <w:pPr>
        <w:jc w:val="both"/>
        <w:rPr>
          <w:iCs/>
        </w:rPr>
      </w:pPr>
      <w:r>
        <w:rPr>
          <w:iCs/>
        </w:rPr>
        <w:t>Figure on Table 1.1</w:t>
      </w:r>
      <w:r w:rsidR="00DC6E17" w:rsidRPr="00DC6E17">
        <w:rPr>
          <w:iCs/>
        </w:rPr>
        <w:t xml:space="preserve"> above shown</w:t>
      </w:r>
      <w:r>
        <w:rPr>
          <w:iCs/>
        </w:rPr>
        <w:t xml:space="preserve"> that</w:t>
      </w:r>
      <w:r w:rsidR="00DC6E17" w:rsidRPr="00DC6E17">
        <w:rPr>
          <w:iCs/>
        </w:rPr>
        <w:t xml:space="preserve"> the respondent’s experience related to special education. Based on this data, more than half of respondent does not have any experiences attended special education course with score 61.7% and while 38.3% respondent are experiences. This situation also reflect on respondent experience in teaching inclusive education which is most of respondent 76.7% respondent does not have an experience in teaching inclusive education while only 23.3% have an experiences. </w:t>
      </w:r>
    </w:p>
    <w:p w14:paraId="674CAF3F" w14:textId="77777777" w:rsidR="007E7244" w:rsidRPr="00DC6E17" w:rsidRDefault="007E7244" w:rsidP="000F1772">
      <w:pPr>
        <w:jc w:val="both"/>
        <w:rPr>
          <w:iCs/>
        </w:rPr>
      </w:pPr>
    </w:p>
    <w:p w14:paraId="1F6ACC0B" w14:textId="2A7D9AB6" w:rsidR="0072478C" w:rsidRDefault="009741CE" w:rsidP="009741CE">
      <w:pPr>
        <w:pStyle w:val="ListParagraph"/>
        <w:numPr>
          <w:ilvl w:val="0"/>
          <w:numId w:val="36"/>
        </w:numPr>
        <w:jc w:val="both"/>
        <w:rPr>
          <w:rFonts w:ascii="Times New Roman" w:hAnsi="Times New Roman" w:cs="Times New Roman"/>
          <w:iCs/>
          <w:sz w:val="24"/>
          <w:szCs w:val="24"/>
        </w:rPr>
      </w:pPr>
      <w:r w:rsidRPr="009741CE">
        <w:rPr>
          <w:rFonts w:ascii="Times New Roman" w:hAnsi="Times New Roman" w:cs="Times New Roman"/>
          <w:iCs/>
          <w:sz w:val="24"/>
          <w:szCs w:val="24"/>
        </w:rPr>
        <w:t>Teachers Acceptance on SEN pupils</w:t>
      </w:r>
    </w:p>
    <w:p w14:paraId="2FA4F70F" w14:textId="77777777" w:rsidR="000F1772" w:rsidRDefault="000F1772" w:rsidP="000F1772">
      <w:pPr>
        <w:pStyle w:val="ListParagraph"/>
        <w:jc w:val="both"/>
        <w:rPr>
          <w:rFonts w:ascii="Times New Roman" w:hAnsi="Times New Roman" w:cs="Times New Roman"/>
          <w:iCs/>
          <w:sz w:val="24"/>
          <w:szCs w:val="24"/>
        </w:rPr>
      </w:pPr>
    </w:p>
    <w:p w14:paraId="7148F0BD" w14:textId="75BEE9E6" w:rsidR="003275B0" w:rsidRPr="009741CE" w:rsidRDefault="003275B0" w:rsidP="003275B0">
      <w:pPr>
        <w:pStyle w:val="ListParagraph"/>
        <w:jc w:val="center"/>
        <w:rPr>
          <w:rFonts w:ascii="Times New Roman" w:hAnsi="Times New Roman" w:cs="Times New Roman"/>
          <w:iCs/>
          <w:sz w:val="24"/>
          <w:szCs w:val="24"/>
        </w:rPr>
      </w:pPr>
      <w:r>
        <w:rPr>
          <w:rFonts w:ascii="Times New Roman" w:hAnsi="Times New Roman" w:cs="Times New Roman"/>
          <w:iCs/>
          <w:sz w:val="24"/>
          <w:szCs w:val="24"/>
        </w:rPr>
        <w:t>Table 1.3</w:t>
      </w:r>
      <w:r w:rsidRPr="003275B0">
        <w:rPr>
          <w:rFonts w:ascii="Times New Roman" w:hAnsi="Times New Roman" w:cs="Times New Roman"/>
          <w:iCs/>
          <w:sz w:val="24"/>
          <w:szCs w:val="24"/>
        </w:rPr>
        <w:t xml:space="preserve"> Experience related to Special education</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960"/>
        <w:gridCol w:w="1710"/>
        <w:gridCol w:w="1530"/>
        <w:gridCol w:w="1525"/>
      </w:tblGrid>
      <w:tr w:rsidR="003C0958" w:rsidRPr="003C0958" w14:paraId="12C06170" w14:textId="77777777" w:rsidTr="003C0958">
        <w:trPr>
          <w:jc w:val="center"/>
        </w:trPr>
        <w:tc>
          <w:tcPr>
            <w:tcW w:w="625" w:type="dxa"/>
            <w:tcBorders>
              <w:top w:val="single" w:sz="4" w:space="0" w:color="auto"/>
              <w:bottom w:val="single" w:sz="4" w:space="0" w:color="auto"/>
            </w:tcBorders>
          </w:tcPr>
          <w:p w14:paraId="629FD8D7" w14:textId="57FB1466"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lastRenderedPageBreak/>
              <w:t>No</w:t>
            </w:r>
          </w:p>
        </w:tc>
        <w:tc>
          <w:tcPr>
            <w:tcW w:w="3960" w:type="dxa"/>
            <w:tcBorders>
              <w:top w:val="single" w:sz="4" w:space="0" w:color="auto"/>
              <w:bottom w:val="single" w:sz="4" w:space="0" w:color="auto"/>
            </w:tcBorders>
          </w:tcPr>
          <w:p w14:paraId="294EAD50" w14:textId="4B974C6F"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Question</w:t>
            </w:r>
          </w:p>
        </w:tc>
        <w:tc>
          <w:tcPr>
            <w:tcW w:w="1710" w:type="dxa"/>
            <w:tcBorders>
              <w:top w:val="single" w:sz="4" w:space="0" w:color="auto"/>
              <w:bottom w:val="single" w:sz="4" w:space="0" w:color="auto"/>
            </w:tcBorders>
          </w:tcPr>
          <w:p w14:paraId="4A5B9D8B"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Disagree</w:t>
            </w:r>
          </w:p>
        </w:tc>
        <w:tc>
          <w:tcPr>
            <w:tcW w:w="1530" w:type="dxa"/>
            <w:tcBorders>
              <w:top w:val="single" w:sz="4" w:space="0" w:color="auto"/>
              <w:bottom w:val="single" w:sz="4" w:space="0" w:color="auto"/>
            </w:tcBorders>
          </w:tcPr>
          <w:p w14:paraId="37B7C247"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Neutral</w:t>
            </w:r>
          </w:p>
        </w:tc>
        <w:tc>
          <w:tcPr>
            <w:tcW w:w="1525" w:type="dxa"/>
            <w:tcBorders>
              <w:top w:val="single" w:sz="4" w:space="0" w:color="auto"/>
              <w:bottom w:val="single" w:sz="4" w:space="0" w:color="auto"/>
            </w:tcBorders>
          </w:tcPr>
          <w:p w14:paraId="1FA4DD09"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Agree</w:t>
            </w:r>
          </w:p>
        </w:tc>
      </w:tr>
      <w:tr w:rsidR="003C0958" w:rsidRPr="003C0958" w14:paraId="78B96A15" w14:textId="77777777" w:rsidTr="003C0958">
        <w:trPr>
          <w:jc w:val="center"/>
        </w:trPr>
        <w:tc>
          <w:tcPr>
            <w:tcW w:w="625" w:type="dxa"/>
            <w:tcBorders>
              <w:top w:val="single" w:sz="4" w:space="0" w:color="auto"/>
            </w:tcBorders>
          </w:tcPr>
          <w:p w14:paraId="7966BDE1" w14:textId="77777777" w:rsidR="003C0958" w:rsidRPr="003C0958" w:rsidRDefault="003C0958" w:rsidP="003C0958">
            <w:pPr>
              <w:spacing w:after="160" w:line="259" w:lineRule="auto"/>
              <w:jc w:val="both"/>
              <w:rPr>
                <w:rFonts w:eastAsia="DengXian"/>
                <w:sz w:val="20"/>
                <w:szCs w:val="20"/>
                <w:lang w:eastAsia="zh-CN"/>
              </w:rPr>
            </w:pPr>
            <w:r w:rsidRPr="003C0958">
              <w:rPr>
                <w:rFonts w:eastAsia="DengXian"/>
                <w:sz w:val="20"/>
                <w:szCs w:val="20"/>
                <w:lang w:eastAsia="zh-CN"/>
              </w:rPr>
              <w:t>A1</w:t>
            </w:r>
          </w:p>
        </w:tc>
        <w:tc>
          <w:tcPr>
            <w:tcW w:w="3960" w:type="dxa"/>
            <w:tcBorders>
              <w:top w:val="single" w:sz="4" w:space="0" w:color="auto"/>
            </w:tcBorders>
            <w:shd w:val="clear" w:color="auto" w:fill="auto"/>
          </w:tcPr>
          <w:p w14:paraId="758F69C7" w14:textId="77777777" w:rsidR="003C0958" w:rsidRPr="003C0958" w:rsidRDefault="003C0958" w:rsidP="003C0958">
            <w:pPr>
              <w:spacing w:after="160" w:line="259" w:lineRule="auto"/>
              <w:rPr>
                <w:rFonts w:eastAsia="DengXian"/>
                <w:sz w:val="20"/>
                <w:szCs w:val="20"/>
                <w:lang w:val="en-US" w:eastAsia="zh-CN"/>
              </w:rPr>
            </w:pPr>
            <w:r w:rsidRPr="003C0958">
              <w:rPr>
                <w:rFonts w:eastAsia="DengXian"/>
                <w:sz w:val="20"/>
                <w:szCs w:val="20"/>
                <w:lang w:val="en-US" w:eastAsia="zh-CN"/>
              </w:rPr>
              <w:t>I am not ready to teach student without knowing their background</w:t>
            </w:r>
          </w:p>
        </w:tc>
        <w:tc>
          <w:tcPr>
            <w:tcW w:w="1710" w:type="dxa"/>
            <w:tcBorders>
              <w:top w:val="single" w:sz="4" w:space="0" w:color="auto"/>
            </w:tcBorders>
          </w:tcPr>
          <w:p w14:paraId="19DA000A"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15(12.5%)</w:t>
            </w:r>
          </w:p>
        </w:tc>
        <w:tc>
          <w:tcPr>
            <w:tcW w:w="1530" w:type="dxa"/>
            <w:tcBorders>
              <w:top w:val="single" w:sz="4" w:space="0" w:color="auto"/>
            </w:tcBorders>
          </w:tcPr>
          <w:p w14:paraId="5B404624"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11 (9.2%)</w:t>
            </w:r>
          </w:p>
        </w:tc>
        <w:tc>
          <w:tcPr>
            <w:tcW w:w="1525" w:type="dxa"/>
            <w:tcBorders>
              <w:top w:val="single" w:sz="4" w:space="0" w:color="auto"/>
            </w:tcBorders>
          </w:tcPr>
          <w:p w14:paraId="4BCFA9FF"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94(78.3%)</w:t>
            </w:r>
          </w:p>
        </w:tc>
      </w:tr>
      <w:tr w:rsidR="003C0958" w:rsidRPr="003C0958" w14:paraId="6200889F" w14:textId="77777777" w:rsidTr="003C0958">
        <w:trPr>
          <w:jc w:val="center"/>
        </w:trPr>
        <w:tc>
          <w:tcPr>
            <w:tcW w:w="625" w:type="dxa"/>
          </w:tcPr>
          <w:p w14:paraId="7C27AEA5" w14:textId="77777777" w:rsidR="003C0958" w:rsidRPr="003C0958" w:rsidRDefault="003C0958" w:rsidP="003C0958">
            <w:pPr>
              <w:spacing w:after="160" w:line="259" w:lineRule="auto"/>
              <w:jc w:val="both"/>
              <w:rPr>
                <w:rFonts w:eastAsia="DengXian"/>
                <w:sz w:val="20"/>
                <w:szCs w:val="20"/>
                <w:lang w:eastAsia="zh-CN"/>
              </w:rPr>
            </w:pPr>
            <w:r w:rsidRPr="003C0958">
              <w:rPr>
                <w:rFonts w:eastAsia="DengXian"/>
                <w:sz w:val="20"/>
                <w:szCs w:val="20"/>
                <w:lang w:eastAsia="zh-CN"/>
              </w:rPr>
              <w:t>A2</w:t>
            </w:r>
          </w:p>
        </w:tc>
        <w:tc>
          <w:tcPr>
            <w:tcW w:w="3960" w:type="dxa"/>
            <w:shd w:val="clear" w:color="auto" w:fill="auto"/>
          </w:tcPr>
          <w:p w14:paraId="1963FC6F" w14:textId="77777777" w:rsidR="003C0958" w:rsidRPr="003C0958" w:rsidRDefault="003C0958" w:rsidP="003C0958">
            <w:pPr>
              <w:spacing w:after="160" w:line="259" w:lineRule="auto"/>
              <w:rPr>
                <w:rFonts w:eastAsia="DengXian"/>
                <w:sz w:val="20"/>
                <w:szCs w:val="20"/>
                <w:lang w:val="en-US" w:eastAsia="zh-CN"/>
              </w:rPr>
            </w:pPr>
            <w:r w:rsidRPr="003C0958">
              <w:rPr>
                <w:rFonts w:eastAsia="DengXian"/>
                <w:sz w:val="20"/>
                <w:szCs w:val="20"/>
                <w:lang w:val="en-US" w:eastAsia="zh-CN"/>
              </w:rPr>
              <w:t xml:space="preserve">I always be fair to all students. </w:t>
            </w:r>
          </w:p>
        </w:tc>
        <w:tc>
          <w:tcPr>
            <w:tcW w:w="1710" w:type="dxa"/>
          </w:tcPr>
          <w:p w14:paraId="2BD7F7FB"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4 (3.4%)</w:t>
            </w:r>
          </w:p>
        </w:tc>
        <w:tc>
          <w:tcPr>
            <w:tcW w:w="1530" w:type="dxa"/>
          </w:tcPr>
          <w:p w14:paraId="175120DE"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7 (5.8%)</w:t>
            </w:r>
          </w:p>
        </w:tc>
        <w:tc>
          <w:tcPr>
            <w:tcW w:w="1525" w:type="dxa"/>
          </w:tcPr>
          <w:p w14:paraId="1E669F78"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70(58.3%)</w:t>
            </w:r>
          </w:p>
        </w:tc>
      </w:tr>
      <w:tr w:rsidR="003C0958" w:rsidRPr="003C0958" w14:paraId="6D4CBA7E" w14:textId="77777777" w:rsidTr="003C0958">
        <w:trPr>
          <w:jc w:val="center"/>
        </w:trPr>
        <w:tc>
          <w:tcPr>
            <w:tcW w:w="625" w:type="dxa"/>
          </w:tcPr>
          <w:p w14:paraId="49862749" w14:textId="77777777" w:rsidR="003C0958" w:rsidRPr="003C0958" w:rsidRDefault="003C0958" w:rsidP="003C0958">
            <w:pPr>
              <w:spacing w:after="160" w:line="259" w:lineRule="auto"/>
              <w:jc w:val="both"/>
              <w:rPr>
                <w:rFonts w:eastAsia="DengXian"/>
                <w:sz w:val="20"/>
                <w:szCs w:val="20"/>
                <w:lang w:eastAsia="zh-CN"/>
              </w:rPr>
            </w:pPr>
            <w:r w:rsidRPr="003C0958">
              <w:rPr>
                <w:rFonts w:eastAsia="DengXian"/>
                <w:sz w:val="20"/>
                <w:szCs w:val="20"/>
                <w:lang w:eastAsia="zh-CN"/>
              </w:rPr>
              <w:t>A3</w:t>
            </w:r>
          </w:p>
        </w:tc>
        <w:tc>
          <w:tcPr>
            <w:tcW w:w="3960" w:type="dxa"/>
            <w:shd w:val="clear" w:color="auto" w:fill="auto"/>
          </w:tcPr>
          <w:p w14:paraId="3A9DE819" w14:textId="77777777" w:rsidR="003C0958" w:rsidRPr="003C0958" w:rsidRDefault="003C0958" w:rsidP="003C0958">
            <w:pPr>
              <w:spacing w:after="160" w:line="259" w:lineRule="auto"/>
              <w:rPr>
                <w:rFonts w:eastAsia="DengXian"/>
                <w:sz w:val="20"/>
                <w:szCs w:val="20"/>
                <w:lang w:val="en-US" w:eastAsia="zh-CN"/>
              </w:rPr>
            </w:pPr>
            <w:r w:rsidRPr="003C0958">
              <w:rPr>
                <w:rFonts w:eastAsia="DengXian"/>
                <w:sz w:val="20"/>
                <w:szCs w:val="20"/>
                <w:lang w:val="en-US" w:eastAsia="zh-CN"/>
              </w:rPr>
              <w:t xml:space="preserve">I assume all student have equal abilities </w:t>
            </w:r>
          </w:p>
        </w:tc>
        <w:tc>
          <w:tcPr>
            <w:tcW w:w="1710" w:type="dxa"/>
          </w:tcPr>
          <w:p w14:paraId="56DDD2FC"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26 (21.7%)</w:t>
            </w:r>
          </w:p>
        </w:tc>
        <w:tc>
          <w:tcPr>
            <w:tcW w:w="1530" w:type="dxa"/>
          </w:tcPr>
          <w:p w14:paraId="16F3E777"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14 (11.7%)</w:t>
            </w:r>
          </w:p>
        </w:tc>
        <w:tc>
          <w:tcPr>
            <w:tcW w:w="1525" w:type="dxa"/>
          </w:tcPr>
          <w:p w14:paraId="26037282"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80(66.6%)</w:t>
            </w:r>
          </w:p>
        </w:tc>
      </w:tr>
      <w:tr w:rsidR="003C0958" w:rsidRPr="003C0958" w14:paraId="36166EB9" w14:textId="77777777" w:rsidTr="003C0958">
        <w:trPr>
          <w:jc w:val="center"/>
        </w:trPr>
        <w:tc>
          <w:tcPr>
            <w:tcW w:w="625" w:type="dxa"/>
          </w:tcPr>
          <w:p w14:paraId="339B68BD" w14:textId="77777777" w:rsidR="003C0958" w:rsidRPr="003C0958" w:rsidRDefault="003C0958" w:rsidP="003C0958">
            <w:pPr>
              <w:spacing w:after="160" w:line="259" w:lineRule="auto"/>
              <w:jc w:val="both"/>
              <w:rPr>
                <w:rFonts w:eastAsia="DengXian"/>
                <w:sz w:val="20"/>
                <w:szCs w:val="20"/>
                <w:lang w:eastAsia="zh-CN"/>
              </w:rPr>
            </w:pPr>
            <w:r w:rsidRPr="003C0958">
              <w:rPr>
                <w:rFonts w:eastAsia="DengXian"/>
                <w:sz w:val="20"/>
                <w:szCs w:val="20"/>
                <w:lang w:eastAsia="zh-CN"/>
              </w:rPr>
              <w:t>A4</w:t>
            </w:r>
          </w:p>
        </w:tc>
        <w:tc>
          <w:tcPr>
            <w:tcW w:w="3960" w:type="dxa"/>
            <w:shd w:val="clear" w:color="auto" w:fill="auto"/>
          </w:tcPr>
          <w:p w14:paraId="6C0DE2F7" w14:textId="77777777" w:rsidR="003C0958" w:rsidRPr="003C0958" w:rsidRDefault="003C0958" w:rsidP="003C0958">
            <w:pPr>
              <w:spacing w:after="160" w:line="259" w:lineRule="auto"/>
              <w:rPr>
                <w:rFonts w:eastAsia="DengXian"/>
                <w:sz w:val="20"/>
                <w:szCs w:val="20"/>
                <w:lang w:val="en-US" w:eastAsia="zh-CN"/>
              </w:rPr>
            </w:pPr>
            <w:r w:rsidRPr="003C0958">
              <w:rPr>
                <w:rFonts w:eastAsia="DengXian"/>
                <w:sz w:val="20"/>
                <w:szCs w:val="20"/>
                <w:lang w:val="en-US" w:eastAsia="zh-CN"/>
              </w:rPr>
              <w:t xml:space="preserve">I feel enjoy to teach student with disabilities in mainstream class </w:t>
            </w:r>
          </w:p>
        </w:tc>
        <w:tc>
          <w:tcPr>
            <w:tcW w:w="1710" w:type="dxa"/>
          </w:tcPr>
          <w:p w14:paraId="6BC9026F"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28 (23.4%)</w:t>
            </w:r>
          </w:p>
        </w:tc>
        <w:tc>
          <w:tcPr>
            <w:tcW w:w="1530" w:type="dxa"/>
          </w:tcPr>
          <w:p w14:paraId="196F3AF6"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43 (35.8%)</w:t>
            </w:r>
          </w:p>
        </w:tc>
        <w:tc>
          <w:tcPr>
            <w:tcW w:w="1525" w:type="dxa"/>
          </w:tcPr>
          <w:p w14:paraId="5B35B2BA"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49(40.9%)</w:t>
            </w:r>
          </w:p>
        </w:tc>
      </w:tr>
      <w:tr w:rsidR="003C0958" w:rsidRPr="003C0958" w14:paraId="0F9264D3" w14:textId="77777777" w:rsidTr="003C0958">
        <w:trPr>
          <w:jc w:val="center"/>
        </w:trPr>
        <w:tc>
          <w:tcPr>
            <w:tcW w:w="625" w:type="dxa"/>
          </w:tcPr>
          <w:p w14:paraId="15A2914B" w14:textId="77777777" w:rsidR="003C0958" w:rsidRPr="003C0958" w:rsidRDefault="003C0958" w:rsidP="003C0958">
            <w:pPr>
              <w:spacing w:after="160" w:line="259" w:lineRule="auto"/>
              <w:jc w:val="both"/>
              <w:rPr>
                <w:rFonts w:eastAsia="DengXian"/>
                <w:sz w:val="20"/>
                <w:szCs w:val="20"/>
                <w:lang w:eastAsia="zh-CN"/>
              </w:rPr>
            </w:pPr>
            <w:r w:rsidRPr="003C0958">
              <w:rPr>
                <w:rFonts w:eastAsia="DengXian"/>
                <w:sz w:val="20"/>
                <w:szCs w:val="20"/>
                <w:lang w:eastAsia="zh-CN"/>
              </w:rPr>
              <w:t>A5</w:t>
            </w:r>
          </w:p>
        </w:tc>
        <w:tc>
          <w:tcPr>
            <w:tcW w:w="3960" w:type="dxa"/>
            <w:shd w:val="clear" w:color="auto" w:fill="auto"/>
          </w:tcPr>
          <w:p w14:paraId="18AC94CF" w14:textId="457AA535" w:rsidR="003C0958" w:rsidRPr="003C0958" w:rsidRDefault="003C0958" w:rsidP="003C0958">
            <w:pPr>
              <w:spacing w:after="160" w:line="259" w:lineRule="auto"/>
              <w:rPr>
                <w:rFonts w:eastAsia="DengXian"/>
                <w:sz w:val="20"/>
                <w:szCs w:val="20"/>
                <w:lang w:val="en-US" w:eastAsia="zh-CN"/>
              </w:rPr>
            </w:pPr>
            <w:r w:rsidRPr="003C0958">
              <w:rPr>
                <w:rFonts w:eastAsia="DengXian"/>
                <w:sz w:val="20"/>
                <w:szCs w:val="20"/>
                <w:lang w:val="en-US" w:eastAsia="zh-CN"/>
              </w:rPr>
              <w:t>I a</w:t>
            </w:r>
            <w:r w:rsidR="000F1772">
              <w:rPr>
                <w:rFonts w:eastAsia="DengXian"/>
                <w:sz w:val="20"/>
                <w:szCs w:val="20"/>
                <w:lang w:val="en-US" w:eastAsia="zh-CN"/>
              </w:rPr>
              <w:t xml:space="preserve">m not confident with </w:t>
            </w:r>
            <w:proofErr w:type="spellStart"/>
            <w:r w:rsidR="000F1772">
              <w:rPr>
                <w:rFonts w:eastAsia="DengXian"/>
                <w:sz w:val="20"/>
                <w:szCs w:val="20"/>
                <w:lang w:val="en-US" w:eastAsia="zh-CN"/>
              </w:rPr>
              <w:t>student’s</w:t>
            </w:r>
            <w:proofErr w:type="spellEnd"/>
            <w:r w:rsidR="000F1772">
              <w:rPr>
                <w:rFonts w:eastAsia="DengXian"/>
                <w:sz w:val="20"/>
                <w:szCs w:val="20"/>
                <w:lang w:val="en-US" w:eastAsia="zh-CN"/>
              </w:rPr>
              <w:t xml:space="preserve"> with special education needs ( SEN) </w:t>
            </w:r>
            <w:r w:rsidRPr="003C0958">
              <w:rPr>
                <w:rFonts w:eastAsia="DengXian"/>
                <w:sz w:val="20"/>
                <w:szCs w:val="20"/>
                <w:lang w:val="en-US" w:eastAsia="zh-CN"/>
              </w:rPr>
              <w:t xml:space="preserve">abilities </w:t>
            </w:r>
          </w:p>
        </w:tc>
        <w:tc>
          <w:tcPr>
            <w:tcW w:w="1710" w:type="dxa"/>
          </w:tcPr>
          <w:p w14:paraId="2FD58345"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29(24.1%)</w:t>
            </w:r>
          </w:p>
        </w:tc>
        <w:tc>
          <w:tcPr>
            <w:tcW w:w="1530" w:type="dxa"/>
          </w:tcPr>
          <w:p w14:paraId="2D19BF24"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30 (25.0%)</w:t>
            </w:r>
          </w:p>
        </w:tc>
        <w:tc>
          <w:tcPr>
            <w:tcW w:w="1525" w:type="dxa"/>
          </w:tcPr>
          <w:p w14:paraId="4FC69015"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61(49.9%)</w:t>
            </w:r>
          </w:p>
        </w:tc>
      </w:tr>
      <w:tr w:rsidR="003C0958" w:rsidRPr="003C0958" w14:paraId="75FF4147" w14:textId="77777777" w:rsidTr="003C0958">
        <w:trPr>
          <w:jc w:val="center"/>
        </w:trPr>
        <w:tc>
          <w:tcPr>
            <w:tcW w:w="625" w:type="dxa"/>
          </w:tcPr>
          <w:p w14:paraId="7E32BB67" w14:textId="77777777" w:rsidR="003C0958" w:rsidRPr="003C0958" w:rsidRDefault="003C0958" w:rsidP="003C0958">
            <w:pPr>
              <w:spacing w:after="160" w:line="259" w:lineRule="auto"/>
              <w:jc w:val="both"/>
              <w:rPr>
                <w:rFonts w:eastAsia="DengXian"/>
                <w:sz w:val="20"/>
                <w:szCs w:val="20"/>
                <w:lang w:eastAsia="zh-CN"/>
              </w:rPr>
            </w:pPr>
            <w:r w:rsidRPr="003C0958">
              <w:rPr>
                <w:rFonts w:eastAsia="DengXian"/>
                <w:sz w:val="20"/>
                <w:szCs w:val="20"/>
                <w:lang w:eastAsia="zh-CN"/>
              </w:rPr>
              <w:t>A6</w:t>
            </w:r>
          </w:p>
        </w:tc>
        <w:tc>
          <w:tcPr>
            <w:tcW w:w="3960" w:type="dxa"/>
            <w:shd w:val="clear" w:color="auto" w:fill="auto"/>
          </w:tcPr>
          <w:p w14:paraId="7B4C6CEE" w14:textId="77777777" w:rsidR="003C0958" w:rsidRPr="003C0958" w:rsidRDefault="003C0958" w:rsidP="003C0958">
            <w:pPr>
              <w:spacing w:after="160" w:line="259" w:lineRule="auto"/>
              <w:rPr>
                <w:rFonts w:eastAsia="DengXian"/>
                <w:sz w:val="20"/>
                <w:szCs w:val="20"/>
                <w:lang w:val="en-US" w:eastAsia="zh-CN"/>
              </w:rPr>
            </w:pPr>
            <w:r w:rsidRPr="003C0958">
              <w:rPr>
                <w:rFonts w:eastAsia="DengXian"/>
                <w:sz w:val="20"/>
                <w:szCs w:val="20"/>
                <w:lang w:val="en-US" w:eastAsia="zh-CN"/>
              </w:rPr>
              <w:t xml:space="preserve">I am not comfortable with presence of student with disabilities in mainstream classroom. </w:t>
            </w:r>
          </w:p>
        </w:tc>
        <w:tc>
          <w:tcPr>
            <w:tcW w:w="1710" w:type="dxa"/>
          </w:tcPr>
          <w:p w14:paraId="3DFBD2E2"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22(18.4%)</w:t>
            </w:r>
          </w:p>
        </w:tc>
        <w:tc>
          <w:tcPr>
            <w:tcW w:w="1530" w:type="dxa"/>
          </w:tcPr>
          <w:p w14:paraId="00D5FBA7"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26 (21.7%)</w:t>
            </w:r>
          </w:p>
        </w:tc>
        <w:tc>
          <w:tcPr>
            <w:tcW w:w="1525" w:type="dxa"/>
          </w:tcPr>
          <w:p w14:paraId="2C23D716"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72(60.0%)</w:t>
            </w:r>
          </w:p>
        </w:tc>
      </w:tr>
      <w:tr w:rsidR="003C0958" w:rsidRPr="003C0958" w14:paraId="503477CC" w14:textId="77777777" w:rsidTr="003C0958">
        <w:trPr>
          <w:jc w:val="center"/>
        </w:trPr>
        <w:tc>
          <w:tcPr>
            <w:tcW w:w="625" w:type="dxa"/>
          </w:tcPr>
          <w:p w14:paraId="5C7847C6" w14:textId="77777777" w:rsidR="003C0958" w:rsidRPr="003C0958" w:rsidRDefault="003C0958" w:rsidP="003C0958">
            <w:pPr>
              <w:spacing w:after="160" w:line="259" w:lineRule="auto"/>
              <w:jc w:val="both"/>
              <w:rPr>
                <w:rFonts w:eastAsia="DengXian"/>
                <w:sz w:val="20"/>
                <w:szCs w:val="20"/>
                <w:lang w:eastAsia="zh-CN"/>
              </w:rPr>
            </w:pPr>
            <w:r w:rsidRPr="003C0958">
              <w:rPr>
                <w:rFonts w:eastAsia="DengXian"/>
                <w:sz w:val="20"/>
                <w:szCs w:val="20"/>
                <w:lang w:eastAsia="zh-CN"/>
              </w:rPr>
              <w:t>A7</w:t>
            </w:r>
          </w:p>
        </w:tc>
        <w:tc>
          <w:tcPr>
            <w:tcW w:w="3960" w:type="dxa"/>
            <w:shd w:val="clear" w:color="auto" w:fill="auto"/>
          </w:tcPr>
          <w:p w14:paraId="0D666CA5" w14:textId="77777777" w:rsidR="003C0958" w:rsidRPr="003C0958" w:rsidRDefault="003C0958" w:rsidP="003C0958">
            <w:pPr>
              <w:spacing w:after="160" w:line="259" w:lineRule="auto"/>
              <w:rPr>
                <w:rFonts w:eastAsia="DengXian"/>
                <w:sz w:val="20"/>
                <w:szCs w:val="20"/>
                <w:lang w:val="en-US" w:eastAsia="zh-CN"/>
              </w:rPr>
            </w:pPr>
            <w:r w:rsidRPr="003C0958">
              <w:rPr>
                <w:rFonts w:eastAsia="DengXian"/>
                <w:sz w:val="20"/>
                <w:szCs w:val="20"/>
                <w:lang w:val="en-US" w:eastAsia="zh-CN"/>
              </w:rPr>
              <w:t xml:space="preserve">I believed that special need student (SEN) should be teach in special class </w:t>
            </w:r>
            <w:proofErr w:type="spellStart"/>
            <w:r w:rsidRPr="003C0958">
              <w:rPr>
                <w:rFonts w:eastAsia="DengXian"/>
                <w:sz w:val="20"/>
                <w:szCs w:val="20"/>
                <w:lang w:val="en-US" w:eastAsia="zh-CN"/>
              </w:rPr>
              <w:t>programme</w:t>
            </w:r>
            <w:proofErr w:type="spellEnd"/>
            <w:r w:rsidRPr="003C0958">
              <w:rPr>
                <w:rFonts w:eastAsia="DengXian"/>
                <w:sz w:val="20"/>
                <w:szCs w:val="20"/>
                <w:lang w:val="en-US" w:eastAsia="zh-CN"/>
              </w:rPr>
              <w:t xml:space="preserve"> </w:t>
            </w:r>
          </w:p>
        </w:tc>
        <w:tc>
          <w:tcPr>
            <w:tcW w:w="1710" w:type="dxa"/>
          </w:tcPr>
          <w:p w14:paraId="2D62B721"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35(29.1%)</w:t>
            </w:r>
          </w:p>
        </w:tc>
        <w:tc>
          <w:tcPr>
            <w:tcW w:w="1530" w:type="dxa"/>
          </w:tcPr>
          <w:p w14:paraId="3F1847E0"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12 (10.0%)</w:t>
            </w:r>
          </w:p>
        </w:tc>
        <w:tc>
          <w:tcPr>
            <w:tcW w:w="1525" w:type="dxa"/>
          </w:tcPr>
          <w:p w14:paraId="218A42E1"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73(60.9%)</w:t>
            </w:r>
          </w:p>
        </w:tc>
      </w:tr>
      <w:tr w:rsidR="003C0958" w:rsidRPr="003C0958" w14:paraId="38DAC0EC" w14:textId="77777777" w:rsidTr="003C0958">
        <w:trPr>
          <w:jc w:val="center"/>
        </w:trPr>
        <w:tc>
          <w:tcPr>
            <w:tcW w:w="625" w:type="dxa"/>
          </w:tcPr>
          <w:p w14:paraId="07E4A095" w14:textId="77777777" w:rsidR="003C0958" w:rsidRPr="003C0958" w:rsidRDefault="003C0958" w:rsidP="003C0958">
            <w:pPr>
              <w:spacing w:after="160" w:line="259" w:lineRule="auto"/>
              <w:jc w:val="both"/>
              <w:rPr>
                <w:rFonts w:eastAsia="DengXian"/>
                <w:sz w:val="20"/>
                <w:szCs w:val="20"/>
                <w:lang w:eastAsia="zh-CN"/>
              </w:rPr>
            </w:pPr>
            <w:r w:rsidRPr="003C0958">
              <w:rPr>
                <w:rFonts w:eastAsia="DengXian"/>
                <w:sz w:val="20"/>
                <w:szCs w:val="20"/>
                <w:lang w:eastAsia="zh-CN"/>
              </w:rPr>
              <w:t>A8</w:t>
            </w:r>
          </w:p>
        </w:tc>
        <w:tc>
          <w:tcPr>
            <w:tcW w:w="3960" w:type="dxa"/>
            <w:shd w:val="clear" w:color="auto" w:fill="auto"/>
          </w:tcPr>
          <w:p w14:paraId="68F134F1" w14:textId="32A8A8C7" w:rsidR="003C0958" w:rsidRPr="003C0958" w:rsidRDefault="003C0958" w:rsidP="003C0958">
            <w:pPr>
              <w:spacing w:after="160" w:line="259" w:lineRule="auto"/>
              <w:rPr>
                <w:rFonts w:eastAsia="DengXian"/>
                <w:sz w:val="20"/>
                <w:szCs w:val="20"/>
                <w:lang w:val="en-US" w:eastAsia="zh-CN"/>
              </w:rPr>
            </w:pPr>
            <w:r w:rsidRPr="003C0958">
              <w:rPr>
                <w:rFonts w:eastAsia="DengXian"/>
                <w:sz w:val="20"/>
                <w:szCs w:val="20"/>
                <w:lang w:val="en-US" w:eastAsia="zh-CN"/>
              </w:rPr>
              <w:t>I believed that student with special need sho</w:t>
            </w:r>
            <w:r w:rsidR="000F1772">
              <w:rPr>
                <w:rFonts w:eastAsia="DengXian"/>
                <w:sz w:val="20"/>
                <w:szCs w:val="20"/>
                <w:lang w:val="en-US" w:eastAsia="zh-CN"/>
              </w:rPr>
              <w:t xml:space="preserve">uld be given an opportunities </w:t>
            </w:r>
            <w:r w:rsidRPr="003C0958">
              <w:rPr>
                <w:rFonts w:eastAsia="DengXian"/>
                <w:sz w:val="20"/>
                <w:szCs w:val="20"/>
                <w:lang w:val="en-US" w:eastAsia="zh-CN"/>
              </w:rPr>
              <w:t xml:space="preserve">to study with mainstream students. </w:t>
            </w:r>
          </w:p>
        </w:tc>
        <w:tc>
          <w:tcPr>
            <w:tcW w:w="1710" w:type="dxa"/>
          </w:tcPr>
          <w:p w14:paraId="0888DFF7"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24(20.0%)</w:t>
            </w:r>
          </w:p>
        </w:tc>
        <w:tc>
          <w:tcPr>
            <w:tcW w:w="1530" w:type="dxa"/>
          </w:tcPr>
          <w:p w14:paraId="0604B51D"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20 (16.7%)</w:t>
            </w:r>
          </w:p>
        </w:tc>
        <w:tc>
          <w:tcPr>
            <w:tcW w:w="1525" w:type="dxa"/>
          </w:tcPr>
          <w:p w14:paraId="7DA4DDB7"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77(63.3%)</w:t>
            </w:r>
          </w:p>
        </w:tc>
      </w:tr>
      <w:tr w:rsidR="003C0958" w:rsidRPr="003C0958" w14:paraId="2B46D069" w14:textId="77777777" w:rsidTr="003C0958">
        <w:trPr>
          <w:jc w:val="center"/>
        </w:trPr>
        <w:tc>
          <w:tcPr>
            <w:tcW w:w="625" w:type="dxa"/>
          </w:tcPr>
          <w:p w14:paraId="3B27F8EC" w14:textId="77777777" w:rsidR="003C0958" w:rsidRPr="003C0958" w:rsidRDefault="003C0958" w:rsidP="003C0958">
            <w:pPr>
              <w:spacing w:after="160" w:line="259" w:lineRule="auto"/>
              <w:jc w:val="both"/>
              <w:rPr>
                <w:rFonts w:eastAsia="DengXian"/>
                <w:sz w:val="20"/>
                <w:szCs w:val="20"/>
                <w:lang w:eastAsia="zh-CN"/>
              </w:rPr>
            </w:pPr>
            <w:r w:rsidRPr="003C0958">
              <w:rPr>
                <w:rFonts w:eastAsia="DengXian"/>
                <w:sz w:val="20"/>
                <w:szCs w:val="20"/>
                <w:lang w:eastAsia="zh-CN"/>
              </w:rPr>
              <w:t>A9</w:t>
            </w:r>
          </w:p>
        </w:tc>
        <w:tc>
          <w:tcPr>
            <w:tcW w:w="3960" w:type="dxa"/>
            <w:shd w:val="clear" w:color="auto" w:fill="auto"/>
          </w:tcPr>
          <w:p w14:paraId="078551C0" w14:textId="77777777" w:rsidR="003C0958" w:rsidRPr="003C0958" w:rsidRDefault="003C0958" w:rsidP="003C0958">
            <w:pPr>
              <w:spacing w:after="160" w:line="259" w:lineRule="auto"/>
              <w:rPr>
                <w:rFonts w:eastAsia="DengXian"/>
                <w:sz w:val="20"/>
                <w:szCs w:val="20"/>
                <w:lang w:val="en-US" w:eastAsia="zh-CN"/>
              </w:rPr>
            </w:pPr>
            <w:r w:rsidRPr="003C0958">
              <w:rPr>
                <w:rFonts w:eastAsia="DengXian"/>
                <w:sz w:val="20"/>
                <w:szCs w:val="20"/>
                <w:lang w:val="en-US" w:eastAsia="zh-CN"/>
              </w:rPr>
              <w:t>I encourage mainstream students to mix with students with special needs</w:t>
            </w:r>
          </w:p>
        </w:tc>
        <w:tc>
          <w:tcPr>
            <w:tcW w:w="1710" w:type="dxa"/>
          </w:tcPr>
          <w:p w14:paraId="209DE853"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7(5.9%)</w:t>
            </w:r>
          </w:p>
        </w:tc>
        <w:tc>
          <w:tcPr>
            <w:tcW w:w="1530" w:type="dxa"/>
          </w:tcPr>
          <w:p w14:paraId="64E68D1E"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4 (3.3%)</w:t>
            </w:r>
          </w:p>
        </w:tc>
        <w:tc>
          <w:tcPr>
            <w:tcW w:w="1525" w:type="dxa"/>
          </w:tcPr>
          <w:p w14:paraId="7BC0B759"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109(90.8%)</w:t>
            </w:r>
          </w:p>
        </w:tc>
      </w:tr>
      <w:tr w:rsidR="003C0958" w:rsidRPr="003C0958" w14:paraId="41F28C4F" w14:textId="77777777" w:rsidTr="003C0958">
        <w:trPr>
          <w:jc w:val="center"/>
        </w:trPr>
        <w:tc>
          <w:tcPr>
            <w:tcW w:w="625" w:type="dxa"/>
          </w:tcPr>
          <w:p w14:paraId="56B62861" w14:textId="77777777" w:rsidR="003C0958" w:rsidRPr="003C0958" w:rsidRDefault="003C0958" w:rsidP="003C0958">
            <w:pPr>
              <w:spacing w:after="160" w:line="259" w:lineRule="auto"/>
              <w:jc w:val="both"/>
              <w:rPr>
                <w:rFonts w:eastAsia="DengXian"/>
                <w:sz w:val="20"/>
                <w:szCs w:val="20"/>
                <w:lang w:eastAsia="zh-CN"/>
              </w:rPr>
            </w:pPr>
            <w:r w:rsidRPr="003C0958">
              <w:rPr>
                <w:rFonts w:eastAsia="DengXian"/>
                <w:sz w:val="20"/>
                <w:szCs w:val="20"/>
                <w:lang w:eastAsia="zh-CN"/>
              </w:rPr>
              <w:t>A10</w:t>
            </w:r>
          </w:p>
        </w:tc>
        <w:tc>
          <w:tcPr>
            <w:tcW w:w="3960" w:type="dxa"/>
            <w:shd w:val="clear" w:color="auto" w:fill="auto"/>
          </w:tcPr>
          <w:p w14:paraId="25380215" w14:textId="77777777" w:rsidR="003C0958" w:rsidRPr="003C0958" w:rsidRDefault="003C0958" w:rsidP="003C0958">
            <w:pPr>
              <w:spacing w:after="160" w:line="259" w:lineRule="auto"/>
              <w:rPr>
                <w:rFonts w:eastAsia="DengXian"/>
                <w:sz w:val="20"/>
                <w:szCs w:val="20"/>
                <w:lang w:val="en-US" w:eastAsia="zh-CN"/>
              </w:rPr>
            </w:pPr>
            <w:r w:rsidRPr="003C0958">
              <w:rPr>
                <w:rFonts w:eastAsia="DengXian"/>
                <w:sz w:val="20"/>
                <w:szCs w:val="20"/>
                <w:lang w:val="en-US" w:eastAsia="zh-CN"/>
              </w:rPr>
              <w:t>I feel that student with disabilities should be segregated from mainstream students.</w:t>
            </w:r>
          </w:p>
        </w:tc>
        <w:tc>
          <w:tcPr>
            <w:tcW w:w="1710" w:type="dxa"/>
          </w:tcPr>
          <w:p w14:paraId="70B4A83B"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32 (26.7%)</w:t>
            </w:r>
          </w:p>
        </w:tc>
        <w:tc>
          <w:tcPr>
            <w:tcW w:w="1530" w:type="dxa"/>
          </w:tcPr>
          <w:p w14:paraId="5DA6E002"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12 (10.0%)</w:t>
            </w:r>
          </w:p>
        </w:tc>
        <w:tc>
          <w:tcPr>
            <w:tcW w:w="1525" w:type="dxa"/>
          </w:tcPr>
          <w:p w14:paraId="65ECA13D" w14:textId="77777777" w:rsidR="003C0958" w:rsidRPr="003C0958" w:rsidRDefault="003C0958" w:rsidP="003C0958">
            <w:pPr>
              <w:spacing w:after="160" w:line="259" w:lineRule="auto"/>
              <w:jc w:val="center"/>
              <w:rPr>
                <w:rFonts w:eastAsia="DengXian"/>
                <w:sz w:val="20"/>
                <w:szCs w:val="20"/>
                <w:lang w:eastAsia="zh-CN"/>
              </w:rPr>
            </w:pPr>
            <w:r w:rsidRPr="003C0958">
              <w:rPr>
                <w:rFonts w:eastAsia="DengXian"/>
                <w:sz w:val="20"/>
                <w:szCs w:val="20"/>
                <w:lang w:eastAsia="zh-CN"/>
              </w:rPr>
              <w:t>76(63.4%)</w:t>
            </w:r>
          </w:p>
        </w:tc>
      </w:tr>
    </w:tbl>
    <w:p w14:paraId="4A25FD29" w14:textId="41FFC3D9" w:rsidR="003C0958" w:rsidRDefault="003C0958" w:rsidP="003C0958">
      <w:pPr>
        <w:jc w:val="both"/>
        <w:rPr>
          <w:iCs/>
        </w:rPr>
      </w:pPr>
      <w:r>
        <w:rPr>
          <w:iCs/>
        </w:rPr>
        <w:t>Based on data above, 10 item were</w:t>
      </w:r>
      <w:r w:rsidRPr="003C0958">
        <w:rPr>
          <w:iCs/>
        </w:rPr>
        <w:t xml:space="preserve"> tested and the results found that, majority of teachers encourages mainstream student t</w:t>
      </w:r>
      <w:r w:rsidR="000F1772">
        <w:rPr>
          <w:iCs/>
        </w:rPr>
        <w:t xml:space="preserve">o mix up with SEN 90.8% (109). </w:t>
      </w:r>
      <w:r w:rsidRPr="003C0958">
        <w:rPr>
          <w:iCs/>
        </w:rPr>
        <w:t xml:space="preserve">However, more than half, which is 60.9% of teachers, agree that pupils with SEN should be test in special education class and somehow 63.3% (77) teachers agreed that SEN </w:t>
      </w:r>
      <w:proofErr w:type="gramStart"/>
      <w:r w:rsidRPr="003C0958">
        <w:rPr>
          <w:iCs/>
        </w:rPr>
        <w:t>should be given</w:t>
      </w:r>
      <w:proofErr w:type="gramEnd"/>
      <w:r w:rsidRPr="003C0958">
        <w:rPr>
          <w:iCs/>
        </w:rPr>
        <w:t xml:space="preserve"> opportunities to study with mainstream students. Thus, near to half (40.9%) teacher</w:t>
      </w:r>
      <w:r w:rsidR="000F1772">
        <w:rPr>
          <w:iCs/>
        </w:rPr>
        <w:t>s</w:t>
      </w:r>
      <w:r w:rsidRPr="003C0958">
        <w:rPr>
          <w:iCs/>
        </w:rPr>
        <w:t xml:space="preserve"> agree that they are not confident enough to teach SEN and (35.5%) teacher also not sure either they will be enjoy or versa if they have to teach SEN in mainstream classroom. </w:t>
      </w:r>
    </w:p>
    <w:p w14:paraId="1DBE0B44" w14:textId="1D6551DD" w:rsidR="003275B0" w:rsidRDefault="003275B0" w:rsidP="003C0958">
      <w:pPr>
        <w:jc w:val="both"/>
        <w:rPr>
          <w:iCs/>
        </w:rPr>
      </w:pPr>
    </w:p>
    <w:p w14:paraId="37A23DE3" w14:textId="10F049E5" w:rsidR="003275B0" w:rsidRPr="003275B0" w:rsidRDefault="003275B0" w:rsidP="003275B0">
      <w:pPr>
        <w:pStyle w:val="ListParagraph"/>
        <w:numPr>
          <w:ilvl w:val="0"/>
          <w:numId w:val="36"/>
        </w:numPr>
        <w:jc w:val="both"/>
        <w:rPr>
          <w:rFonts w:ascii="Times New Roman" w:hAnsi="Times New Roman" w:cs="Times New Roman"/>
          <w:iCs/>
          <w:sz w:val="24"/>
          <w:szCs w:val="24"/>
        </w:rPr>
      </w:pPr>
      <w:r w:rsidRPr="003275B0">
        <w:rPr>
          <w:rFonts w:ascii="Times New Roman" w:hAnsi="Times New Roman" w:cs="Times New Roman"/>
          <w:iCs/>
          <w:sz w:val="24"/>
          <w:szCs w:val="24"/>
        </w:rPr>
        <w:t xml:space="preserve">The Level of teacher’s acceptance on SEN pupils </w:t>
      </w:r>
    </w:p>
    <w:p w14:paraId="662D0C06" w14:textId="1F9BE582" w:rsidR="003275B0" w:rsidRPr="003275B0" w:rsidRDefault="003275B0" w:rsidP="003275B0">
      <w:pPr>
        <w:jc w:val="center"/>
        <w:rPr>
          <w:iCs/>
        </w:rPr>
      </w:pPr>
      <w:r>
        <w:rPr>
          <w:iCs/>
        </w:rPr>
        <w:t xml:space="preserve">Table 1.4 </w:t>
      </w:r>
      <w:r w:rsidRPr="003275B0">
        <w:rPr>
          <w:iCs/>
        </w:rPr>
        <w:t>Mean score, interpretation, frequency and percentage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223"/>
        <w:gridCol w:w="1342"/>
        <w:gridCol w:w="1204"/>
        <w:gridCol w:w="911"/>
        <w:gridCol w:w="1386"/>
        <w:gridCol w:w="144"/>
        <w:gridCol w:w="2155"/>
      </w:tblGrid>
      <w:tr w:rsidR="003275B0" w:rsidRPr="00F14FBD" w14:paraId="1C977779" w14:textId="77777777" w:rsidTr="00F14FBD">
        <w:trPr>
          <w:jc w:val="center"/>
        </w:trPr>
        <w:tc>
          <w:tcPr>
            <w:tcW w:w="2208" w:type="dxa"/>
            <w:gridSpan w:val="2"/>
            <w:tcBorders>
              <w:top w:val="single" w:sz="4" w:space="0" w:color="auto"/>
              <w:bottom w:val="single" w:sz="4" w:space="0" w:color="auto"/>
            </w:tcBorders>
          </w:tcPr>
          <w:p w14:paraId="693324DC" w14:textId="77777777" w:rsidR="003275B0" w:rsidRPr="00F14FBD" w:rsidRDefault="003275B0" w:rsidP="003275B0">
            <w:pPr>
              <w:spacing w:line="240" w:lineRule="auto"/>
              <w:jc w:val="left"/>
              <w:rPr>
                <w:b/>
                <w:iCs/>
                <w:color w:val="auto"/>
                <w:sz w:val="20"/>
                <w:szCs w:val="20"/>
              </w:rPr>
            </w:pPr>
            <w:r w:rsidRPr="00F14FBD">
              <w:rPr>
                <w:b/>
                <w:iCs/>
                <w:color w:val="auto"/>
                <w:sz w:val="20"/>
                <w:szCs w:val="20"/>
              </w:rPr>
              <w:t>Mean score</w:t>
            </w:r>
          </w:p>
        </w:tc>
        <w:tc>
          <w:tcPr>
            <w:tcW w:w="2546" w:type="dxa"/>
            <w:gridSpan w:val="2"/>
            <w:tcBorders>
              <w:top w:val="single" w:sz="4" w:space="0" w:color="auto"/>
              <w:bottom w:val="single" w:sz="4" w:space="0" w:color="auto"/>
            </w:tcBorders>
          </w:tcPr>
          <w:p w14:paraId="6A19EE3A" w14:textId="77777777" w:rsidR="003275B0" w:rsidRPr="00F14FBD" w:rsidRDefault="003275B0" w:rsidP="003275B0">
            <w:pPr>
              <w:spacing w:line="240" w:lineRule="auto"/>
              <w:jc w:val="center"/>
              <w:rPr>
                <w:b/>
                <w:iCs/>
                <w:color w:val="auto"/>
                <w:sz w:val="20"/>
                <w:szCs w:val="20"/>
              </w:rPr>
            </w:pPr>
            <w:r w:rsidRPr="00F14FBD">
              <w:rPr>
                <w:b/>
                <w:iCs/>
                <w:color w:val="auto"/>
                <w:sz w:val="20"/>
                <w:szCs w:val="20"/>
              </w:rPr>
              <w:t>Interpretation</w:t>
            </w:r>
          </w:p>
        </w:tc>
        <w:tc>
          <w:tcPr>
            <w:tcW w:w="2297" w:type="dxa"/>
            <w:gridSpan w:val="2"/>
            <w:tcBorders>
              <w:top w:val="single" w:sz="4" w:space="0" w:color="auto"/>
              <w:bottom w:val="single" w:sz="4" w:space="0" w:color="auto"/>
            </w:tcBorders>
          </w:tcPr>
          <w:p w14:paraId="7FD50CE5" w14:textId="77777777" w:rsidR="003275B0" w:rsidRPr="00F14FBD" w:rsidRDefault="003275B0" w:rsidP="003275B0">
            <w:pPr>
              <w:spacing w:line="240" w:lineRule="auto"/>
              <w:jc w:val="center"/>
              <w:rPr>
                <w:b/>
                <w:iCs/>
                <w:color w:val="auto"/>
                <w:sz w:val="20"/>
                <w:szCs w:val="20"/>
              </w:rPr>
            </w:pPr>
            <w:r w:rsidRPr="00F14FBD">
              <w:rPr>
                <w:b/>
                <w:iCs/>
                <w:color w:val="auto"/>
                <w:sz w:val="20"/>
                <w:szCs w:val="20"/>
              </w:rPr>
              <w:t>Frequency</w:t>
            </w:r>
          </w:p>
        </w:tc>
        <w:tc>
          <w:tcPr>
            <w:tcW w:w="2299" w:type="dxa"/>
            <w:gridSpan w:val="2"/>
            <w:tcBorders>
              <w:top w:val="single" w:sz="4" w:space="0" w:color="auto"/>
              <w:bottom w:val="single" w:sz="4" w:space="0" w:color="auto"/>
            </w:tcBorders>
          </w:tcPr>
          <w:p w14:paraId="2B5CA7A0" w14:textId="77777777" w:rsidR="003275B0" w:rsidRPr="00F14FBD" w:rsidRDefault="003275B0" w:rsidP="003275B0">
            <w:pPr>
              <w:spacing w:line="240" w:lineRule="auto"/>
              <w:jc w:val="center"/>
              <w:rPr>
                <w:b/>
                <w:iCs/>
                <w:color w:val="auto"/>
                <w:sz w:val="20"/>
                <w:szCs w:val="20"/>
              </w:rPr>
            </w:pPr>
            <w:r w:rsidRPr="00F14FBD">
              <w:rPr>
                <w:b/>
                <w:iCs/>
                <w:color w:val="auto"/>
                <w:sz w:val="20"/>
                <w:szCs w:val="20"/>
              </w:rPr>
              <w:t>Percentage</w:t>
            </w:r>
          </w:p>
        </w:tc>
      </w:tr>
      <w:tr w:rsidR="003275B0" w:rsidRPr="00F14FBD" w14:paraId="40102AEB" w14:textId="77777777" w:rsidTr="00F14FBD">
        <w:trPr>
          <w:jc w:val="center"/>
        </w:trPr>
        <w:tc>
          <w:tcPr>
            <w:tcW w:w="2208" w:type="dxa"/>
            <w:gridSpan w:val="2"/>
            <w:tcBorders>
              <w:top w:val="single" w:sz="4" w:space="0" w:color="auto"/>
            </w:tcBorders>
          </w:tcPr>
          <w:p w14:paraId="79CF2855" w14:textId="77777777" w:rsidR="003275B0" w:rsidRPr="00F14FBD" w:rsidRDefault="003275B0" w:rsidP="003275B0">
            <w:pPr>
              <w:spacing w:line="240" w:lineRule="auto"/>
              <w:jc w:val="left"/>
              <w:rPr>
                <w:iCs/>
                <w:color w:val="auto"/>
                <w:sz w:val="20"/>
                <w:szCs w:val="20"/>
              </w:rPr>
            </w:pPr>
            <w:r w:rsidRPr="00F14FBD">
              <w:rPr>
                <w:iCs/>
                <w:color w:val="auto"/>
                <w:sz w:val="20"/>
                <w:szCs w:val="20"/>
              </w:rPr>
              <w:t>1.00 – 1.80</w:t>
            </w:r>
          </w:p>
        </w:tc>
        <w:tc>
          <w:tcPr>
            <w:tcW w:w="2546" w:type="dxa"/>
            <w:gridSpan w:val="2"/>
            <w:tcBorders>
              <w:top w:val="single" w:sz="4" w:space="0" w:color="auto"/>
            </w:tcBorders>
          </w:tcPr>
          <w:p w14:paraId="1B4B3ABE" w14:textId="77777777" w:rsidR="003275B0" w:rsidRPr="00F14FBD" w:rsidRDefault="003275B0" w:rsidP="003275B0">
            <w:pPr>
              <w:spacing w:line="240" w:lineRule="auto"/>
              <w:jc w:val="center"/>
              <w:rPr>
                <w:iCs/>
                <w:color w:val="auto"/>
                <w:sz w:val="20"/>
                <w:szCs w:val="20"/>
              </w:rPr>
            </w:pPr>
            <w:r w:rsidRPr="00F14FBD">
              <w:rPr>
                <w:iCs/>
                <w:color w:val="auto"/>
                <w:sz w:val="20"/>
                <w:szCs w:val="20"/>
              </w:rPr>
              <w:t>Very low</w:t>
            </w:r>
          </w:p>
        </w:tc>
        <w:tc>
          <w:tcPr>
            <w:tcW w:w="2297" w:type="dxa"/>
            <w:gridSpan w:val="2"/>
            <w:tcBorders>
              <w:top w:val="single" w:sz="4" w:space="0" w:color="auto"/>
            </w:tcBorders>
          </w:tcPr>
          <w:p w14:paraId="30195A39" w14:textId="77777777" w:rsidR="003275B0" w:rsidRPr="00F14FBD" w:rsidRDefault="003275B0" w:rsidP="003275B0">
            <w:pPr>
              <w:spacing w:line="240" w:lineRule="auto"/>
              <w:jc w:val="center"/>
              <w:rPr>
                <w:iCs/>
                <w:color w:val="auto"/>
                <w:sz w:val="20"/>
                <w:szCs w:val="20"/>
              </w:rPr>
            </w:pPr>
            <w:r w:rsidRPr="00F14FBD">
              <w:rPr>
                <w:iCs/>
                <w:color w:val="auto"/>
                <w:sz w:val="20"/>
                <w:szCs w:val="20"/>
              </w:rPr>
              <w:t>-</w:t>
            </w:r>
          </w:p>
        </w:tc>
        <w:tc>
          <w:tcPr>
            <w:tcW w:w="2299" w:type="dxa"/>
            <w:gridSpan w:val="2"/>
            <w:tcBorders>
              <w:top w:val="single" w:sz="4" w:space="0" w:color="auto"/>
            </w:tcBorders>
          </w:tcPr>
          <w:p w14:paraId="57A71652" w14:textId="77777777" w:rsidR="003275B0" w:rsidRPr="00F14FBD" w:rsidRDefault="003275B0" w:rsidP="003275B0">
            <w:pPr>
              <w:spacing w:line="240" w:lineRule="auto"/>
              <w:jc w:val="center"/>
              <w:rPr>
                <w:iCs/>
                <w:color w:val="auto"/>
                <w:sz w:val="20"/>
                <w:szCs w:val="20"/>
              </w:rPr>
            </w:pPr>
            <w:r w:rsidRPr="00F14FBD">
              <w:rPr>
                <w:iCs/>
                <w:color w:val="auto"/>
                <w:sz w:val="20"/>
                <w:szCs w:val="20"/>
              </w:rPr>
              <w:t>0.0%</w:t>
            </w:r>
          </w:p>
        </w:tc>
      </w:tr>
      <w:tr w:rsidR="003275B0" w:rsidRPr="00F14FBD" w14:paraId="52F3BB74" w14:textId="77777777" w:rsidTr="003275B0">
        <w:trPr>
          <w:jc w:val="center"/>
        </w:trPr>
        <w:tc>
          <w:tcPr>
            <w:tcW w:w="2208" w:type="dxa"/>
            <w:gridSpan w:val="2"/>
          </w:tcPr>
          <w:p w14:paraId="474B5F20" w14:textId="77777777" w:rsidR="003275B0" w:rsidRPr="00F14FBD" w:rsidRDefault="003275B0" w:rsidP="003275B0">
            <w:pPr>
              <w:spacing w:line="240" w:lineRule="auto"/>
              <w:jc w:val="left"/>
              <w:rPr>
                <w:iCs/>
                <w:color w:val="auto"/>
                <w:sz w:val="20"/>
                <w:szCs w:val="20"/>
              </w:rPr>
            </w:pPr>
            <w:r w:rsidRPr="00F14FBD">
              <w:rPr>
                <w:iCs/>
                <w:color w:val="auto"/>
                <w:sz w:val="20"/>
                <w:szCs w:val="20"/>
              </w:rPr>
              <w:t>1.81- 2.60</w:t>
            </w:r>
          </w:p>
        </w:tc>
        <w:tc>
          <w:tcPr>
            <w:tcW w:w="2546" w:type="dxa"/>
            <w:gridSpan w:val="2"/>
          </w:tcPr>
          <w:p w14:paraId="318D1BBA" w14:textId="77777777" w:rsidR="003275B0" w:rsidRPr="00F14FBD" w:rsidRDefault="003275B0" w:rsidP="003275B0">
            <w:pPr>
              <w:spacing w:line="240" w:lineRule="auto"/>
              <w:jc w:val="center"/>
              <w:rPr>
                <w:iCs/>
                <w:color w:val="auto"/>
                <w:sz w:val="20"/>
                <w:szCs w:val="20"/>
              </w:rPr>
            </w:pPr>
            <w:r w:rsidRPr="00F14FBD">
              <w:rPr>
                <w:iCs/>
                <w:color w:val="auto"/>
                <w:sz w:val="20"/>
                <w:szCs w:val="20"/>
              </w:rPr>
              <w:t>Low</w:t>
            </w:r>
          </w:p>
        </w:tc>
        <w:tc>
          <w:tcPr>
            <w:tcW w:w="2297" w:type="dxa"/>
            <w:gridSpan w:val="2"/>
          </w:tcPr>
          <w:p w14:paraId="0D6D84E4" w14:textId="77777777" w:rsidR="003275B0" w:rsidRPr="00F14FBD" w:rsidRDefault="003275B0" w:rsidP="003275B0">
            <w:pPr>
              <w:spacing w:line="240" w:lineRule="auto"/>
              <w:jc w:val="center"/>
              <w:rPr>
                <w:iCs/>
                <w:color w:val="auto"/>
                <w:sz w:val="20"/>
                <w:szCs w:val="20"/>
              </w:rPr>
            </w:pPr>
            <w:r w:rsidRPr="00F14FBD">
              <w:rPr>
                <w:iCs/>
                <w:color w:val="auto"/>
                <w:sz w:val="20"/>
                <w:szCs w:val="20"/>
              </w:rPr>
              <w:t>13</w:t>
            </w:r>
          </w:p>
        </w:tc>
        <w:tc>
          <w:tcPr>
            <w:tcW w:w="2299" w:type="dxa"/>
            <w:gridSpan w:val="2"/>
          </w:tcPr>
          <w:p w14:paraId="3D8FDBE5" w14:textId="77777777" w:rsidR="003275B0" w:rsidRPr="00F14FBD" w:rsidRDefault="003275B0" w:rsidP="003275B0">
            <w:pPr>
              <w:spacing w:line="240" w:lineRule="auto"/>
              <w:jc w:val="center"/>
              <w:rPr>
                <w:iCs/>
                <w:color w:val="auto"/>
                <w:sz w:val="20"/>
                <w:szCs w:val="20"/>
              </w:rPr>
            </w:pPr>
            <w:r w:rsidRPr="00F14FBD">
              <w:rPr>
                <w:iCs/>
                <w:color w:val="auto"/>
                <w:sz w:val="20"/>
                <w:szCs w:val="20"/>
              </w:rPr>
              <w:t>10.83%</w:t>
            </w:r>
          </w:p>
        </w:tc>
      </w:tr>
      <w:tr w:rsidR="003275B0" w:rsidRPr="00F14FBD" w14:paraId="7EA405A1" w14:textId="77777777" w:rsidTr="003275B0">
        <w:trPr>
          <w:jc w:val="center"/>
        </w:trPr>
        <w:tc>
          <w:tcPr>
            <w:tcW w:w="2208" w:type="dxa"/>
            <w:gridSpan w:val="2"/>
          </w:tcPr>
          <w:p w14:paraId="6B6B341E" w14:textId="77777777" w:rsidR="003275B0" w:rsidRPr="00F14FBD" w:rsidRDefault="003275B0" w:rsidP="003275B0">
            <w:pPr>
              <w:spacing w:line="240" w:lineRule="auto"/>
              <w:jc w:val="left"/>
              <w:rPr>
                <w:iCs/>
                <w:color w:val="auto"/>
                <w:sz w:val="20"/>
                <w:szCs w:val="20"/>
              </w:rPr>
            </w:pPr>
            <w:r w:rsidRPr="00F14FBD">
              <w:rPr>
                <w:iCs/>
                <w:color w:val="auto"/>
                <w:sz w:val="20"/>
                <w:szCs w:val="20"/>
              </w:rPr>
              <w:t>2.61-3.40</w:t>
            </w:r>
          </w:p>
        </w:tc>
        <w:tc>
          <w:tcPr>
            <w:tcW w:w="2546" w:type="dxa"/>
            <w:gridSpan w:val="2"/>
          </w:tcPr>
          <w:p w14:paraId="0ABB6115" w14:textId="77777777" w:rsidR="003275B0" w:rsidRPr="00F14FBD" w:rsidRDefault="003275B0" w:rsidP="003275B0">
            <w:pPr>
              <w:spacing w:line="240" w:lineRule="auto"/>
              <w:jc w:val="center"/>
              <w:rPr>
                <w:iCs/>
                <w:color w:val="auto"/>
                <w:sz w:val="20"/>
                <w:szCs w:val="20"/>
              </w:rPr>
            </w:pPr>
            <w:r w:rsidRPr="00F14FBD">
              <w:rPr>
                <w:iCs/>
                <w:color w:val="auto"/>
                <w:sz w:val="20"/>
                <w:szCs w:val="20"/>
              </w:rPr>
              <w:t>Moderate</w:t>
            </w:r>
          </w:p>
        </w:tc>
        <w:tc>
          <w:tcPr>
            <w:tcW w:w="2297" w:type="dxa"/>
            <w:gridSpan w:val="2"/>
          </w:tcPr>
          <w:p w14:paraId="5188119C" w14:textId="77777777" w:rsidR="003275B0" w:rsidRPr="00F14FBD" w:rsidRDefault="003275B0" w:rsidP="003275B0">
            <w:pPr>
              <w:spacing w:line="240" w:lineRule="auto"/>
              <w:jc w:val="center"/>
              <w:rPr>
                <w:iCs/>
                <w:color w:val="auto"/>
                <w:sz w:val="20"/>
                <w:szCs w:val="20"/>
              </w:rPr>
            </w:pPr>
            <w:r w:rsidRPr="00F14FBD">
              <w:rPr>
                <w:iCs/>
                <w:color w:val="auto"/>
                <w:sz w:val="20"/>
                <w:szCs w:val="20"/>
              </w:rPr>
              <w:t>87</w:t>
            </w:r>
          </w:p>
        </w:tc>
        <w:tc>
          <w:tcPr>
            <w:tcW w:w="2299" w:type="dxa"/>
            <w:gridSpan w:val="2"/>
          </w:tcPr>
          <w:p w14:paraId="6C18633D" w14:textId="77777777" w:rsidR="003275B0" w:rsidRPr="00F14FBD" w:rsidRDefault="003275B0" w:rsidP="003275B0">
            <w:pPr>
              <w:spacing w:line="240" w:lineRule="auto"/>
              <w:jc w:val="center"/>
              <w:rPr>
                <w:iCs/>
                <w:color w:val="auto"/>
                <w:sz w:val="20"/>
                <w:szCs w:val="20"/>
              </w:rPr>
            </w:pPr>
            <w:r w:rsidRPr="00F14FBD">
              <w:rPr>
                <w:iCs/>
                <w:color w:val="auto"/>
                <w:sz w:val="20"/>
                <w:szCs w:val="20"/>
              </w:rPr>
              <w:t>72.60%</w:t>
            </w:r>
          </w:p>
        </w:tc>
      </w:tr>
      <w:tr w:rsidR="003275B0" w:rsidRPr="00F14FBD" w14:paraId="49F35CB2" w14:textId="77777777" w:rsidTr="003275B0">
        <w:trPr>
          <w:jc w:val="center"/>
        </w:trPr>
        <w:tc>
          <w:tcPr>
            <w:tcW w:w="2208" w:type="dxa"/>
            <w:gridSpan w:val="2"/>
          </w:tcPr>
          <w:p w14:paraId="7578F609" w14:textId="77777777" w:rsidR="003275B0" w:rsidRPr="00F14FBD" w:rsidRDefault="003275B0" w:rsidP="003275B0">
            <w:pPr>
              <w:spacing w:line="240" w:lineRule="auto"/>
              <w:jc w:val="left"/>
              <w:rPr>
                <w:iCs/>
                <w:color w:val="auto"/>
                <w:sz w:val="20"/>
                <w:szCs w:val="20"/>
              </w:rPr>
            </w:pPr>
            <w:r w:rsidRPr="00F14FBD">
              <w:rPr>
                <w:iCs/>
                <w:color w:val="auto"/>
                <w:sz w:val="20"/>
                <w:szCs w:val="20"/>
              </w:rPr>
              <w:t>3.41-4.20</w:t>
            </w:r>
          </w:p>
        </w:tc>
        <w:tc>
          <w:tcPr>
            <w:tcW w:w="2546" w:type="dxa"/>
            <w:gridSpan w:val="2"/>
          </w:tcPr>
          <w:p w14:paraId="3C839D8C" w14:textId="77777777" w:rsidR="003275B0" w:rsidRPr="00F14FBD" w:rsidRDefault="003275B0" w:rsidP="003275B0">
            <w:pPr>
              <w:spacing w:line="240" w:lineRule="auto"/>
              <w:jc w:val="center"/>
              <w:rPr>
                <w:iCs/>
                <w:color w:val="auto"/>
                <w:sz w:val="20"/>
                <w:szCs w:val="20"/>
              </w:rPr>
            </w:pPr>
            <w:r w:rsidRPr="00F14FBD">
              <w:rPr>
                <w:iCs/>
                <w:color w:val="auto"/>
                <w:sz w:val="20"/>
                <w:szCs w:val="20"/>
              </w:rPr>
              <w:t>High</w:t>
            </w:r>
          </w:p>
        </w:tc>
        <w:tc>
          <w:tcPr>
            <w:tcW w:w="2297" w:type="dxa"/>
            <w:gridSpan w:val="2"/>
          </w:tcPr>
          <w:p w14:paraId="203FDB74" w14:textId="77777777" w:rsidR="003275B0" w:rsidRPr="00F14FBD" w:rsidRDefault="003275B0" w:rsidP="003275B0">
            <w:pPr>
              <w:spacing w:line="240" w:lineRule="auto"/>
              <w:jc w:val="center"/>
              <w:rPr>
                <w:iCs/>
                <w:color w:val="auto"/>
                <w:sz w:val="20"/>
                <w:szCs w:val="20"/>
              </w:rPr>
            </w:pPr>
            <w:r w:rsidRPr="00F14FBD">
              <w:rPr>
                <w:iCs/>
                <w:color w:val="auto"/>
                <w:sz w:val="20"/>
                <w:szCs w:val="20"/>
              </w:rPr>
              <w:t>20</w:t>
            </w:r>
          </w:p>
        </w:tc>
        <w:tc>
          <w:tcPr>
            <w:tcW w:w="2299" w:type="dxa"/>
            <w:gridSpan w:val="2"/>
          </w:tcPr>
          <w:p w14:paraId="4CD2B194" w14:textId="77777777" w:rsidR="003275B0" w:rsidRPr="00F14FBD" w:rsidRDefault="003275B0" w:rsidP="003275B0">
            <w:pPr>
              <w:spacing w:line="240" w:lineRule="auto"/>
              <w:jc w:val="center"/>
              <w:rPr>
                <w:iCs/>
                <w:color w:val="auto"/>
                <w:sz w:val="20"/>
                <w:szCs w:val="20"/>
              </w:rPr>
            </w:pPr>
            <w:r w:rsidRPr="00F14FBD">
              <w:rPr>
                <w:iCs/>
                <w:color w:val="auto"/>
                <w:sz w:val="20"/>
                <w:szCs w:val="20"/>
              </w:rPr>
              <w:t>16.67%</w:t>
            </w:r>
          </w:p>
        </w:tc>
      </w:tr>
      <w:tr w:rsidR="003275B0" w:rsidRPr="00F14FBD" w14:paraId="6D415665" w14:textId="77777777" w:rsidTr="003275B0">
        <w:trPr>
          <w:jc w:val="center"/>
        </w:trPr>
        <w:tc>
          <w:tcPr>
            <w:tcW w:w="2208" w:type="dxa"/>
            <w:gridSpan w:val="2"/>
          </w:tcPr>
          <w:p w14:paraId="18380204" w14:textId="77777777" w:rsidR="003275B0" w:rsidRPr="00F14FBD" w:rsidRDefault="003275B0" w:rsidP="003275B0">
            <w:pPr>
              <w:spacing w:line="240" w:lineRule="auto"/>
              <w:jc w:val="left"/>
              <w:rPr>
                <w:iCs/>
                <w:color w:val="auto"/>
                <w:sz w:val="20"/>
                <w:szCs w:val="20"/>
              </w:rPr>
            </w:pPr>
            <w:r w:rsidRPr="00F14FBD">
              <w:rPr>
                <w:iCs/>
                <w:color w:val="auto"/>
                <w:sz w:val="20"/>
                <w:szCs w:val="20"/>
              </w:rPr>
              <w:t>4.21-5.00</w:t>
            </w:r>
          </w:p>
        </w:tc>
        <w:tc>
          <w:tcPr>
            <w:tcW w:w="2546" w:type="dxa"/>
            <w:gridSpan w:val="2"/>
          </w:tcPr>
          <w:p w14:paraId="37B215C4" w14:textId="77777777" w:rsidR="003275B0" w:rsidRPr="00F14FBD" w:rsidRDefault="003275B0" w:rsidP="003275B0">
            <w:pPr>
              <w:spacing w:line="240" w:lineRule="auto"/>
              <w:jc w:val="center"/>
              <w:rPr>
                <w:iCs/>
                <w:color w:val="auto"/>
                <w:sz w:val="20"/>
                <w:szCs w:val="20"/>
              </w:rPr>
            </w:pPr>
            <w:r w:rsidRPr="00F14FBD">
              <w:rPr>
                <w:iCs/>
                <w:color w:val="auto"/>
                <w:sz w:val="20"/>
                <w:szCs w:val="20"/>
              </w:rPr>
              <w:t>Very high</w:t>
            </w:r>
          </w:p>
        </w:tc>
        <w:tc>
          <w:tcPr>
            <w:tcW w:w="2297" w:type="dxa"/>
            <w:gridSpan w:val="2"/>
          </w:tcPr>
          <w:p w14:paraId="45F9D087" w14:textId="77777777" w:rsidR="003275B0" w:rsidRPr="00F14FBD" w:rsidRDefault="003275B0" w:rsidP="003275B0">
            <w:pPr>
              <w:spacing w:line="240" w:lineRule="auto"/>
              <w:jc w:val="center"/>
              <w:rPr>
                <w:iCs/>
                <w:color w:val="auto"/>
                <w:sz w:val="20"/>
                <w:szCs w:val="20"/>
              </w:rPr>
            </w:pPr>
            <w:r w:rsidRPr="00F14FBD">
              <w:rPr>
                <w:iCs/>
                <w:color w:val="auto"/>
                <w:sz w:val="20"/>
                <w:szCs w:val="20"/>
              </w:rPr>
              <w:t>-</w:t>
            </w:r>
          </w:p>
        </w:tc>
        <w:tc>
          <w:tcPr>
            <w:tcW w:w="2299" w:type="dxa"/>
            <w:gridSpan w:val="2"/>
          </w:tcPr>
          <w:p w14:paraId="1BC19A18" w14:textId="77777777" w:rsidR="003275B0" w:rsidRPr="00F14FBD" w:rsidRDefault="003275B0" w:rsidP="003275B0">
            <w:pPr>
              <w:spacing w:line="240" w:lineRule="auto"/>
              <w:jc w:val="center"/>
              <w:rPr>
                <w:iCs/>
                <w:color w:val="auto"/>
                <w:sz w:val="20"/>
                <w:szCs w:val="20"/>
              </w:rPr>
            </w:pPr>
            <w:r w:rsidRPr="00F14FBD">
              <w:rPr>
                <w:iCs/>
                <w:color w:val="auto"/>
                <w:sz w:val="20"/>
                <w:szCs w:val="20"/>
              </w:rPr>
              <w:t>0.0%</w:t>
            </w:r>
          </w:p>
        </w:tc>
      </w:tr>
      <w:tr w:rsidR="003275B0" w:rsidRPr="00F14FBD" w14:paraId="114CDDD2" w14:textId="77777777" w:rsidTr="003275B0">
        <w:trPr>
          <w:jc w:val="center"/>
        </w:trPr>
        <w:tc>
          <w:tcPr>
            <w:tcW w:w="985" w:type="dxa"/>
          </w:tcPr>
          <w:p w14:paraId="7E9C4C0F" w14:textId="77777777" w:rsidR="003275B0" w:rsidRPr="00F14FBD" w:rsidRDefault="003275B0" w:rsidP="003275B0">
            <w:pPr>
              <w:spacing w:line="240" w:lineRule="auto"/>
              <w:jc w:val="center"/>
              <w:rPr>
                <w:iCs/>
                <w:color w:val="auto"/>
                <w:sz w:val="20"/>
                <w:szCs w:val="20"/>
              </w:rPr>
            </w:pPr>
            <w:r w:rsidRPr="00F14FBD">
              <w:rPr>
                <w:iCs/>
                <w:color w:val="auto"/>
                <w:sz w:val="20"/>
                <w:szCs w:val="20"/>
              </w:rPr>
              <w:lastRenderedPageBreak/>
              <w:t>N</w:t>
            </w:r>
          </w:p>
        </w:tc>
        <w:tc>
          <w:tcPr>
            <w:tcW w:w="1223" w:type="dxa"/>
          </w:tcPr>
          <w:p w14:paraId="4D1EE6E4" w14:textId="77777777" w:rsidR="003275B0" w:rsidRPr="00F14FBD" w:rsidRDefault="003275B0" w:rsidP="003275B0">
            <w:pPr>
              <w:spacing w:line="240" w:lineRule="auto"/>
              <w:jc w:val="center"/>
              <w:rPr>
                <w:iCs/>
                <w:color w:val="auto"/>
                <w:sz w:val="20"/>
                <w:szCs w:val="20"/>
              </w:rPr>
            </w:pPr>
            <w:r w:rsidRPr="00F14FBD">
              <w:rPr>
                <w:iCs/>
                <w:color w:val="auto"/>
                <w:sz w:val="20"/>
                <w:szCs w:val="20"/>
              </w:rPr>
              <w:t>Maximum</w:t>
            </w:r>
          </w:p>
        </w:tc>
        <w:tc>
          <w:tcPr>
            <w:tcW w:w="1342" w:type="dxa"/>
          </w:tcPr>
          <w:p w14:paraId="358C9404" w14:textId="77777777" w:rsidR="003275B0" w:rsidRPr="00F14FBD" w:rsidRDefault="003275B0" w:rsidP="003275B0">
            <w:pPr>
              <w:spacing w:line="240" w:lineRule="auto"/>
              <w:jc w:val="center"/>
              <w:rPr>
                <w:iCs/>
                <w:color w:val="auto"/>
                <w:sz w:val="20"/>
                <w:szCs w:val="20"/>
              </w:rPr>
            </w:pPr>
            <w:r w:rsidRPr="00F14FBD">
              <w:rPr>
                <w:iCs/>
                <w:color w:val="auto"/>
                <w:sz w:val="20"/>
                <w:szCs w:val="20"/>
              </w:rPr>
              <w:t>Minimum</w:t>
            </w:r>
          </w:p>
        </w:tc>
        <w:tc>
          <w:tcPr>
            <w:tcW w:w="2115" w:type="dxa"/>
            <w:gridSpan w:val="2"/>
          </w:tcPr>
          <w:p w14:paraId="6D173976" w14:textId="078AB83E" w:rsidR="003275B0" w:rsidRPr="00F14FBD" w:rsidRDefault="003275B0" w:rsidP="003275B0">
            <w:pPr>
              <w:spacing w:line="240" w:lineRule="auto"/>
              <w:jc w:val="center"/>
              <w:rPr>
                <w:iCs/>
                <w:color w:val="auto"/>
                <w:sz w:val="20"/>
                <w:szCs w:val="20"/>
              </w:rPr>
            </w:pPr>
            <w:r w:rsidRPr="00F14FBD">
              <w:rPr>
                <w:iCs/>
                <w:color w:val="auto"/>
                <w:sz w:val="20"/>
                <w:szCs w:val="20"/>
              </w:rPr>
              <w:t>Standard Deviation</w:t>
            </w:r>
          </w:p>
        </w:tc>
        <w:tc>
          <w:tcPr>
            <w:tcW w:w="1530" w:type="dxa"/>
            <w:gridSpan w:val="2"/>
          </w:tcPr>
          <w:p w14:paraId="2F04662B" w14:textId="77777777" w:rsidR="003275B0" w:rsidRPr="00F14FBD" w:rsidRDefault="003275B0" w:rsidP="003275B0">
            <w:pPr>
              <w:spacing w:line="240" w:lineRule="auto"/>
              <w:jc w:val="center"/>
              <w:rPr>
                <w:iCs/>
                <w:color w:val="auto"/>
                <w:sz w:val="20"/>
                <w:szCs w:val="20"/>
              </w:rPr>
            </w:pPr>
            <w:r w:rsidRPr="00F14FBD">
              <w:rPr>
                <w:iCs/>
                <w:color w:val="auto"/>
                <w:sz w:val="20"/>
                <w:szCs w:val="20"/>
              </w:rPr>
              <w:t>Mean</w:t>
            </w:r>
          </w:p>
        </w:tc>
        <w:tc>
          <w:tcPr>
            <w:tcW w:w="2155" w:type="dxa"/>
          </w:tcPr>
          <w:p w14:paraId="56D054AA" w14:textId="77777777" w:rsidR="003275B0" w:rsidRPr="00F14FBD" w:rsidRDefault="003275B0" w:rsidP="003275B0">
            <w:pPr>
              <w:spacing w:line="240" w:lineRule="auto"/>
              <w:jc w:val="center"/>
              <w:rPr>
                <w:iCs/>
                <w:color w:val="auto"/>
                <w:sz w:val="20"/>
                <w:szCs w:val="20"/>
              </w:rPr>
            </w:pPr>
            <w:r w:rsidRPr="00F14FBD">
              <w:rPr>
                <w:iCs/>
                <w:color w:val="auto"/>
                <w:sz w:val="20"/>
                <w:szCs w:val="20"/>
              </w:rPr>
              <w:t>Interpretation</w:t>
            </w:r>
          </w:p>
        </w:tc>
      </w:tr>
      <w:tr w:rsidR="003275B0" w:rsidRPr="00F14FBD" w14:paraId="1F5B2494" w14:textId="77777777" w:rsidTr="003275B0">
        <w:trPr>
          <w:jc w:val="center"/>
        </w:trPr>
        <w:tc>
          <w:tcPr>
            <w:tcW w:w="985" w:type="dxa"/>
          </w:tcPr>
          <w:p w14:paraId="4CE66F85" w14:textId="77777777" w:rsidR="003275B0" w:rsidRPr="00F14FBD" w:rsidRDefault="003275B0" w:rsidP="003275B0">
            <w:pPr>
              <w:spacing w:line="240" w:lineRule="auto"/>
              <w:jc w:val="center"/>
              <w:rPr>
                <w:iCs/>
                <w:color w:val="auto"/>
                <w:sz w:val="20"/>
                <w:szCs w:val="20"/>
              </w:rPr>
            </w:pPr>
            <w:r w:rsidRPr="00F14FBD">
              <w:rPr>
                <w:iCs/>
                <w:color w:val="auto"/>
                <w:sz w:val="20"/>
                <w:szCs w:val="20"/>
              </w:rPr>
              <w:t>120</w:t>
            </w:r>
          </w:p>
        </w:tc>
        <w:tc>
          <w:tcPr>
            <w:tcW w:w="1223" w:type="dxa"/>
          </w:tcPr>
          <w:p w14:paraId="3F511DEE" w14:textId="77777777" w:rsidR="003275B0" w:rsidRPr="00F14FBD" w:rsidRDefault="003275B0" w:rsidP="003275B0">
            <w:pPr>
              <w:spacing w:line="240" w:lineRule="auto"/>
              <w:jc w:val="center"/>
              <w:rPr>
                <w:iCs/>
                <w:color w:val="auto"/>
                <w:sz w:val="20"/>
                <w:szCs w:val="20"/>
              </w:rPr>
            </w:pPr>
            <w:r w:rsidRPr="00F14FBD">
              <w:rPr>
                <w:iCs/>
                <w:color w:val="auto"/>
                <w:sz w:val="20"/>
                <w:szCs w:val="20"/>
              </w:rPr>
              <w:t>4.20</w:t>
            </w:r>
          </w:p>
        </w:tc>
        <w:tc>
          <w:tcPr>
            <w:tcW w:w="1342" w:type="dxa"/>
          </w:tcPr>
          <w:p w14:paraId="25F5FA6C" w14:textId="77777777" w:rsidR="003275B0" w:rsidRPr="00F14FBD" w:rsidRDefault="003275B0" w:rsidP="003275B0">
            <w:pPr>
              <w:spacing w:line="240" w:lineRule="auto"/>
              <w:jc w:val="center"/>
              <w:rPr>
                <w:iCs/>
                <w:color w:val="auto"/>
                <w:sz w:val="20"/>
                <w:szCs w:val="20"/>
              </w:rPr>
            </w:pPr>
            <w:r w:rsidRPr="00F14FBD">
              <w:rPr>
                <w:iCs/>
                <w:color w:val="auto"/>
                <w:sz w:val="20"/>
                <w:szCs w:val="20"/>
              </w:rPr>
              <w:t>1.50</w:t>
            </w:r>
          </w:p>
        </w:tc>
        <w:tc>
          <w:tcPr>
            <w:tcW w:w="2115" w:type="dxa"/>
            <w:gridSpan w:val="2"/>
          </w:tcPr>
          <w:p w14:paraId="6894B53C" w14:textId="77777777" w:rsidR="003275B0" w:rsidRPr="00F14FBD" w:rsidRDefault="003275B0" w:rsidP="003275B0">
            <w:pPr>
              <w:spacing w:line="240" w:lineRule="auto"/>
              <w:jc w:val="center"/>
              <w:rPr>
                <w:iCs/>
                <w:color w:val="auto"/>
                <w:sz w:val="20"/>
                <w:szCs w:val="20"/>
              </w:rPr>
            </w:pPr>
            <w:r w:rsidRPr="00F14FBD">
              <w:rPr>
                <w:iCs/>
                <w:color w:val="auto"/>
                <w:sz w:val="20"/>
                <w:szCs w:val="20"/>
              </w:rPr>
              <w:t>.41254</w:t>
            </w:r>
          </w:p>
        </w:tc>
        <w:tc>
          <w:tcPr>
            <w:tcW w:w="1530" w:type="dxa"/>
            <w:gridSpan w:val="2"/>
          </w:tcPr>
          <w:p w14:paraId="2BF99AE3" w14:textId="77777777" w:rsidR="003275B0" w:rsidRPr="00F14FBD" w:rsidRDefault="003275B0" w:rsidP="003275B0">
            <w:pPr>
              <w:spacing w:line="240" w:lineRule="auto"/>
              <w:jc w:val="center"/>
              <w:rPr>
                <w:iCs/>
                <w:color w:val="auto"/>
                <w:sz w:val="20"/>
                <w:szCs w:val="20"/>
              </w:rPr>
            </w:pPr>
            <w:r w:rsidRPr="00F14FBD">
              <w:rPr>
                <w:iCs/>
                <w:color w:val="auto"/>
                <w:sz w:val="20"/>
                <w:szCs w:val="20"/>
              </w:rPr>
              <w:t>3.0850</w:t>
            </w:r>
          </w:p>
        </w:tc>
        <w:tc>
          <w:tcPr>
            <w:tcW w:w="2155" w:type="dxa"/>
          </w:tcPr>
          <w:p w14:paraId="21B7B302" w14:textId="6FCAE0DC" w:rsidR="003275B0" w:rsidRPr="00F14FBD" w:rsidRDefault="003275B0" w:rsidP="003275B0">
            <w:pPr>
              <w:spacing w:line="240" w:lineRule="auto"/>
              <w:jc w:val="center"/>
              <w:rPr>
                <w:iCs/>
                <w:color w:val="auto"/>
                <w:sz w:val="20"/>
                <w:szCs w:val="20"/>
              </w:rPr>
            </w:pPr>
            <w:r w:rsidRPr="00F14FBD">
              <w:rPr>
                <w:iCs/>
                <w:color w:val="auto"/>
                <w:sz w:val="20"/>
                <w:szCs w:val="20"/>
              </w:rPr>
              <w:t>Moderate</w:t>
            </w:r>
          </w:p>
        </w:tc>
      </w:tr>
    </w:tbl>
    <w:p w14:paraId="0696F4DF" w14:textId="45E4858F" w:rsidR="003275B0" w:rsidRDefault="00F14FBD" w:rsidP="003275B0">
      <w:pPr>
        <w:jc w:val="both"/>
        <w:rPr>
          <w:iCs/>
        </w:rPr>
      </w:pPr>
      <w:r>
        <w:rPr>
          <w:iCs/>
        </w:rPr>
        <w:t>Based on Table 1.4</w:t>
      </w:r>
      <w:r w:rsidR="003275B0" w:rsidRPr="003275B0">
        <w:rPr>
          <w:iCs/>
        </w:rPr>
        <w:t xml:space="preserve"> above, 72.60% (87) respondent are in</w:t>
      </w:r>
      <w:r>
        <w:rPr>
          <w:iCs/>
        </w:rPr>
        <w:t xml:space="preserve"> moderate level, while 16.67% (</w:t>
      </w:r>
      <w:r w:rsidR="003275B0" w:rsidRPr="003275B0">
        <w:rPr>
          <w:iCs/>
        </w:rPr>
        <w:t xml:space="preserve">20) respondents are in the high level. However only 10.83% of respondents are in the low level. Overall the level of teachers acceptance on SEN pupils are moderate which maximum 4.20 and minimum 1.50 (Mean 3.0850, S.P = .41254). </w:t>
      </w:r>
    </w:p>
    <w:p w14:paraId="5080C594" w14:textId="77777777" w:rsidR="00F14FBD" w:rsidRPr="003275B0" w:rsidRDefault="00F14FBD" w:rsidP="003275B0">
      <w:pPr>
        <w:jc w:val="both"/>
        <w:rPr>
          <w:iCs/>
        </w:rPr>
      </w:pPr>
    </w:p>
    <w:p w14:paraId="683CBDD7" w14:textId="371A9DDA" w:rsidR="003275B0" w:rsidRPr="00F14FBD" w:rsidRDefault="003275B0" w:rsidP="00F14FBD">
      <w:pPr>
        <w:pStyle w:val="ListParagraph"/>
        <w:numPr>
          <w:ilvl w:val="0"/>
          <w:numId w:val="36"/>
        </w:numPr>
        <w:jc w:val="both"/>
        <w:rPr>
          <w:rFonts w:ascii="Times New Roman" w:hAnsi="Times New Roman" w:cs="Times New Roman"/>
          <w:iCs/>
          <w:sz w:val="24"/>
          <w:szCs w:val="24"/>
        </w:rPr>
      </w:pPr>
      <w:r w:rsidRPr="00F14FBD">
        <w:rPr>
          <w:rFonts w:ascii="Times New Roman" w:hAnsi="Times New Roman" w:cs="Times New Roman"/>
          <w:iCs/>
          <w:sz w:val="24"/>
          <w:szCs w:val="24"/>
        </w:rPr>
        <w:t xml:space="preserve">Teacher’s readiness in implementing Zero Reject Policy </w:t>
      </w:r>
    </w:p>
    <w:p w14:paraId="7D4BCF19" w14:textId="21278176" w:rsidR="003275B0" w:rsidRPr="003275B0" w:rsidRDefault="00F14FBD" w:rsidP="00F14FBD">
      <w:pPr>
        <w:jc w:val="center"/>
        <w:rPr>
          <w:iCs/>
        </w:rPr>
      </w:pPr>
      <w:r>
        <w:rPr>
          <w:iCs/>
        </w:rPr>
        <w:t xml:space="preserve">Table 1. 5 </w:t>
      </w:r>
      <w:r w:rsidR="003275B0" w:rsidRPr="003275B0">
        <w:rPr>
          <w:iCs/>
        </w:rPr>
        <w:t xml:space="preserve">The score of respondents on </w:t>
      </w:r>
      <w:r w:rsidR="000F1772" w:rsidRPr="003275B0">
        <w:rPr>
          <w:iCs/>
        </w:rPr>
        <w:t>teacher’s</w:t>
      </w:r>
      <w:r w:rsidR="003275B0" w:rsidRPr="003275B0">
        <w:rPr>
          <w:iCs/>
        </w:rPr>
        <w:t xml:space="preserve"> readiness construct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780"/>
        <w:gridCol w:w="1800"/>
        <w:gridCol w:w="1620"/>
        <w:gridCol w:w="1525"/>
      </w:tblGrid>
      <w:tr w:rsidR="003275B0" w:rsidRPr="000F1772" w14:paraId="4345AACC" w14:textId="77777777" w:rsidTr="00F14FBD">
        <w:trPr>
          <w:jc w:val="center"/>
        </w:trPr>
        <w:tc>
          <w:tcPr>
            <w:tcW w:w="625" w:type="dxa"/>
            <w:tcBorders>
              <w:top w:val="single" w:sz="4" w:space="0" w:color="auto"/>
              <w:bottom w:val="single" w:sz="4" w:space="0" w:color="auto"/>
            </w:tcBorders>
          </w:tcPr>
          <w:p w14:paraId="6054E4CC" w14:textId="77777777" w:rsidR="003275B0" w:rsidRPr="000F1772" w:rsidRDefault="003275B0" w:rsidP="00F14FBD">
            <w:pPr>
              <w:spacing w:line="240" w:lineRule="auto"/>
              <w:jc w:val="center"/>
              <w:rPr>
                <w:b/>
                <w:iCs/>
                <w:color w:val="auto"/>
                <w:sz w:val="20"/>
                <w:szCs w:val="20"/>
              </w:rPr>
            </w:pPr>
            <w:r w:rsidRPr="000F1772">
              <w:rPr>
                <w:b/>
                <w:iCs/>
                <w:color w:val="auto"/>
                <w:sz w:val="20"/>
                <w:szCs w:val="20"/>
              </w:rPr>
              <w:t>No</w:t>
            </w:r>
          </w:p>
        </w:tc>
        <w:tc>
          <w:tcPr>
            <w:tcW w:w="3780" w:type="dxa"/>
            <w:tcBorders>
              <w:top w:val="single" w:sz="4" w:space="0" w:color="auto"/>
              <w:bottom w:val="single" w:sz="4" w:space="0" w:color="auto"/>
            </w:tcBorders>
          </w:tcPr>
          <w:p w14:paraId="33DA438C" w14:textId="73AD4A69" w:rsidR="003275B0" w:rsidRPr="000F1772" w:rsidRDefault="003275B0" w:rsidP="00F14FBD">
            <w:pPr>
              <w:spacing w:line="240" w:lineRule="auto"/>
              <w:jc w:val="center"/>
              <w:rPr>
                <w:b/>
                <w:iCs/>
                <w:color w:val="auto"/>
                <w:sz w:val="20"/>
                <w:szCs w:val="20"/>
              </w:rPr>
            </w:pPr>
            <w:r w:rsidRPr="000F1772">
              <w:rPr>
                <w:b/>
                <w:iCs/>
                <w:color w:val="auto"/>
                <w:sz w:val="20"/>
                <w:szCs w:val="20"/>
              </w:rPr>
              <w:t>Question</w:t>
            </w:r>
          </w:p>
        </w:tc>
        <w:tc>
          <w:tcPr>
            <w:tcW w:w="1800" w:type="dxa"/>
            <w:tcBorders>
              <w:top w:val="single" w:sz="4" w:space="0" w:color="auto"/>
              <w:bottom w:val="single" w:sz="4" w:space="0" w:color="auto"/>
            </w:tcBorders>
          </w:tcPr>
          <w:p w14:paraId="575E18BE" w14:textId="77777777" w:rsidR="003275B0" w:rsidRPr="000F1772" w:rsidRDefault="003275B0" w:rsidP="00F14FBD">
            <w:pPr>
              <w:spacing w:line="240" w:lineRule="auto"/>
              <w:jc w:val="center"/>
              <w:rPr>
                <w:b/>
                <w:iCs/>
                <w:color w:val="auto"/>
                <w:sz w:val="20"/>
                <w:szCs w:val="20"/>
              </w:rPr>
            </w:pPr>
            <w:r w:rsidRPr="000F1772">
              <w:rPr>
                <w:b/>
                <w:iCs/>
                <w:color w:val="auto"/>
                <w:sz w:val="20"/>
                <w:szCs w:val="20"/>
              </w:rPr>
              <w:t>Disagree</w:t>
            </w:r>
          </w:p>
        </w:tc>
        <w:tc>
          <w:tcPr>
            <w:tcW w:w="1620" w:type="dxa"/>
            <w:tcBorders>
              <w:top w:val="single" w:sz="4" w:space="0" w:color="auto"/>
              <w:bottom w:val="single" w:sz="4" w:space="0" w:color="auto"/>
            </w:tcBorders>
          </w:tcPr>
          <w:p w14:paraId="4FE8046B" w14:textId="77777777" w:rsidR="003275B0" w:rsidRPr="000F1772" w:rsidRDefault="003275B0" w:rsidP="00F14FBD">
            <w:pPr>
              <w:spacing w:line="240" w:lineRule="auto"/>
              <w:jc w:val="center"/>
              <w:rPr>
                <w:b/>
                <w:iCs/>
                <w:color w:val="auto"/>
                <w:sz w:val="20"/>
                <w:szCs w:val="20"/>
              </w:rPr>
            </w:pPr>
            <w:r w:rsidRPr="000F1772">
              <w:rPr>
                <w:b/>
                <w:iCs/>
                <w:color w:val="auto"/>
                <w:sz w:val="20"/>
                <w:szCs w:val="20"/>
              </w:rPr>
              <w:t>Neutral</w:t>
            </w:r>
          </w:p>
        </w:tc>
        <w:tc>
          <w:tcPr>
            <w:tcW w:w="1525" w:type="dxa"/>
            <w:tcBorders>
              <w:top w:val="single" w:sz="4" w:space="0" w:color="auto"/>
              <w:bottom w:val="single" w:sz="4" w:space="0" w:color="auto"/>
            </w:tcBorders>
          </w:tcPr>
          <w:p w14:paraId="12FE5D15" w14:textId="77777777" w:rsidR="003275B0" w:rsidRPr="000F1772" w:rsidRDefault="003275B0" w:rsidP="00F14FBD">
            <w:pPr>
              <w:spacing w:line="240" w:lineRule="auto"/>
              <w:jc w:val="center"/>
              <w:rPr>
                <w:b/>
                <w:iCs/>
                <w:color w:val="auto"/>
                <w:sz w:val="20"/>
                <w:szCs w:val="20"/>
              </w:rPr>
            </w:pPr>
            <w:r w:rsidRPr="000F1772">
              <w:rPr>
                <w:b/>
                <w:iCs/>
                <w:color w:val="auto"/>
                <w:sz w:val="20"/>
                <w:szCs w:val="20"/>
              </w:rPr>
              <w:t>Agree</w:t>
            </w:r>
          </w:p>
        </w:tc>
      </w:tr>
      <w:tr w:rsidR="003275B0" w:rsidRPr="000F1772" w14:paraId="54816AC1" w14:textId="77777777" w:rsidTr="00F14FBD">
        <w:trPr>
          <w:jc w:val="center"/>
        </w:trPr>
        <w:tc>
          <w:tcPr>
            <w:tcW w:w="625" w:type="dxa"/>
            <w:tcBorders>
              <w:top w:val="single" w:sz="4" w:space="0" w:color="auto"/>
            </w:tcBorders>
          </w:tcPr>
          <w:p w14:paraId="62B6287A" w14:textId="77777777" w:rsidR="003275B0" w:rsidRPr="000F1772" w:rsidRDefault="003275B0" w:rsidP="00F14FBD">
            <w:pPr>
              <w:spacing w:line="240" w:lineRule="auto"/>
              <w:jc w:val="left"/>
              <w:rPr>
                <w:iCs/>
                <w:color w:val="auto"/>
                <w:sz w:val="20"/>
                <w:szCs w:val="20"/>
              </w:rPr>
            </w:pPr>
            <w:r w:rsidRPr="000F1772">
              <w:rPr>
                <w:iCs/>
                <w:color w:val="auto"/>
                <w:sz w:val="20"/>
                <w:szCs w:val="20"/>
              </w:rPr>
              <w:t>B1</w:t>
            </w:r>
          </w:p>
        </w:tc>
        <w:tc>
          <w:tcPr>
            <w:tcW w:w="3780" w:type="dxa"/>
            <w:tcBorders>
              <w:top w:val="single" w:sz="4" w:space="0" w:color="auto"/>
            </w:tcBorders>
            <w:shd w:val="clear" w:color="auto" w:fill="auto"/>
          </w:tcPr>
          <w:p w14:paraId="013BBE65" w14:textId="77777777" w:rsidR="003275B0" w:rsidRPr="000F1772" w:rsidRDefault="003275B0" w:rsidP="00F14FBD">
            <w:pPr>
              <w:spacing w:line="240" w:lineRule="auto"/>
              <w:jc w:val="left"/>
              <w:rPr>
                <w:iCs/>
                <w:color w:val="auto"/>
                <w:sz w:val="20"/>
                <w:szCs w:val="20"/>
                <w:lang w:val="en-US"/>
              </w:rPr>
            </w:pPr>
            <w:r w:rsidRPr="000F1772">
              <w:rPr>
                <w:iCs/>
                <w:color w:val="auto"/>
                <w:sz w:val="20"/>
                <w:szCs w:val="20"/>
                <w:lang w:val="en-US"/>
              </w:rPr>
              <w:t>I ready to implement Zero Reject Policy</w:t>
            </w:r>
          </w:p>
        </w:tc>
        <w:tc>
          <w:tcPr>
            <w:tcW w:w="1800" w:type="dxa"/>
            <w:tcBorders>
              <w:top w:val="single" w:sz="4" w:space="0" w:color="auto"/>
            </w:tcBorders>
          </w:tcPr>
          <w:p w14:paraId="6C03D5A5" w14:textId="77777777" w:rsidR="003275B0" w:rsidRPr="000F1772" w:rsidRDefault="003275B0" w:rsidP="00F14FBD">
            <w:pPr>
              <w:spacing w:line="240" w:lineRule="auto"/>
              <w:jc w:val="center"/>
              <w:rPr>
                <w:iCs/>
                <w:color w:val="auto"/>
                <w:sz w:val="20"/>
                <w:szCs w:val="20"/>
                <w:lang w:val="en-US"/>
              </w:rPr>
            </w:pPr>
            <w:r w:rsidRPr="000F1772">
              <w:rPr>
                <w:iCs/>
                <w:color w:val="auto"/>
                <w:sz w:val="20"/>
                <w:szCs w:val="20"/>
                <w:lang w:val="en-US"/>
              </w:rPr>
              <w:t>11 (9.17%)</w:t>
            </w:r>
          </w:p>
        </w:tc>
        <w:tc>
          <w:tcPr>
            <w:tcW w:w="1620" w:type="dxa"/>
            <w:tcBorders>
              <w:top w:val="single" w:sz="4" w:space="0" w:color="auto"/>
            </w:tcBorders>
          </w:tcPr>
          <w:p w14:paraId="6A281A8B" w14:textId="77777777" w:rsidR="003275B0" w:rsidRPr="000F1772" w:rsidRDefault="003275B0" w:rsidP="00F14FBD">
            <w:pPr>
              <w:spacing w:line="240" w:lineRule="auto"/>
              <w:jc w:val="center"/>
              <w:rPr>
                <w:iCs/>
                <w:color w:val="auto"/>
                <w:sz w:val="20"/>
                <w:szCs w:val="20"/>
              </w:rPr>
            </w:pPr>
            <w:r w:rsidRPr="000F1772">
              <w:rPr>
                <w:iCs/>
                <w:color w:val="auto"/>
                <w:sz w:val="20"/>
                <w:szCs w:val="20"/>
              </w:rPr>
              <w:t>39 (32.5%)</w:t>
            </w:r>
          </w:p>
        </w:tc>
        <w:tc>
          <w:tcPr>
            <w:tcW w:w="1525" w:type="dxa"/>
            <w:tcBorders>
              <w:top w:val="single" w:sz="4" w:space="0" w:color="auto"/>
            </w:tcBorders>
          </w:tcPr>
          <w:p w14:paraId="1F8F38C4" w14:textId="77777777" w:rsidR="003275B0" w:rsidRPr="000F1772" w:rsidRDefault="003275B0" w:rsidP="00F14FBD">
            <w:pPr>
              <w:spacing w:line="240" w:lineRule="auto"/>
              <w:jc w:val="center"/>
              <w:rPr>
                <w:iCs/>
                <w:color w:val="auto"/>
                <w:sz w:val="20"/>
                <w:szCs w:val="20"/>
              </w:rPr>
            </w:pPr>
            <w:r w:rsidRPr="000F1772">
              <w:rPr>
                <w:iCs/>
                <w:color w:val="auto"/>
                <w:sz w:val="20"/>
                <w:szCs w:val="20"/>
              </w:rPr>
              <w:t>70 (58.33%)</w:t>
            </w:r>
          </w:p>
        </w:tc>
      </w:tr>
      <w:tr w:rsidR="003275B0" w:rsidRPr="000F1772" w14:paraId="229E9365" w14:textId="77777777" w:rsidTr="00F14FBD">
        <w:trPr>
          <w:jc w:val="center"/>
        </w:trPr>
        <w:tc>
          <w:tcPr>
            <w:tcW w:w="625" w:type="dxa"/>
          </w:tcPr>
          <w:p w14:paraId="03E946C2" w14:textId="77777777" w:rsidR="003275B0" w:rsidRPr="000F1772" w:rsidRDefault="003275B0" w:rsidP="00F14FBD">
            <w:pPr>
              <w:spacing w:line="240" w:lineRule="auto"/>
              <w:jc w:val="left"/>
              <w:rPr>
                <w:iCs/>
                <w:color w:val="auto"/>
                <w:sz w:val="20"/>
                <w:szCs w:val="20"/>
              </w:rPr>
            </w:pPr>
            <w:r w:rsidRPr="000F1772">
              <w:rPr>
                <w:iCs/>
                <w:color w:val="auto"/>
                <w:sz w:val="20"/>
                <w:szCs w:val="20"/>
              </w:rPr>
              <w:t>B2</w:t>
            </w:r>
          </w:p>
        </w:tc>
        <w:tc>
          <w:tcPr>
            <w:tcW w:w="3780" w:type="dxa"/>
            <w:shd w:val="clear" w:color="auto" w:fill="auto"/>
          </w:tcPr>
          <w:p w14:paraId="274C2F62" w14:textId="5A0CA5D7" w:rsidR="003275B0" w:rsidRPr="000F1772" w:rsidRDefault="003275B0" w:rsidP="00F14FBD">
            <w:pPr>
              <w:spacing w:line="240" w:lineRule="auto"/>
              <w:jc w:val="left"/>
              <w:rPr>
                <w:iCs/>
                <w:color w:val="auto"/>
                <w:sz w:val="20"/>
                <w:szCs w:val="20"/>
                <w:lang w:val="en-US"/>
              </w:rPr>
            </w:pPr>
            <w:r w:rsidRPr="000F1772">
              <w:rPr>
                <w:iCs/>
                <w:color w:val="auto"/>
                <w:sz w:val="20"/>
                <w:szCs w:val="20"/>
                <w:lang w:val="en-US"/>
              </w:rPr>
              <w:t>I have enough teaching material to implement Zero Reject Policy</w:t>
            </w:r>
          </w:p>
        </w:tc>
        <w:tc>
          <w:tcPr>
            <w:tcW w:w="1800" w:type="dxa"/>
          </w:tcPr>
          <w:p w14:paraId="30C29134" w14:textId="77777777" w:rsidR="003275B0" w:rsidRPr="000F1772" w:rsidRDefault="003275B0" w:rsidP="00F14FBD">
            <w:pPr>
              <w:spacing w:line="240" w:lineRule="auto"/>
              <w:jc w:val="center"/>
              <w:rPr>
                <w:iCs/>
                <w:color w:val="auto"/>
                <w:sz w:val="20"/>
                <w:szCs w:val="20"/>
              </w:rPr>
            </w:pPr>
            <w:r w:rsidRPr="000F1772">
              <w:rPr>
                <w:iCs/>
                <w:color w:val="auto"/>
                <w:sz w:val="20"/>
                <w:szCs w:val="20"/>
              </w:rPr>
              <w:t>31(25.83%)</w:t>
            </w:r>
          </w:p>
        </w:tc>
        <w:tc>
          <w:tcPr>
            <w:tcW w:w="1620" w:type="dxa"/>
          </w:tcPr>
          <w:p w14:paraId="3349401F" w14:textId="77777777" w:rsidR="003275B0" w:rsidRPr="000F1772" w:rsidRDefault="003275B0" w:rsidP="00F14FBD">
            <w:pPr>
              <w:spacing w:line="240" w:lineRule="auto"/>
              <w:jc w:val="center"/>
              <w:rPr>
                <w:iCs/>
                <w:color w:val="auto"/>
                <w:sz w:val="20"/>
                <w:szCs w:val="20"/>
              </w:rPr>
            </w:pPr>
            <w:r w:rsidRPr="000F1772">
              <w:rPr>
                <w:iCs/>
                <w:color w:val="auto"/>
                <w:sz w:val="20"/>
                <w:szCs w:val="20"/>
              </w:rPr>
              <w:t>59 (49.2%)</w:t>
            </w:r>
          </w:p>
        </w:tc>
        <w:tc>
          <w:tcPr>
            <w:tcW w:w="1525" w:type="dxa"/>
          </w:tcPr>
          <w:p w14:paraId="1C2DC300" w14:textId="77777777" w:rsidR="003275B0" w:rsidRPr="000F1772" w:rsidRDefault="003275B0" w:rsidP="00F14FBD">
            <w:pPr>
              <w:spacing w:line="240" w:lineRule="auto"/>
              <w:jc w:val="center"/>
              <w:rPr>
                <w:iCs/>
                <w:color w:val="auto"/>
                <w:sz w:val="20"/>
                <w:szCs w:val="20"/>
              </w:rPr>
            </w:pPr>
            <w:r w:rsidRPr="000F1772">
              <w:rPr>
                <w:iCs/>
                <w:color w:val="auto"/>
                <w:sz w:val="20"/>
                <w:szCs w:val="20"/>
              </w:rPr>
              <w:t>30 (25.0%)</w:t>
            </w:r>
          </w:p>
        </w:tc>
      </w:tr>
      <w:tr w:rsidR="003275B0" w:rsidRPr="000F1772" w14:paraId="3DD9008A" w14:textId="77777777" w:rsidTr="00F14FBD">
        <w:trPr>
          <w:jc w:val="center"/>
        </w:trPr>
        <w:tc>
          <w:tcPr>
            <w:tcW w:w="625" w:type="dxa"/>
          </w:tcPr>
          <w:p w14:paraId="38894C9A" w14:textId="77777777" w:rsidR="003275B0" w:rsidRPr="000F1772" w:rsidRDefault="003275B0" w:rsidP="00F14FBD">
            <w:pPr>
              <w:spacing w:line="240" w:lineRule="auto"/>
              <w:jc w:val="left"/>
              <w:rPr>
                <w:iCs/>
                <w:color w:val="auto"/>
                <w:sz w:val="20"/>
                <w:szCs w:val="20"/>
              </w:rPr>
            </w:pPr>
            <w:r w:rsidRPr="000F1772">
              <w:rPr>
                <w:iCs/>
                <w:color w:val="auto"/>
                <w:sz w:val="20"/>
                <w:szCs w:val="20"/>
              </w:rPr>
              <w:t>B3</w:t>
            </w:r>
          </w:p>
        </w:tc>
        <w:tc>
          <w:tcPr>
            <w:tcW w:w="3780" w:type="dxa"/>
            <w:shd w:val="clear" w:color="auto" w:fill="auto"/>
          </w:tcPr>
          <w:p w14:paraId="064C91A8" w14:textId="77777777" w:rsidR="003275B0" w:rsidRPr="000F1772" w:rsidRDefault="003275B0" w:rsidP="00F14FBD">
            <w:pPr>
              <w:spacing w:line="240" w:lineRule="auto"/>
              <w:jc w:val="left"/>
              <w:rPr>
                <w:iCs/>
                <w:color w:val="auto"/>
                <w:sz w:val="20"/>
                <w:szCs w:val="20"/>
                <w:lang w:val="en-US"/>
              </w:rPr>
            </w:pPr>
            <w:r w:rsidRPr="000F1772">
              <w:rPr>
                <w:iCs/>
                <w:color w:val="auto"/>
                <w:sz w:val="20"/>
                <w:szCs w:val="20"/>
                <w:lang w:val="en-US"/>
              </w:rPr>
              <w:t>I was hesitant to implement Zero Reject Policy</w:t>
            </w:r>
          </w:p>
        </w:tc>
        <w:tc>
          <w:tcPr>
            <w:tcW w:w="1800" w:type="dxa"/>
          </w:tcPr>
          <w:p w14:paraId="427C881D" w14:textId="77777777" w:rsidR="003275B0" w:rsidRPr="000F1772" w:rsidRDefault="003275B0" w:rsidP="00F14FBD">
            <w:pPr>
              <w:spacing w:line="240" w:lineRule="auto"/>
              <w:jc w:val="center"/>
              <w:rPr>
                <w:iCs/>
                <w:color w:val="auto"/>
                <w:sz w:val="20"/>
                <w:szCs w:val="20"/>
              </w:rPr>
            </w:pPr>
            <w:r w:rsidRPr="000F1772">
              <w:rPr>
                <w:iCs/>
                <w:color w:val="auto"/>
                <w:sz w:val="20"/>
                <w:szCs w:val="20"/>
              </w:rPr>
              <w:t>24(20%)</w:t>
            </w:r>
          </w:p>
        </w:tc>
        <w:tc>
          <w:tcPr>
            <w:tcW w:w="1620" w:type="dxa"/>
          </w:tcPr>
          <w:p w14:paraId="3E7E8F36" w14:textId="77777777" w:rsidR="003275B0" w:rsidRPr="000F1772" w:rsidRDefault="003275B0" w:rsidP="00F14FBD">
            <w:pPr>
              <w:spacing w:line="240" w:lineRule="auto"/>
              <w:jc w:val="center"/>
              <w:rPr>
                <w:iCs/>
                <w:color w:val="auto"/>
                <w:sz w:val="20"/>
                <w:szCs w:val="20"/>
              </w:rPr>
            </w:pPr>
            <w:r w:rsidRPr="000F1772">
              <w:rPr>
                <w:iCs/>
                <w:color w:val="auto"/>
                <w:sz w:val="20"/>
                <w:szCs w:val="20"/>
              </w:rPr>
              <w:t>53 (44.2%)</w:t>
            </w:r>
          </w:p>
        </w:tc>
        <w:tc>
          <w:tcPr>
            <w:tcW w:w="1525" w:type="dxa"/>
          </w:tcPr>
          <w:p w14:paraId="1848D9D2" w14:textId="77777777" w:rsidR="003275B0" w:rsidRPr="000F1772" w:rsidRDefault="003275B0" w:rsidP="00F14FBD">
            <w:pPr>
              <w:spacing w:line="240" w:lineRule="auto"/>
              <w:jc w:val="center"/>
              <w:rPr>
                <w:iCs/>
                <w:color w:val="auto"/>
                <w:sz w:val="20"/>
                <w:szCs w:val="20"/>
              </w:rPr>
            </w:pPr>
            <w:r w:rsidRPr="000F1772">
              <w:rPr>
                <w:iCs/>
                <w:color w:val="auto"/>
                <w:sz w:val="20"/>
                <w:szCs w:val="20"/>
              </w:rPr>
              <w:t>43(35.8%)</w:t>
            </w:r>
          </w:p>
        </w:tc>
      </w:tr>
      <w:tr w:rsidR="003275B0" w:rsidRPr="000F1772" w14:paraId="2B391AED" w14:textId="77777777" w:rsidTr="00F14FBD">
        <w:trPr>
          <w:jc w:val="center"/>
        </w:trPr>
        <w:tc>
          <w:tcPr>
            <w:tcW w:w="625" w:type="dxa"/>
          </w:tcPr>
          <w:p w14:paraId="48F69143" w14:textId="77777777" w:rsidR="003275B0" w:rsidRPr="000F1772" w:rsidRDefault="003275B0" w:rsidP="00F14FBD">
            <w:pPr>
              <w:spacing w:line="240" w:lineRule="auto"/>
              <w:jc w:val="left"/>
              <w:rPr>
                <w:iCs/>
                <w:color w:val="auto"/>
                <w:sz w:val="20"/>
                <w:szCs w:val="20"/>
              </w:rPr>
            </w:pPr>
            <w:r w:rsidRPr="000F1772">
              <w:rPr>
                <w:iCs/>
                <w:color w:val="auto"/>
                <w:sz w:val="20"/>
                <w:szCs w:val="20"/>
              </w:rPr>
              <w:t>B4</w:t>
            </w:r>
          </w:p>
        </w:tc>
        <w:tc>
          <w:tcPr>
            <w:tcW w:w="3780" w:type="dxa"/>
            <w:shd w:val="clear" w:color="auto" w:fill="auto"/>
          </w:tcPr>
          <w:p w14:paraId="362F9D18" w14:textId="32430126" w:rsidR="003275B0" w:rsidRPr="000F1772" w:rsidRDefault="003275B0" w:rsidP="00F14FBD">
            <w:pPr>
              <w:spacing w:line="240" w:lineRule="auto"/>
              <w:jc w:val="left"/>
              <w:rPr>
                <w:iCs/>
                <w:color w:val="auto"/>
                <w:sz w:val="20"/>
                <w:szCs w:val="20"/>
                <w:lang w:val="en-US"/>
              </w:rPr>
            </w:pPr>
            <w:r w:rsidRPr="000F1772">
              <w:rPr>
                <w:iCs/>
                <w:color w:val="auto"/>
                <w:sz w:val="20"/>
                <w:szCs w:val="20"/>
                <w:lang w:val="en-US"/>
              </w:rPr>
              <w:t>I don’t have plan to implement Zero Reject Policy</w:t>
            </w:r>
          </w:p>
        </w:tc>
        <w:tc>
          <w:tcPr>
            <w:tcW w:w="1800" w:type="dxa"/>
          </w:tcPr>
          <w:p w14:paraId="5BAA6ED2" w14:textId="77777777" w:rsidR="003275B0" w:rsidRPr="000F1772" w:rsidRDefault="003275B0" w:rsidP="00F14FBD">
            <w:pPr>
              <w:spacing w:line="240" w:lineRule="auto"/>
              <w:jc w:val="center"/>
              <w:rPr>
                <w:iCs/>
                <w:color w:val="auto"/>
                <w:sz w:val="20"/>
                <w:szCs w:val="20"/>
              </w:rPr>
            </w:pPr>
            <w:r w:rsidRPr="000F1772">
              <w:rPr>
                <w:iCs/>
                <w:color w:val="auto"/>
                <w:sz w:val="20"/>
                <w:szCs w:val="20"/>
              </w:rPr>
              <w:t>30(25%)</w:t>
            </w:r>
          </w:p>
        </w:tc>
        <w:tc>
          <w:tcPr>
            <w:tcW w:w="1620" w:type="dxa"/>
          </w:tcPr>
          <w:p w14:paraId="346A449C" w14:textId="77777777" w:rsidR="003275B0" w:rsidRPr="000F1772" w:rsidRDefault="003275B0" w:rsidP="00F14FBD">
            <w:pPr>
              <w:spacing w:line="240" w:lineRule="auto"/>
              <w:jc w:val="center"/>
              <w:rPr>
                <w:iCs/>
                <w:color w:val="auto"/>
                <w:sz w:val="20"/>
                <w:szCs w:val="20"/>
              </w:rPr>
            </w:pPr>
            <w:r w:rsidRPr="000F1772">
              <w:rPr>
                <w:iCs/>
                <w:color w:val="auto"/>
                <w:sz w:val="20"/>
                <w:szCs w:val="20"/>
              </w:rPr>
              <w:t>48 (40.0%)</w:t>
            </w:r>
          </w:p>
        </w:tc>
        <w:tc>
          <w:tcPr>
            <w:tcW w:w="1525" w:type="dxa"/>
          </w:tcPr>
          <w:p w14:paraId="6BD6D1BC" w14:textId="77777777" w:rsidR="003275B0" w:rsidRPr="000F1772" w:rsidRDefault="003275B0" w:rsidP="00F14FBD">
            <w:pPr>
              <w:spacing w:line="240" w:lineRule="auto"/>
              <w:jc w:val="center"/>
              <w:rPr>
                <w:iCs/>
                <w:color w:val="auto"/>
                <w:sz w:val="20"/>
                <w:szCs w:val="20"/>
              </w:rPr>
            </w:pPr>
            <w:r w:rsidRPr="000F1772">
              <w:rPr>
                <w:iCs/>
                <w:color w:val="auto"/>
                <w:sz w:val="20"/>
                <w:szCs w:val="20"/>
              </w:rPr>
              <w:t>42(35%)</w:t>
            </w:r>
          </w:p>
        </w:tc>
      </w:tr>
      <w:tr w:rsidR="003275B0" w:rsidRPr="000F1772" w14:paraId="3BF54E7E" w14:textId="77777777" w:rsidTr="00F14FBD">
        <w:trPr>
          <w:jc w:val="center"/>
        </w:trPr>
        <w:tc>
          <w:tcPr>
            <w:tcW w:w="625" w:type="dxa"/>
          </w:tcPr>
          <w:p w14:paraId="48CAB2DD" w14:textId="77777777" w:rsidR="003275B0" w:rsidRPr="000F1772" w:rsidRDefault="003275B0" w:rsidP="00F14FBD">
            <w:pPr>
              <w:spacing w:line="240" w:lineRule="auto"/>
              <w:jc w:val="left"/>
              <w:rPr>
                <w:iCs/>
                <w:color w:val="auto"/>
                <w:sz w:val="20"/>
                <w:szCs w:val="20"/>
              </w:rPr>
            </w:pPr>
            <w:r w:rsidRPr="000F1772">
              <w:rPr>
                <w:iCs/>
                <w:color w:val="auto"/>
                <w:sz w:val="20"/>
                <w:szCs w:val="20"/>
              </w:rPr>
              <w:t>B5</w:t>
            </w:r>
          </w:p>
        </w:tc>
        <w:tc>
          <w:tcPr>
            <w:tcW w:w="3780" w:type="dxa"/>
            <w:shd w:val="clear" w:color="auto" w:fill="auto"/>
          </w:tcPr>
          <w:p w14:paraId="233CAE0A" w14:textId="4F8FD2B0" w:rsidR="003275B0" w:rsidRPr="000F1772" w:rsidRDefault="003275B0" w:rsidP="00F14FBD">
            <w:pPr>
              <w:spacing w:line="240" w:lineRule="auto"/>
              <w:jc w:val="left"/>
              <w:rPr>
                <w:iCs/>
                <w:color w:val="auto"/>
                <w:sz w:val="20"/>
                <w:szCs w:val="20"/>
                <w:lang w:val="en-US"/>
              </w:rPr>
            </w:pPr>
            <w:r w:rsidRPr="000F1772">
              <w:rPr>
                <w:iCs/>
                <w:color w:val="auto"/>
                <w:sz w:val="20"/>
                <w:szCs w:val="20"/>
                <w:lang w:val="en-US"/>
              </w:rPr>
              <w:t>I am ready to teach student with SEN in mainstreams class</w:t>
            </w:r>
          </w:p>
        </w:tc>
        <w:tc>
          <w:tcPr>
            <w:tcW w:w="1800" w:type="dxa"/>
          </w:tcPr>
          <w:p w14:paraId="69ED82BB" w14:textId="77777777" w:rsidR="003275B0" w:rsidRPr="000F1772" w:rsidRDefault="003275B0" w:rsidP="00F14FBD">
            <w:pPr>
              <w:spacing w:line="240" w:lineRule="auto"/>
              <w:jc w:val="center"/>
              <w:rPr>
                <w:iCs/>
                <w:color w:val="auto"/>
                <w:sz w:val="20"/>
                <w:szCs w:val="20"/>
              </w:rPr>
            </w:pPr>
            <w:r w:rsidRPr="000F1772">
              <w:rPr>
                <w:iCs/>
                <w:color w:val="auto"/>
                <w:sz w:val="20"/>
                <w:szCs w:val="20"/>
              </w:rPr>
              <w:t>26(21.7%)</w:t>
            </w:r>
          </w:p>
        </w:tc>
        <w:tc>
          <w:tcPr>
            <w:tcW w:w="1620" w:type="dxa"/>
          </w:tcPr>
          <w:p w14:paraId="57BD3C9D" w14:textId="77777777" w:rsidR="003275B0" w:rsidRPr="000F1772" w:rsidRDefault="003275B0" w:rsidP="00F14FBD">
            <w:pPr>
              <w:spacing w:line="240" w:lineRule="auto"/>
              <w:jc w:val="center"/>
              <w:rPr>
                <w:iCs/>
                <w:color w:val="auto"/>
                <w:sz w:val="20"/>
                <w:szCs w:val="20"/>
              </w:rPr>
            </w:pPr>
            <w:r w:rsidRPr="000F1772">
              <w:rPr>
                <w:iCs/>
                <w:color w:val="auto"/>
                <w:sz w:val="20"/>
                <w:szCs w:val="20"/>
              </w:rPr>
              <w:t>34 (28.3%)</w:t>
            </w:r>
          </w:p>
        </w:tc>
        <w:tc>
          <w:tcPr>
            <w:tcW w:w="1525" w:type="dxa"/>
          </w:tcPr>
          <w:p w14:paraId="11CB3678" w14:textId="77777777" w:rsidR="003275B0" w:rsidRPr="000F1772" w:rsidRDefault="003275B0" w:rsidP="00F14FBD">
            <w:pPr>
              <w:spacing w:line="240" w:lineRule="auto"/>
              <w:jc w:val="center"/>
              <w:rPr>
                <w:iCs/>
                <w:color w:val="auto"/>
                <w:sz w:val="20"/>
                <w:szCs w:val="20"/>
              </w:rPr>
            </w:pPr>
            <w:r w:rsidRPr="000F1772">
              <w:rPr>
                <w:iCs/>
                <w:color w:val="auto"/>
                <w:sz w:val="20"/>
                <w:szCs w:val="20"/>
              </w:rPr>
              <w:t>60(50%)</w:t>
            </w:r>
          </w:p>
        </w:tc>
      </w:tr>
      <w:tr w:rsidR="003275B0" w:rsidRPr="000F1772" w14:paraId="5A4A71F0" w14:textId="77777777" w:rsidTr="00F14FBD">
        <w:trPr>
          <w:jc w:val="center"/>
        </w:trPr>
        <w:tc>
          <w:tcPr>
            <w:tcW w:w="625" w:type="dxa"/>
          </w:tcPr>
          <w:p w14:paraId="4CD11AC1" w14:textId="77777777" w:rsidR="003275B0" w:rsidRPr="000F1772" w:rsidRDefault="003275B0" w:rsidP="00F14FBD">
            <w:pPr>
              <w:spacing w:line="240" w:lineRule="auto"/>
              <w:jc w:val="left"/>
              <w:rPr>
                <w:iCs/>
                <w:color w:val="auto"/>
                <w:sz w:val="20"/>
                <w:szCs w:val="20"/>
              </w:rPr>
            </w:pPr>
            <w:r w:rsidRPr="000F1772">
              <w:rPr>
                <w:iCs/>
                <w:color w:val="auto"/>
                <w:sz w:val="20"/>
                <w:szCs w:val="20"/>
              </w:rPr>
              <w:t>B6</w:t>
            </w:r>
          </w:p>
        </w:tc>
        <w:tc>
          <w:tcPr>
            <w:tcW w:w="3780" w:type="dxa"/>
            <w:shd w:val="clear" w:color="auto" w:fill="auto"/>
          </w:tcPr>
          <w:p w14:paraId="0CFC35EF" w14:textId="5B929981" w:rsidR="003275B0" w:rsidRPr="000F1772" w:rsidRDefault="003275B0" w:rsidP="00F14FBD">
            <w:pPr>
              <w:spacing w:line="240" w:lineRule="auto"/>
              <w:jc w:val="left"/>
              <w:rPr>
                <w:iCs/>
                <w:color w:val="auto"/>
                <w:sz w:val="20"/>
                <w:szCs w:val="20"/>
                <w:lang w:val="en-US"/>
              </w:rPr>
            </w:pPr>
            <w:r w:rsidRPr="000F1772">
              <w:rPr>
                <w:iCs/>
                <w:color w:val="auto"/>
                <w:sz w:val="20"/>
                <w:szCs w:val="20"/>
                <w:lang w:val="en-US"/>
              </w:rPr>
              <w:t>I always give opportunity to student with SEN to adapt with school environment</w:t>
            </w:r>
          </w:p>
        </w:tc>
        <w:tc>
          <w:tcPr>
            <w:tcW w:w="1800" w:type="dxa"/>
          </w:tcPr>
          <w:p w14:paraId="42ADC0CE" w14:textId="77777777" w:rsidR="003275B0" w:rsidRPr="000F1772" w:rsidRDefault="003275B0" w:rsidP="00F14FBD">
            <w:pPr>
              <w:spacing w:line="240" w:lineRule="auto"/>
              <w:jc w:val="center"/>
              <w:rPr>
                <w:iCs/>
                <w:color w:val="auto"/>
                <w:sz w:val="20"/>
                <w:szCs w:val="20"/>
              </w:rPr>
            </w:pPr>
            <w:r w:rsidRPr="000F1772">
              <w:rPr>
                <w:iCs/>
                <w:color w:val="auto"/>
                <w:sz w:val="20"/>
                <w:szCs w:val="20"/>
              </w:rPr>
              <w:t>1(0.8%)</w:t>
            </w:r>
          </w:p>
        </w:tc>
        <w:tc>
          <w:tcPr>
            <w:tcW w:w="1620" w:type="dxa"/>
          </w:tcPr>
          <w:p w14:paraId="1ECA7468" w14:textId="77777777" w:rsidR="003275B0" w:rsidRPr="000F1772" w:rsidRDefault="003275B0" w:rsidP="00F14FBD">
            <w:pPr>
              <w:spacing w:line="240" w:lineRule="auto"/>
              <w:jc w:val="center"/>
              <w:rPr>
                <w:iCs/>
                <w:color w:val="auto"/>
                <w:sz w:val="20"/>
                <w:szCs w:val="20"/>
              </w:rPr>
            </w:pPr>
            <w:r w:rsidRPr="000F1772">
              <w:rPr>
                <w:iCs/>
                <w:color w:val="auto"/>
                <w:sz w:val="20"/>
                <w:szCs w:val="20"/>
              </w:rPr>
              <w:t>18(15.0%)</w:t>
            </w:r>
          </w:p>
        </w:tc>
        <w:tc>
          <w:tcPr>
            <w:tcW w:w="1525" w:type="dxa"/>
          </w:tcPr>
          <w:p w14:paraId="57E07DE4" w14:textId="77777777" w:rsidR="003275B0" w:rsidRPr="000F1772" w:rsidRDefault="003275B0" w:rsidP="00F14FBD">
            <w:pPr>
              <w:spacing w:line="240" w:lineRule="auto"/>
              <w:jc w:val="center"/>
              <w:rPr>
                <w:iCs/>
                <w:color w:val="auto"/>
                <w:sz w:val="20"/>
                <w:szCs w:val="20"/>
              </w:rPr>
            </w:pPr>
            <w:r w:rsidRPr="000F1772">
              <w:rPr>
                <w:iCs/>
                <w:color w:val="auto"/>
                <w:sz w:val="20"/>
                <w:szCs w:val="20"/>
              </w:rPr>
              <w:t>101(84.2%)</w:t>
            </w:r>
          </w:p>
        </w:tc>
      </w:tr>
      <w:tr w:rsidR="003275B0" w:rsidRPr="000F1772" w14:paraId="22411728" w14:textId="77777777" w:rsidTr="00F14FBD">
        <w:trPr>
          <w:jc w:val="center"/>
        </w:trPr>
        <w:tc>
          <w:tcPr>
            <w:tcW w:w="625" w:type="dxa"/>
          </w:tcPr>
          <w:p w14:paraId="7501E36B" w14:textId="77777777" w:rsidR="003275B0" w:rsidRPr="000F1772" w:rsidRDefault="003275B0" w:rsidP="00F14FBD">
            <w:pPr>
              <w:spacing w:line="240" w:lineRule="auto"/>
              <w:jc w:val="left"/>
              <w:rPr>
                <w:iCs/>
                <w:color w:val="auto"/>
                <w:sz w:val="20"/>
                <w:szCs w:val="20"/>
              </w:rPr>
            </w:pPr>
            <w:r w:rsidRPr="000F1772">
              <w:rPr>
                <w:iCs/>
                <w:color w:val="auto"/>
                <w:sz w:val="20"/>
                <w:szCs w:val="20"/>
              </w:rPr>
              <w:t>B7</w:t>
            </w:r>
          </w:p>
        </w:tc>
        <w:tc>
          <w:tcPr>
            <w:tcW w:w="3780" w:type="dxa"/>
            <w:shd w:val="clear" w:color="auto" w:fill="auto"/>
          </w:tcPr>
          <w:p w14:paraId="647E7AE7" w14:textId="77777777" w:rsidR="003275B0" w:rsidRPr="000F1772" w:rsidRDefault="003275B0" w:rsidP="00F14FBD">
            <w:pPr>
              <w:spacing w:line="240" w:lineRule="auto"/>
              <w:jc w:val="left"/>
              <w:rPr>
                <w:iCs/>
                <w:color w:val="auto"/>
                <w:sz w:val="20"/>
                <w:szCs w:val="20"/>
                <w:lang w:val="en-US"/>
              </w:rPr>
            </w:pPr>
            <w:r w:rsidRPr="000F1772">
              <w:rPr>
                <w:iCs/>
                <w:color w:val="auto"/>
                <w:sz w:val="20"/>
                <w:szCs w:val="20"/>
                <w:lang w:val="en-US"/>
              </w:rPr>
              <w:t>I believe the Zero Rejection Policy is important to the well -being of the community</w:t>
            </w:r>
          </w:p>
        </w:tc>
        <w:tc>
          <w:tcPr>
            <w:tcW w:w="1800" w:type="dxa"/>
          </w:tcPr>
          <w:p w14:paraId="633DD3A5" w14:textId="77777777" w:rsidR="003275B0" w:rsidRPr="000F1772" w:rsidRDefault="003275B0" w:rsidP="00F14FBD">
            <w:pPr>
              <w:spacing w:line="240" w:lineRule="auto"/>
              <w:jc w:val="center"/>
              <w:rPr>
                <w:iCs/>
                <w:color w:val="auto"/>
                <w:sz w:val="20"/>
                <w:szCs w:val="20"/>
              </w:rPr>
            </w:pPr>
            <w:r w:rsidRPr="000F1772">
              <w:rPr>
                <w:iCs/>
                <w:color w:val="auto"/>
                <w:sz w:val="20"/>
                <w:szCs w:val="20"/>
              </w:rPr>
              <w:t>9(5.8%)</w:t>
            </w:r>
          </w:p>
        </w:tc>
        <w:tc>
          <w:tcPr>
            <w:tcW w:w="1620" w:type="dxa"/>
          </w:tcPr>
          <w:p w14:paraId="55ED5814" w14:textId="77777777" w:rsidR="003275B0" w:rsidRPr="000F1772" w:rsidRDefault="003275B0" w:rsidP="00F14FBD">
            <w:pPr>
              <w:spacing w:line="240" w:lineRule="auto"/>
              <w:jc w:val="center"/>
              <w:rPr>
                <w:iCs/>
                <w:color w:val="auto"/>
                <w:sz w:val="20"/>
                <w:szCs w:val="20"/>
              </w:rPr>
            </w:pPr>
            <w:r w:rsidRPr="000F1772">
              <w:rPr>
                <w:iCs/>
                <w:color w:val="auto"/>
                <w:sz w:val="20"/>
                <w:szCs w:val="20"/>
              </w:rPr>
              <w:t>26 (21.7%)</w:t>
            </w:r>
          </w:p>
        </w:tc>
        <w:tc>
          <w:tcPr>
            <w:tcW w:w="1525" w:type="dxa"/>
          </w:tcPr>
          <w:p w14:paraId="0D58C9C4" w14:textId="77777777" w:rsidR="003275B0" w:rsidRPr="000F1772" w:rsidRDefault="003275B0" w:rsidP="00F14FBD">
            <w:pPr>
              <w:spacing w:line="240" w:lineRule="auto"/>
              <w:jc w:val="center"/>
              <w:rPr>
                <w:iCs/>
                <w:color w:val="auto"/>
                <w:sz w:val="20"/>
                <w:szCs w:val="20"/>
              </w:rPr>
            </w:pPr>
            <w:r w:rsidRPr="000F1772">
              <w:rPr>
                <w:iCs/>
                <w:color w:val="auto"/>
                <w:sz w:val="20"/>
                <w:szCs w:val="20"/>
              </w:rPr>
              <w:t>77(39.2%)</w:t>
            </w:r>
          </w:p>
        </w:tc>
      </w:tr>
      <w:tr w:rsidR="003275B0" w:rsidRPr="000F1772" w14:paraId="7F407727" w14:textId="77777777" w:rsidTr="00F14FBD">
        <w:trPr>
          <w:jc w:val="center"/>
        </w:trPr>
        <w:tc>
          <w:tcPr>
            <w:tcW w:w="625" w:type="dxa"/>
          </w:tcPr>
          <w:p w14:paraId="362220CA" w14:textId="77777777" w:rsidR="003275B0" w:rsidRPr="000F1772" w:rsidRDefault="003275B0" w:rsidP="00F14FBD">
            <w:pPr>
              <w:spacing w:line="240" w:lineRule="auto"/>
              <w:jc w:val="left"/>
              <w:rPr>
                <w:iCs/>
                <w:color w:val="auto"/>
                <w:sz w:val="20"/>
                <w:szCs w:val="20"/>
              </w:rPr>
            </w:pPr>
            <w:r w:rsidRPr="000F1772">
              <w:rPr>
                <w:iCs/>
                <w:color w:val="auto"/>
                <w:sz w:val="20"/>
                <w:szCs w:val="20"/>
              </w:rPr>
              <w:t>B8</w:t>
            </w:r>
          </w:p>
        </w:tc>
        <w:tc>
          <w:tcPr>
            <w:tcW w:w="3780" w:type="dxa"/>
            <w:shd w:val="clear" w:color="auto" w:fill="auto"/>
          </w:tcPr>
          <w:p w14:paraId="5650B541" w14:textId="77777777" w:rsidR="003275B0" w:rsidRPr="000F1772" w:rsidRDefault="003275B0" w:rsidP="00F14FBD">
            <w:pPr>
              <w:spacing w:line="240" w:lineRule="auto"/>
              <w:jc w:val="left"/>
              <w:rPr>
                <w:iCs/>
                <w:color w:val="auto"/>
                <w:sz w:val="20"/>
                <w:szCs w:val="20"/>
                <w:lang w:val="en-US"/>
              </w:rPr>
            </w:pPr>
            <w:r w:rsidRPr="000F1772">
              <w:rPr>
                <w:iCs/>
                <w:color w:val="auto"/>
                <w:sz w:val="20"/>
                <w:szCs w:val="20"/>
                <w:lang w:val="en-US"/>
              </w:rPr>
              <w:t>I advise parents to send their MBK children to Special Education schools</w:t>
            </w:r>
          </w:p>
        </w:tc>
        <w:tc>
          <w:tcPr>
            <w:tcW w:w="1800" w:type="dxa"/>
          </w:tcPr>
          <w:p w14:paraId="71467094" w14:textId="77777777" w:rsidR="003275B0" w:rsidRPr="000F1772" w:rsidRDefault="003275B0" w:rsidP="00F14FBD">
            <w:pPr>
              <w:spacing w:line="240" w:lineRule="auto"/>
              <w:jc w:val="center"/>
              <w:rPr>
                <w:iCs/>
                <w:color w:val="auto"/>
                <w:sz w:val="20"/>
                <w:szCs w:val="20"/>
              </w:rPr>
            </w:pPr>
            <w:r w:rsidRPr="000F1772">
              <w:rPr>
                <w:iCs/>
                <w:color w:val="auto"/>
                <w:sz w:val="20"/>
                <w:szCs w:val="20"/>
              </w:rPr>
              <w:t>53(44.1%)</w:t>
            </w:r>
          </w:p>
        </w:tc>
        <w:tc>
          <w:tcPr>
            <w:tcW w:w="1620" w:type="dxa"/>
          </w:tcPr>
          <w:p w14:paraId="3659C22C" w14:textId="77777777" w:rsidR="003275B0" w:rsidRPr="000F1772" w:rsidRDefault="003275B0" w:rsidP="00F14FBD">
            <w:pPr>
              <w:spacing w:line="240" w:lineRule="auto"/>
              <w:jc w:val="center"/>
              <w:rPr>
                <w:iCs/>
                <w:color w:val="auto"/>
                <w:sz w:val="20"/>
                <w:szCs w:val="20"/>
              </w:rPr>
            </w:pPr>
            <w:r w:rsidRPr="000F1772">
              <w:rPr>
                <w:iCs/>
                <w:color w:val="auto"/>
                <w:sz w:val="20"/>
                <w:szCs w:val="20"/>
              </w:rPr>
              <w:t>20 (16.7%)</w:t>
            </w:r>
          </w:p>
        </w:tc>
        <w:tc>
          <w:tcPr>
            <w:tcW w:w="1525" w:type="dxa"/>
          </w:tcPr>
          <w:p w14:paraId="2C7AD4BF" w14:textId="77777777" w:rsidR="003275B0" w:rsidRPr="000F1772" w:rsidRDefault="003275B0" w:rsidP="00F14FBD">
            <w:pPr>
              <w:spacing w:line="240" w:lineRule="auto"/>
              <w:jc w:val="center"/>
              <w:rPr>
                <w:iCs/>
                <w:color w:val="auto"/>
                <w:sz w:val="20"/>
                <w:szCs w:val="20"/>
              </w:rPr>
            </w:pPr>
            <w:r w:rsidRPr="000F1772">
              <w:rPr>
                <w:iCs/>
                <w:color w:val="auto"/>
                <w:sz w:val="20"/>
                <w:szCs w:val="20"/>
              </w:rPr>
              <w:t>47(39.2%)</w:t>
            </w:r>
          </w:p>
        </w:tc>
      </w:tr>
      <w:tr w:rsidR="003275B0" w:rsidRPr="000F1772" w14:paraId="5B106DEB" w14:textId="77777777" w:rsidTr="00F14FBD">
        <w:trPr>
          <w:jc w:val="center"/>
        </w:trPr>
        <w:tc>
          <w:tcPr>
            <w:tcW w:w="625" w:type="dxa"/>
          </w:tcPr>
          <w:p w14:paraId="67281637" w14:textId="77777777" w:rsidR="003275B0" w:rsidRPr="000F1772" w:rsidRDefault="003275B0" w:rsidP="00F14FBD">
            <w:pPr>
              <w:spacing w:line="240" w:lineRule="auto"/>
              <w:jc w:val="left"/>
              <w:rPr>
                <w:iCs/>
                <w:color w:val="auto"/>
                <w:sz w:val="20"/>
                <w:szCs w:val="20"/>
              </w:rPr>
            </w:pPr>
            <w:r w:rsidRPr="000F1772">
              <w:rPr>
                <w:iCs/>
                <w:color w:val="auto"/>
                <w:sz w:val="20"/>
                <w:szCs w:val="20"/>
              </w:rPr>
              <w:t>B9</w:t>
            </w:r>
          </w:p>
        </w:tc>
        <w:tc>
          <w:tcPr>
            <w:tcW w:w="3780" w:type="dxa"/>
            <w:shd w:val="clear" w:color="auto" w:fill="auto"/>
          </w:tcPr>
          <w:p w14:paraId="07E93059" w14:textId="77777777" w:rsidR="003275B0" w:rsidRPr="000F1772" w:rsidRDefault="003275B0" w:rsidP="00F14FBD">
            <w:pPr>
              <w:spacing w:line="240" w:lineRule="auto"/>
              <w:jc w:val="left"/>
              <w:rPr>
                <w:iCs/>
                <w:color w:val="auto"/>
                <w:sz w:val="20"/>
                <w:szCs w:val="20"/>
                <w:lang w:val="en-US"/>
              </w:rPr>
            </w:pPr>
            <w:r w:rsidRPr="000F1772">
              <w:rPr>
                <w:iCs/>
                <w:color w:val="auto"/>
                <w:sz w:val="20"/>
                <w:szCs w:val="20"/>
                <w:lang w:val="en-US"/>
              </w:rPr>
              <w:t>I am not ready to teach MBK students in mainstream classes</w:t>
            </w:r>
          </w:p>
        </w:tc>
        <w:tc>
          <w:tcPr>
            <w:tcW w:w="1800" w:type="dxa"/>
          </w:tcPr>
          <w:p w14:paraId="17F07D2F" w14:textId="77777777" w:rsidR="003275B0" w:rsidRPr="000F1772" w:rsidRDefault="003275B0" w:rsidP="00F14FBD">
            <w:pPr>
              <w:spacing w:line="240" w:lineRule="auto"/>
              <w:jc w:val="center"/>
              <w:rPr>
                <w:iCs/>
                <w:color w:val="auto"/>
                <w:sz w:val="20"/>
                <w:szCs w:val="20"/>
              </w:rPr>
            </w:pPr>
            <w:r w:rsidRPr="000F1772">
              <w:rPr>
                <w:iCs/>
                <w:color w:val="auto"/>
                <w:sz w:val="20"/>
                <w:szCs w:val="20"/>
              </w:rPr>
              <w:t>31(25.8%)</w:t>
            </w:r>
          </w:p>
        </w:tc>
        <w:tc>
          <w:tcPr>
            <w:tcW w:w="1620" w:type="dxa"/>
          </w:tcPr>
          <w:p w14:paraId="7FFF260C" w14:textId="77777777" w:rsidR="003275B0" w:rsidRPr="000F1772" w:rsidRDefault="003275B0" w:rsidP="00F14FBD">
            <w:pPr>
              <w:spacing w:line="240" w:lineRule="auto"/>
              <w:jc w:val="center"/>
              <w:rPr>
                <w:iCs/>
                <w:color w:val="auto"/>
                <w:sz w:val="20"/>
                <w:szCs w:val="20"/>
              </w:rPr>
            </w:pPr>
            <w:r w:rsidRPr="000F1772">
              <w:rPr>
                <w:iCs/>
                <w:color w:val="auto"/>
                <w:sz w:val="20"/>
                <w:szCs w:val="20"/>
              </w:rPr>
              <w:t>27(22.5%)</w:t>
            </w:r>
          </w:p>
        </w:tc>
        <w:tc>
          <w:tcPr>
            <w:tcW w:w="1525" w:type="dxa"/>
          </w:tcPr>
          <w:p w14:paraId="7A63A07A" w14:textId="77777777" w:rsidR="003275B0" w:rsidRPr="000F1772" w:rsidRDefault="003275B0" w:rsidP="00F14FBD">
            <w:pPr>
              <w:spacing w:line="240" w:lineRule="auto"/>
              <w:jc w:val="center"/>
              <w:rPr>
                <w:iCs/>
                <w:color w:val="auto"/>
                <w:sz w:val="20"/>
                <w:szCs w:val="20"/>
              </w:rPr>
            </w:pPr>
            <w:r w:rsidRPr="000F1772">
              <w:rPr>
                <w:iCs/>
                <w:color w:val="auto"/>
                <w:sz w:val="20"/>
                <w:szCs w:val="20"/>
              </w:rPr>
              <w:t>62(51.7%)</w:t>
            </w:r>
          </w:p>
        </w:tc>
      </w:tr>
      <w:tr w:rsidR="003275B0" w:rsidRPr="000F1772" w14:paraId="61346B5B" w14:textId="77777777" w:rsidTr="00F14FBD">
        <w:trPr>
          <w:jc w:val="center"/>
        </w:trPr>
        <w:tc>
          <w:tcPr>
            <w:tcW w:w="625" w:type="dxa"/>
          </w:tcPr>
          <w:p w14:paraId="2055A51E" w14:textId="77777777" w:rsidR="003275B0" w:rsidRPr="000F1772" w:rsidRDefault="003275B0" w:rsidP="003275B0">
            <w:pPr>
              <w:spacing w:line="240" w:lineRule="auto"/>
              <w:rPr>
                <w:iCs/>
                <w:color w:val="auto"/>
                <w:sz w:val="20"/>
                <w:szCs w:val="20"/>
              </w:rPr>
            </w:pPr>
            <w:r w:rsidRPr="000F1772">
              <w:rPr>
                <w:iCs/>
                <w:color w:val="auto"/>
                <w:sz w:val="20"/>
                <w:szCs w:val="20"/>
              </w:rPr>
              <w:t>B10</w:t>
            </w:r>
          </w:p>
        </w:tc>
        <w:tc>
          <w:tcPr>
            <w:tcW w:w="3780" w:type="dxa"/>
            <w:shd w:val="clear" w:color="auto" w:fill="auto"/>
          </w:tcPr>
          <w:p w14:paraId="10AC3416" w14:textId="77777777" w:rsidR="003275B0" w:rsidRPr="000F1772" w:rsidRDefault="003275B0" w:rsidP="003275B0">
            <w:pPr>
              <w:spacing w:line="240" w:lineRule="auto"/>
              <w:rPr>
                <w:iCs/>
                <w:color w:val="auto"/>
                <w:sz w:val="20"/>
                <w:szCs w:val="20"/>
                <w:lang w:val="en-US"/>
              </w:rPr>
            </w:pPr>
            <w:r w:rsidRPr="000F1772">
              <w:rPr>
                <w:iCs/>
                <w:color w:val="auto"/>
                <w:sz w:val="20"/>
                <w:szCs w:val="20"/>
                <w:lang w:val="en-US"/>
              </w:rPr>
              <w:t>I may have a problem dealing with the behavior of MBK students in the mainstream classroom.</w:t>
            </w:r>
          </w:p>
        </w:tc>
        <w:tc>
          <w:tcPr>
            <w:tcW w:w="1800" w:type="dxa"/>
          </w:tcPr>
          <w:p w14:paraId="3956EEB5" w14:textId="77777777" w:rsidR="003275B0" w:rsidRPr="000F1772" w:rsidRDefault="003275B0" w:rsidP="00F14FBD">
            <w:pPr>
              <w:spacing w:line="240" w:lineRule="auto"/>
              <w:jc w:val="center"/>
              <w:rPr>
                <w:iCs/>
                <w:color w:val="auto"/>
                <w:sz w:val="20"/>
                <w:szCs w:val="20"/>
              </w:rPr>
            </w:pPr>
            <w:r w:rsidRPr="000F1772">
              <w:rPr>
                <w:iCs/>
                <w:color w:val="auto"/>
                <w:sz w:val="20"/>
                <w:szCs w:val="20"/>
              </w:rPr>
              <w:t>38(31.6%)</w:t>
            </w:r>
          </w:p>
        </w:tc>
        <w:tc>
          <w:tcPr>
            <w:tcW w:w="1620" w:type="dxa"/>
          </w:tcPr>
          <w:p w14:paraId="571070DE" w14:textId="77777777" w:rsidR="003275B0" w:rsidRPr="000F1772" w:rsidRDefault="003275B0" w:rsidP="00F14FBD">
            <w:pPr>
              <w:spacing w:line="240" w:lineRule="auto"/>
              <w:jc w:val="center"/>
              <w:rPr>
                <w:iCs/>
                <w:color w:val="auto"/>
                <w:sz w:val="20"/>
                <w:szCs w:val="20"/>
              </w:rPr>
            </w:pPr>
            <w:r w:rsidRPr="000F1772">
              <w:rPr>
                <w:iCs/>
                <w:color w:val="auto"/>
                <w:sz w:val="20"/>
                <w:szCs w:val="20"/>
              </w:rPr>
              <w:t>27(22.5%)</w:t>
            </w:r>
          </w:p>
        </w:tc>
        <w:tc>
          <w:tcPr>
            <w:tcW w:w="1525" w:type="dxa"/>
          </w:tcPr>
          <w:p w14:paraId="2CC6C9B2" w14:textId="77777777" w:rsidR="003275B0" w:rsidRPr="000F1772" w:rsidRDefault="003275B0" w:rsidP="00F14FBD">
            <w:pPr>
              <w:spacing w:line="240" w:lineRule="auto"/>
              <w:jc w:val="center"/>
              <w:rPr>
                <w:iCs/>
                <w:color w:val="auto"/>
                <w:sz w:val="20"/>
                <w:szCs w:val="20"/>
              </w:rPr>
            </w:pPr>
            <w:r w:rsidRPr="000F1772">
              <w:rPr>
                <w:iCs/>
                <w:color w:val="auto"/>
                <w:sz w:val="20"/>
                <w:szCs w:val="20"/>
              </w:rPr>
              <w:t>55(45.9%)</w:t>
            </w:r>
          </w:p>
        </w:tc>
      </w:tr>
    </w:tbl>
    <w:p w14:paraId="33077D04" w14:textId="1A04AB72" w:rsidR="003275B0" w:rsidRPr="003275B0" w:rsidRDefault="00465953" w:rsidP="003275B0">
      <w:pPr>
        <w:jc w:val="both"/>
        <w:rPr>
          <w:iCs/>
        </w:rPr>
      </w:pPr>
      <w:r>
        <w:rPr>
          <w:iCs/>
        </w:rPr>
        <w:t>Table 1.5</w:t>
      </w:r>
      <w:r w:rsidR="003275B0" w:rsidRPr="003275B0">
        <w:rPr>
          <w:iCs/>
        </w:rPr>
        <w:t xml:space="preserve"> above shown the frequency of the 10 item that have tested on teacher’s readiness in implementing ZRP </w:t>
      </w:r>
      <w:r w:rsidR="000F1772">
        <w:rPr>
          <w:iCs/>
        </w:rPr>
        <w:t>in school. Based on the analysed</w:t>
      </w:r>
      <w:r w:rsidR="003275B0" w:rsidRPr="003275B0">
        <w:rPr>
          <w:iCs/>
        </w:rPr>
        <w:t xml:space="preserve"> above, majority respondent agreed with item B6, which is teachers, agreed that they always give the </w:t>
      </w:r>
      <w:r w:rsidR="003275B0" w:rsidRPr="003275B0">
        <w:rPr>
          <w:iCs/>
          <w:lang w:val="en-US"/>
        </w:rPr>
        <w:t xml:space="preserve">opportunity to student with SEN to adapt with school environment. Meanwhile, the highest score for disagreed is item B8, which the teachers disagreed that they advise parents to send their MBK children to Special Education schools. However, 39.2% (47) respondent are agreed with this action whereby 16.7 %( 20) still in confusion. Meanwhile the highest score for neutral was item B2 which is teachers still not sure either they have enough material to conduct ZRP or vice versa. </w:t>
      </w:r>
    </w:p>
    <w:p w14:paraId="7529A83E" w14:textId="77777777" w:rsidR="00465953" w:rsidRDefault="00465953" w:rsidP="003275B0">
      <w:pPr>
        <w:jc w:val="both"/>
        <w:rPr>
          <w:b/>
          <w:iCs/>
        </w:rPr>
      </w:pPr>
    </w:p>
    <w:p w14:paraId="4153DF11" w14:textId="6DF4ECD4" w:rsidR="003275B0" w:rsidRPr="00465953" w:rsidRDefault="003275B0" w:rsidP="00465953">
      <w:pPr>
        <w:pStyle w:val="ListParagraph"/>
        <w:numPr>
          <w:ilvl w:val="0"/>
          <w:numId w:val="36"/>
        </w:numPr>
        <w:jc w:val="both"/>
        <w:rPr>
          <w:rFonts w:ascii="Times New Roman" w:hAnsi="Times New Roman" w:cs="Times New Roman"/>
          <w:iCs/>
          <w:sz w:val="24"/>
          <w:szCs w:val="24"/>
        </w:rPr>
      </w:pPr>
      <w:r w:rsidRPr="00465953">
        <w:rPr>
          <w:rFonts w:ascii="Times New Roman" w:hAnsi="Times New Roman" w:cs="Times New Roman"/>
          <w:iCs/>
          <w:sz w:val="24"/>
          <w:szCs w:val="24"/>
        </w:rPr>
        <w:t>The Level of teachers readiness in implementing Zero Reject Policy</w:t>
      </w:r>
    </w:p>
    <w:p w14:paraId="30F74149" w14:textId="118F1A2C" w:rsidR="003275B0" w:rsidRPr="003275B0" w:rsidRDefault="00465953" w:rsidP="00465953">
      <w:pPr>
        <w:jc w:val="center"/>
        <w:rPr>
          <w:iCs/>
        </w:rPr>
      </w:pPr>
      <w:r>
        <w:rPr>
          <w:iCs/>
        </w:rPr>
        <w:t>Table 1.6</w:t>
      </w:r>
      <w:r w:rsidR="003275B0" w:rsidRPr="003275B0">
        <w:rPr>
          <w:iCs/>
        </w:rPr>
        <w:t xml:space="preserve"> Mean score, interpretation, frequency and percentage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223"/>
        <w:gridCol w:w="1342"/>
        <w:gridCol w:w="1204"/>
        <w:gridCol w:w="911"/>
        <w:gridCol w:w="1386"/>
        <w:gridCol w:w="144"/>
        <w:gridCol w:w="2155"/>
      </w:tblGrid>
      <w:tr w:rsidR="003275B0" w:rsidRPr="003275B0" w14:paraId="665D6BE0" w14:textId="77777777" w:rsidTr="00465953">
        <w:trPr>
          <w:jc w:val="center"/>
        </w:trPr>
        <w:tc>
          <w:tcPr>
            <w:tcW w:w="2208" w:type="dxa"/>
            <w:gridSpan w:val="2"/>
            <w:tcBorders>
              <w:top w:val="single" w:sz="4" w:space="0" w:color="auto"/>
              <w:bottom w:val="single" w:sz="4" w:space="0" w:color="auto"/>
            </w:tcBorders>
          </w:tcPr>
          <w:p w14:paraId="189062B7" w14:textId="77777777" w:rsidR="003275B0" w:rsidRPr="00465953" w:rsidRDefault="003275B0" w:rsidP="00465953">
            <w:pPr>
              <w:spacing w:line="240" w:lineRule="auto"/>
              <w:jc w:val="center"/>
              <w:rPr>
                <w:b/>
                <w:iCs/>
                <w:color w:val="auto"/>
              </w:rPr>
            </w:pPr>
            <w:r w:rsidRPr="00465953">
              <w:rPr>
                <w:b/>
                <w:iCs/>
                <w:color w:val="auto"/>
              </w:rPr>
              <w:lastRenderedPageBreak/>
              <w:t>Mean score</w:t>
            </w:r>
          </w:p>
        </w:tc>
        <w:tc>
          <w:tcPr>
            <w:tcW w:w="2546" w:type="dxa"/>
            <w:gridSpan w:val="2"/>
            <w:tcBorders>
              <w:top w:val="single" w:sz="4" w:space="0" w:color="auto"/>
              <w:bottom w:val="single" w:sz="4" w:space="0" w:color="auto"/>
            </w:tcBorders>
          </w:tcPr>
          <w:p w14:paraId="7627CE1C" w14:textId="77777777" w:rsidR="003275B0" w:rsidRPr="00465953" w:rsidRDefault="003275B0" w:rsidP="00465953">
            <w:pPr>
              <w:spacing w:line="240" w:lineRule="auto"/>
              <w:jc w:val="center"/>
              <w:rPr>
                <w:b/>
                <w:iCs/>
                <w:color w:val="auto"/>
              </w:rPr>
            </w:pPr>
            <w:r w:rsidRPr="00465953">
              <w:rPr>
                <w:b/>
                <w:iCs/>
                <w:color w:val="auto"/>
              </w:rPr>
              <w:t>Interpretation</w:t>
            </w:r>
          </w:p>
        </w:tc>
        <w:tc>
          <w:tcPr>
            <w:tcW w:w="2297" w:type="dxa"/>
            <w:gridSpan w:val="2"/>
            <w:tcBorders>
              <w:top w:val="single" w:sz="4" w:space="0" w:color="auto"/>
              <w:bottom w:val="single" w:sz="4" w:space="0" w:color="auto"/>
            </w:tcBorders>
          </w:tcPr>
          <w:p w14:paraId="701AFAE2" w14:textId="77777777" w:rsidR="003275B0" w:rsidRPr="00465953" w:rsidRDefault="003275B0" w:rsidP="00465953">
            <w:pPr>
              <w:spacing w:line="240" w:lineRule="auto"/>
              <w:jc w:val="center"/>
              <w:rPr>
                <w:b/>
                <w:iCs/>
                <w:color w:val="auto"/>
              </w:rPr>
            </w:pPr>
            <w:r w:rsidRPr="00465953">
              <w:rPr>
                <w:b/>
                <w:iCs/>
                <w:color w:val="auto"/>
              </w:rPr>
              <w:t>Frequency</w:t>
            </w:r>
          </w:p>
        </w:tc>
        <w:tc>
          <w:tcPr>
            <w:tcW w:w="2299" w:type="dxa"/>
            <w:gridSpan w:val="2"/>
            <w:tcBorders>
              <w:top w:val="single" w:sz="4" w:space="0" w:color="auto"/>
              <w:bottom w:val="single" w:sz="4" w:space="0" w:color="auto"/>
            </w:tcBorders>
          </w:tcPr>
          <w:p w14:paraId="5617B3E6" w14:textId="77777777" w:rsidR="003275B0" w:rsidRPr="00465953" w:rsidRDefault="003275B0" w:rsidP="00465953">
            <w:pPr>
              <w:spacing w:line="240" w:lineRule="auto"/>
              <w:jc w:val="center"/>
              <w:rPr>
                <w:b/>
                <w:iCs/>
                <w:color w:val="auto"/>
              </w:rPr>
            </w:pPr>
            <w:r w:rsidRPr="00465953">
              <w:rPr>
                <w:b/>
                <w:iCs/>
                <w:color w:val="auto"/>
              </w:rPr>
              <w:t>Percentage</w:t>
            </w:r>
          </w:p>
        </w:tc>
      </w:tr>
      <w:tr w:rsidR="003275B0" w:rsidRPr="003275B0" w14:paraId="7032EA2E" w14:textId="77777777" w:rsidTr="00465953">
        <w:trPr>
          <w:jc w:val="center"/>
        </w:trPr>
        <w:tc>
          <w:tcPr>
            <w:tcW w:w="2208" w:type="dxa"/>
            <w:gridSpan w:val="2"/>
            <w:tcBorders>
              <w:top w:val="single" w:sz="4" w:space="0" w:color="auto"/>
            </w:tcBorders>
          </w:tcPr>
          <w:p w14:paraId="29004ABE" w14:textId="77777777" w:rsidR="003275B0" w:rsidRPr="003275B0" w:rsidRDefault="003275B0" w:rsidP="00465953">
            <w:pPr>
              <w:spacing w:line="240" w:lineRule="auto"/>
              <w:jc w:val="center"/>
              <w:rPr>
                <w:iCs/>
                <w:color w:val="auto"/>
              </w:rPr>
            </w:pPr>
            <w:r w:rsidRPr="003275B0">
              <w:rPr>
                <w:iCs/>
                <w:color w:val="auto"/>
              </w:rPr>
              <w:t>1.00 – 1.80</w:t>
            </w:r>
          </w:p>
        </w:tc>
        <w:tc>
          <w:tcPr>
            <w:tcW w:w="2546" w:type="dxa"/>
            <w:gridSpan w:val="2"/>
            <w:tcBorders>
              <w:top w:val="single" w:sz="4" w:space="0" w:color="auto"/>
            </w:tcBorders>
          </w:tcPr>
          <w:p w14:paraId="0B4010C0" w14:textId="77777777" w:rsidR="003275B0" w:rsidRPr="003275B0" w:rsidRDefault="003275B0" w:rsidP="00465953">
            <w:pPr>
              <w:spacing w:line="240" w:lineRule="auto"/>
              <w:jc w:val="center"/>
              <w:rPr>
                <w:iCs/>
                <w:color w:val="auto"/>
              </w:rPr>
            </w:pPr>
            <w:r w:rsidRPr="003275B0">
              <w:rPr>
                <w:iCs/>
                <w:color w:val="auto"/>
              </w:rPr>
              <w:t>Very low</w:t>
            </w:r>
          </w:p>
        </w:tc>
        <w:tc>
          <w:tcPr>
            <w:tcW w:w="2297" w:type="dxa"/>
            <w:gridSpan w:val="2"/>
            <w:tcBorders>
              <w:top w:val="single" w:sz="4" w:space="0" w:color="auto"/>
            </w:tcBorders>
          </w:tcPr>
          <w:p w14:paraId="33CF524B" w14:textId="77777777" w:rsidR="003275B0" w:rsidRPr="003275B0" w:rsidRDefault="003275B0" w:rsidP="00465953">
            <w:pPr>
              <w:spacing w:line="240" w:lineRule="auto"/>
              <w:jc w:val="center"/>
              <w:rPr>
                <w:iCs/>
                <w:color w:val="auto"/>
              </w:rPr>
            </w:pPr>
            <w:r w:rsidRPr="003275B0">
              <w:rPr>
                <w:iCs/>
                <w:color w:val="auto"/>
              </w:rPr>
              <w:t>-</w:t>
            </w:r>
          </w:p>
        </w:tc>
        <w:tc>
          <w:tcPr>
            <w:tcW w:w="2299" w:type="dxa"/>
            <w:gridSpan w:val="2"/>
            <w:tcBorders>
              <w:top w:val="single" w:sz="4" w:space="0" w:color="auto"/>
            </w:tcBorders>
          </w:tcPr>
          <w:p w14:paraId="3394D818" w14:textId="77777777" w:rsidR="003275B0" w:rsidRPr="003275B0" w:rsidRDefault="003275B0" w:rsidP="00465953">
            <w:pPr>
              <w:spacing w:line="240" w:lineRule="auto"/>
              <w:jc w:val="center"/>
              <w:rPr>
                <w:iCs/>
                <w:color w:val="auto"/>
              </w:rPr>
            </w:pPr>
            <w:r w:rsidRPr="003275B0">
              <w:rPr>
                <w:iCs/>
                <w:color w:val="auto"/>
              </w:rPr>
              <w:t>-</w:t>
            </w:r>
          </w:p>
        </w:tc>
      </w:tr>
      <w:tr w:rsidR="003275B0" w:rsidRPr="003275B0" w14:paraId="64858AF3" w14:textId="77777777" w:rsidTr="00465953">
        <w:trPr>
          <w:jc w:val="center"/>
        </w:trPr>
        <w:tc>
          <w:tcPr>
            <w:tcW w:w="2208" w:type="dxa"/>
            <w:gridSpan w:val="2"/>
          </w:tcPr>
          <w:p w14:paraId="6C4EE244" w14:textId="77777777" w:rsidR="003275B0" w:rsidRPr="003275B0" w:rsidRDefault="003275B0" w:rsidP="00465953">
            <w:pPr>
              <w:spacing w:line="240" w:lineRule="auto"/>
              <w:jc w:val="center"/>
              <w:rPr>
                <w:iCs/>
                <w:color w:val="auto"/>
              </w:rPr>
            </w:pPr>
            <w:r w:rsidRPr="003275B0">
              <w:rPr>
                <w:iCs/>
                <w:color w:val="auto"/>
              </w:rPr>
              <w:t>1.81- 2.60</w:t>
            </w:r>
          </w:p>
        </w:tc>
        <w:tc>
          <w:tcPr>
            <w:tcW w:w="2546" w:type="dxa"/>
            <w:gridSpan w:val="2"/>
          </w:tcPr>
          <w:p w14:paraId="294B38C6" w14:textId="77777777" w:rsidR="003275B0" w:rsidRPr="003275B0" w:rsidRDefault="003275B0" w:rsidP="00465953">
            <w:pPr>
              <w:spacing w:line="240" w:lineRule="auto"/>
              <w:jc w:val="center"/>
              <w:rPr>
                <w:iCs/>
                <w:color w:val="auto"/>
              </w:rPr>
            </w:pPr>
            <w:r w:rsidRPr="003275B0">
              <w:rPr>
                <w:iCs/>
                <w:color w:val="auto"/>
              </w:rPr>
              <w:t>Low</w:t>
            </w:r>
          </w:p>
        </w:tc>
        <w:tc>
          <w:tcPr>
            <w:tcW w:w="2297" w:type="dxa"/>
            <w:gridSpan w:val="2"/>
          </w:tcPr>
          <w:p w14:paraId="45CDD753" w14:textId="77777777" w:rsidR="003275B0" w:rsidRPr="003275B0" w:rsidRDefault="003275B0" w:rsidP="00465953">
            <w:pPr>
              <w:spacing w:line="240" w:lineRule="auto"/>
              <w:jc w:val="center"/>
              <w:rPr>
                <w:iCs/>
                <w:color w:val="auto"/>
              </w:rPr>
            </w:pPr>
            <w:r w:rsidRPr="003275B0">
              <w:rPr>
                <w:iCs/>
                <w:color w:val="auto"/>
              </w:rPr>
              <w:t>10</w:t>
            </w:r>
          </w:p>
        </w:tc>
        <w:tc>
          <w:tcPr>
            <w:tcW w:w="2299" w:type="dxa"/>
            <w:gridSpan w:val="2"/>
          </w:tcPr>
          <w:p w14:paraId="04CA6B5D" w14:textId="77777777" w:rsidR="003275B0" w:rsidRPr="003275B0" w:rsidRDefault="003275B0" w:rsidP="00465953">
            <w:pPr>
              <w:spacing w:line="240" w:lineRule="auto"/>
              <w:jc w:val="center"/>
              <w:rPr>
                <w:iCs/>
                <w:color w:val="auto"/>
              </w:rPr>
            </w:pPr>
            <w:r w:rsidRPr="003275B0">
              <w:rPr>
                <w:iCs/>
                <w:color w:val="auto"/>
              </w:rPr>
              <w:t>8.40%</w:t>
            </w:r>
          </w:p>
        </w:tc>
      </w:tr>
      <w:tr w:rsidR="003275B0" w:rsidRPr="003275B0" w14:paraId="41C57C12" w14:textId="77777777" w:rsidTr="00465953">
        <w:trPr>
          <w:jc w:val="center"/>
        </w:trPr>
        <w:tc>
          <w:tcPr>
            <w:tcW w:w="2208" w:type="dxa"/>
            <w:gridSpan w:val="2"/>
          </w:tcPr>
          <w:p w14:paraId="72308702" w14:textId="77777777" w:rsidR="003275B0" w:rsidRPr="003275B0" w:rsidRDefault="003275B0" w:rsidP="00465953">
            <w:pPr>
              <w:spacing w:line="240" w:lineRule="auto"/>
              <w:jc w:val="center"/>
              <w:rPr>
                <w:iCs/>
                <w:color w:val="auto"/>
              </w:rPr>
            </w:pPr>
            <w:r w:rsidRPr="003275B0">
              <w:rPr>
                <w:iCs/>
                <w:color w:val="auto"/>
              </w:rPr>
              <w:t>2.61-3.40</w:t>
            </w:r>
          </w:p>
        </w:tc>
        <w:tc>
          <w:tcPr>
            <w:tcW w:w="2546" w:type="dxa"/>
            <w:gridSpan w:val="2"/>
          </w:tcPr>
          <w:p w14:paraId="4AB845CC" w14:textId="77777777" w:rsidR="003275B0" w:rsidRPr="003275B0" w:rsidRDefault="003275B0" w:rsidP="00465953">
            <w:pPr>
              <w:spacing w:line="240" w:lineRule="auto"/>
              <w:jc w:val="center"/>
              <w:rPr>
                <w:iCs/>
                <w:color w:val="auto"/>
              </w:rPr>
            </w:pPr>
            <w:r w:rsidRPr="003275B0">
              <w:rPr>
                <w:iCs/>
                <w:color w:val="auto"/>
              </w:rPr>
              <w:t>Moderate</w:t>
            </w:r>
          </w:p>
        </w:tc>
        <w:tc>
          <w:tcPr>
            <w:tcW w:w="2297" w:type="dxa"/>
            <w:gridSpan w:val="2"/>
          </w:tcPr>
          <w:p w14:paraId="1A5A7682" w14:textId="77777777" w:rsidR="003275B0" w:rsidRPr="003275B0" w:rsidRDefault="003275B0" w:rsidP="00465953">
            <w:pPr>
              <w:spacing w:line="240" w:lineRule="auto"/>
              <w:jc w:val="center"/>
              <w:rPr>
                <w:iCs/>
                <w:color w:val="auto"/>
              </w:rPr>
            </w:pPr>
            <w:r w:rsidRPr="003275B0">
              <w:rPr>
                <w:iCs/>
                <w:color w:val="auto"/>
              </w:rPr>
              <w:t>73</w:t>
            </w:r>
          </w:p>
        </w:tc>
        <w:tc>
          <w:tcPr>
            <w:tcW w:w="2299" w:type="dxa"/>
            <w:gridSpan w:val="2"/>
          </w:tcPr>
          <w:p w14:paraId="1B811313" w14:textId="77777777" w:rsidR="003275B0" w:rsidRPr="003275B0" w:rsidRDefault="003275B0" w:rsidP="00465953">
            <w:pPr>
              <w:spacing w:line="240" w:lineRule="auto"/>
              <w:jc w:val="center"/>
              <w:rPr>
                <w:iCs/>
                <w:color w:val="auto"/>
              </w:rPr>
            </w:pPr>
            <w:r w:rsidRPr="003275B0">
              <w:rPr>
                <w:iCs/>
                <w:color w:val="auto"/>
              </w:rPr>
              <w:t>60.80%</w:t>
            </w:r>
          </w:p>
        </w:tc>
      </w:tr>
      <w:tr w:rsidR="003275B0" w:rsidRPr="003275B0" w14:paraId="1D2752F4" w14:textId="77777777" w:rsidTr="00465953">
        <w:trPr>
          <w:jc w:val="center"/>
        </w:trPr>
        <w:tc>
          <w:tcPr>
            <w:tcW w:w="2208" w:type="dxa"/>
            <w:gridSpan w:val="2"/>
          </w:tcPr>
          <w:p w14:paraId="503592E8" w14:textId="77777777" w:rsidR="003275B0" w:rsidRPr="003275B0" w:rsidRDefault="003275B0" w:rsidP="00465953">
            <w:pPr>
              <w:spacing w:line="240" w:lineRule="auto"/>
              <w:jc w:val="center"/>
              <w:rPr>
                <w:iCs/>
                <w:color w:val="auto"/>
              </w:rPr>
            </w:pPr>
            <w:r w:rsidRPr="003275B0">
              <w:rPr>
                <w:iCs/>
                <w:color w:val="auto"/>
              </w:rPr>
              <w:t>3.41-4.20</w:t>
            </w:r>
          </w:p>
        </w:tc>
        <w:tc>
          <w:tcPr>
            <w:tcW w:w="2546" w:type="dxa"/>
            <w:gridSpan w:val="2"/>
          </w:tcPr>
          <w:p w14:paraId="3251BC5A" w14:textId="77777777" w:rsidR="003275B0" w:rsidRPr="003275B0" w:rsidRDefault="003275B0" w:rsidP="00465953">
            <w:pPr>
              <w:spacing w:line="240" w:lineRule="auto"/>
              <w:jc w:val="center"/>
              <w:rPr>
                <w:iCs/>
                <w:color w:val="auto"/>
              </w:rPr>
            </w:pPr>
            <w:r w:rsidRPr="003275B0">
              <w:rPr>
                <w:iCs/>
                <w:color w:val="auto"/>
              </w:rPr>
              <w:t>High</w:t>
            </w:r>
          </w:p>
        </w:tc>
        <w:tc>
          <w:tcPr>
            <w:tcW w:w="2297" w:type="dxa"/>
            <w:gridSpan w:val="2"/>
          </w:tcPr>
          <w:p w14:paraId="04B39C05" w14:textId="77777777" w:rsidR="003275B0" w:rsidRPr="003275B0" w:rsidRDefault="003275B0" w:rsidP="00465953">
            <w:pPr>
              <w:spacing w:line="240" w:lineRule="auto"/>
              <w:jc w:val="center"/>
              <w:rPr>
                <w:iCs/>
                <w:color w:val="auto"/>
              </w:rPr>
            </w:pPr>
            <w:r w:rsidRPr="003275B0">
              <w:rPr>
                <w:iCs/>
                <w:color w:val="auto"/>
              </w:rPr>
              <w:t>37</w:t>
            </w:r>
          </w:p>
        </w:tc>
        <w:tc>
          <w:tcPr>
            <w:tcW w:w="2299" w:type="dxa"/>
            <w:gridSpan w:val="2"/>
          </w:tcPr>
          <w:p w14:paraId="79751EB1" w14:textId="77777777" w:rsidR="003275B0" w:rsidRPr="003275B0" w:rsidRDefault="003275B0" w:rsidP="00465953">
            <w:pPr>
              <w:spacing w:line="240" w:lineRule="auto"/>
              <w:jc w:val="center"/>
              <w:rPr>
                <w:iCs/>
                <w:color w:val="auto"/>
              </w:rPr>
            </w:pPr>
            <w:r w:rsidRPr="003275B0">
              <w:rPr>
                <w:iCs/>
                <w:color w:val="auto"/>
              </w:rPr>
              <w:t>30.83%</w:t>
            </w:r>
          </w:p>
        </w:tc>
      </w:tr>
      <w:tr w:rsidR="003275B0" w:rsidRPr="003275B0" w14:paraId="6C42B412" w14:textId="77777777" w:rsidTr="00465953">
        <w:trPr>
          <w:jc w:val="center"/>
        </w:trPr>
        <w:tc>
          <w:tcPr>
            <w:tcW w:w="2208" w:type="dxa"/>
            <w:gridSpan w:val="2"/>
          </w:tcPr>
          <w:p w14:paraId="08A62ECA" w14:textId="77777777" w:rsidR="003275B0" w:rsidRPr="003275B0" w:rsidRDefault="003275B0" w:rsidP="00465953">
            <w:pPr>
              <w:spacing w:line="240" w:lineRule="auto"/>
              <w:jc w:val="center"/>
              <w:rPr>
                <w:iCs/>
                <w:color w:val="auto"/>
              </w:rPr>
            </w:pPr>
            <w:r w:rsidRPr="003275B0">
              <w:rPr>
                <w:iCs/>
                <w:color w:val="auto"/>
              </w:rPr>
              <w:t>4.21-5.00</w:t>
            </w:r>
          </w:p>
        </w:tc>
        <w:tc>
          <w:tcPr>
            <w:tcW w:w="2546" w:type="dxa"/>
            <w:gridSpan w:val="2"/>
          </w:tcPr>
          <w:p w14:paraId="6A5DAE2F" w14:textId="77777777" w:rsidR="003275B0" w:rsidRPr="003275B0" w:rsidRDefault="003275B0" w:rsidP="00465953">
            <w:pPr>
              <w:spacing w:line="240" w:lineRule="auto"/>
              <w:jc w:val="center"/>
              <w:rPr>
                <w:iCs/>
                <w:color w:val="auto"/>
              </w:rPr>
            </w:pPr>
            <w:r w:rsidRPr="003275B0">
              <w:rPr>
                <w:iCs/>
                <w:color w:val="auto"/>
              </w:rPr>
              <w:t>Very high</w:t>
            </w:r>
          </w:p>
        </w:tc>
        <w:tc>
          <w:tcPr>
            <w:tcW w:w="2297" w:type="dxa"/>
            <w:gridSpan w:val="2"/>
          </w:tcPr>
          <w:p w14:paraId="26F020C2" w14:textId="77777777" w:rsidR="003275B0" w:rsidRPr="003275B0" w:rsidRDefault="003275B0" w:rsidP="00465953">
            <w:pPr>
              <w:spacing w:line="240" w:lineRule="auto"/>
              <w:jc w:val="center"/>
              <w:rPr>
                <w:iCs/>
                <w:color w:val="auto"/>
              </w:rPr>
            </w:pPr>
            <w:r w:rsidRPr="003275B0">
              <w:rPr>
                <w:iCs/>
                <w:color w:val="auto"/>
              </w:rPr>
              <w:t>-</w:t>
            </w:r>
          </w:p>
        </w:tc>
        <w:tc>
          <w:tcPr>
            <w:tcW w:w="2299" w:type="dxa"/>
            <w:gridSpan w:val="2"/>
          </w:tcPr>
          <w:p w14:paraId="65258A97" w14:textId="77777777" w:rsidR="003275B0" w:rsidRPr="003275B0" w:rsidRDefault="003275B0" w:rsidP="00465953">
            <w:pPr>
              <w:spacing w:line="240" w:lineRule="auto"/>
              <w:jc w:val="center"/>
              <w:rPr>
                <w:iCs/>
                <w:color w:val="auto"/>
              </w:rPr>
            </w:pPr>
            <w:r w:rsidRPr="003275B0">
              <w:rPr>
                <w:iCs/>
                <w:color w:val="auto"/>
              </w:rPr>
              <w:t>-</w:t>
            </w:r>
          </w:p>
        </w:tc>
      </w:tr>
      <w:tr w:rsidR="003275B0" w:rsidRPr="003275B0" w14:paraId="3261080B" w14:textId="77777777" w:rsidTr="00465953">
        <w:trPr>
          <w:jc w:val="center"/>
        </w:trPr>
        <w:tc>
          <w:tcPr>
            <w:tcW w:w="985" w:type="dxa"/>
          </w:tcPr>
          <w:p w14:paraId="560301FC" w14:textId="77777777" w:rsidR="003275B0" w:rsidRPr="003275B0" w:rsidRDefault="003275B0" w:rsidP="00465953">
            <w:pPr>
              <w:spacing w:line="240" w:lineRule="auto"/>
              <w:jc w:val="center"/>
              <w:rPr>
                <w:iCs/>
                <w:color w:val="auto"/>
              </w:rPr>
            </w:pPr>
            <w:r w:rsidRPr="003275B0">
              <w:rPr>
                <w:iCs/>
                <w:color w:val="auto"/>
              </w:rPr>
              <w:t>N</w:t>
            </w:r>
          </w:p>
        </w:tc>
        <w:tc>
          <w:tcPr>
            <w:tcW w:w="1223" w:type="dxa"/>
          </w:tcPr>
          <w:p w14:paraId="4C700CAB" w14:textId="77777777" w:rsidR="003275B0" w:rsidRPr="003275B0" w:rsidRDefault="003275B0" w:rsidP="00465953">
            <w:pPr>
              <w:spacing w:line="240" w:lineRule="auto"/>
              <w:jc w:val="center"/>
              <w:rPr>
                <w:iCs/>
                <w:color w:val="auto"/>
              </w:rPr>
            </w:pPr>
            <w:r w:rsidRPr="003275B0">
              <w:rPr>
                <w:iCs/>
                <w:color w:val="auto"/>
              </w:rPr>
              <w:t>Maximum</w:t>
            </w:r>
          </w:p>
        </w:tc>
        <w:tc>
          <w:tcPr>
            <w:tcW w:w="1342" w:type="dxa"/>
          </w:tcPr>
          <w:p w14:paraId="01A2DA16" w14:textId="77777777" w:rsidR="003275B0" w:rsidRPr="003275B0" w:rsidRDefault="003275B0" w:rsidP="00465953">
            <w:pPr>
              <w:spacing w:line="240" w:lineRule="auto"/>
              <w:jc w:val="center"/>
              <w:rPr>
                <w:iCs/>
                <w:color w:val="auto"/>
              </w:rPr>
            </w:pPr>
            <w:r w:rsidRPr="003275B0">
              <w:rPr>
                <w:iCs/>
                <w:color w:val="auto"/>
              </w:rPr>
              <w:t>Minimum</w:t>
            </w:r>
          </w:p>
        </w:tc>
        <w:tc>
          <w:tcPr>
            <w:tcW w:w="2115" w:type="dxa"/>
            <w:gridSpan w:val="2"/>
          </w:tcPr>
          <w:p w14:paraId="5F9528ED" w14:textId="06D60FF2" w:rsidR="003275B0" w:rsidRPr="003275B0" w:rsidRDefault="003275B0" w:rsidP="00465953">
            <w:pPr>
              <w:spacing w:line="240" w:lineRule="auto"/>
              <w:jc w:val="center"/>
              <w:rPr>
                <w:iCs/>
                <w:color w:val="auto"/>
              </w:rPr>
            </w:pPr>
            <w:r w:rsidRPr="003275B0">
              <w:rPr>
                <w:iCs/>
                <w:color w:val="auto"/>
              </w:rPr>
              <w:t>Standard Deviation</w:t>
            </w:r>
          </w:p>
        </w:tc>
        <w:tc>
          <w:tcPr>
            <w:tcW w:w="1530" w:type="dxa"/>
            <w:gridSpan w:val="2"/>
          </w:tcPr>
          <w:p w14:paraId="784FE902" w14:textId="77777777" w:rsidR="003275B0" w:rsidRPr="003275B0" w:rsidRDefault="003275B0" w:rsidP="00465953">
            <w:pPr>
              <w:spacing w:line="240" w:lineRule="auto"/>
              <w:jc w:val="center"/>
              <w:rPr>
                <w:iCs/>
                <w:color w:val="auto"/>
              </w:rPr>
            </w:pPr>
            <w:r w:rsidRPr="003275B0">
              <w:rPr>
                <w:iCs/>
                <w:color w:val="auto"/>
              </w:rPr>
              <w:t>Mean</w:t>
            </w:r>
          </w:p>
        </w:tc>
        <w:tc>
          <w:tcPr>
            <w:tcW w:w="2155" w:type="dxa"/>
          </w:tcPr>
          <w:p w14:paraId="2CAAE006" w14:textId="77777777" w:rsidR="003275B0" w:rsidRPr="003275B0" w:rsidRDefault="003275B0" w:rsidP="00465953">
            <w:pPr>
              <w:spacing w:line="240" w:lineRule="auto"/>
              <w:jc w:val="center"/>
              <w:rPr>
                <w:iCs/>
                <w:color w:val="auto"/>
              </w:rPr>
            </w:pPr>
            <w:r w:rsidRPr="003275B0">
              <w:rPr>
                <w:iCs/>
                <w:color w:val="auto"/>
              </w:rPr>
              <w:t>Interpretation</w:t>
            </w:r>
          </w:p>
        </w:tc>
      </w:tr>
      <w:tr w:rsidR="003275B0" w:rsidRPr="003275B0" w14:paraId="70B1316C" w14:textId="77777777" w:rsidTr="00465953">
        <w:trPr>
          <w:jc w:val="center"/>
        </w:trPr>
        <w:tc>
          <w:tcPr>
            <w:tcW w:w="985" w:type="dxa"/>
          </w:tcPr>
          <w:p w14:paraId="4F7E5ADF" w14:textId="77777777" w:rsidR="003275B0" w:rsidRPr="003275B0" w:rsidRDefault="003275B0" w:rsidP="00465953">
            <w:pPr>
              <w:spacing w:line="240" w:lineRule="auto"/>
              <w:jc w:val="center"/>
              <w:rPr>
                <w:iCs/>
                <w:color w:val="auto"/>
              </w:rPr>
            </w:pPr>
            <w:r w:rsidRPr="003275B0">
              <w:rPr>
                <w:iCs/>
                <w:color w:val="auto"/>
              </w:rPr>
              <w:t>120</w:t>
            </w:r>
          </w:p>
        </w:tc>
        <w:tc>
          <w:tcPr>
            <w:tcW w:w="1223" w:type="dxa"/>
          </w:tcPr>
          <w:p w14:paraId="3D7104CA" w14:textId="77777777" w:rsidR="003275B0" w:rsidRPr="003275B0" w:rsidRDefault="003275B0" w:rsidP="00465953">
            <w:pPr>
              <w:spacing w:line="240" w:lineRule="auto"/>
              <w:jc w:val="center"/>
              <w:rPr>
                <w:iCs/>
                <w:color w:val="auto"/>
              </w:rPr>
            </w:pPr>
            <w:r w:rsidRPr="003275B0">
              <w:rPr>
                <w:iCs/>
                <w:color w:val="auto"/>
              </w:rPr>
              <w:t>4.00</w:t>
            </w:r>
          </w:p>
        </w:tc>
        <w:tc>
          <w:tcPr>
            <w:tcW w:w="1342" w:type="dxa"/>
          </w:tcPr>
          <w:p w14:paraId="33D182D0" w14:textId="77777777" w:rsidR="003275B0" w:rsidRPr="003275B0" w:rsidRDefault="003275B0" w:rsidP="00465953">
            <w:pPr>
              <w:spacing w:line="240" w:lineRule="auto"/>
              <w:jc w:val="center"/>
              <w:rPr>
                <w:iCs/>
                <w:color w:val="auto"/>
              </w:rPr>
            </w:pPr>
            <w:r w:rsidRPr="003275B0">
              <w:rPr>
                <w:iCs/>
                <w:color w:val="auto"/>
              </w:rPr>
              <w:t>2.00</w:t>
            </w:r>
          </w:p>
        </w:tc>
        <w:tc>
          <w:tcPr>
            <w:tcW w:w="2115" w:type="dxa"/>
            <w:gridSpan w:val="2"/>
          </w:tcPr>
          <w:p w14:paraId="07943FB4" w14:textId="77777777" w:rsidR="003275B0" w:rsidRPr="003275B0" w:rsidRDefault="003275B0" w:rsidP="00465953">
            <w:pPr>
              <w:spacing w:line="240" w:lineRule="auto"/>
              <w:jc w:val="center"/>
              <w:rPr>
                <w:iCs/>
                <w:color w:val="auto"/>
              </w:rPr>
            </w:pPr>
            <w:r w:rsidRPr="003275B0">
              <w:rPr>
                <w:iCs/>
                <w:color w:val="auto"/>
              </w:rPr>
              <w:t>.38801</w:t>
            </w:r>
          </w:p>
        </w:tc>
        <w:tc>
          <w:tcPr>
            <w:tcW w:w="1530" w:type="dxa"/>
            <w:gridSpan w:val="2"/>
          </w:tcPr>
          <w:p w14:paraId="5D5CA392" w14:textId="77777777" w:rsidR="003275B0" w:rsidRPr="003275B0" w:rsidRDefault="003275B0" w:rsidP="00465953">
            <w:pPr>
              <w:spacing w:line="240" w:lineRule="auto"/>
              <w:jc w:val="center"/>
              <w:rPr>
                <w:iCs/>
                <w:color w:val="auto"/>
              </w:rPr>
            </w:pPr>
            <w:r w:rsidRPr="003275B0">
              <w:rPr>
                <w:iCs/>
                <w:color w:val="auto"/>
              </w:rPr>
              <w:t>3.2358</w:t>
            </w:r>
          </w:p>
        </w:tc>
        <w:tc>
          <w:tcPr>
            <w:tcW w:w="2155" w:type="dxa"/>
          </w:tcPr>
          <w:p w14:paraId="45FC074F" w14:textId="5D2E703C" w:rsidR="003275B0" w:rsidRPr="003275B0" w:rsidRDefault="003275B0" w:rsidP="00465953">
            <w:pPr>
              <w:spacing w:line="240" w:lineRule="auto"/>
              <w:jc w:val="center"/>
              <w:rPr>
                <w:iCs/>
                <w:color w:val="auto"/>
              </w:rPr>
            </w:pPr>
            <w:r w:rsidRPr="003275B0">
              <w:rPr>
                <w:iCs/>
                <w:color w:val="auto"/>
              </w:rPr>
              <w:t>Moderate</w:t>
            </w:r>
          </w:p>
        </w:tc>
      </w:tr>
    </w:tbl>
    <w:p w14:paraId="58C1E043" w14:textId="1702CDE1" w:rsidR="003275B0" w:rsidRPr="003275B0" w:rsidRDefault="00465953" w:rsidP="003275B0">
      <w:pPr>
        <w:jc w:val="both"/>
        <w:rPr>
          <w:iCs/>
        </w:rPr>
      </w:pPr>
      <w:r>
        <w:rPr>
          <w:iCs/>
        </w:rPr>
        <w:t xml:space="preserve">Based on Table 1.6 </w:t>
      </w:r>
      <w:r w:rsidR="003275B0" w:rsidRPr="003275B0">
        <w:rPr>
          <w:iCs/>
        </w:rPr>
        <w:t xml:space="preserve">above, 60.80% (73) respondent are in moderate level, while 30.83% (37) of respondents are in the high level. However only 8.40% (10) of respondents are in the low level. Overall the level of teachers readiness in implementing the Zero Reject Policy are moderate which maximum 4.00 and minimum 2.0 (Mean 3.2358, S.P = .38801). </w:t>
      </w:r>
    </w:p>
    <w:p w14:paraId="13262483" w14:textId="267A1F59" w:rsidR="009741CE" w:rsidRPr="003C0958" w:rsidRDefault="009741CE" w:rsidP="00EB1BE5">
      <w:pPr>
        <w:jc w:val="both"/>
        <w:rPr>
          <w:iCs/>
        </w:rPr>
      </w:pPr>
    </w:p>
    <w:p w14:paraId="15427887" w14:textId="77777777" w:rsidR="008D25DF" w:rsidRDefault="00351457" w:rsidP="00351457">
      <w:pPr>
        <w:jc w:val="both"/>
      </w:pPr>
      <w:r>
        <w:rPr>
          <w:b/>
        </w:rPr>
        <w:t>D</w:t>
      </w:r>
      <w:r w:rsidR="00D3413E">
        <w:rPr>
          <w:b/>
        </w:rPr>
        <w:t>iscussion</w:t>
      </w:r>
      <w:r w:rsidR="008D25DF" w:rsidRPr="008D25DF">
        <w:t xml:space="preserve"> </w:t>
      </w:r>
    </w:p>
    <w:p w14:paraId="7F272207" w14:textId="51E32B65" w:rsidR="00465953" w:rsidRDefault="00465953" w:rsidP="00465953">
      <w:pPr>
        <w:jc w:val="both"/>
        <w:rPr>
          <w:bCs/>
          <w:lang w:val="en-US"/>
        </w:rPr>
      </w:pPr>
      <w:r w:rsidRPr="00465953">
        <w:rPr>
          <w:bCs/>
          <w:lang w:val="en-US"/>
        </w:rPr>
        <w:t>The teache</w:t>
      </w:r>
      <w:r w:rsidR="00A60A01">
        <w:rPr>
          <w:bCs/>
          <w:lang w:val="en-US"/>
        </w:rPr>
        <w:t xml:space="preserve">r's acceptance on the policy </w:t>
      </w:r>
      <w:r w:rsidRPr="00465953">
        <w:rPr>
          <w:bCs/>
          <w:lang w:val="en-US"/>
        </w:rPr>
        <w:t xml:space="preserve">related to teacher’s willingness to implement the policy. The extent to which these teachers accept something will reflect their willingness and determination to </w:t>
      </w:r>
      <w:r w:rsidR="002A7513">
        <w:rPr>
          <w:bCs/>
          <w:lang w:val="en-US"/>
        </w:rPr>
        <w:t xml:space="preserve">carry out the task </w:t>
      </w:r>
      <w:r w:rsidR="00A60A01">
        <w:rPr>
          <w:bCs/>
          <w:lang w:val="en-US"/>
        </w:rPr>
        <w:t>.</w:t>
      </w:r>
      <w:r w:rsidRPr="00465953">
        <w:rPr>
          <w:bCs/>
          <w:lang w:val="en-US"/>
        </w:rPr>
        <w:t>In this study, teachers' acceptance of ZRP was statistically moderate. The “top down policy" which gives the situation that, as a teacher they have to implement policies that made by the ministry. However, the Malaysian Education Ministry 2019 report on 49 respondents from several levels regarding education policy in Malaysia found that the complexity of implementing educati</w:t>
      </w:r>
      <w:r w:rsidR="00A60A01">
        <w:rPr>
          <w:bCs/>
          <w:lang w:val="en-US"/>
        </w:rPr>
        <w:t>on policy reform is due to the implementation gap</w:t>
      </w:r>
      <w:r w:rsidRPr="00465953">
        <w:rPr>
          <w:bCs/>
          <w:lang w:val="en-US"/>
        </w:rPr>
        <w:t xml:space="preserve"> between policy aspirations and implementation in schools and classrooms. </w:t>
      </w:r>
      <w:r w:rsidR="00A60A01">
        <w:rPr>
          <w:bCs/>
          <w:lang w:val="en-US"/>
        </w:rPr>
        <w:t>The</w:t>
      </w:r>
      <w:r w:rsidR="00A60A01" w:rsidRPr="00A60A01">
        <w:rPr>
          <w:bCs/>
          <w:lang w:val="en-US"/>
        </w:rPr>
        <w:t xml:space="preserve"> </w:t>
      </w:r>
      <w:r w:rsidR="00A60A01" w:rsidRPr="00465953">
        <w:rPr>
          <w:bCs/>
          <w:lang w:val="en-US"/>
        </w:rPr>
        <w:t>centralized system</w:t>
      </w:r>
      <w:r w:rsidR="00A60A01">
        <w:rPr>
          <w:bCs/>
          <w:lang w:val="en-US"/>
        </w:rPr>
        <w:t xml:space="preserve"> from top – </w:t>
      </w:r>
      <w:proofErr w:type="gramStart"/>
      <w:r w:rsidR="00A60A01">
        <w:rPr>
          <w:bCs/>
          <w:lang w:val="en-US"/>
        </w:rPr>
        <w:t>down ,</w:t>
      </w:r>
      <w:proofErr w:type="gramEnd"/>
      <w:r w:rsidR="00A60A01">
        <w:rPr>
          <w:bCs/>
          <w:lang w:val="en-US"/>
        </w:rPr>
        <w:t xml:space="preserve"> policy maker to teacher resulting in the difference between the message that is understood and what is intended. </w:t>
      </w:r>
    </w:p>
    <w:p w14:paraId="0C27FE96" w14:textId="715997BE" w:rsidR="00465953" w:rsidRPr="00465953" w:rsidRDefault="00465953" w:rsidP="00465953">
      <w:pPr>
        <w:ind w:firstLine="720"/>
        <w:jc w:val="both"/>
        <w:rPr>
          <w:bCs/>
          <w:lang w:val="en-US"/>
        </w:rPr>
      </w:pPr>
      <w:r w:rsidRPr="00465953">
        <w:rPr>
          <w:bCs/>
          <w:lang w:val="en-US"/>
        </w:rPr>
        <w:t>In this study, the item that received a very low acceptance score was when it involved SEN having to study in the special class. This item is a negative item but the teacher has a high level of agreement with this item. This situation actually gives the impression that teachers have a hard time accepting SEN studying in the mainstream class and this is contrary to ZRP wishes, where SEN can study in any mainstream school. This situation occurs due to the lack of understanding of teachers in the mainstream regarding the implementation of inclusive educ</w:t>
      </w:r>
      <w:r w:rsidR="002A7513">
        <w:rPr>
          <w:bCs/>
          <w:lang w:val="en-US"/>
        </w:rPr>
        <w:t>ation in schools (</w:t>
      </w:r>
      <w:proofErr w:type="spellStart"/>
      <w:r w:rsidR="002A7513">
        <w:rPr>
          <w:bCs/>
          <w:lang w:val="en-US"/>
        </w:rPr>
        <w:t>BPKhas</w:t>
      </w:r>
      <w:proofErr w:type="spellEnd"/>
      <w:r w:rsidR="002A7513">
        <w:rPr>
          <w:bCs/>
          <w:lang w:val="en-US"/>
        </w:rPr>
        <w:t xml:space="preserve"> Report</w:t>
      </w:r>
      <w:r w:rsidRPr="00465953">
        <w:rPr>
          <w:bCs/>
          <w:lang w:val="en-US"/>
        </w:rPr>
        <w:t xml:space="preserve"> 2012).</w:t>
      </w:r>
    </w:p>
    <w:p w14:paraId="755E6880" w14:textId="54E7C47A" w:rsidR="00465953" w:rsidRPr="00465953" w:rsidRDefault="00465953" w:rsidP="00465953">
      <w:pPr>
        <w:ind w:firstLine="720"/>
        <w:jc w:val="both"/>
        <w:rPr>
          <w:bCs/>
          <w:lang w:val="en-US"/>
        </w:rPr>
      </w:pPr>
      <w:r w:rsidRPr="00465953">
        <w:rPr>
          <w:bCs/>
          <w:lang w:val="en-US"/>
        </w:rPr>
        <w:t xml:space="preserve">In this study, it </w:t>
      </w:r>
      <w:proofErr w:type="gramStart"/>
      <w:r w:rsidRPr="00465953">
        <w:rPr>
          <w:bCs/>
          <w:lang w:val="en-US"/>
        </w:rPr>
        <w:t>was found</w:t>
      </w:r>
      <w:proofErr w:type="gramEnd"/>
      <w:r w:rsidRPr="00465953">
        <w:rPr>
          <w:bCs/>
          <w:lang w:val="en-US"/>
        </w:rPr>
        <w:t xml:space="preserve"> that teachers believe that they can be fair to all students but feel doubtful about the fun of teaching when there are SEN studying together with prime students. This situation also gives the impression that teachers still doubt SEN's ability to learn together with students in the mainstream, which ultimately affects the entire learning atmosphere in the classroom. This finding is consistent </w:t>
      </w:r>
      <w:proofErr w:type="gramStart"/>
      <w:r w:rsidRPr="00465953">
        <w:rPr>
          <w:bCs/>
          <w:lang w:val="en-US"/>
        </w:rPr>
        <w:t>with</w:t>
      </w:r>
      <w:proofErr w:type="gramEnd"/>
      <w:r w:rsidRPr="00465953">
        <w:rPr>
          <w:bCs/>
          <w:lang w:val="en-US"/>
        </w:rPr>
        <w:t xml:space="preserve">. </w:t>
      </w:r>
      <w:r w:rsidR="002A7513">
        <w:rPr>
          <w:bCs/>
          <w:lang w:val="en-US"/>
        </w:rPr>
        <w:t>(</w:t>
      </w:r>
      <w:r w:rsidRPr="00465953">
        <w:rPr>
          <w:bCs/>
          <w:lang w:val="en-US"/>
        </w:rPr>
        <w:t xml:space="preserve">Sharma </w:t>
      </w:r>
      <w:proofErr w:type="gramStart"/>
      <w:r w:rsidRPr="00465953">
        <w:rPr>
          <w:bCs/>
          <w:lang w:val="en-US"/>
        </w:rPr>
        <w:t>et</w:t>
      </w:r>
      <w:proofErr w:type="gramEnd"/>
      <w:r w:rsidRPr="00465953">
        <w:rPr>
          <w:bCs/>
          <w:lang w:val="en-US"/>
        </w:rPr>
        <w:t xml:space="preserve"> </w:t>
      </w:r>
      <w:r w:rsidR="00C72D00">
        <w:rPr>
          <w:bCs/>
          <w:lang w:val="en-US"/>
        </w:rPr>
        <w:t>et.al 2012)</w:t>
      </w:r>
      <w:r w:rsidRPr="00465953">
        <w:rPr>
          <w:bCs/>
          <w:lang w:val="en-US"/>
        </w:rPr>
        <w:t xml:space="preserve"> who think that the success of this policy is plagued by the problem of teacher acceptance. The stigma of society, including the group of teachers themselves, is a challenge to the implementation of inclusive education in schools where teachers </w:t>
      </w:r>
      <w:proofErr w:type="gramStart"/>
      <w:r w:rsidRPr="00465953">
        <w:rPr>
          <w:bCs/>
          <w:lang w:val="en-US"/>
        </w:rPr>
        <w:t>are said</w:t>
      </w:r>
      <w:proofErr w:type="gramEnd"/>
      <w:r w:rsidRPr="00465953">
        <w:rPr>
          <w:bCs/>
          <w:lang w:val="en-US"/>
        </w:rPr>
        <w:t xml:space="preserve"> to often dispute the ability of students with special needs if they are pl</w:t>
      </w:r>
      <w:r w:rsidR="00C72D00">
        <w:rPr>
          <w:bCs/>
          <w:lang w:val="en-US"/>
        </w:rPr>
        <w:t xml:space="preserve">aced with mainstream students. </w:t>
      </w:r>
      <w:r w:rsidR="00F03157">
        <w:rPr>
          <w:bCs/>
          <w:lang w:val="en-US"/>
        </w:rPr>
        <w:t xml:space="preserve">Teacher who experience contact with SEN consistently positive </w:t>
      </w:r>
      <w:proofErr w:type="spellStart"/>
      <w:r w:rsidR="00F03157">
        <w:rPr>
          <w:bCs/>
          <w:lang w:val="en-US"/>
        </w:rPr>
        <w:t>atittuted</w:t>
      </w:r>
      <w:proofErr w:type="spellEnd"/>
      <w:r w:rsidR="00F03157">
        <w:rPr>
          <w:bCs/>
          <w:lang w:val="en-US"/>
        </w:rPr>
        <w:t xml:space="preserve"> towards inclusive education.</w:t>
      </w:r>
      <w:r w:rsidR="00D90B79">
        <w:rPr>
          <w:bCs/>
        </w:rPr>
        <w:t xml:space="preserve"> </w:t>
      </w:r>
      <w:proofErr w:type="spellStart"/>
      <w:r w:rsidR="00C72D00" w:rsidRPr="00C72D00">
        <w:rPr>
          <w:bCs/>
        </w:rPr>
        <w:t>Kurniawati</w:t>
      </w:r>
      <w:proofErr w:type="spellEnd"/>
      <w:r w:rsidR="00C72D00" w:rsidRPr="00C72D00">
        <w:rPr>
          <w:bCs/>
        </w:rPr>
        <w:t xml:space="preserve"> et al., 2012). Teacher training is also significant, since teachers educated in Special Education tend to be more positively disposed towards inclusion (</w:t>
      </w:r>
      <w:proofErr w:type="spellStart"/>
      <w:r w:rsidR="00C72D00" w:rsidRPr="00C72D00">
        <w:rPr>
          <w:bCs/>
        </w:rPr>
        <w:t>Ghanizadeh</w:t>
      </w:r>
      <w:proofErr w:type="spellEnd"/>
      <w:r w:rsidR="00C72D00" w:rsidRPr="00C72D00">
        <w:rPr>
          <w:bCs/>
        </w:rPr>
        <w:t xml:space="preserve">, </w:t>
      </w:r>
      <w:proofErr w:type="spellStart"/>
      <w:r w:rsidR="00C72D00" w:rsidRPr="00C72D00">
        <w:rPr>
          <w:bCs/>
        </w:rPr>
        <w:t>Bahredar</w:t>
      </w:r>
      <w:proofErr w:type="spellEnd"/>
      <w:r w:rsidR="00C72D00" w:rsidRPr="00C72D00">
        <w:rPr>
          <w:bCs/>
        </w:rPr>
        <w:t xml:space="preserve"> &amp; </w:t>
      </w:r>
      <w:proofErr w:type="spellStart"/>
      <w:r w:rsidR="00C72D00" w:rsidRPr="00C72D00">
        <w:rPr>
          <w:bCs/>
        </w:rPr>
        <w:t>Moeini</w:t>
      </w:r>
      <w:proofErr w:type="spellEnd"/>
      <w:r w:rsidR="00C72D00" w:rsidRPr="00C72D00">
        <w:rPr>
          <w:bCs/>
        </w:rPr>
        <w:t>, 2006; Sari, 2007)</w:t>
      </w:r>
    </w:p>
    <w:p w14:paraId="41DBF68D" w14:textId="3B21EFD2" w:rsidR="00465953" w:rsidRPr="00465953" w:rsidRDefault="00465953" w:rsidP="00465953">
      <w:pPr>
        <w:ind w:firstLine="720"/>
        <w:jc w:val="both"/>
        <w:rPr>
          <w:bCs/>
          <w:lang w:val="en-US"/>
        </w:rPr>
      </w:pPr>
      <w:r w:rsidRPr="00465953">
        <w:rPr>
          <w:bCs/>
          <w:lang w:val="en-US"/>
        </w:rPr>
        <w:t xml:space="preserve">Due to the characteristics of education are dynamic and constantly evolving, therefore the </w:t>
      </w:r>
      <w:proofErr w:type="gramStart"/>
      <w:r w:rsidRPr="00465953">
        <w:rPr>
          <w:bCs/>
          <w:lang w:val="en-US"/>
        </w:rPr>
        <w:t>implementation</w:t>
      </w:r>
      <w:proofErr w:type="gramEnd"/>
      <w:r w:rsidRPr="00465953">
        <w:rPr>
          <w:bCs/>
          <w:lang w:val="en-US"/>
        </w:rPr>
        <w:t xml:space="preserve"> of ZRP requires changes in the learning process and improving the quality and delivery of </w:t>
      </w:r>
      <w:r w:rsidRPr="00465953">
        <w:rPr>
          <w:bCs/>
          <w:lang w:val="en-US"/>
        </w:rPr>
        <w:lastRenderedPageBreak/>
        <w:t>k</w:t>
      </w:r>
      <w:r w:rsidR="002A7513">
        <w:rPr>
          <w:bCs/>
          <w:lang w:val="en-US"/>
        </w:rPr>
        <w:t xml:space="preserve">nowledge. However, the change </w:t>
      </w:r>
      <w:proofErr w:type="gramStart"/>
      <w:r w:rsidR="002A7513">
        <w:rPr>
          <w:bCs/>
          <w:lang w:val="en-US"/>
        </w:rPr>
        <w:t>was</w:t>
      </w:r>
      <w:r w:rsidRPr="00465953">
        <w:rPr>
          <w:bCs/>
          <w:lang w:val="en-US"/>
        </w:rPr>
        <w:t xml:space="preserve"> closely related</w:t>
      </w:r>
      <w:proofErr w:type="gramEnd"/>
      <w:r w:rsidRPr="00465953">
        <w:rPr>
          <w:bCs/>
          <w:lang w:val="en-US"/>
        </w:rPr>
        <w:t xml:space="preserve"> to t</w:t>
      </w:r>
      <w:r w:rsidR="002A7513">
        <w:rPr>
          <w:bCs/>
          <w:lang w:val="en-US"/>
        </w:rPr>
        <w:t>he teacher's implementation in classroom. (Fullen</w:t>
      </w:r>
      <w:r w:rsidRPr="00465953">
        <w:rPr>
          <w:bCs/>
          <w:lang w:val="en-US"/>
        </w:rPr>
        <w:t>2</w:t>
      </w:r>
      <w:r w:rsidR="002A7513">
        <w:rPr>
          <w:bCs/>
          <w:lang w:val="en-US"/>
        </w:rPr>
        <w:t>011)</w:t>
      </w:r>
      <w:r w:rsidRPr="00465953">
        <w:rPr>
          <w:bCs/>
          <w:lang w:val="en-US"/>
        </w:rPr>
        <w:t xml:space="preserve">. Teachers must play a role in ensuring the success of a policy including the quality or effectiveness of a policy because the implementation of the policy will include aspects of the willingness and ability and capacity of the teacher to complete the policy </w:t>
      </w:r>
    </w:p>
    <w:p w14:paraId="2E8E6966" w14:textId="77777777" w:rsidR="00465953" w:rsidRPr="00465953" w:rsidRDefault="00465953" w:rsidP="00465953">
      <w:pPr>
        <w:ind w:firstLine="720"/>
        <w:jc w:val="both"/>
        <w:rPr>
          <w:bCs/>
          <w:lang w:val="en-US"/>
        </w:rPr>
      </w:pPr>
      <w:r w:rsidRPr="00465953">
        <w:rPr>
          <w:bCs/>
          <w:lang w:val="en-US"/>
        </w:rPr>
        <w:t xml:space="preserve">The findings of the study on the level of teacher readiness in implementing the DSP policy show that it is at a moderate level. This gives the impression that teachers are not yet fully prepared to implement ZRP and then teach SEN in the primary class. This </w:t>
      </w:r>
      <w:proofErr w:type="gramStart"/>
      <w:r w:rsidRPr="00465953">
        <w:rPr>
          <w:bCs/>
          <w:lang w:val="en-US"/>
        </w:rPr>
        <w:t>is proven</w:t>
      </w:r>
      <w:proofErr w:type="gramEnd"/>
      <w:r w:rsidRPr="00465953">
        <w:rPr>
          <w:bCs/>
          <w:lang w:val="en-US"/>
        </w:rPr>
        <w:t xml:space="preserve"> by findings that show a high percentage of agreement to encourage parents to send their MBK children to schools that have PPKI. However, the findings of the study also found that only one school has a PPKI class. </w:t>
      </w:r>
      <w:proofErr w:type="gramStart"/>
      <w:r w:rsidRPr="00465953">
        <w:rPr>
          <w:bCs/>
          <w:lang w:val="en-US"/>
        </w:rPr>
        <w:t>Looking at the remote location and communication difficulties in the study area,</w:t>
      </w:r>
      <w:proofErr w:type="gramEnd"/>
      <w:r w:rsidRPr="00465953">
        <w:rPr>
          <w:bCs/>
          <w:lang w:val="en-US"/>
        </w:rPr>
        <w:t xml:space="preserve"> </w:t>
      </w:r>
      <w:proofErr w:type="gramStart"/>
      <w:r w:rsidRPr="00465953">
        <w:rPr>
          <w:bCs/>
          <w:lang w:val="en-US"/>
        </w:rPr>
        <w:t>it</w:t>
      </w:r>
      <w:proofErr w:type="gramEnd"/>
      <w:r w:rsidRPr="00465953">
        <w:rPr>
          <w:bCs/>
          <w:lang w:val="en-US"/>
        </w:rPr>
        <w:t xml:space="preserve"> appears that this situation will increase the potential for MBK students to drop out.</w:t>
      </w:r>
    </w:p>
    <w:p w14:paraId="765B3BBB" w14:textId="1724D331" w:rsidR="008D25DF" w:rsidRDefault="00465953" w:rsidP="00465953">
      <w:pPr>
        <w:ind w:firstLine="720"/>
        <w:jc w:val="both"/>
        <w:rPr>
          <w:bCs/>
        </w:rPr>
      </w:pPr>
      <w:r w:rsidRPr="00465953">
        <w:rPr>
          <w:bCs/>
          <w:lang w:val="en-US"/>
        </w:rPr>
        <w:t xml:space="preserve">The issue of rural student dropouts </w:t>
      </w:r>
      <w:proofErr w:type="gramStart"/>
      <w:r w:rsidRPr="00465953">
        <w:rPr>
          <w:bCs/>
          <w:lang w:val="en-US"/>
        </w:rPr>
        <w:t>is still hotly debated</w:t>
      </w:r>
      <w:proofErr w:type="gramEnd"/>
      <w:r w:rsidRPr="00465953">
        <w:rPr>
          <w:bCs/>
          <w:lang w:val="en-US"/>
        </w:rPr>
        <w:t xml:space="preserve">, especially in rural areas. According to the UNICEF Report in 2016, there was a 30% dropout rate in primary schools in rural areas. The same thing also happens in rural areas in </w:t>
      </w:r>
      <w:proofErr w:type="spellStart"/>
      <w:r w:rsidRPr="00465953">
        <w:rPr>
          <w:bCs/>
          <w:lang w:val="en-US"/>
        </w:rPr>
        <w:t>Sunsari</w:t>
      </w:r>
      <w:proofErr w:type="spellEnd"/>
      <w:r w:rsidRPr="00465953">
        <w:rPr>
          <w:bCs/>
          <w:lang w:val="en-US"/>
        </w:rPr>
        <w:t xml:space="preserve">, </w:t>
      </w:r>
      <w:proofErr w:type="spellStart"/>
      <w:r w:rsidRPr="00465953">
        <w:rPr>
          <w:bCs/>
          <w:lang w:val="en-US"/>
        </w:rPr>
        <w:t>Makwanpur</w:t>
      </w:r>
      <w:proofErr w:type="spellEnd"/>
      <w:r w:rsidRPr="00465953">
        <w:rPr>
          <w:bCs/>
          <w:lang w:val="en-US"/>
        </w:rPr>
        <w:t xml:space="preserve"> and Morang di</w:t>
      </w:r>
      <w:r w:rsidR="00BF5D52">
        <w:rPr>
          <w:bCs/>
          <w:lang w:val="en-US"/>
        </w:rPr>
        <w:t>stricts,</w:t>
      </w:r>
      <w:r w:rsidR="00BF5D52" w:rsidRPr="00BF5D52">
        <w:rPr>
          <w:rFonts w:eastAsia="MS Mincho"/>
          <w:iCs/>
          <w:noProof/>
          <w:color w:val="000000" w:themeColor="text1"/>
          <w:lang w:eastAsia="en-US"/>
        </w:rPr>
        <w:t xml:space="preserve"> </w:t>
      </w:r>
      <w:proofErr w:type="spellStart"/>
      <w:proofErr w:type="gramStart"/>
      <w:r w:rsidR="00BF5D52" w:rsidRPr="00BF5D52">
        <w:rPr>
          <w:bCs/>
          <w:iCs/>
        </w:rPr>
        <w:t>Shyamani</w:t>
      </w:r>
      <w:proofErr w:type="spellEnd"/>
      <w:r w:rsidR="00BF5D52">
        <w:rPr>
          <w:bCs/>
          <w:iCs/>
        </w:rPr>
        <w:t>(</w:t>
      </w:r>
      <w:proofErr w:type="gramEnd"/>
      <w:r w:rsidR="00BF5D52">
        <w:rPr>
          <w:bCs/>
          <w:iCs/>
        </w:rPr>
        <w:t>2013)</w:t>
      </w:r>
      <w:r w:rsidRPr="00465953">
        <w:rPr>
          <w:bCs/>
          <w:lang w:val="en-US"/>
        </w:rPr>
        <w:t xml:space="preserve"> and in Sri Lanka, (</w:t>
      </w:r>
      <w:proofErr w:type="spellStart"/>
      <w:r w:rsidRPr="00465953">
        <w:rPr>
          <w:bCs/>
          <w:lang w:val="en-US"/>
        </w:rPr>
        <w:t>Masatern</w:t>
      </w:r>
      <w:proofErr w:type="spellEnd"/>
      <w:r w:rsidRPr="00465953">
        <w:rPr>
          <w:bCs/>
          <w:lang w:val="en-US"/>
        </w:rPr>
        <w:t xml:space="preserve"> 2016) where 38.8% of students aged from 5 to 18 years do not attend school.</w:t>
      </w:r>
    </w:p>
    <w:p w14:paraId="00917A33" w14:textId="71F774B2" w:rsidR="00351457" w:rsidRDefault="00351457" w:rsidP="00351457">
      <w:pPr>
        <w:jc w:val="both"/>
        <w:rPr>
          <w:i/>
        </w:rPr>
      </w:pPr>
      <w:r>
        <w:rPr>
          <w:i/>
        </w:rPr>
        <w:tab/>
      </w:r>
      <w:r>
        <w:rPr>
          <w:i/>
        </w:rPr>
        <w:tab/>
      </w:r>
    </w:p>
    <w:p w14:paraId="4369620F" w14:textId="3CE3A248" w:rsidR="00D3413E" w:rsidRDefault="00D3413E" w:rsidP="00351457">
      <w:pPr>
        <w:jc w:val="both"/>
        <w:rPr>
          <w:b/>
        </w:rPr>
      </w:pPr>
      <w:r>
        <w:rPr>
          <w:b/>
          <w:noProof/>
          <w:lang w:eastAsia="en-US"/>
        </w:rPr>
        <w:t>Conclusion</w:t>
      </w:r>
    </w:p>
    <w:p w14:paraId="04D7AE25" w14:textId="676CAF32" w:rsidR="00591561" w:rsidRDefault="00C01655" w:rsidP="00591561">
      <w:pPr>
        <w:jc w:val="both"/>
        <w:rPr>
          <w:lang w:val="en-US"/>
        </w:rPr>
      </w:pPr>
      <w:r>
        <w:rPr>
          <w:lang w:val="en-US"/>
        </w:rPr>
        <w:t xml:space="preserve">Education related to economic growth and development </w:t>
      </w:r>
      <w:r w:rsidR="00591561" w:rsidRPr="00591561">
        <w:rPr>
          <w:lang w:val="en-US"/>
        </w:rPr>
        <w:t xml:space="preserve">of a country. The teaching and learning process that takes place in the classroom is the best indicator of the future progress of a country. In today's global economy, the success of a country is highly dependent on the knowledge, skills, and competencies possessed by the people. Therefore, it is not surprising if a country with highly educated citizens will have the opportunity to enjoy higher economic progress. In addition, education is also the foundation of nation building and strengthening unity. Education also provides opportunities for individuals to improve their standard of living, become successful members of society, and contribute actively to the development of the nation. Through interaction in society enables individuals from various socioeconomic, religious, and ethnic backgrounds to learn to understand, accept, and appreciate differences, thereby sharing experiences and aspirations to build Malaysia's future. </w:t>
      </w:r>
    </w:p>
    <w:p w14:paraId="118CB1AD" w14:textId="40CA5CD5" w:rsidR="00591561" w:rsidRPr="00591561" w:rsidRDefault="00591561" w:rsidP="00C01655">
      <w:pPr>
        <w:ind w:firstLine="720"/>
        <w:jc w:val="both"/>
        <w:rPr>
          <w:lang w:val="en-US"/>
        </w:rPr>
      </w:pPr>
      <w:r w:rsidRPr="00591561">
        <w:rPr>
          <w:lang w:val="en-US"/>
        </w:rPr>
        <w:t xml:space="preserve">Thus, the goal of a human rights-based approach to education is to ensure that every child receives a quality education that respects the rights and dignity of each individual. However, achieving this goal is much more complex and faces a variety of challenges. </w:t>
      </w:r>
      <w:r w:rsidR="00C01655">
        <w:rPr>
          <w:lang w:val="en-US"/>
        </w:rPr>
        <w:t xml:space="preserve">The human right on education been the agenda in international community. </w:t>
      </w:r>
      <w:r w:rsidRPr="00591561">
        <w:rPr>
          <w:lang w:val="en-US"/>
        </w:rPr>
        <w:t xml:space="preserve">Recognition of </w:t>
      </w:r>
      <w:r w:rsidR="00B262C7" w:rsidRPr="00591561">
        <w:rPr>
          <w:lang w:val="en-US"/>
        </w:rPr>
        <w:t>children’s</w:t>
      </w:r>
      <w:r w:rsidRPr="00591561">
        <w:rPr>
          <w:lang w:val="en-US"/>
        </w:rPr>
        <w:t xml:space="preserve"> right to quality education </w:t>
      </w:r>
      <w:proofErr w:type="gramStart"/>
      <w:r w:rsidRPr="00591561">
        <w:rPr>
          <w:lang w:val="en-US"/>
        </w:rPr>
        <w:t>has been established</w:t>
      </w:r>
      <w:proofErr w:type="gramEnd"/>
      <w:r w:rsidRPr="00591561">
        <w:rPr>
          <w:lang w:val="en-US"/>
        </w:rPr>
        <w:t xml:space="preserve"> for the past 20 years. Therefore, the introducing of ZRP will bring Malaysian into the new pathway in SEN. However, the </w:t>
      </w:r>
      <w:r w:rsidR="00B262C7" w:rsidRPr="00591561">
        <w:rPr>
          <w:lang w:val="en-US"/>
        </w:rPr>
        <w:t>implementation</w:t>
      </w:r>
      <w:r w:rsidRPr="00591561">
        <w:rPr>
          <w:lang w:val="en-US"/>
        </w:rPr>
        <w:t xml:space="preserve"> of ZRP must come together with the readiness, knowledge and acceptance among mainstreams teachers as a main player. Various courses and training </w:t>
      </w:r>
      <w:proofErr w:type="gramStart"/>
      <w:r w:rsidRPr="00591561">
        <w:rPr>
          <w:lang w:val="en-US"/>
        </w:rPr>
        <w:t>are fully welcomed</w:t>
      </w:r>
      <w:proofErr w:type="gramEnd"/>
      <w:r w:rsidRPr="00591561">
        <w:rPr>
          <w:lang w:val="en-US"/>
        </w:rPr>
        <w:t xml:space="preserve"> to enhanced teachers skills and knowledge</w:t>
      </w:r>
    </w:p>
    <w:p w14:paraId="0B851D86" w14:textId="767B9B37" w:rsidR="00351457" w:rsidRDefault="00351457" w:rsidP="00351457">
      <w:pPr>
        <w:rPr>
          <w:i/>
        </w:rPr>
      </w:pPr>
    </w:p>
    <w:p w14:paraId="5C3E09C8" w14:textId="075D6440" w:rsidR="0046790F" w:rsidRPr="00613B31" w:rsidRDefault="00D3413E" w:rsidP="0046790F">
      <w:pPr>
        <w:jc w:val="both"/>
      </w:pPr>
      <w:r w:rsidRPr="00AB2216">
        <w:rPr>
          <w:b/>
          <w:i/>
          <w:iCs/>
          <w:noProof/>
          <w:lang w:eastAsia="en-US"/>
        </w:rPr>
        <w:t>Acknowledgement</w:t>
      </w:r>
      <w:r w:rsidR="000F774E" w:rsidRPr="00AB2216">
        <w:rPr>
          <w:b/>
          <w:i/>
          <w:iCs/>
        </w:rPr>
        <w:t>:</w:t>
      </w:r>
      <w:r w:rsidR="000F774E">
        <w:rPr>
          <w:b/>
        </w:rPr>
        <w:t xml:space="preserve"> </w:t>
      </w:r>
      <w:r w:rsidR="0046790F" w:rsidRPr="0046790F">
        <w:t xml:space="preserve">Special thanks for each </w:t>
      </w:r>
      <w:r w:rsidR="0046790F">
        <w:t>everyone involved in this study.</w:t>
      </w:r>
    </w:p>
    <w:p w14:paraId="04A3A9EF" w14:textId="4D8BA9BF" w:rsidR="00A87B05" w:rsidRPr="0046790F" w:rsidRDefault="00A87B05" w:rsidP="00351457">
      <w:pPr>
        <w:jc w:val="both"/>
        <w:rPr>
          <w:b/>
        </w:rPr>
      </w:pPr>
    </w:p>
    <w:p w14:paraId="61854484" w14:textId="63221991" w:rsidR="007C2E1C" w:rsidRPr="00F9209D" w:rsidRDefault="00351457" w:rsidP="0044014A">
      <w:pPr>
        <w:jc w:val="both"/>
        <w:rPr>
          <w:b/>
        </w:rPr>
      </w:pPr>
      <w:r>
        <w:rPr>
          <w:b/>
        </w:rPr>
        <w:t>R</w:t>
      </w:r>
      <w:r w:rsidR="00D3413E">
        <w:rPr>
          <w:b/>
        </w:rPr>
        <w:t>eferences</w:t>
      </w:r>
      <w:r>
        <w:rPr>
          <w:b/>
        </w:rPr>
        <w:t xml:space="preserve"> </w:t>
      </w:r>
    </w:p>
    <w:p w14:paraId="206DF6C7" w14:textId="77777777" w:rsidR="00F9209D" w:rsidRPr="008F2FE0" w:rsidRDefault="00F9209D" w:rsidP="008F2FE0">
      <w:pPr>
        <w:ind w:left="567" w:hanging="567"/>
        <w:jc w:val="both"/>
        <w:rPr>
          <w:rFonts w:ascii="Times" w:hAnsi="Times" w:cs="Arial"/>
          <w:color w:val="202124"/>
          <w:shd w:val="clear" w:color="auto" w:fill="FFFFFF"/>
          <w:lang w:val="en-US"/>
        </w:rPr>
      </w:pPr>
    </w:p>
    <w:p w14:paraId="13854773" w14:textId="77777777" w:rsidR="00BD472B" w:rsidRPr="00312AC8" w:rsidRDefault="00BD472B" w:rsidP="008F2FE0">
      <w:pPr>
        <w:ind w:left="567" w:hanging="567"/>
        <w:jc w:val="both"/>
        <w:rPr>
          <w:rFonts w:ascii="Times" w:hAnsi="Times" w:cs="Arial"/>
          <w:color w:val="000000" w:themeColor="text1"/>
          <w:shd w:val="clear" w:color="auto" w:fill="FFFFFF"/>
          <w:lang w:val="en-US"/>
        </w:rPr>
      </w:pPr>
      <w:proofErr w:type="spellStart"/>
      <w:r w:rsidRPr="00312AC8">
        <w:rPr>
          <w:rFonts w:ascii="Times" w:hAnsi="Times" w:cs="Arial"/>
          <w:color w:val="000000" w:themeColor="text1"/>
          <w:shd w:val="clear" w:color="auto" w:fill="FFFFFF"/>
          <w:lang w:val="en-US"/>
        </w:rPr>
        <w:t>Ainscow</w:t>
      </w:r>
      <w:proofErr w:type="spellEnd"/>
      <w:r w:rsidRPr="00312AC8">
        <w:rPr>
          <w:rFonts w:ascii="Times" w:hAnsi="Times" w:cs="Arial"/>
          <w:color w:val="000000" w:themeColor="text1"/>
          <w:shd w:val="clear" w:color="auto" w:fill="FFFFFF"/>
          <w:lang w:val="en-US"/>
        </w:rPr>
        <w:t xml:space="preserve">, M. (2020). Promoting inclusion and equity in education: lessons from international experiences. </w:t>
      </w:r>
      <w:r w:rsidRPr="00312AC8">
        <w:rPr>
          <w:rFonts w:ascii="Times" w:hAnsi="Times" w:cs="Arial"/>
          <w:i/>
          <w:color w:val="000000" w:themeColor="text1"/>
          <w:shd w:val="clear" w:color="auto" w:fill="FFFFFF"/>
          <w:lang w:val="en-US"/>
        </w:rPr>
        <w:t>Nordic Journal of Studies in Educational Policy 6(1)</w:t>
      </w:r>
      <w:r w:rsidRPr="00312AC8">
        <w:rPr>
          <w:rFonts w:ascii="Times" w:hAnsi="Times" w:cs="Arial"/>
          <w:color w:val="000000" w:themeColor="text1"/>
          <w:shd w:val="clear" w:color="auto" w:fill="FFFFFF"/>
          <w:lang w:val="en-US"/>
        </w:rPr>
        <w:t>: 7–16. doi:10.1080/20020317.2020.1729587</w:t>
      </w:r>
    </w:p>
    <w:p w14:paraId="7B12C710" w14:textId="77777777" w:rsidR="00BD472B" w:rsidRPr="00312AC8" w:rsidRDefault="00BD472B" w:rsidP="00386DC4">
      <w:pPr>
        <w:ind w:left="567" w:hanging="567"/>
        <w:jc w:val="both"/>
        <w:rPr>
          <w:rFonts w:ascii="Times" w:hAnsi="Times" w:cs="Arial"/>
          <w:color w:val="000000" w:themeColor="text1"/>
          <w:shd w:val="clear" w:color="auto" w:fill="FFFFFF"/>
          <w:lang w:val="ms-MY"/>
        </w:rPr>
      </w:pPr>
      <w:r w:rsidRPr="00312AC8">
        <w:rPr>
          <w:rFonts w:ascii="Times" w:hAnsi="Times" w:cs="Arial"/>
          <w:color w:val="000000" w:themeColor="text1"/>
          <w:shd w:val="clear" w:color="auto" w:fill="FFFFFF"/>
          <w:lang w:val="ms-MY"/>
        </w:rPr>
        <w:lastRenderedPageBreak/>
        <w:t xml:space="preserve">Alquraini, T. A. &amp; Rao, S. M. (2020). Assessing teachers’ knowledge, readiness, and needs to implement Universal Design for Learning in classrooms in Saudi Arabia. </w:t>
      </w:r>
      <w:r w:rsidRPr="00312AC8">
        <w:rPr>
          <w:rFonts w:ascii="Times" w:hAnsi="Times" w:cs="Arial"/>
          <w:i/>
          <w:iCs/>
          <w:color w:val="000000" w:themeColor="text1"/>
          <w:shd w:val="clear" w:color="auto" w:fill="FFFFFF"/>
          <w:lang w:val="ms-MY"/>
        </w:rPr>
        <w:t>International Journal of Inclusive Education</w:t>
      </w:r>
      <w:r w:rsidRPr="00312AC8">
        <w:rPr>
          <w:rFonts w:ascii="Times" w:hAnsi="Times" w:cs="Arial"/>
          <w:color w:val="000000" w:themeColor="text1"/>
          <w:shd w:val="clear" w:color="auto" w:fill="FFFFFF"/>
          <w:lang w:val="ms-MY"/>
        </w:rPr>
        <w:t xml:space="preserve"> 24(1): 103–114. doi:10.1080/13603116.2018.1452298</w:t>
      </w:r>
    </w:p>
    <w:p w14:paraId="1A6BAB2C" w14:textId="77777777" w:rsidR="00BD472B" w:rsidRPr="00312AC8" w:rsidRDefault="00BD472B" w:rsidP="008F2FE0">
      <w:pPr>
        <w:ind w:left="567" w:hanging="567"/>
        <w:jc w:val="both"/>
        <w:rPr>
          <w:rFonts w:ascii="Times" w:hAnsi="Times" w:cs="Arial"/>
          <w:color w:val="000000" w:themeColor="text1"/>
          <w:shd w:val="clear" w:color="auto" w:fill="FFFFFF"/>
          <w:lang w:val="en-US"/>
        </w:rPr>
      </w:pPr>
      <w:proofErr w:type="spellStart"/>
      <w:r w:rsidRPr="00312AC8">
        <w:rPr>
          <w:rFonts w:ascii="Times" w:hAnsi="Times" w:cs="Arial"/>
          <w:color w:val="000000" w:themeColor="text1"/>
          <w:shd w:val="clear" w:color="auto" w:fill="FFFFFF"/>
          <w:lang w:val="en-US"/>
        </w:rPr>
        <w:t>Bruggink</w:t>
      </w:r>
      <w:proofErr w:type="spellEnd"/>
      <w:r w:rsidRPr="00312AC8">
        <w:rPr>
          <w:rFonts w:ascii="Times" w:hAnsi="Times" w:cs="Arial"/>
          <w:color w:val="000000" w:themeColor="text1"/>
          <w:shd w:val="clear" w:color="auto" w:fill="FFFFFF"/>
          <w:lang w:val="en-US"/>
        </w:rPr>
        <w:t xml:space="preserve">, M., </w:t>
      </w:r>
      <w:proofErr w:type="spellStart"/>
      <w:r w:rsidRPr="00312AC8">
        <w:rPr>
          <w:rFonts w:ascii="Times" w:hAnsi="Times" w:cs="Arial"/>
          <w:color w:val="000000" w:themeColor="text1"/>
          <w:shd w:val="clear" w:color="auto" w:fill="FFFFFF"/>
          <w:lang w:val="en-US"/>
        </w:rPr>
        <w:t>Goei</w:t>
      </w:r>
      <w:proofErr w:type="spellEnd"/>
      <w:r w:rsidRPr="00312AC8">
        <w:rPr>
          <w:rFonts w:ascii="Times" w:hAnsi="Times" w:cs="Arial"/>
          <w:color w:val="000000" w:themeColor="text1"/>
          <w:shd w:val="clear" w:color="auto" w:fill="FFFFFF"/>
          <w:lang w:val="en-US"/>
        </w:rPr>
        <w:t xml:space="preserve">, S. L. &amp; </w:t>
      </w:r>
      <w:proofErr w:type="spellStart"/>
      <w:r w:rsidRPr="00312AC8">
        <w:rPr>
          <w:rFonts w:ascii="Times" w:hAnsi="Times" w:cs="Arial"/>
          <w:color w:val="000000" w:themeColor="text1"/>
          <w:shd w:val="clear" w:color="auto" w:fill="FFFFFF"/>
          <w:lang w:val="en-US"/>
        </w:rPr>
        <w:t>Koot</w:t>
      </w:r>
      <w:proofErr w:type="spellEnd"/>
      <w:r w:rsidRPr="00312AC8">
        <w:rPr>
          <w:rFonts w:ascii="Times" w:hAnsi="Times" w:cs="Arial"/>
          <w:color w:val="000000" w:themeColor="text1"/>
          <w:shd w:val="clear" w:color="auto" w:fill="FFFFFF"/>
          <w:lang w:val="en-US"/>
        </w:rPr>
        <w:t xml:space="preserve">, H. M. (2016). Teachers’ capacities to meet students’ additional support needs in mainstream primary education. </w:t>
      </w:r>
      <w:r w:rsidRPr="00312AC8">
        <w:rPr>
          <w:rFonts w:ascii="Times" w:hAnsi="Times" w:cs="Arial"/>
          <w:i/>
          <w:color w:val="000000" w:themeColor="text1"/>
          <w:shd w:val="clear" w:color="auto" w:fill="FFFFFF"/>
          <w:lang w:val="en-US"/>
        </w:rPr>
        <w:t>Teachers and Teaching: Theory and Practice 22(4):</w:t>
      </w:r>
      <w:r w:rsidRPr="00312AC8">
        <w:rPr>
          <w:rFonts w:ascii="Times" w:hAnsi="Times" w:cs="Arial"/>
          <w:color w:val="000000" w:themeColor="text1"/>
          <w:shd w:val="clear" w:color="auto" w:fill="FFFFFF"/>
          <w:lang w:val="en-US"/>
        </w:rPr>
        <w:t xml:space="preserve"> 448–460. doi:10.1080/13540602.2015.1082727</w:t>
      </w:r>
    </w:p>
    <w:p w14:paraId="2F92824A" w14:textId="77777777" w:rsidR="00BD472B" w:rsidRPr="00312AC8" w:rsidRDefault="00BD472B" w:rsidP="008F2FE0">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US"/>
        </w:rPr>
        <w:t xml:space="preserve">Department of Education. (2005). </w:t>
      </w:r>
      <w:r w:rsidRPr="00312AC8">
        <w:rPr>
          <w:rFonts w:ascii="Times" w:hAnsi="Times" w:cs="Arial"/>
          <w:i/>
          <w:color w:val="000000" w:themeColor="text1"/>
          <w:shd w:val="clear" w:color="auto" w:fill="FFFFFF"/>
          <w:lang w:val="en-US"/>
        </w:rPr>
        <w:t xml:space="preserve">Guidelines for Inclusive Learning </w:t>
      </w:r>
      <w:proofErr w:type="spellStart"/>
      <w:r w:rsidRPr="00312AC8">
        <w:rPr>
          <w:rFonts w:ascii="Times" w:hAnsi="Times" w:cs="Arial"/>
          <w:i/>
          <w:color w:val="000000" w:themeColor="text1"/>
          <w:shd w:val="clear" w:color="auto" w:fill="FFFFFF"/>
          <w:lang w:val="en-US"/>
        </w:rPr>
        <w:t>Programmes</w:t>
      </w:r>
      <w:proofErr w:type="spellEnd"/>
      <w:r w:rsidRPr="00312AC8">
        <w:rPr>
          <w:rFonts w:ascii="Times" w:hAnsi="Times" w:cs="Arial"/>
          <w:color w:val="000000" w:themeColor="text1"/>
          <w:shd w:val="clear" w:color="auto" w:fill="FFFFFF"/>
          <w:lang w:val="en-US"/>
        </w:rPr>
        <w:t xml:space="preserve"> Your Constructive Inputs </w:t>
      </w:r>
      <w:proofErr w:type="gramStart"/>
      <w:r w:rsidRPr="00312AC8">
        <w:rPr>
          <w:rFonts w:ascii="Times" w:hAnsi="Times" w:cs="Arial"/>
          <w:color w:val="000000" w:themeColor="text1"/>
          <w:shd w:val="clear" w:color="auto" w:fill="FFFFFF"/>
          <w:lang w:val="en-US"/>
        </w:rPr>
        <w:t>To</w:t>
      </w:r>
      <w:proofErr w:type="gramEnd"/>
      <w:r w:rsidRPr="00312AC8">
        <w:rPr>
          <w:rFonts w:ascii="Times" w:hAnsi="Times" w:cs="Arial"/>
          <w:color w:val="000000" w:themeColor="text1"/>
          <w:shd w:val="clear" w:color="auto" w:fill="FFFFFF"/>
          <w:lang w:val="en-US"/>
        </w:rPr>
        <w:t xml:space="preserve"> These Draft Guidelines Will Be (June): 1–115.</w:t>
      </w:r>
    </w:p>
    <w:p w14:paraId="4103726C" w14:textId="77777777" w:rsidR="00BD472B" w:rsidRPr="00312AC8" w:rsidRDefault="00BD472B" w:rsidP="00BD472B">
      <w:pPr>
        <w:ind w:left="567" w:hanging="567"/>
        <w:jc w:val="both"/>
        <w:rPr>
          <w:rFonts w:ascii="Times" w:hAnsi="Times" w:cs="Arial"/>
          <w:color w:val="000000" w:themeColor="text1"/>
          <w:shd w:val="clear" w:color="auto" w:fill="FFFFFF"/>
          <w:lang w:val="en"/>
        </w:rPr>
      </w:pPr>
      <w:r w:rsidRPr="00312AC8">
        <w:rPr>
          <w:rFonts w:ascii="Times" w:hAnsi="Times" w:cs="Arial"/>
          <w:color w:val="000000" w:themeColor="text1"/>
          <w:shd w:val="clear" w:color="auto" w:fill="FFFFFF"/>
          <w:lang w:val="en"/>
        </w:rPr>
        <w:t>Education Act (1996). (</w:t>
      </w:r>
      <w:r w:rsidRPr="00312AC8">
        <w:rPr>
          <w:rFonts w:ascii="Times" w:hAnsi="Times" w:cs="Arial"/>
          <w:i/>
          <w:color w:val="000000" w:themeColor="text1"/>
          <w:shd w:val="clear" w:color="auto" w:fill="FFFFFF"/>
          <w:lang w:val="en"/>
        </w:rPr>
        <w:t>Act 550) &amp; Selected Regulations.1998</w:t>
      </w:r>
      <w:r w:rsidRPr="00312AC8">
        <w:rPr>
          <w:rFonts w:ascii="Times" w:hAnsi="Times" w:cs="Arial"/>
          <w:color w:val="000000" w:themeColor="text1"/>
          <w:shd w:val="clear" w:color="auto" w:fill="FFFFFF"/>
          <w:lang w:val="en"/>
        </w:rPr>
        <w:t>. Kuala Lumpur: International Law Books</w:t>
      </w:r>
    </w:p>
    <w:p w14:paraId="7FE4CAC0" w14:textId="0A42D574" w:rsidR="00BD472B" w:rsidRPr="00312AC8" w:rsidRDefault="00BD472B" w:rsidP="00BD472B">
      <w:pPr>
        <w:ind w:left="567" w:hanging="567"/>
        <w:jc w:val="both"/>
        <w:rPr>
          <w:rFonts w:ascii="Times" w:hAnsi="Times" w:cs="Arial"/>
          <w:color w:val="000000" w:themeColor="text1"/>
          <w:shd w:val="clear" w:color="auto" w:fill="FFFFFF"/>
          <w:lang w:val="en-US"/>
        </w:rPr>
      </w:pPr>
      <w:r w:rsidRPr="00312AC8">
        <w:rPr>
          <w:rFonts w:eastAsia="MS Mincho"/>
          <w:iCs/>
          <w:noProof/>
          <w:color w:val="000000" w:themeColor="text1"/>
          <w:lang w:eastAsia="en-US"/>
        </w:rPr>
        <w:t>Ghanizadeh, A., M.J. Bahredar, and S. R. Moeini. 2006, 10. Knowledge and attitudes towards attention deficit hyperactivity disorder among elementary school teachers. Patient Education and Counseling, 63(1-2): 84-88. doi:10.1016/j.pec.2005.09.002</w:t>
      </w:r>
    </w:p>
    <w:p w14:paraId="3224D4A5" w14:textId="77777777" w:rsidR="00BD472B" w:rsidRPr="00312AC8" w:rsidRDefault="00BD472B" w:rsidP="00BD472B">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US"/>
        </w:rPr>
        <w:t xml:space="preserve">Kaushik, B. 2018. Zero rejection policy in admission of children with special needs – Myth or reality. Disability, </w:t>
      </w:r>
      <w:r w:rsidRPr="00312AC8">
        <w:rPr>
          <w:rFonts w:ascii="Times" w:hAnsi="Times" w:cs="Arial"/>
          <w:i/>
          <w:color w:val="000000" w:themeColor="text1"/>
          <w:shd w:val="clear" w:color="auto" w:fill="FFFFFF"/>
          <w:lang w:val="en-US"/>
        </w:rPr>
        <w:t>CBR and Inclusive Development 29(2)</w:t>
      </w:r>
      <w:r w:rsidRPr="00312AC8">
        <w:rPr>
          <w:rFonts w:ascii="Times" w:hAnsi="Times" w:cs="Arial"/>
          <w:color w:val="000000" w:themeColor="text1"/>
          <w:shd w:val="clear" w:color="auto" w:fill="FFFFFF"/>
          <w:lang w:val="en-US"/>
        </w:rPr>
        <w:t>: 118–127. doi:10.5463/DCID.v29i2.690</w:t>
      </w:r>
    </w:p>
    <w:p w14:paraId="353E3A86" w14:textId="5F1B3749" w:rsidR="00BD472B" w:rsidRPr="00312AC8" w:rsidRDefault="00BD472B" w:rsidP="00BD472B">
      <w:pPr>
        <w:ind w:left="567" w:hanging="567"/>
        <w:jc w:val="both"/>
        <w:rPr>
          <w:rFonts w:ascii="Times" w:hAnsi="Times" w:cs="Arial"/>
          <w:color w:val="000000" w:themeColor="text1"/>
          <w:shd w:val="clear" w:color="auto" w:fill="FFFFFF"/>
          <w:lang w:val="en-US"/>
        </w:rPr>
      </w:pPr>
      <w:r w:rsidRPr="00312AC8">
        <w:rPr>
          <w:rFonts w:eastAsia="MS Mincho"/>
          <w:iCs/>
          <w:noProof/>
          <w:color w:val="000000" w:themeColor="text1"/>
          <w:lang w:eastAsia="en-US"/>
        </w:rPr>
        <w:t>Kurniawati, F., A. Minnaert, F. Mangunsong, and W. Ahmed. 2012, 12. Empirical study on primary school teachers’ attitudes towards inclusive education in Jakarta, Indonesia. Procedia - Social and Behavioral Sciences, 69(1): 1430-1436. doi:10.1016/j.sbspro.2012.12.082</w:t>
      </w:r>
    </w:p>
    <w:p w14:paraId="2F58083D" w14:textId="77777777" w:rsidR="00BD472B" w:rsidRPr="00312AC8" w:rsidRDefault="00BD472B" w:rsidP="00386DC4">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US"/>
        </w:rPr>
        <w:t xml:space="preserve">Lawrence- Brown, D. (2004). Differentiated instruction: Inclusive strategies for standards- based learning that benefit the whole Class. </w:t>
      </w:r>
      <w:r w:rsidRPr="00312AC8">
        <w:rPr>
          <w:rFonts w:ascii="Times" w:hAnsi="Times" w:cs="Arial"/>
          <w:i/>
          <w:color w:val="000000" w:themeColor="text1"/>
          <w:shd w:val="clear" w:color="auto" w:fill="FFFFFF"/>
          <w:lang w:val="en-US"/>
        </w:rPr>
        <w:t xml:space="preserve">American Secondary Education. </w:t>
      </w:r>
      <w:proofErr w:type="gramStart"/>
      <w:r w:rsidRPr="00312AC8">
        <w:rPr>
          <w:rFonts w:ascii="Times" w:hAnsi="Times" w:cs="Arial"/>
          <w:i/>
          <w:color w:val="000000" w:themeColor="text1"/>
          <w:shd w:val="clear" w:color="auto" w:fill="FFFFFF"/>
          <w:lang w:val="en-US"/>
        </w:rPr>
        <w:t>32</w:t>
      </w:r>
      <w:proofErr w:type="gramEnd"/>
      <w:r w:rsidRPr="00312AC8">
        <w:rPr>
          <w:rFonts w:ascii="Times" w:hAnsi="Times" w:cs="Arial"/>
          <w:color w:val="000000" w:themeColor="text1"/>
          <w:shd w:val="clear" w:color="auto" w:fill="FFFFFF"/>
          <w:lang w:val="en-US"/>
        </w:rPr>
        <w:t xml:space="preserve">, 34 – 63. </w:t>
      </w:r>
    </w:p>
    <w:p w14:paraId="5F40D2AB" w14:textId="77777777" w:rsidR="00BD472B" w:rsidRPr="00312AC8" w:rsidRDefault="00BD472B" w:rsidP="00386DC4">
      <w:pPr>
        <w:ind w:left="567" w:hanging="567"/>
        <w:jc w:val="both"/>
        <w:rPr>
          <w:rFonts w:ascii="Times" w:hAnsi="Times" w:cs="Arial"/>
          <w:color w:val="000000" w:themeColor="text1"/>
          <w:shd w:val="clear" w:color="auto" w:fill="FFFFFF"/>
          <w:lang w:val="en-US"/>
        </w:rPr>
      </w:pPr>
      <w:proofErr w:type="spellStart"/>
      <w:r w:rsidRPr="00312AC8">
        <w:rPr>
          <w:rFonts w:ascii="Times" w:hAnsi="Times" w:cs="Arial"/>
          <w:color w:val="000000" w:themeColor="text1"/>
          <w:shd w:val="clear" w:color="auto" w:fill="FFFFFF"/>
          <w:lang w:val="en-US"/>
        </w:rPr>
        <w:t>Lessard</w:t>
      </w:r>
      <w:proofErr w:type="spellEnd"/>
      <w:r w:rsidRPr="00312AC8">
        <w:rPr>
          <w:rFonts w:ascii="Times" w:hAnsi="Times" w:cs="Arial"/>
          <w:color w:val="000000" w:themeColor="text1"/>
          <w:shd w:val="clear" w:color="auto" w:fill="FFFFFF"/>
          <w:lang w:val="en-US"/>
        </w:rPr>
        <w:t>, A., Fortin, L., Butler-</w:t>
      </w:r>
      <w:proofErr w:type="spellStart"/>
      <w:r w:rsidRPr="00312AC8">
        <w:rPr>
          <w:rFonts w:ascii="Times" w:hAnsi="Times" w:cs="Arial"/>
          <w:color w:val="000000" w:themeColor="text1"/>
          <w:shd w:val="clear" w:color="auto" w:fill="FFFFFF"/>
          <w:lang w:val="en-US"/>
        </w:rPr>
        <w:t>Kisber</w:t>
      </w:r>
      <w:proofErr w:type="spellEnd"/>
      <w:r w:rsidRPr="00312AC8">
        <w:rPr>
          <w:rFonts w:ascii="Times" w:hAnsi="Times" w:cs="Arial"/>
          <w:color w:val="000000" w:themeColor="text1"/>
          <w:shd w:val="clear" w:color="auto" w:fill="FFFFFF"/>
          <w:lang w:val="en-US"/>
        </w:rPr>
        <w:t xml:space="preserve">, L. &amp; </w:t>
      </w:r>
      <w:proofErr w:type="spellStart"/>
      <w:r w:rsidRPr="00312AC8">
        <w:rPr>
          <w:rFonts w:ascii="Times" w:hAnsi="Times" w:cs="Arial"/>
          <w:color w:val="000000" w:themeColor="text1"/>
          <w:shd w:val="clear" w:color="auto" w:fill="FFFFFF"/>
          <w:lang w:val="en-US"/>
        </w:rPr>
        <w:t>Marcotte</w:t>
      </w:r>
      <w:proofErr w:type="spellEnd"/>
      <w:r w:rsidRPr="00312AC8">
        <w:rPr>
          <w:rFonts w:ascii="Times" w:hAnsi="Times" w:cs="Arial"/>
          <w:color w:val="000000" w:themeColor="text1"/>
          <w:shd w:val="clear" w:color="auto" w:fill="FFFFFF"/>
          <w:lang w:val="en-US"/>
        </w:rPr>
        <w:t xml:space="preserve">, D. (2014). Analyzing the discourse of dropouts and resilient students. </w:t>
      </w:r>
      <w:r w:rsidRPr="00312AC8">
        <w:rPr>
          <w:rFonts w:ascii="Times" w:hAnsi="Times" w:cs="Arial"/>
          <w:i/>
          <w:color w:val="000000" w:themeColor="text1"/>
          <w:shd w:val="clear" w:color="auto" w:fill="FFFFFF"/>
          <w:lang w:val="en-US"/>
        </w:rPr>
        <w:t xml:space="preserve">Journal of Educational </w:t>
      </w:r>
      <w:proofErr w:type="gramStart"/>
      <w:r w:rsidRPr="00312AC8">
        <w:rPr>
          <w:rFonts w:ascii="Times" w:hAnsi="Times" w:cs="Arial"/>
          <w:i/>
          <w:color w:val="000000" w:themeColor="text1"/>
          <w:shd w:val="clear" w:color="auto" w:fill="FFFFFF"/>
          <w:lang w:val="en-US"/>
        </w:rPr>
        <w:t>Research107(</w:t>
      </w:r>
      <w:proofErr w:type="gramEnd"/>
      <w:r w:rsidRPr="00312AC8">
        <w:rPr>
          <w:rFonts w:ascii="Times" w:hAnsi="Times" w:cs="Arial"/>
          <w:i/>
          <w:color w:val="000000" w:themeColor="text1"/>
          <w:shd w:val="clear" w:color="auto" w:fill="FFFFFF"/>
          <w:lang w:val="en-US"/>
        </w:rPr>
        <w:t>2):</w:t>
      </w:r>
      <w:r w:rsidRPr="00312AC8">
        <w:rPr>
          <w:rFonts w:ascii="Times" w:hAnsi="Times" w:cs="Arial"/>
          <w:color w:val="000000" w:themeColor="text1"/>
          <w:shd w:val="clear" w:color="auto" w:fill="FFFFFF"/>
          <w:lang w:val="en-US"/>
        </w:rPr>
        <w:t>103–110. doi:10.1080/00220671.2012.753857</w:t>
      </w:r>
    </w:p>
    <w:p w14:paraId="54DEC109" w14:textId="77777777" w:rsidR="00BD472B" w:rsidRPr="00312AC8" w:rsidRDefault="00BD472B" w:rsidP="00386DC4">
      <w:pPr>
        <w:ind w:left="567" w:hanging="567"/>
        <w:jc w:val="both"/>
        <w:rPr>
          <w:rFonts w:ascii="Times" w:hAnsi="Times" w:cs="Arial"/>
          <w:color w:val="000000" w:themeColor="text1"/>
          <w:shd w:val="clear" w:color="auto" w:fill="FFFFFF"/>
          <w:lang w:val="en-US"/>
        </w:rPr>
      </w:pPr>
      <w:proofErr w:type="spellStart"/>
      <w:r w:rsidRPr="00312AC8">
        <w:rPr>
          <w:rFonts w:ascii="Times" w:hAnsi="Times" w:cs="Arial"/>
          <w:color w:val="000000" w:themeColor="text1"/>
          <w:shd w:val="clear" w:color="auto" w:fill="FFFFFF"/>
          <w:lang w:val="en-US"/>
        </w:rPr>
        <w:t>Liyana</w:t>
      </w:r>
      <w:proofErr w:type="spellEnd"/>
      <w:r w:rsidRPr="00312AC8">
        <w:rPr>
          <w:rFonts w:ascii="Times" w:hAnsi="Times" w:cs="Arial"/>
          <w:color w:val="000000" w:themeColor="text1"/>
          <w:shd w:val="clear" w:color="auto" w:fill="FFFFFF"/>
          <w:lang w:val="en-US"/>
        </w:rPr>
        <w:t xml:space="preserve"> Ahmad </w:t>
      </w:r>
      <w:proofErr w:type="spellStart"/>
      <w:r w:rsidRPr="00312AC8">
        <w:rPr>
          <w:rFonts w:ascii="Times" w:hAnsi="Times" w:cs="Arial"/>
          <w:color w:val="000000" w:themeColor="text1"/>
          <w:shd w:val="clear" w:color="auto" w:fill="FFFFFF"/>
          <w:lang w:val="en-US"/>
        </w:rPr>
        <w:t>Afip</w:t>
      </w:r>
      <w:proofErr w:type="spellEnd"/>
      <w:r w:rsidRPr="00312AC8">
        <w:rPr>
          <w:rFonts w:ascii="Times" w:hAnsi="Times" w:cs="Arial"/>
          <w:color w:val="000000" w:themeColor="text1"/>
          <w:shd w:val="clear" w:color="auto" w:fill="FFFFFF"/>
          <w:lang w:val="en-US"/>
        </w:rPr>
        <w:t xml:space="preserve">, N. F. H. &amp; K. Z. (2013). Perceptions and Experiences of Special Education Teachers in Dealing with Dyslexia Problems in Literacy Skills. </w:t>
      </w:r>
      <w:r w:rsidRPr="00312AC8">
        <w:rPr>
          <w:rFonts w:ascii="Times" w:hAnsi="Times" w:cs="Arial"/>
          <w:i/>
          <w:color w:val="000000" w:themeColor="text1"/>
          <w:shd w:val="clear" w:color="auto" w:fill="FFFFFF"/>
          <w:lang w:val="en-US"/>
        </w:rPr>
        <w:t>School of Languages</w:t>
      </w:r>
      <w:r w:rsidRPr="00312AC8">
        <w:rPr>
          <w:rFonts w:ascii="Times" w:hAnsi="Times" w:cs="Arial"/>
          <w:color w:val="000000" w:themeColor="text1"/>
          <w:shd w:val="clear" w:color="auto" w:fill="FFFFFF"/>
          <w:lang w:val="en-US"/>
        </w:rPr>
        <w:t>, 1–14.</w:t>
      </w:r>
    </w:p>
    <w:p w14:paraId="00A06B16" w14:textId="77777777" w:rsidR="00BD472B" w:rsidRPr="00312AC8" w:rsidRDefault="00BD472B" w:rsidP="00386DC4">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US"/>
        </w:rPr>
        <w:t xml:space="preserve">Lynch, S. &amp; Adams, P. (2008). Developing standards-based individualized education program objectives for students with significant needs. </w:t>
      </w:r>
      <w:r w:rsidRPr="00312AC8">
        <w:rPr>
          <w:rFonts w:ascii="Times" w:hAnsi="Times" w:cs="Arial"/>
          <w:i/>
          <w:color w:val="000000" w:themeColor="text1"/>
          <w:shd w:val="clear" w:color="auto" w:fill="FFFFFF"/>
          <w:lang w:val="en-US"/>
        </w:rPr>
        <w:t>Teaching Exceptional Children, 40(3)</w:t>
      </w:r>
      <w:r w:rsidRPr="00312AC8">
        <w:rPr>
          <w:rFonts w:ascii="Times" w:hAnsi="Times" w:cs="Arial"/>
          <w:color w:val="000000" w:themeColor="text1"/>
          <w:shd w:val="clear" w:color="auto" w:fill="FFFFFF"/>
          <w:lang w:val="en-US"/>
        </w:rPr>
        <w:t xml:space="preserve">, 36–39. </w:t>
      </w:r>
      <w:proofErr w:type="gramStart"/>
      <w:r w:rsidRPr="00312AC8">
        <w:rPr>
          <w:rFonts w:ascii="Times" w:hAnsi="Times" w:cs="Arial"/>
          <w:color w:val="000000" w:themeColor="text1"/>
          <w:shd w:val="clear" w:color="auto" w:fill="FFFFFF"/>
          <w:lang w:val="en-US"/>
        </w:rPr>
        <w:t>doi:</w:t>
      </w:r>
      <w:proofErr w:type="gramEnd"/>
      <w:r w:rsidRPr="00312AC8">
        <w:rPr>
          <w:rFonts w:ascii="Times" w:hAnsi="Times" w:cs="Arial"/>
          <w:color w:val="000000" w:themeColor="text1"/>
          <w:shd w:val="clear" w:color="auto" w:fill="FFFFFF"/>
          <w:lang w:val="en-US"/>
        </w:rPr>
        <w:t>10.1177/004005990804000303</w:t>
      </w:r>
    </w:p>
    <w:p w14:paraId="2538E54A" w14:textId="77777777" w:rsidR="00BD472B" w:rsidRPr="00312AC8" w:rsidRDefault="00BD472B" w:rsidP="00386DC4">
      <w:pPr>
        <w:ind w:left="567" w:hanging="567"/>
        <w:jc w:val="both"/>
        <w:rPr>
          <w:rFonts w:ascii="Times" w:hAnsi="Times" w:cs="Arial"/>
          <w:color w:val="000000" w:themeColor="text1"/>
          <w:shd w:val="clear" w:color="auto" w:fill="FFFFFF"/>
          <w:lang w:val="en-US"/>
        </w:rPr>
      </w:pPr>
      <w:proofErr w:type="spellStart"/>
      <w:r w:rsidRPr="00312AC8">
        <w:rPr>
          <w:rFonts w:ascii="Times" w:hAnsi="Times" w:cs="Arial"/>
          <w:color w:val="000000" w:themeColor="text1"/>
          <w:shd w:val="clear" w:color="auto" w:fill="FFFFFF"/>
          <w:lang w:val="en-US"/>
        </w:rPr>
        <w:t>MacAllister</w:t>
      </w:r>
      <w:proofErr w:type="spellEnd"/>
      <w:r w:rsidRPr="00312AC8">
        <w:rPr>
          <w:rFonts w:ascii="Times" w:hAnsi="Times" w:cs="Arial"/>
          <w:color w:val="000000" w:themeColor="text1"/>
          <w:shd w:val="clear" w:color="auto" w:fill="FFFFFF"/>
          <w:lang w:val="en-US"/>
        </w:rPr>
        <w:t xml:space="preserve">, J. &amp; Riddell, S. (2019). </w:t>
      </w:r>
      <w:proofErr w:type="spellStart"/>
      <w:r w:rsidRPr="00312AC8">
        <w:rPr>
          <w:rFonts w:ascii="Times" w:hAnsi="Times" w:cs="Arial"/>
          <w:color w:val="000000" w:themeColor="text1"/>
          <w:shd w:val="clear" w:color="auto" w:fill="FFFFFF"/>
          <w:lang w:val="en-US"/>
        </w:rPr>
        <w:t>Realising</w:t>
      </w:r>
      <w:proofErr w:type="spellEnd"/>
      <w:r w:rsidRPr="00312AC8">
        <w:rPr>
          <w:rFonts w:ascii="Times" w:hAnsi="Times" w:cs="Arial"/>
          <w:color w:val="000000" w:themeColor="text1"/>
          <w:shd w:val="clear" w:color="auto" w:fill="FFFFFF"/>
          <w:lang w:val="en-US"/>
        </w:rPr>
        <w:t xml:space="preserve"> the educational rights of children with special and additional support needs: paradigm change or more of the same</w:t>
      </w:r>
      <w:proofErr w:type="gramStart"/>
      <w:r w:rsidRPr="00312AC8">
        <w:rPr>
          <w:rFonts w:ascii="Times" w:hAnsi="Times" w:cs="Arial"/>
          <w:i/>
          <w:color w:val="000000" w:themeColor="text1"/>
          <w:shd w:val="clear" w:color="auto" w:fill="FFFFFF"/>
          <w:lang w:val="en-US"/>
        </w:rPr>
        <w:t>?.</w:t>
      </w:r>
      <w:proofErr w:type="gramEnd"/>
      <w:r w:rsidRPr="00312AC8">
        <w:rPr>
          <w:rFonts w:ascii="Times" w:hAnsi="Times" w:cs="Arial"/>
          <w:i/>
          <w:color w:val="000000" w:themeColor="text1"/>
          <w:shd w:val="clear" w:color="auto" w:fill="FFFFFF"/>
          <w:lang w:val="en-US"/>
        </w:rPr>
        <w:t xml:space="preserve">  International Journal of Inclusive Education 23(5): 469–472</w:t>
      </w:r>
      <w:r w:rsidRPr="00312AC8">
        <w:rPr>
          <w:rFonts w:ascii="Times" w:hAnsi="Times" w:cs="Arial"/>
          <w:color w:val="000000" w:themeColor="text1"/>
          <w:shd w:val="clear" w:color="auto" w:fill="FFFFFF"/>
          <w:lang w:val="en-US"/>
        </w:rPr>
        <w:t>. doi:10.1080/13603116.2019.1580927</w:t>
      </w:r>
    </w:p>
    <w:p w14:paraId="12C10780" w14:textId="77777777" w:rsidR="00BD472B" w:rsidRPr="00312AC8" w:rsidRDefault="00BD472B" w:rsidP="00386DC4">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US"/>
        </w:rPr>
        <w:t xml:space="preserve">Malaysia Education Ministry. (2013). </w:t>
      </w:r>
      <w:r w:rsidRPr="00312AC8">
        <w:rPr>
          <w:rFonts w:ascii="Times" w:hAnsi="Times" w:cs="Arial"/>
          <w:i/>
          <w:color w:val="000000" w:themeColor="text1"/>
          <w:shd w:val="clear" w:color="auto" w:fill="FFFFFF"/>
          <w:lang w:val="en-US"/>
        </w:rPr>
        <w:t>Education Development Master Plan (PIPP). Kuala Lumpur</w:t>
      </w:r>
      <w:r w:rsidRPr="00312AC8">
        <w:rPr>
          <w:rFonts w:ascii="Times" w:hAnsi="Times" w:cs="Arial"/>
          <w:color w:val="000000" w:themeColor="text1"/>
          <w:shd w:val="clear" w:color="auto" w:fill="FFFFFF"/>
          <w:lang w:val="en-US"/>
        </w:rPr>
        <w:t>: Education Policy Planning and Research Division, Ministry of Education Malaysia.</w:t>
      </w:r>
    </w:p>
    <w:p w14:paraId="124980A6" w14:textId="77777777" w:rsidR="00BD472B" w:rsidRPr="00312AC8" w:rsidRDefault="00BD472B" w:rsidP="00386DC4">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US"/>
        </w:rPr>
        <w:t xml:space="preserve">Malaysia Education Ministry. (2019). </w:t>
      </w:r>
      <w:proofErr w:type="gramStart"/>
      <w:r w:rsidRPr="00312AC8">
        <w:rPr>
          <w:rFonts w:ascii="Times" w:hAnsi="Times" w:cs="Arial"/>
          <w:i/>
          <w:color w:val="000000" w:themeColor="text1"/>
          <w:shd w:val="clear" w:color="auto" w:fill="FFFFFF"/>
          <w:lang w:val="en-US"/>
        </w:rPr>
        <w:t>The</w:t>
      </w:r>
      <w:proofErr w:type="gramEnd"/>
      <w:r w:rsidRPr="00312AC8">
        <w:rPr>
          <w:rFonts w:ascii="Times" w:hAnsi="Times" w:cs="Arial"/>
          <w:i/>
          <w:color w:val="000000" w:themeColor="text1"/>
          <w:shd w:val="clear" w:color="auto" w:fill="FFFFFF"/>
          <w:lang w:val="en-US"/>
        </w:rPr>
        <w:t xml:space="preserve"> concept of inclusive education programs</w:t>
      </w:r>
      <w:r w:rsidRPr="00312AC8">
        <w:rPr>
          <w:rFonts w:ascii="Times" w:hAnsi="Times" w:cs="Arial"/>
          <w:color w:val="000000" w:themeColor="text1"/>
          <w:shd w:val="clear" w:color="auto" w:fill="FFFFFF"/>
          <w:lang w:val="en-US"/>
        </w:rPr>
        <w:t xml:space="preserve">. Ministry </w:t>
      </w:r>
    </w:p>
    <w:p w14:paraId="28D9128C" w14:textId="77777777" w:rsidR="00BD472B" w:rsidRPr="00312AC8" w:rsidRDefault="00BD472B" w:rsidP="00386DC4">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US"/>
        </w:rPr>
        <w:t xml:space="preserve">Malaysia, M. O. E. (2018). </w:t>
      </w:r>
      <w:r w:rsidRPr="00312AC8">
        <w:rPr>
          <w:rFonts w:ascii="Times" w:hAnsi="Times" w:cs="Arial"/>
          <w:i/>
          <w:color w:val="000000" w:themeColor="text1"/>
          <w:shd w:val="clear" w:color="auto" w:fill="FFFFFF"/>
          <w:lang w:val="en-US"/>
        </w:rPr>
        <w:t>Quick Facts 2018</w:t>
      </w:r>
      <w:r w:rsidRPr="00312AC8">
        <w:rPr>
          <w:rFonts w:ascii="Times" w:hAnsi="Times" w:cs="Arial"/>
          <w:color w:val="000000" w:themeColor="text1"/>
          <w:shd w:val="clear" w:color="auto" w:fill="FFFFFF"/>
          <w:lang w:val="en-US"/>
        </w:rPr>
        <w:t xml:space="preserve">. </w:t>
      </w:r>
      <w:proofErr w:type="spellStart"/>
      <w:r w:rsidRPr="00312AC8">
        <w:rPr>
          <w:rFonts w:ascii="Times" w:hAnsi="Times" w:cs="Arial"/>
          <w:color w:val="000000" w:themeColor="text1"/>
          <w:shd w:val="clear" w:color="auto" w:fill="FFFFFF"/>
          <w:lang w:val="en-US"/>
        </w:rPr>
        <w:t>Mininistry</w:t>
      </w:r>
      <w:proofErr w:type="spellEnd"/>
      <w:r w:rsidRPr="00312AC8">
        <w:rPr>
          <w:rFonts w:ascii="Times" w:hAnsi="Times" w:cs="Arial"/>
          <w:color w:val="000000" w:themeColor="text1"/>
          <w:shd w:val="clear" w:color="auto" w:fill="FFFFFF"/>
          <w:lang w:val="en-US"/>
        </w:rPr>
        <w:t xml:space="preserve"> of Education, Malaysia 1–48. Retrieved from </w:t>
      </w:r>
      <w:hyperlink r:id="rId8" w:history="1">
        <w:r w:rsidRPr="00312AC8">
          <w:rPr>
            <w:rStyle w:val="Hyperlink"/>
            <w:rFonts w:ascii="Times" w:hAnsi="Times" w:cs="Arial"/>
            <w:color w:val="000000" w:themeColor="text1"/>
            <w:u w:val="none"/>
            <w:shd w:val="clear" w:color="auto" w:fill="FFFFFF"/>
            <w:lang w:val="en-US"/>
          </w:rPr>
          <w:t>https://www.mdanderson.org/documents/about-md-anderson/about-us/facts-and-history/quick-facts.pdf</w:t>
        </w:r>
      </w:hyperlink>
    </w:p>
    <w:p w14:paraId="2AA94377" w14:textId="77777777" w:rsidR="00BD472B" w:rsidRPr="00312AC8" w:rsidRDefault="00BD472B" w:rsidP="00386DC4">
      <w:pPr>
        <w:ind w:left="567" w:hanging="567"/>
        <w:jc w:val="both"/>
        <w:rPr>
          <w:rFonts w:ascii="Times" w:hAnsi="Times" w:cs="Arial"/>
          <w:color w:val="000000" w:themeColor="text1"/>
          <w:shd w:val="clear" w:color="auto" w:fill="FFFFFF"/>
          <w:lang w:val="en-US"/>
        </w:rPr>
      </w:pPr>
      <w:proofErr w:type="spellStart"/>
      <w:r w:rsidRPr="00312AC8">
        <w:rPr>
          <w:rFonts w:ascii="Times" w:hAnsi="Times" w:cs="Arial"/>
          <w:color w:val="000000" w:themeColor="text1"/>
          <w:shd w:val="clear" w:color="auto" w:fill="FFFFFF"/>
          <w:lang w:val="en-US"/>
        </w:rPr>
        <w:t>Maulana</w:t>
      </w:r>
      <w:proofErr w:type="spellEnd"/>
      <w:r w:rsidRPr="00312AC8">
        <w:rPr>
          <w:rFonts w:ascii="Times" w:hAnsi="Times" w:cs="Arial"/>
          <w:color w:val="000000" w:themeColor="text1"/>
          <w:shd w:val="clear" w:color="auto" w:fill="FFFFFF"/>
          <w:lang w:val="en-US"/>
        </w:rPr>
        <w:t xml:space="preserve">, R., Helms-Lorenz, M. &amp; van de Grift, W. (2015). Development and evaluation of a questionnaire measuring pre-service teachers’ teaching </w:t>
      </w:r>
      <w:proofErr w:type="spellStart"/>
      <w:r w:rsidRPr="00312AC8">
        <w:rPr>
          <w:rFonts w:ascii="Times" w:hAnsi="Times" w:cs="Arial"/>
          <w:color w:val="000000" w:themeColor="text1"/>
          <w:shd w:val="clear" w:color="auto" w:fill="FFFFFF"/>
          <w:lang w:val="en-US"/>
        </w:rPr>
        <w:t>behaviour</w:t>
      </w:r>
      <w:proofErr w:type="spellEnd"/>
      <w:r w:rsidRPr="00312AC8">
        <w:rPr>
          <w:rFonts w:ascii="Times" w:hAnsi="Times" w:cs="Arial"/>
          <w:color w:val="000000" w:themeColor="text1"/>
          <w:shd w:val="clear" w:color="auto" w:fill="FFFFFF"/>
          <w:lang w:val="en-US"/>
        </w:rPr>
        <w:t xml:space="preserve">: A </w:t>
      </w:r>
      <w:proofErr w:type="spellStart"/>
      <w:r w:rsidRPr="00312AC8">
        <w:rPr>
          <w:rFonts w:ascii="Times" w:hAnsi="Times" w:cs="Arial"/>
          <w:color w:val="000000" w:themeColor="text1"/>
          <w:shd w:val="clear" w:color="auto" w:fill="FFFFFF"/>
          <w:lang w:val="en-US"/>
        </w:rPr>
        <w:t>Rasch</w:t>
      </w:r>
      <w:proofErr w:type="spellEnd"/>
      <w:r w:rsidRPr="00312AC8">
        <w:rPr>
          <w:rFonts w:ascii="Times" w:hAnsi="Times" w:cs="Arial"/>
          <w:color w:val="000000" w:themeColor="text1"/>
          <w:shd w:val="clear" w:color="auto" w:fill="FFFFFF"/>
          <w:lang w:val="en-US"/>
        </w:rPr>
        <w:t xml:space="preserve"> modelling approach</w:t>
      </w:r>
      <w:r w:rsidRPr="00312AC8">
        <w:rPr>
          <w:rFonts w:ascii="Times" w:hAnsi="Times" w:cs="Arial"/>
          <w:i/>
          <w:color w:val="000000" w:themeColor="text1"/>
          <w:shd w:val="clear" w:color="auto" w:fill="FFFFFF"/>
          <w:lang w:val="en-US"/>
        </w:rPr>
        <w:t>. School Effectiveness and School Improvement 26(2)</w:t>
      </w:r>
      <w:r w:rsidRPr="00312AC8">
        <w:rPr>
          <w:rFonts w:ascii="Times" w:hAnsi="Times" w:cs="Arial"/>
          <w:color w:val="000000" w:themeColor="text1"/>
          <w:shd w:val="clear" w:color="auto" w:fill="FFFFFF"/>
          <w:lang w:val="en-US"/>
        </w:rPr>
        <w:t>: 169–194. doi:10.1080/09243453.2014.939198</w:t>
      </w:r>
    </w:p>
    <w:p w14:paraId="3A8DE9B6" w14:textId="77777777" w:rsidR="00BD472B" w:rsidRPr="00312AC8" w:rsidRDefault="00BD472B" w:rsidP="00386DC4">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US"/>
        </w:rPr>
        <w:t xml:space="preserve">Miles, S. &amp; </w:t>
      </w:r>
      <w:proofErr w:type="spellStart"/>
      <w:r w:rsidRPr="00312AC8">
        <w:rPr>
          <w:rFonts w:ascii="Times" w:hAnsi="Times" w:cs="Arial"/>
          <w:color w:val="000000" w:themeColor="text1"/>
          <w:shd w:val="clear" w:color="auto" w:fill="FFFFFF"/>
          <w:lang w:val="en-US"/>
        </w:rPr>
        <w:t>Singal</w:t>
      </w:r>
      <w:proofErr w:type="spellEnd"/>
      <w:r w:rsidRPr="00312AC8">
        <w:rPr>
          <w:rFonts w:ascii="Times" w:hAnsi="Times" w:cs="Arial"/>
          <w:color w:val="000000" w:themeColor="text1"/>
          <w:shd w:val="clear" w:color="auto" w:fill="FFFFFF"/>
          <w:lang w:val="en-US"/>
        </w:rPr>
        <w:t xml:space="preserve">, N. (2010). The Education for All and inclusive education debate: Conflict, contradiction or opportunity? </w:t>
      </w:r>
      <w:r w:rsidRPr="00312AC8">
        <w:rPr>
          <w:rFonts w:ascii="Times" w:hAnsi="Times" w:cs="Arial"/>
          <w:i/>
          <w:color w:val="000000" w:themeColor="text1"/>
          <w:shd w:val="clear" w:color="auto" w:fill="FFFFFF"/>
          <w:lang w:val="en-US"/>
        </w:rPr>
        <w:t>International Journal of Inclusive Education 14(1):1–15</w:t>
      </w:r>
      <w:r w:rsidRPr="00312AC8">
        <w:rPr>
          <w:rFonts w:ascii="Times" w:hAnsi="Times" w:cs="Arial"/>
          <w:color w:val="000000" w:themeColor="text1"/>
          <w:shd w:val="clear" w:color="auto" w:fill="FFFFFF"/>
          <w:lang w:val="en-US"/>
        </w:rPr>
        <w:t xml:space="preserve"> doi</w:t>
      </w:r>
      <w:proofErr w:type="gramStart"/>
      <w:r w:rsidRPr="00312AC8">
        <w:rPr>
          <w:rFonts w:ascii="Times" w:hAnsi="Times" w:cs="Arial"/>
          <w:color w:val="000000" w:themeColor="text1"/>
          <w:shd w:val="clear" w:color="auto" w:fill="FFFFFF"/>
          <w:lang w:val="en-US"/>
        </w:rPr>
        <w:t>:10.1080</w:t>
      </w:r>
      <w:proofErr w:type="gramEnd"/>
      <w:r w:rsidRPr="00312AC8">
        <w:rPr>
          <w:rFonts w:ascii="Times" w:hAnsi="Times" w:cs="Arial"/>
          <w:color w:val="000000" w:themeColor="text1"/>
          <w:shd w:val="clear" w:color="auto" w:fill="FFFFFF"/>
          <w:lang w:val="en-US"/>
        </w:rPr>
        <w:t>/13603110802265125</w:t>
      </w:r>
    </w:p>
    <w:p w14:paraId="714BB328" w14:textId="77777777" w:rsidR="00BD472B" w:rsidRPr="00312AC8" w:rsidRDefault="00BD472B" w:rsidP="00386DC4">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US"/>
        </w:rPr>
        <w:lastRenderedPageBreak/>
        <w:t xml:space="preserve">Ministry of Education Malaysia. (2018). </w:t>
      </w:r>
      <w:r w:rsidRPr="00312AC8">
        <w:rPr>
          <w:rFonts w:ascii="Times" w:hAnsi="Times" w:cs="Arial"/>
          <w:i/>
          <w:color w:val="000000" w:themeColor="text1"/>
          <w:shd w:val="clear" w:color="auto" w:fill="FFFFFF"/>
          <w:lang w:val="en-US"/>
        </w:rPr>
        <w:t>Annual Report 2018</w:t>
      </w:r>
      <w:r w:rsidRPr="00312AC8">
        <w:rPr>
          <w:rFonts w:ascii="Times" w:hAnsi="Times" w:cs="Arial"/>
          <w:color w:val="000000" w:themeColor="text1"/>
          <w:shd w:val="clear" w:color="auto" w:fill="FFFFFF"/>
          <w:lang w:val="en-US"/>
        </w:rPr>
        <w:t>: Malaysia Education Development Plan 2013-2025. Ministry of Education Malaysia 1–96. Retrieved from https://www.moe.gov.my/en/muat-turun/penerbitan-dan-jurnal/pppm-2013-2025-pendidikan-prasekolah-hingga-lepas-menengah/laporan-tahunan-2018/3283-laporan-tahunan-bm/file</w:t>
      </w:r>
    </w:p>
    <w:p w14:paraId="00250B5B" w14:textId="77777777" w:rsidR="00BD472B" w:rsidRPr="00312AC8" w:rsidRDefault="00BD472B" w:rsidP="00386DC4">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US"/>
        </w:rPr>
        <w:t xml:space="preserve">Ministry of Education Malaysia. (2019). </w:t>
      </w:r>
      <w:r w:rsidRPr="00312AC8">
        <w:rPr>
          <w:rFonts w:ascii="Times" w:hAnsi="Times" w:cs="Arial"/>
          <w:i/>
          <w:color w:val="000000" w:themeColor="text1"/>
          <w:shd w:val="clear" w:color="auto" w:fill="FFFFFF"/>
          <w:lang w:val="en-US"/>
        </w:rPr>
        <w:t>Quick Facts 2019</w:t>
      </w:r>
      <w:r w:rsidRPr="00312AC8">
        <w:rPr>
          <w:rFonts w:ascii="Times" w:hAnsi="Times" w:cs="Arial"/>
          <w:color w:val="000000" w:themeColor="text1"/>
          <w:shd w:val="clear" w:color="auto" w:fill="FFFFFF"/>
          <w:lang w:val="en-US"/>
        </w:rPr>
        <w:t>: Malaysia Educational Statistics. Ministry of Education, Malaysia 1–48. Retrieved from https://www.moe.gov.my/en/penerbitan/1587-quick-facts-2018-malaysia-educational-statistics-1/file</w:t>
      </w:r>
    </w:p>
    <w:p w14:paraId="2831656C" w14:textId="77777777" w:rsidR="00BD472B" w:rsidRPr="00312AC8" w:rsidRDefault="00BD472B" w:rsidP="00386DC4">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GB"/>
        </w:rPr>
        <w:t xml:space="preserve">Ministry of Education, M. (2018). </w:t>
      </w:r>
      <w:r w:rsidRPr="00312AC8">
        <w:rPr>
          <w:rFonts w:ascii="Times" w:hAnsi="Times" w:cs="Arial"/>
          <w:i/>
          <w:color w:val="000000" w:themeColor="text1"/>
          <w:shd w:val="clear" w:color="auto" w:fill="FFFFFF"/>
          <w:lang w:val="en-GB"/>
        </w:rPr>
        <w:t>Professional Circular Letter Number 4 Year 2018</w:t>
      </w:r>
      <w:r w:rsidRPr="00312AC8">
        <w:rPr>
          <w:rFonts w:ascii="Times" w:hAnsi="Times" w:cs="Arial"/>
          <w:color w:val="000000" w:themeColor="text1"/>
          <w:shd w:val="clear" w:color="auto" w:fill="FFFFFF"/>
          <w:lang w:val="en-GB"/>
        </w:rPr>
        <w:t xml:space="preserve"> - </w:t>
      </w:r>
      <w:r w:rsidRPr="00312AC8">
        <w:rPr>
          <w:rFonts w:ascii="Times" w:hAnsi="Times" w:cs="Arial"/>
          <w:i/>
          <w:color w:val="000000" w:themeColor="text1"/>
          <w:shd w:val="clear" w:color="auto" w:fill="FFFFFF"/>
          <w:lang w:val="en-GB"/>
        </w:rPr>
        <w:t xml:space="preserve">Guidelines </w:t>
      </w:r>
      <w:proofErr w:type="gramStart"/>
      <w:r w:rsidRPr="00312AC8">
        <w:rPr>
          <w:rFonts w:ascii="Times" w:hAnsi="Times" w:cs="Arial"/>
          <w:i/>
          <w:color w:val="000000" w:themeColor="text1"/>
          <w:shd w:val="clear" w:color="auto" w:fill="FFFFFF"/>
          <w:lang w:val="en-GB"/>
        </w:rPr>
        <w:t>For</w:t>
      </w:r>
      <w:proofErr w:type="gramEnd"/>
      <w:r w:rsidRPr="00312AC8">
        <w:rPr>
          <w:rFonts w:ascii="Times" w:hAnsi="Times" w:cs="Arial"/>
          <w:i/>
          <w:color w:val="000000" w:themeColor="text1"/>
          <w:shd w:val="clear" w:color="auto" w:fill="FFFFFF"/>
          <w:lang w:val="en-GB"/>
        </w:rPr>
        <w:t xml:space="preserve"> Managing Students At Risk Of Dropping Out Of School</w:t>
      </w:r>
      <w:r w:rsidRPr="00312AC8">
        <w:rPr>
          <w:rFonts w:ascii="Times" w:hAnsi="Times" w:cs="Arial"/>
          <w:color w:val="000000" w:themeColor="text1"/>
          <w:shd w:val="clear" w:color="auto" w:fill="FFFFFF"/>
          <w:lang w:val="en-GB"/>
        </w:rPr>
        <w:t>. Retrieved from www.moe.gov.my</w:t>
      </w:r>
    </w:p>
    <w:p w14:paraId="0A0C9F08" w14:textId="77777777" w:rsidR="00BD472B" w:rsidRPr="00312AC8" w:rsidRDefault="00BD472B" w:rsidP="00386DC4">
      <w:pPr>
        <w:ind w:left="567" w:hanging="567"/>
        <w:jc w:val="both"/>
        <w:rPr>
          <w:rFonts w:ascii="Times" w:hAnsi="Times" w:cs="Arial"/>
          <w:color w:val="000000" w:themeColor="text1"/>
          <w:shd w:val="clear" w:color="auto" w:fill="FFFFFF"/>
          <w:lang w:val="en-US"/>
        </w:rPr>
      </w:pPr>
      <w:proofErr w:type="spellStart"/>
      <w:r w:rsidRPr="00312AC8">
        <w:rPr>
          <w:rFonts w:ascii="Times" w:hAnsi="Times" w:cs="Arial"/>
          <w:color w:val="000000" w:themeColor="text1"/>
          <w:shd w:val="clear" w:color="auto" w:fill="FFFFFF"/>
          <w:lang w:val="en-US"/>
        </w:rPr>
        <w:t>Molosiwa</w:t>
      </w:r>
      <w:proofErr w:type="spellEnd"/>
      <w:r w:rsidRPr="00312AC8">
        <w:rPr>
          <w:rFonts w:ascii="Times" w:hAnsi="Times" w:cs="Arial"/>
          <w:color w:val="000000" w:themeColor="text1"/>
          <w:shd w:val="clear" w:color="auto" w:fill="FFFFFF"/>
          <w:lang w:val="en-US"/>
        </w:rPr>
        <w:t xml:space="preserve">, A. &amp; </w:t>
      </w:r>
      <w:proofErr w:type="spellStart"/>
      <w:r w:rsidRPr="00312AC8">
        <w:rPr>
          <w:rFonts w:ascii="Times" w:hAnsi="Times" w:cs="Arial"/>
          <w:color w:val="000000" w:themeColor="text1"/>
          <w:shd w:val="clear" w:color="auto" w:fill="FFFFFF"/>
          <w:lang w:val="en-US"/>
        </w:rPr>
        <w:t>Boikhutso</w:t>
      </w:r>
      <w:proofErr w:type="spellEnd"/>
      <w:r w:rsidRPr="00312AC8">
        <w:rPr>
          <w:rFonts w:ascii="Times" w:hAnsi="Times" w:cs="Arial"/>
          <w:color w:val="000000" w:themeColor="text1"/>
          <w:shd w:val="clear" w:color="auto" w:fill="FFFFFF"/>
          <w:lang w:val="en-US"/>
        </w:rPr>
        <w:t xml:space="preserve">, K. (2016). Low educational participation of </w:t>
      </w:r>
      <w:proofErr w:type="spellStart"/>
      <w:r w:rsidRPr="00312AC8">
        <w:rPr>
          <w:rFonts w:ascii="Times" w:hAnsi="Times" w:cs="Arial"/>
          <w:color w:val="000000" w:themeColor="text1"/>
          <w:shd w:val="clear" w:color="auto" w:fill="FFFFFF"/>
          <w:lang w:val="en-US"/>
        </w:rPr>
        <w:t>marginalised</w:t>
      </w:r>
      <w:proofErr w:type="spellEnd"/>
      <w:r w:rsidRPr="00312AC8">
        <w:rPr>
          <w:rFonts w:ascii="Times" w:hAnsi="Times" w:cs="Arial"/>
          <w:color w:val="000000" w:themeColor="text1"/>
          <w:shd w:val="clear" w:color="auto" w:fill="FFFFFF"/>
          <w:lang w:val="en-US"/>
        </w:rPr>
        <w:t xml:space="preserve"> children in Botswana’s rural and remote schools: </w:t>
      </w:r>
      <w:r w:rsidRPr="00312AC8">
        <w:rPr>
          <w:rFonts w:ascii="Times" w:hAnsi="Times" w:cs="Arial"/>
          <w:i/>
          <w:color w:val="000000" w:themeColor="text1"/>
          <w:shd w:val="clear" w:color="auto" w:fill="FFFFFF"/>
          <w:lang w:val="en-US"/>
        </w:rPr>
        <w:t>Interface between cultural, structural and institutional factors. Africa Education Review 13(2)</w:t>
      </w:r>
      <w:r w:rsidRPr="00312AC8">
        <w:rPr>
          <w:rFonts w:ascii="Times" w:hAnsi="Times" w:cs="Arial"/>
          <w:color w:val="000000" w:themeColor="text1"/>
          <w:shd w:val="clear" w:color="auto" w:fill="FFFFFF"/>
          <w:lang w:val="en-US"/>
        </w:rPr>
        <w:t>: 48–63. doi:10.1080/18146627.2016.1224097</w:t>
      </w:r>
    </w:p>
    <w:p w14:paraId="213D99A6" w14:textId="77777777" w:rsidR="00BD472B" w:rsidRPr="00312AC8" w:rsidRDefault="00BD472B" w:rsidP="00386DC4">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US"/>
        </w:rPr>
        <w:t xml:space="preserve">Mughal, A. W. &amp; Aldridge, J. (2017). Head Teachers’ Perspectives on School </w:t>
      </w:r>
      <w:proofErr w:type="gramStart"/>
      <w:r w:rsidRPr="00312AC8">
        <w:rPr>
          <w:rFonts w:ascii="Times" w:hAnsi="Times" w:cs="Arial"/>
          <w:color w:val="000000" w:themeColor="text1"/>
          <w:shd w:val="clear" w:color="auto" w:fill="FFFFFF"/>
          <w:lang w:val="en-US"/>
        </w:rPr>
        <w:t>Drop-Out</w:t>
      </w:r>
      <w:proofErr w:type="gramEnd"/>
      <w:r w:rsidRPr="00312AC8">
        <w:rPr>
          <w:rFonts w:ascii="Times" w:hAnsi="Times" w:cs="Arial"/>
          <w:color w:val="000000" w:themeColor="text1"/>
          <w:shd w:val="clear" w:color="auto" w:fill="FFFFFF"/>
          <w:lang w:val="en-US"/>
        </w:rPr>
        <w:t xml:space="preserve"> in Secondary Schools in Rural Punjab, Pakistan. </w:t>
      </w:r>
      <w:r w:rsidRPr="00312AC8">
        <w:rPr>
          <w:rFonts w:ascii="Times" w:hAnsi="Times" w:cs="Arial"/>
          <w:i/>
          <w:color w:val="000000" w:themeColor="text1"/>
          <w:shd w:val="clear" w:color="auto" w:fill="FFFFFF"/>
          <w:lang w:val="en-US"/>
        </w:rPr>
        <w:t>Educational Studies 53(4): 359–376</w:t>
      </w:r>
      <w:r w:rsidRPr="00312AC8">
        <w:rPr>
          <w:rFonts w:ascii="Times" w:hAnsi="Times" w:cs="Arial"/>
          <w:color w:val="000000" w:themeColor="text1"/>
          <w:shd w:val="clear" w:color="auto" w:fill="FFFFFF"/>
          <w:lang w:val="en-US"/>
        </w:rPr>
        <w:t>. doi:10.1080/00131946.2017.1307196</w:t>
      </w:r>
    </w:p>
    <w:p w14:paraId="5318CFB5" w14:textId="77777777" w:rsidR="00BD472B" w:rsidRPr="00312AC8" w:rsidRDefault="00BD472B" w:rsidP="00BD472B">
      <w:pPr>
        <w:ind w:left="567" w:hanging="567"/>
        <w:jc w:val="both"/>
        <w:rPr>
          <w:rFonts w:ascii="Times" w:hAnsi="Times" w:cs="Arial"/>
          <w:color w:val="000000" w:themeColor="text1"/>
          <w:shd w:val="clear" w:color="auto" w:fill="FFFFFF"/>
          <w:lang w:val="en-GB"/>
        </w:rPr>
      </w:pPr>
      <w:proofErr w:type="spellStart"/>
      <w:r w:rsidRPr="00312AC8">
        <w:rPr>
          <w:rFonts w:ascii="Times" w:hAnsi="Times" w:cs="Arial"/>
          <w:color w:val="000000" w:themeColor="text1"/>
          <w:shd w:val="clear" w:color="auto" w:fill="FFFFFF"/>
          <w:lang w:val="en-GB"/>
        </w:rPr>
        <w:t>Salend</w:t>
      </w:r>
      <w:proofErr w:type="spellEnd"/>
      <w:r w:rsidRPr="00312AC8">
        <w:rPr>
          <w:rFonts w:ascii="Times" w:hAnsi="Times" w:cs="Arial"/>
          <w:color w:val="000000" w:themeColor="text1"/>
          <w:shd w:val="clear" w:color="auto" w:fill="FFFFFF"/>
          <w:lang w:val="en-GB"/>
        </w:rPr>
        <w:t xml:space="preserve">, S. J. (2005). Report Card Models That Support Communication and Differentiation of Instruction. </w:t>
      </w:r>
      <w:r w:rsidRPr="00312AC8">
        <w:rPr>
          <w:rFonts w:ascii="Times" w:hAnsi="Times" w:cs="Arial"/>
          <w:i/>
          <w:color w:val="000000" w:themeColor="text1"/>
          <w:shd w:val="clear" w:color="auto" w:fill="FFFFFF"/>
          <w:lang w:val="en-GB"/>
        </w:rPr>
        <w:t>Teacher Development, 37</w:t>
      </w:r>
      <w:r w:rsidRPr="00312AC8">
        <w:rPr>
          <w:rFonts w:ascii="Times" w:hAnsi="Times" w:cs="Arial"/>
          <w:color w:val="000000" w:themeColor="text1"/>
          <w:shd w:val="clear" w:color="auto" w:fill="FFFFFF"/>
          <w:lang w:val="en-GB"/>
        </w:rPr>
        <w:t>, 28–34</w:t>
      </w:r>
    </w:p>
    <w:p w14:paraId="3018E2F8" w14:textId="77777777" w:rsidR="00BD472B" w:rsidRPr="00312AC8" w:rsidRDefault="00BD472B" w:rsidP="00BD472B">
      <w:pPr>
        <w:ind w:left="567" w:hanging="567"/>
        <w:jc w:val="both"/>
        <w:rPr>
          <w:rFonts w:ascii="Times" w:hAnsi="Times" w:cs="Arial"/>
          <w:color w:val="000000" w:themeColor="text1"/>
          <w:shd w:val="clear" w:color="auto" w:fill="FFFFFF"/>
          <w:lang w:val="en-GB"/>
        </w:rPr>
      </w:pPr>
      <w:r w:rsidRPr="00312AC8">
        <w:rPr>
          <w:rFonts w:eastAsia="MS Mincho"/>
          <w:noProof/>
          <w:color w:val="000000" w:themeColor="text1"/>
          <w:lang w:val="ms-MY" w:eastAsia="en-US"/>
        </w:rPr>
        <w:t>Sekaran. 2013</w:t>
      </w:r>
      <w:r w:rsidRPr="006542FD">
        <w:rPr>
          <w:rFonts w:eastAsia="MS Mincho"/>
          <w:noProof/>
          <w:color w:val="000000" w:themeColor="text1"/>
          <w:lang w:val="ms-MY" w:eastAsia="en-US"/>
        </w:rPr>
        <w:t xml:space="preserve">. </w:t>
      </w:r>
      <w:r w:rsidRPr="006542FD">
        <w:rPr>
          <w:rFonts w:eastAsia="MS Mincho"/>
          <w:i/>
          <w:iCs/>
          <w:noProof/>
          <w:color w:val="000000" w:themeColor="text1"/>
          <w:lang w:val="ms-MY" w:eastAsia="en-US"/>
        </w:rPr>
        <w:t xml:space="preserve">Research methods for business; A skill building approach </w:t>
      </w:r>
      <w:r w:rsidRPr="006542FD">
        <w:rPr>
          <w:rFonts w:eastAsia="MS Mincho"/>
          <w:noProof/>
          <w:color w:val="000000" w:themeColor="text1"/>
          <w:lang w:val="ms-MY" w:eastAsia="en-US"/>
        </w:rPr>
        <w:t>New York: John Wiley and Sons.</w:t>
      </w:r>
    </w:p>
    <w:p w14:paraId="62E66A29" w14:textId="77777777" w:rsidR="00BD472B" w:rsidRPr="00312AC8" w:rsidRDefault="00BD472B" w:rsidP="00BD472B">
      <w:pPr>
        <w:ind w:left="567" w:hanging="567"/>
        <w:jc w:val="both"/>
        <w:rPr>
          <w:rFonts w:ascii="Times" w:hAnsi="Times" w:cs="Arial"/>
          <w:color w:val="000000" w:themeColor="text1"/>
          <w:shd w:val="clear" w:color="auto" w:fill="FFFFFF"/>
          <w:lang w:val="ms-MY"/>
        </w:rPr>
      </w:pPr>
      <w:r w:rsidRPr="006542FD">
        <w:rPr>
          <w:noProof/>
          <w:color w:val="000000" w:themeColor="text1"/>
          <w:lang w:val="ms-MY" w:eastAsia="en-US"/>
        </w:rPr>
        <w:t xml:space="preserve">Sharma, U. &amp; Deppeler, J. </w:t>
      </w:r>
      <w:r w:rsidRPr="00312AC8">
        <w:rPr>
          <w:noProof/>
          <w:color w:val="000000" w:themeColor="text1"/>
          <w:lang w:val="ms-MY" w:eastAsia="en-US"/>
        </w:rPr>
        <w:t>(</w:t>
      </w:r>
      <w:r w:rsidRPr="006542FD">
        <w:rPr>
          <w:noProof/>
          <w:color w:val="000000" w:themeColor="text1"/>
          <w:lang w:val="ms-MY" w:eastAsia="en-US"/>
        </w:rPr>
        <w:t>2012</w:t>
      </w:r>
      <w:r w:rsidRPr="00312AC8">
        <w:rPr>
          <w:noProof/>
          <w:color w:val="000000" w:themeColor="text1"/>
          <w:lang w:val="ms-MY" w:eastAsia="en-US"/>
        </w:rPr>
        <w:t>)</w:t>
      </w:r>
      <w:r w:rsidRPr="006542FD">
        <w:rPr>
          <w:noProof/>
          <w:color w:val="000000" w:themeColor="text1"/>
          <w:lang w:val="ms-MY" w:eastAsia="en-US"/>
        </w:rPr>
        <w:t>. Variables affecting teachers ’ intentions to include students with disabilities in regular primary schools in Bangladesh (October): 37–41. doi:10.1080/09687599</w:t>
      </w:r>
    </w:p>
    <w:p w14:paraId="30215A38" w14:textId="63C6F65E" w:rsidR="00BD472B" w:rsidRPr="00312AC8" w:rsidRDefault="00BD472B" w:rsidP="00BD472B">
      <w:pPr>
        <w:ind w:left="567" w:hanging="567"/>
        <w:jc w:val="both"/>
        <w:rPr>
          <w:rFonts w:ascii="Times" w:hAnsi="Times" w:cs="Arial"/>
          <w:color w:val="000000" w:themeColor="text1"/>
          <w:shd w:val="clear" w:color="auto" w:fill="FFFFFF"/>
          <w:lang w:val="en-GB"/>
        </w:rPr>
      </w:pPr>
      <w:r w:rsidRPr="00312AC8">
        <w:rPr>
          <w:rFonts w:eastAsia="MS Mincho"/>
          <w:iCs/>
          <w:noProof/>
          <w:color w:val="000000" w:themeColor="text1"/>
          <w:lang w:eastAsia="en-US"/>
        </w:rPr>
        <w:t>Shyamani Hettiarachchi a, b , Aj</w:t>
      </w:r>
      <w:r w:rsidRPr="00312AC8">
        <w:rPr>
          <w:rFonts w:eastAsia="MS Mincho"/>
          <w:iCs/>
          <w:noProof/>
          <w:color w:val="000000" w:themeColor="text1"/>
          <w:lang w:eastAsia="en-US"/>
        </w:rPr>
        <w:t>ay Das c.(2013)</w:t>
      </w:r>
      <w:r w:rsidRPr="00312AC8">
        <w:rPr>
          <w:rFonts w:eastAsia="MS Mincho"/>
          <w:iCs/>
          <w:noProof/>
          <w:color w:val="000000" w:themeColor="text1"/>
          <w:lang w:eastAsia="en-US"/>
        </w:rPr>
        <w:t xml:space="preserve"> </w:t>
      </w:r>
      <w:r w:rsidRPr="00312AC8">
        <w:rPr>
          <w:rFonts w:eastAsia="MS Mincho"/>
          <w:iCs/>
          <w:noProof/>
          <w:color w:val="000000" w:themeColor="text1"/>
          <w:lang w:eastAsia="en-US"/>
        </w:rPr>
        <w:t xml:space="preserve">Perceptions of ‘inclusion’ and perceived preparedness among school teachers in Sri Lanka </w:t>
      </w:r>
      <w:hyperlink r:id="rId9" w:tooltip="Go to Teaching and Teacher Education on ScienceDirect" w:history="1">
        <w:r w:rsidRPr="00312AC8">
          <w:rPr>
            <w:rStyle w:val="Hyperlink"/>
            <w:rFonts w:eastAsia="MS Mincho"/>
            <w:bCs/>
            <w:i/>
            <w:iCs/>
            <w:noProof/>
            <w:color w:val="000000" w:themeColor="text1"/>
            <w:u w:val="none"/>
            <w:lang w:val="ms-MY" w:eastAsia="en-US"/>
          </w:rPr>
          <w:t>Teaching and Teacher Education</w:t>
        </w:r>
      </w:hyperlink>
      <w:r w:rsidRPr="00312AC8">
        <w:rPr>
          <w:rFonts w:eastAsia="MS Mincho"/>
          <w:bCs/>
          <w:i/>
          <w:iCs/>
          <w:noProof/>
          <w:color w:val="000000" w:themeColor="text1"/>
          <w:lang w:val="ms-MY" w:eastAsia="en-US"/>
        </w:rPr>
        <w:t xml:space="preserve"> </w:t>
      </w:r>
      <w:hyperlink r:id="rId10" w:tooltip="Go to table of contents for this volume/issue" w:history="1">
        <w:r w:rsidRPr="00312AC8">
          <w:rPr>
            <w:rStyle w:val="Hyperlink"/>
            <w:rFonts w:eastAsia="MS Mincho"/>
            <w:i/>
            <w:iCs/>
            <w:noProof/>
            <w:color w:val="000000" w:themeColor="text1"/>
            <w:u w:val="none"/>
            <w:lang w:val="ms-MY" w:eastAsia="en-US"/>
          </w:rPr>
          <w:t>Volume 43</w:t>
        </w:r>
      </w:hyperlink>
      <w:r w:rsidRPr="00312AC8">
        <w:rPr>
          <w:rFonts w:eastAsia="MS Mincho"/>
          <w:i/>
          <w:iCs/>
          <w:noProof/>
          <w:color w:val="000000" w:themeColor="text1"/>
          <w:lang w:val="ms-MY" w:eastAsia="en-US"/>
        </w:rPr>
        <w:t>, October 2014</w:t>
      </w:r>
      <w:r w:rsidRPr="00312AC8">
        <w:rPr>
          <w:rFonts w:eastAsia="MS Mincho"/>
          <w:iCs/>
          <w:noProof/>
          <w:color w:val="000000" w:themeColor="text1"/>
          <w:lang w:val="ms-MY" w:eastAsia="en-US"/>
        </w:rPr>
        <w:t>, Pages 143-153.</w:t>
      </w:r>
      <w:r w:rsidRPr="00312AC8">
        <w:rPr>
          <w:color w:val="000000" w:themeColor="text1"/>
        </w:rPr>
        <w:t xml:space="preserve"> </w:t>
      </w:r>
      <w:r w:rsidRPr="00312AC8">
        <w:rPr>
          <w:rFonts w:eastAsia="MS Mincho"/>
          <w:iCs/>
          <w:noProof/>
          <w:color w:val="000000" w:themeColor="text1"/>
          <w:lang w:val="ms-MY" w:eastAsia="en-US"/>
        </w:rPr>
        <w:t>https://doi.org/10.1016/j.tate.2014.07.003</w:t>
      </w:r>
    </w:p>
    <w:p w14:paraId="0A8EDA62" w14:textId="77777777" w:rsidR="00BD472B" w:rsidRPr="00312AC8" w:rsidRDefault="00BD472B" w:rsidP="00386DC4">
      <w:pPr>
        <w:ind w:left="567" w:hanging="567"/>
        <w:jc w:val="both"/>
        <w:rPr>
          <w:rFonts w:ascii="Times" w:hAnsi="Times" w:cs="Arial"/>
          <w:i/>
          <w:color w:val="000000" w:themeColor="text1"/>
          <w:shd w:val="clear" w:color="auto" w:fill="FFFFFF"/>
          <w:lang w:val="en-US"/>
        </w:rPr>
      </w:pPr>
      <w:r w:rsidRPr="00312AC8">
        <w:rPr>
          <w:rFonts w:ascii="Times" w:hAnsi="Times" w:cs="Arial"/>
          <w:color w:val="000000" w:themeColor="text1"/>
          <w:shd w:val="clear" w:color="auto" w:fill="FFFFFF"/>
          <w:lang w:val="en-US"/>
        </w:rPr>
        <w:t xml:space="preserve">Tomlinson, C. A. (1999). The differentiated classroom: Responding to the needs of all </w:t>
      </w:r>
      <w:proofErr w:type="spellStart"/>
      <w:r w:rsidRPr="00312AC8">
        <w:rPr>
          <w:rFonts w:ascii="Times" w:hAnsi="Times" w:cs="Arial"/>
          <w:color w:val="000000" w:themeColor="text1"/>
          <w:shd w:val="clear" w:color="auto" w:fill="FFFFFF"/>
          <w:lang w:val="en-US"/>
        </w:rPr>
        <w:t>learners.</w:t>
      </w:r>
      <w:r w:rsidRPr="00312AC8">
        <w:rPr>
          <w:rFonts w:ascii="Times" w:hAnsi="Times" w:cs="Arial"/>
          <w:i/>
          <w:color w:val="000000" w:themeColor="text1"/>
          <w:shd w:val="clear" w:color="auto" w:fill="FFFFFF"/>
          <w:lang w:val="en-US"/>
        </w:rPr>
        <w:t>Alexandria</w:t>
      </w:r>
      <w:proofErr w:type="spellEnd"/>
      <w:r w:rsidRPr="00312AC8">
        <w:rPr>
          <w:rFonts w:ascii="Times" w:hAnsi="Times" w:cs="Arial"/>
          <w:i/>
          <w:color w:val="000000" w:themeColor="text1"/>
          <w:shd w:val="clear" w:color="auto" w:fill="FFFFFF"/>
          <w:lang w:val="en-US"/>
        </w:rPr>
        <w:t>, VA</w:t>
      </w:r>
      <w:proofErr w:type="gramStart"/>
      <w:r w:rsidRPr="00312AC8">
        <w:rPr>
          <w:rFonts w:ascii="Times" w:hAnsi="Times" w:cs="Arial"/>
          <w:i/>
          <w:color w:val="000000" w:themeColor="text1"/>
          <w:shd w:val="clear" w:color="auto" w:fill="FFFFFF"/>
          <w:lang w:val="en-US"/>
        </w:rPr>
        <w:t>:ASCD</w:t>
      </w:r>
      <w:proofErr w:type="gramEnd"/>
      <w:r w:rsidRPr="00312AC8">
        <w:rPr>
          <w:rFonts w:ascii="Times" w:hAnsi="Times" w:cs="Arial"/>
          <w:i/>
          <w:color w:val="000000" w:themeColor="text1"/>
          <w:shd w:val="clear" w:color="auto" w:fill="FFFFFF"/>
          <w:lang w:val="en-US"/>
        </w:rPr>
        <w:t xml:space="preserve"> </w:t>
      </w:r>
    </w:p>
    <w:p w14:paraId="255C9262" w14:textId="77777777" w:rsidR="00BD472B" w:rsidRPr="00312AC8" w:rsidRDefault="00BD472B" w:rsidP="00386DC4">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US"/>
        </w:rPr>
        <w:t>World Conference on Education for All. (1991).</w:t>
      </w:r>
      <w:r w:rsidRPr="00312AC8">
        <w:rPr>
          <w:rFonts w:ascii="Times" w:hAnsi="Times" w:cs="Arial"/>
          <w:i/>
          <w:color w:val="000000" w:themeColor="text1"/>
          <w:shd w:val="clear" w:color="auto" w:fill="FFFFFF"/>
          <w:lang w:val="en-US"/>
        </w:rPr>
        <w:t>World Leisure &amp; Recreation 33(2)</w:t>
      </w:r>
      <w:r w:rsidRPr="00312AC8">
        <w:rPr>
          <w:rFonts w:ascii="Times" w:hAnsi="Times" w:cs="Arial"/>
          <w:color w:val="000000" w:themeColor="text1"/>
          <w:shd w:val="clear" w:color="auto" w:fill="FFFFFF"/>
          <w:lang w:val="en-US"/>
        </w:rPr>
        <w:t>: 43–44. doi:10.1080/10261133.1991.9673767</w:t>
      </w:r>
    </w:p>
    <w:p w14:paraId="6B687697" w14:textId="77777777" w:rsidR="00BD472B" w:rsidRPr="00312AC8" w:rsidRDefault="00BD472B" w:rsidP="00386DC4">
      <w:pPr>
        <w:ind w:left="567" w:hanging="567"/>
        <w:jc w:val="both"/>
        <w:rPr>
          <w:rFonts w:ascii="Times" w:hAnsi="Times" w:cs="Arial"/>
          <w:color w:val="000000" w:themeColor="text1"/>
          <w:shd w:val="clear" w:color="auto" w:fill="FFFFFF"/>
          <w:lang w:val="en-US"/>
        </w:rPr>
      </w:pPr>
      <w:r w:rsidRPr="00312AC8">
        <w:rPr>
          <w:rFonts w:ascii="Times" w:hAnsi="Times" w:cs="Arial"/>
          <w:color w:val="000000" w:themeColor="text1"/>
          <w:shd w:val="clear" w:color="auto" w:fill="FFFFFF"/>
          <w:lang w:val="en-US"/>
        </w:rPr>
        <w:t>World Vision UK</w:t>
      </w:r>
      <w:proofErr w:type="gramStart"/>
      <w:r w:rsidRPr="00312AC8">
        <w:rPr>
          <w:rFonts w:ascii="Times" w:hAnsi="Times" w:cs="Arial"/>
          <w:color w:val="000000" w:themeColor="text1"/>
          <w:shd w:val="clear" w:color="auto" w:fill="FFFFFF"/>
          <w:lang w:val="en-US"/>
        </w:rPr>
        <w:t>,(</w:t>
      </w:r>
      <w:proofErr w:type="gramEnd"/>
      <w:r w:rsidRPr="00312AC8">
        <w:rPr>
          <w:rFonts w:ascii="Times" w:hAnsi="Times" w:cs="Arial"/>
          <w:color w:val="000000" w:themeColor="text1"/>
          <w:shd w:val="clear" w:color="auto" w:fill="FFFFFF"/>
          <w:lang w:val="en-US"/>
        </w:rPr>
        <w:t xml:space="preserve">2007).Education’s Missing Millions: </w:t>
      </w:r>
      <w:r w:rsidRPr="00312AC8">
        <w:rPr>
          <w:rFonts w:ascii="Times" w:hAnsi="Times" w:cs="Arial"/>
          <w:i/>
          <w:color w:val="000000" w:themeColor="text1"/>
          <w:shd w:val="clear" w:color="auto" w:fill="FFFFFF"/>
          <w:lang w:val="en-US"/>
        </w:rPr>
        <w:t>Including Disabled Children through EFA FTI Processes and National Sector Plan. World Vision UK</w:t>
      </w:r>
      <w:r w:rsidRPr="00312AC8">
        <w:rPr>
          <w:rFonts w:ascii="Times" w:hAnsi="Times" w:cs="Arial"/>
          <w:color w:val="000000" w:themeColor="text1"/>
          <w:shd w:val="clear" w:color="auto" w:fill="FFFFFF"/>
          <w:lang w:val="en-US"/>
        </w:rPr>
        <w:t xml:space="preserve">, Milton Keynes. </w:t>
      </w:r>
    </w:p>
    <w:p w14:paraId="219A7984" w14:textId="77777777" w:rsidR="00BD472B" w:rsidRPr="00312AC8" w:rsidRDefault="00BD472B" w:rsidP="00386DC4">
      <w:pPr>
        <w:ind w:left="567" w:hanging="567"/>
        <w:jc w:val="both"/>
        <w:rPr>
          <w:rFonts w:ascii="Times" w:hAnsi="Times" w:cs="Arial"/>
          <w:color w:val="000000" w:themeColor="text1"/>
          <w:shd w:val="clear" w:color="auto" w:fill="FFFFFF"/>
          <w:lang w:val="en-US"/>
        </w:rPr>
      </w:pPr>
      <w:proofErr w:type="spellStart"/>
      <w:r w:rsidRPr="00312AC8">
        <w:rPr>
          <w:rFonts w:ascii="Times" w:hAnsi="Times" w:cs="Arial"/>
          <w:color w:val="000000" w:themeColor="text1"/>
          <w:shd w:val="clear" w:color="auto" w:fill="FFFFFF"/>
          <w:lang w:val="en-US"/>
        </w:rPr>
        <w:t>Zalizan</w:t>
      </w:r>
      <w:proofErr w:type="spellEnd"/>
      <w:r w:rsidRPr="00312AC8">
        <w:rPr>
          <w:rFonts w:ascii="Times" w:hAnsi="Times" w:cs="Arial"/>
          <w:color w:val="000000" w:themeColor="text1"/>
          <w:shd w:val="clear" w:color="auto" w:fill="FFFFFF"/>
          <w:lang w:val="en-US"/>
        </w:rPr>
        <w:t xml:space="preserve"> &amp; </w:t>
      </w:r>
      <w:proofErr w:type="spellStart"/>
      <w:r w:rsidRPr="00312AC8">
        <w:rPr>
          <w:rFonts w:ascii="Times" w:hAnsi="Times" w:cs="Arial"/>
          <w:color w:val="000000" w:themeColor="text1"/>
          <w:shd w:val="clear" w:color="auto" w:fill="FFFFFF"/>
          <w:lang w:val="en-US"/>
        </w:rPr>
        <w:t>Noraini</w:t>
      </w:r>
      <w:proofErr w:type="spellEnd"/>
      <w:r w:rsidRPr="00312AC8">
        <w:rPr>
          <w:rFonts w:ascii="Times" w:hAnsi="Times" w:cs="Arial"/>
          <w:color w:val="000000" w:themeColor="text1"/>
          <w:shd w:val="clear" w:color="auto" w:fill="FFFFFF"/>
          <w:lang w:val="en-US"/>
        </w:rPr>
        <w:t xml:space="preserve"> </w:t>
      </w:r>
      <w:proofErr w:type="spellStart"/>
      <w:r w:rsidRPr="00312AC8">
        <w:rPr>
          <w:rFonts w:ascii="Times" w:hAnsi="Times" w:cs="Arial"/>
          <w:color w:val="000000" w:themeColor="text1"/>
          <w:shd w:val="clear" w:color="auto" w:fill="FFFFFF"/>
          <w:lang w:val="en-US"/>
        </w:rPr>
        <w:t>Mohd</w:t>
      </w:r>
      <w:proofErr w:type="spellEnd"/>
      <w:r w:rsidRPr="00312AC8">
        <w:rPr>
          <w:rFonts w:ascii="Times" w:hAnsi="Times" w:cs="Arial"/>
          <w:color w:val="000000" w:themeColor="text1"/>
          <w:shd w:val="clear" w:color="auto" w:fill="FFFFFF"/>
          <w:lang w:val="en-US"/>
        </w:rPr>
        <w:t xml:space="preserve">. </w:t>
      </w:r>
      <w:proofErr w:type="spellStart"/>
      <w:r w:rsidRPr="00312AC8">
        <w:rPr>
          <w:rFonts w:ascii="Times" w:hAnsi="Times" w:cs="Arial"/>
          <w:color w:val="000000" w:themeColor="text1"/>
          <w:shd w:val="clear" w:color="auto" w:fill="FFFFFF"/>
          <w:lang w:val="en-US"/>
        </w:rPr>
        <w:t>Salleh</w:t>
      </w:r>
      <w:proofErr w:type="spellEnd"/>
      <w:r w:rsidRPr="00312AC8">
        <w:rPr>
          <w:rFonts w:ascii="Times" w:hAnsi="Times" w:cs="Arial"/>
          <w:color w:val="000000" w:themeColor="text1"/>
          <w:shd w:val="clear" w:color="auto" w:fill="FFFFFF"/>
          <w:lang w:val="en-US"/>
        </w:rPr>
        <w:t xml:space="preserve">. (2000). Inclusive Education: A Change in the Paradigm of Education. </w:t>
      </w:r>
      <w:r w:rsidRPr="00312AC8">
        <w:rPr>
          <w:rFonts w:ascii="Times" w:hAnsi="Times" w:cs="Arial"/>
          <w:i/>
          <w:color w:val="000000" w:themeColor="text1"/>
          <w:shd w:val="clear" w:color="auto" w:fill="FFFFFF"/>
          <w:lang w:val="en-US"/>
        </w:rPr>
        <w:t xml:space="preserve">Report of the National Level Special Education Seminar 2000. </w:t>
      </w:r>
      <w:proofErr w:type="spellStart"/>
      <w:r w:rsidRPr="00312AC8">
        <w:rPr>
          <w:rFonts w:ascii="Times" w:hAnsi="Times" w:cs="Arial"/>
          <w:i/>
          <w:color w:val="000000" w:themeColor="text1"/>
          <w:shd w:val="clear" w:color="auto" w:fill="FFFFFF"/>
          <w:lang w:val="en-US"/>
        </w:rPr>
        <w:t>Aminudin</w:t>
      </w:r>
      <w:proofErr w:type="spellEnd"/>
      <w:r w:rsidRPr="00312AC8">
        <w:rPr>
          <w:rFonts w:ascii="Times" w:hAnsi="Times" w:cs="Arial"/>
          <w:i/>
          <w:color w:val="000000" w:themeColor="text1"/>
          <w:shd w:val="clear" w:color="auto" w:fill="FFFFFF"/>
          <w:lang w:val="en-US"/>
        </w:rPr>
        <w:t xml:space="preserve"> </w:t>
      </w:r>
      <w:proofErr w:type="spellStart"/>
      <w:r w:rsidRPr="00312AC8">
        <w:rPr>
          <w:rFonts w:ascii="Times" w:hAnsi="Times" w:cs="Arial"/>
          <w:i/>
          <w:color w:val="000000" w:themeColor="text1"/>
          <w:shd w:val="clear" w:color="auto" w:fill="FFFFFF"/>
          <w:lang w:val="en-US"/>
        </w:rPr>
        <w:t>Baki</w:t>
      </w:r>
      <w:proofErr w:type="spellEnd"/>
      <w:r w:rsidRPr="00312AC8">
        <w:rPr>
          <w:rFonts w:ascii="Times" w:hAnsi="Times" w:cs="Arial"/>
          <w:i/>
          <w:color w:val="000000" w:themeColor="text1"/>
          <w:shd w:val="clear" w:color="auto" w:fill="FFFFFF"/>
          <w:lang w:val="en-US"/>
        </w:rPr>
        <w:t xml:space="preserve"> Institute</w:t>
      </w:r>
      <w:r w:rsidRPr="00312AC8">
        <w:rPr>
          <w:rFonts w:ascii="Times" w:hAnsi="Times" w:cs="Arial"/>
          <w:color w:val="000000" w:themeColor="text1"/>
          <w:shd w:val="clear" w:color="auto" w:fill="FFFFFF"/>
          <w:lang w:val="en-US"/>
        </w:rPr>
        <w:t>. 11 - 14 Jun 2000, p. 85 - 106</w:t>
      </w:r>
    </w:p>
    <w:p w14:paraId="71CE592D" w14:textId="00DD57AA" w:rsidR="006542FD" w:rsidRPr="00312AC8" w:rsidRDefault="00BD472B" w:rsidP="00312AC8">
      <w:pPr>
        <w:ind w:left="567" w:hanging="567"/>
        <w:jc w:val="both"/>
        <w:rPr>
          <w:rFonts w:ascii="Times" w:hAnsi="Times" w:cs="Arial"/>
          <w:color w:val="000000" w:themeColor="text1"/>
          <w:shd w:val="clear" w:color="auto" w:fill="FFFFFF"/>
          <w:lang w:val="en-US"/>
        </w:rPr>
      </w:pPr>
      <w:proofErr w:type="spellStart"/>
      <w:r w:rsidRPr="00312AC8">
        <w:rPr>
          <w:rFonts w:ascii="Times" w:hAnsi="Times" w:cs="Arial"/>
          <w:color w:val="000000" w:themeColor="text1"/>
          <w:shd w:val="clear" w:color="auto" w:fill="FFFFFF"/>
          <w:lang w:val="en-US"/>
        </w:rPr>
        <w:t>Zuki</w:t>
      </w:r>
      <w:proofErr w:type="spellEnd"/>
      <w:r w:rsidRPr="00312AC8">
        <w:rPr>
          <w:rFonts w:ascii="Times" w:hAnsi="Times" w:cs="Arial"/>
          <w:color w:val="000000" w:themeColor="text1"/>
          <w:shd w:val="clear" w:color="auto" w:fill="FFFFFF"/>
          <w:lang w:val="en-US"/>
        </w:rPr>
        <w:t xml:space="preserve">, N. H. M. &amp; Rahman, N. S. N. A. (2016). Challenges Malaysian teachers face in the inclusion of autistic students in the normal classroom. </w:t>
      </w:r>
      <w:r w:rsidRPr="00312AC8">
        <w:rPr>
          <w:rFonts w:ascii="Times" w:hAnsi="Times" w:cs="Arial"/>
          <w:i/>
          <w:color w:val="000000" w:themeColor="text1"/>
          <w:shd w:val="clear" w:color="auto" w:fill="FFFFFF"/>
          <w:lang w:val="en-US"/>
        </w:rPr>
        <w:t xml:space="preserve">2015 </w:t>
      </w:r>
      <w:proofErr w:type="gramStart"/>
      <w:r w:rsidRPr="00312AC8">
        <w:rPr>
          <w:rFonts w:ascii="Times" w:hAnsi="Times" w:cs="Arial"/>
          <w:i/>
          <w:color w:val="000000" w:themeColor="text1"/>
          <w:shd w:val="clear" w:color="auto" w:fill="FFFFFF"/>
          <w:lang w:val="en-US"/>
        </w:rPr>
        <w:t>4th</w:t>
      </w:r>
      <w:proofErr w:type="gramEnd"/>
      <w:r w:rsidRPr="00312AC8">
        <w:rPr>
          <w:rFonts w:ascii="Times" w:hAnsi="Times" w:cs="Arial"/>
          <w:i/>
          <w:color w:val="000000" w:themeColor="text1"/>
          <w:shd w:val="clear" w:color="auto" w:fill="FFFFFF"/>
          <w:lang w:val="en-US"/>
        </w:rPr>
        <w:t xml:space="preserve"> International Conference on Advanced Computer Science Applications and Technologies (ACSAT) 4(2006):</w:t>
      </w:r>
      <w:r w:rsidRPr="00312AC8">
        <w:rPr>
          <w:rFonts w:ascii="Times" w:hAnsi="Times" w:cs="Arial"/>
          <w:color w:val="000000" w:themeColor="text1"/>
          <w:shd w:val="clear" w:color="auto" w:fill="FFFFFF"/>
          <w:lang w:val="en-US"/>
        </w:rPr>
        <w:t xml:space="preserve"> 120–130. Retrieved from </w:t>
      </w:r>
      <w:hyperlink r:id="rId11" w:history="1">
        <w:r w:rsidRPr="00312AC8">
          <w:rPr>
            <w:rStyle w:val="Hyperlink"/>
            <w:rFonts w:ascii="Times" w:hAnsi="Times" w:cs="Arial"/>
            <w:color w:val="000000" w:themeColor="text1"/>
            <w:u w:val="none"/>
            <w:shd w:val="clear" w:color="auto" w:fill="FFFFFF"/>
            <w:lang w:val="en-US"/>
          </w:rPr>
          <w:t>http://irep.iium.edu.my/52058</w:t>
        </w:r>
      </w:hyperlink>
    </w:p>
    <w:sectPr w:rsidR="006542FD" w:rsidRPr="00312AC8" w:rsidSect="00924CAB">
      <w:headerReference w:type="even" r:id="rId12"/>
      <w:headerReference w:type="default" r:id="rId13"/>
      <w:footerReference w:type="default" r:id="rId14"/>
      <w:headerReference w:type="first" r:id="rId15"/>
      <w:footerReference w:type="first" r:id="rId16"/>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16A62" w14:textId="77777777" w:rsidR="00770771" w:rsidRDefault="00770771">
      <w:r>
        <w:separator/>
      </w:r>
    </w:p>
  </w:endnote>
  <w:endnote w:type="continuationSeparator" w:id="0">
    <w:p w14:paraId="2E5CE0C6" w14:textId="77777777" w:rsidR="00770771" w:rsidRDefault="0077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panose1 w:val="00000000000000000000"/>
    <w:charset w:val="86"/>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1EC5" w14:textId="77777777" w:rsidR="002A7513" w:rsidRPr="00590BF9" w:rsidRDefault="002A7513" w:rsidP="00E9098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80643" w14:textId="77777777" w:rsidR="002A7513" w:rsidRDefault="002A7513" w:rsidP="00F32F04">
    <w:pPr>
      <w:pStyle w:val="MDPIfooterfirstpage"/>
      <w:pBdr>
        <w:top w:val="single" w:sz="4" w:space="0" w:color="000000"/>
      </w:pBdr>
      <w:adjustRightInd w:val="0"/>
      <w:snapToGrid w:val="0"/>
      <w:spacing w:before="480" w:line="100" w:lineRule="exact"/>
      <w:rPr>
        <w:i/>
        <w:szCs w:val="16"/>
      </w:rPr>
    </w:pPr>
  </w:p>
  <w:p w14:paraId="1414F5B6" w14:textId="29485ABC" w:rsidR="002A7513" w:rsidRPr="008B308E" w:rsidRDefault="002A7513" w:rsidP="00B200C8">
    <w:pPr>
      <w:pStyle w:val="MDPIfooterfirstpage"/>
      <w:tabs>
        <w:tab w:val="clear" w:pos="8845"/>
        <w:tab w:val="right" w:pos="10466"/>
      </w:tabs>
      <w:spacing w:line="240" w:lineRule="auto"/>
      <w:jc w:val="both"/>
      <w:rPr>
        <w:lang w:val="fr-CH"/>
      </w:rPr>
    </w:pPr>
    <w:r>
      <w:rPr>
        <w:i/>
        <w:szCs w:val="16"/>
      </w:rPr>
      <w:t>e-Bangi: Journal of Social Sciences &amp; Humanities</w:t>
    </w:r>
    <w:r w:rsidRPr="008B308E">
      <w:rPr>
        <w:lang w:val="fr-CH"/>
      </w:rPr>
      <w:tab/>
    </w:r>
    <w:r w:rsidRPr="00B22CA6">
      <w:rPr>
        <w:lang w:val="fr-CH"/>
      </w:rPr>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09C12" w14:textId="77777777" w:rsidR="00770771" w:rsidRDefault="00770771">
      <w:r>
        <w:separator/>
      </w:r>
    </w:p>
  </w:footnote>
  <w:footnote w:type="continuationSeparator" w:id="0">
    <w:p w14:paraId="41783DB8" w14:textId="77777777" w:rsidR="00770771" w:rsidRDefault="00770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234BD" w14:textId="77777777" w:rsidR="002A7513" w:rsidRDefault="002A7513"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1F157" w14:textId="0BB07256" w:rsidR="002A7513" w:rsidRDefault="002A7513" w:rsidP="00B200C8">
    <w:pPr>
      <w:tabs>
        <w:tab w:val="right" w:pos="10466"/>
      </w:tabs>
      <w:adjustRightInd w:val="0"/>
      <w:snapToGrid w:val="0"/>
      <w:rPr>
        <w:sz w:val="16"/>
      </w:rPr>
    </w:pPr>
    <w:r w:rsidRPr="00462946">
      <w:rPr>
        <w:i/>
        <w:sz w:val="16"/>
        <w:szCs w:val="16"/>
      </w:rPr>
      <w:t>e-Bangi: Journal of Social Sciences &amp; Humanities</w:t>
    </w:r>
    <w:r>
      <w:rPr>
        <w:sz w:val="16"/>
      </w:rPr>
      <w:tab/>
    </w:r>
    <w:r>
      <w:rPr>
        <w:sz w:val="16"/>
      </w:rPr>
      <w:fldChar w:fldCharType="begin"/>
    </w:r>
    <w:r>
      <w:rPr>
        <w:sz w:val="16"/>
      </w:rPr>
      <w:instrText xml:space="preserve"> PAGE   \* MERGEFORMAT </w:instrText>
    </w:r>
    <w:r>
      <w:rPr>
        <w:sz w:val="16"/>
      </w:rPr>
      <w:fldChar w:fldCharType="separate"/>
    </w:r>
    <w:r w:rsidR="00D319A8">
      <w:rPr>
        <w:noProof/>
        <w:sz w:val="16"/>
      </w:rPr>
      <w:t>11</w:t>
    </w:r>
    <w:r>
      <w:rPr>
        <w:sz w:val="16"/>
      </w:rPr>
      <w:fldChar w:fldCharType="end"/>
    </w:r>
  </w:p>
  <w:p w14:paraId="26E4486F" w14:textId="77777777" w:rsidR="002A7513" w:rsidRPr="00305CED" w:rsidRDefault="002A7513" w:rsidP="00F32F04">
    <w:pPr>
      <w:pBdr>
        <w:bottom w:val="single" w:sz="4" w:space="1" w:color="000000"/>
      </w:pBdr>
      <w:tabs>
        <w:tab w:val="right" w:pos="8844"/>
      </w:tabs>
      <w:adjustRightInd w:val="0"/>
      <w:snapToGrid w:val="0"/>
      <w:spacing w:after="480" w:line="100" w:lineRule="exac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23" w:type="dxa"/>
      <w:tblCellMar>
        <w:left w:w="0" w:type="dxa"/>
        <w:right w:w="0" w:type="dxa"/>
      </w:tblCellMar>
      <w:tblLook w:val="04A0" w:firstRow="1" w:lastRow="0" w:firstColumn="1" w:lastColumn="0" w:noHBand="0" w:noVBand="1"/>
    </w:tblPr>
    <w:tblGrid>
      <w:gridCol w:w="4668"/>
      <w:gridCol w:w="5755"/>
    </w:tblGrid>
    <w:tr w:rsidR="002A7513" w:rsidRPr="00462946" w14:paraId="6EB9771E" w14:textId="77777777" w:rsidTr="00B22CA6">
      <w:trPr>
        <w:trHeight w:val="536"/>
      </w:trPr>
      <w:tc>
        <w:tcPr>
          <w:tcW w:w="4668" w:type="dxa"/>
          <w:shd w:val="clear" w:color="auto" w:fill="auto"/>
        </w:tcPr>
        <w:p w14:paraId="1CDCE904" w14:textId="5C72BF09" w:rsidR="002A7513" w:rsidRPr="006331AD" w:rsidRDefault="002A7513" w:rsidP="00B22CA6">
          <w:pPr>
            <w:pStyle w:val="Header"/>
            <w:pBdr>
              <w:bottom w:val="none" w:sz="0" w:space="0" w:color="auto"/>
            </w:pBdr>
            <w:jc w:val="left"/>
            <w:rPr>
              <w:rFonts w:eastAsia="DengXian"/>
              <w:b/>
              <w:bCs/>
            </w:rPr>
          </w:pPr>
        </w:p>
      </w:tc>
      <w:tc>
        <w:tcPr>
          <w:tcW w:w="5755" w:type="dxa"/>
          <w:shd w:val="clear" w:color="auto" w:fill="auto"/>
          <w:vAlign w:val="center"/>
        </w:tcPr>
        <w:p w14:paraId="3CDE86FB" w14:textId="77777777" w:rsidR="002A7513" w:rsidRPr="00462946" w:rsidRDefault="002A7513" w:rsidP="00225147">
          <w:pPr>
            <w:pStyle w:val="Header"/>
            <w:pBdr>
              <w:bottom w:val="none" w:sz="0" w:space="0" w:color="auto"/>
            </w:pBdr>
            <w:rPr>
              <w:bCs/>
              <w:iCs/>
              <w:sz w:val="20"/>
              <w:szCs w:val="20"/>
            </w:rPr>
          </w:pPr>
        </w:p>
        <w:p w14:paraId="61E3F6B9" w14:textId="31E86E5C" w:rsidR="002A7513" w:rsidRPr="00462946" w:rsidRDefault="002A7513" w:rsidP="008108A3">
          <w:pPr>
            <w:pStyle w:val="Header"/>
            <w:pBdr>
              <w:bottom w:val="none" w:sz="0" w:space="0" w:color="auto"/>
            </w:pBdr>
            <w:jc w:val="right"/>
            <w:rPr>
              <w:rFonts w:eastAsia="DengXian"/>
              <w:b/>
              <w:bCs/>
              <w:sz w:val="20"/>
              <w:szCs w:val="20"/>
            </w:rPr>
          </w:pPr>
          <w:r w:rsidRPr="00462946">
            <w:rPr>
              <w:bCs/>
              <w:iCs/>
              <w:sz w:val="20"/>
              <w:szCs w:val="20"/>
            </w:rPr>
            <w:t>ISSN: 1823-884x</w:t>
          </w:r>
        </w:p>
      </w:tc>
    </w:tr>
  </w:tbl>
  <w:p w14:paraId="5C1BAC8A" w14:textId="18718606" w:rsidR="002A7513" w:rsidRPr="00953C94" w:rsidRDefault="002A7513" w:rsidP="00462946">
    <w:pPr>
      <w:pBdr>
        <w:bottom w:val="single" w:sz="4" w:space="0" w:color="000000"/>
      </w:pBdr>
      <w:adjustRightInd w:val="0"/>
      <w:snapToGrid w:val="0"/>
      <w:spacing w:line="100" w:lineRule="exact"/>
    </w:pPr>
    <w:r>
      <w:rPr>
        <w:noProof/>
        <w:lang w:val="ms-MY" w:eastAsia="zh-CN"/>
      </w:rPr>
      <w:drawing>
        <wp:anchor distT="0" distB="0" distL="114300" distR="114300" simplePos="0" relativeHeight="251660288" behindDoc="0" locked="0" layoutInCell="1" allowOverlap="1" wp14:anchorId="11F80E8B" wp14:editId="6024644F">
          <wp:simplePos x="0" y="0"/>
          <wp:positionH relativeFrom="column">
            <wp:posOffset>-2043430</wp:posOffset>
          </wp:positionH>
          <wp:positionV relativeFrom="paragraph">
            <wp:posOffset>-432150</wp:posOffset>
          </wp:positionV>
          <wp:extent cx="4309110" cy="39878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srcRect r="26739" b="12644"/>
                  <a:stretch/>
                </pic:blipFill>
                <pic:spPr bwMode="auto">
                  <a:xfrm>
                    <a:off x="0" y="0"/>
                    <a:ext cx="4309110" cy="398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B700AD" w14:textId="77777777" w:rsidR="002A7513" w:rsidRPr="001125B5" w:rsidRDefault="002A7513" w:rsidP="00462946">
    <w:pPr>
      <w:pStyle w:val="MDPI11articletype"/>
      <w:spacing w:before="40"/>
      <w:jc w:val="right"/>
      <w:rPr>
        <w:rFonts w:ascii="Times" w:hAnsi="Times"/>
        <w:szCs w:val="20"/>
      </w:rPr>
    </w:pPr>
    <w:r w:rsidRPr="001125B5">
      <w:rPr>
        <w:rFonts w:ascii="Times" w:hAnsi="Times"/>
        <w:szCs w:val="20"/>
      </w:rPr>
      <w:t>Volume X, Issue X, DOI:</w:t>
    </w:r>
  </w:p>
  <w:p w14:paraId="03A1BED3" w14:textId="77777777" w:rsidR="002A7513" w:rsidRPr="001125B5" w:rsidRDefault="002A7513" w:rsidP="00225147">
    <w:pPr>
      <w:pStyle w:val="MDPI11articletype"/>
      <w:spacing w:before="0"/>
      <w:jc w:val="right"/>
      <w:rPr>
        <w:rFonts w:ascii="Times" w:hAnsi="Times"/>
        <w:szCs w:val="20"/>
      </w:rPr>
    </w:pPr>
    <w:r w:rsidRPr="001125B5">
      <w:rPr>
        <w:rFonts w:ascii="Times" w:hAnsi="Times"/>
        <w:szCs w:val="20"/>
      </w:rPr>
      <w:t>Received: date</w:t>
    </w:r>
  </w:p>
  <w:p w14:paraId="367333F3" w14:textId="3DA4D4D8" w:rsidR="002A7513" w:rsidRPr="00EC59C0" w:rsidRDefault="002A7513" w:rsidP="00EC59C0">
    <w:pPr>
      <w:pStyle w:val="MDPI11articletype"/>
      <w:spacing w:before="0"/>
      <w:jc w:val="right"/>
      <w:rPr>
        <w:rFonts w:ascii="Times" w:hAnsi="Times"/>
        <w:szCs w:val="20"/>
      </w:rPr>
    </w:pPr>
    <w:r w:rsidRPr="001125B5">
      <w:rPr>
        <w:rFonts w:ascii="Times" w:hAnsi="Times"/>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2119"/>
    <w:multiLevelType w:val="multilevel"/>
    <w:tmpl w:val="D3F042DC"/>
    <w:styleLink w:val="CurrentList1"/>
    <w:lvl w:ilvl="0">
      <w:start w:val="1"/>
      <w:numFmt w:val="bullet"/>
      <w:lvlText w:val=""/>
      <w:lvlJc w:val="left"/>
      <w:pPr>
        <w:ind w:left="870" w:hanging="360"/>
      </w:pPr>
      <w:rPr>
        <w:rFonts w:ascii="Symbol" w:hAnsi="Symbol" w:hint="default"/>
      </w:rPr>
    </w:lvl>
    <w:lvl w:ilvl="1">
      <w:start w:val="1"/>
      <w:numFmt w:val="bullet"/>
      <w:lvlText w:val="o"/>
      <w:lvlJc w:val="left"/>
      <w:pPr>
        <w:ind w:left="1590" w:hanging="360"/>
      </w:pPr>
      <w:rPr>
        <w:rFonts w:ascii="Courier New" w:hAnsi="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hint="default"/>
      </w:rPr>
    </w:lvl>
    <w:lvl w:ilvl="8">
      <w:start w:val="1"/>
      <w:numFmt w:val="bullet"/>
      <w:lvlText w:val=""/>
      <w:lvlJc w:val="left"/>
      <w:pPr>
        <w:ind w:left="6630" w:hanging="360"/>
      </w:pPr>
      <w:rPr>
        <w:rFonts w:ascii="Wingdings" w:hAnsi="Wingdings" w:hint="default"/>
      </w:rPr>
    </w:lvl>
  </w:abstractNum>
  <w:abstractNum w:abstractNumId="1" w15:restartNumberingAfterBreak="0">
    <w:nsid w:val="16B12E6D"/>
    <w:multiLevelType w:val="hybridMultilevel"/>
    <w:tmpl w:val="89DE7AB4"/>
    <w:lvl w:ilvl="0" w:tplc="F270330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E4EA68C0"/>
    <w:lvl w:ilvl="0" w:tplc="7634241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663B9"/>
    <w:multiLevelType w:val="hybridMultilevel"/>
    <w:tmpl w:val="477CB70C"/>
    <w:lvl w:ilvl="0" w:tplc="760E51D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8F45BE"/>
    <w:multiLevelType w:val="hybridMultilevel"/>
    <w:tmpl w:val="0D2A6264"/>
    <w:lvl w:ilvl="0" w:tplc="7A78C1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6" w15:restartNumberingAfterBreak="0">
    <w:nsid w:val="1FC75620"/>
    <w:multiLevelType w:val="hybridMultilevel"/>
    <w:tmpl w:val="71A075BE"/>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F6EAA"/>
    <w:multiLevelType w:val="multilevel"/>
    <w:tmpl w:val="775A13BC"/>
    <w:styleLink w:val="CurrentList4"/>
    <w:lvl w:ilvl="0">
      <w:start w:val="1"/>
      <w:numFmt w:val="decimal"/>
      <w:lvlText w:val="%1."/>
      <w:lvlJc w:val="lef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EB46A9"/>
    <w:multiLevelType w:val="hybridMultilevel"/>
    <w:tmpl w:val="0F36FAF2"/>
    <w:lvl w:ilvl="0" w:tplc="278A602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2"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394259A7"/>
    <w:multiLevelType w:val="hybridMultilevel"/>
    <w:tmpl w:val="5C6AD76A"/>
    <w:lvl w:ilvl="0" w:tplc="7A78C1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4A6929"/>
    <w:multiLevelType w:val="hybridMultilevel"/>
    <w:tmpl w:val="775A13BC"/>
    <w:lvl w:ilvl="0" w:tplc="64D0E8B4">
      <w:start w:val="1"/>
      <w:numFmt w:val="decimal"/>
      <w:lvlText w:val="%1."/>
      <w:lvlJc w:val="left"/>
      <w:pPr>
        <w:ind w:left="720" w:hanging="15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1C4E37"/>
    <w:multiLevelType w:val="multilevel"/>
    <w:tmpl w:val="2960ABC4"/>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440C7"/>
    <w:multiLevelType w:val="hybridMultilevel"/>
    <w:tmpl w:val="77241A6A"/>
    <w:lvl w:ilvl="0" w:tplc="D92C029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9" w15:restartNumberingAfterBreak="0">
    <w:nsid w:val="568E4893"/>
    <w:multiLevelType w:val="hybridMultilevel"/>
    <w:tmpl w:val="CB9E06B0"/>
    <w:lvl w:ilvl="0" w:tplc="04090011">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58E877FF"/>
    <w:multiLevelType w:val="multilevel"/>
    <w:tmpl w:val="480A30C6"/>
    <w:styleLink w:val="CurrentList2"/>
    <w:lvl w:ilvl="0">
      <w:start w:val="1"/>
      <w:numFmt w:val="bullet"/>
      <w:lvlText w:val=""/>
      <w:lvlJc w:val="left"/>
      <w:pPr>
        <w:ind w:left="870" w:hanging="303"/>
      </w:pPr>
      <w:rPr>
        <w:rFonts w:ascii="Symbol" w:hAnsi="Symbol" w:hint="default"/>
      </w:rPr>
    </w:lvl>
    <w:lvl w:ilvl="1">
      <w:start w:val="1"/>
      <w:numFmt w:val="bullet"/>
      <w:lvlText w:val="o"/>
      <w:lvlJc w:val="left"/>
      <w:pPr>
        <w:ind w:left="1590" w:hanging="360"/>
      </w:pPr>
      <w:rPr>
        <w:rFonts w:ascii="Courier New" w:hAnsi="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hint="default"/>
      </w:rPr>
    </w:lvl>
    <w:lvl w:ilvl="8">
      <w:start w:val="1"/>
      <w:numFmt w:val="bullet"/>
      <w:lvlText w:val=""/>
      <w:lvlJc w:val="left"/>
      <w:pPr>
        <w:ind w:left="6630" w:hanging="360"/>
      </w:pPr>
      <w:rPr>
        <w:rFonts w:ascii="Wingdings" w:hAnsi="Wingdings" w:hint="default"/>
      </w:rPr>
    </w:lvl>
  </w:abstractNum>
  <w:abstractNum w:abstractNumId="21" w15:restartNumberingAfterBreak="0">
    <w:nsid w:val="69E717E5"/>
    <w:multiLevelType w:val="multilevel"/>
    <w:tmpl w:val="775A13BC"/>
    <w:styleLink w:val="CurrentList6"/>
    <w:lvl w:ilvl="0">
      <w:start w:val="1"/>
      <w:numFmt w:val="decimal"/>
      <w:lvlText w:val="%1."/>
      <w:lvlJc w:val="lef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FF6A5D"/>
    <w:multiLevelType w:val="hybridMultilevel"/>
    <w:tmpl w:val="0EDA2504"/>
    <w:lvl w:ilvl="0" w:tplc="96B41E86">
      <w:start w:val="1"/>
      <w:numFmt w:val="bullet"/>
      <w:lvlText w:val=""/>
      <w:lvlJc w:val="left"/>
      <w:pPr>
        <w:ind w:left="870" w:hanging="303"/>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DB4F95"/>
    <w:multiLevelType w:val="hybridMultilevel"/>
    <w:tmpl w:val="A482839E"/>
    <w:lvl w:ilvl="0" w:tplc="04090001">
      <w:start w:val="1"/>
      <w:numFmt w:val="bullet"/>
      <w:lvlText w:val=""/>
      <w:lvlJc w:val="left"/>
      <w:pPr>
        <w:ind w:left="1225" w:hanging="360"/>
      </w:pPr>
      <w:rPr>
        <w:rFonts w:ascii="Symbol" w:hAnsi="Symbol" w:hint="default"/>
      </w:rPr>
    </w:lvl>
    <w:lvl w:ilvl="1" w:tplc="043E0003" w:tentative="1">
      <w:start w:val="1"/>
      <w:numFmt w:val="bullet"/>
      <w:lvlText w:val="o"/>
      <w:lvlJc w:val="left"/>
      <w:pPr>
        <w:ind w:left="1945" w:hanging="360"/>
      </w:pPr>
      <w:rPr>
        <w:rFonts w:ascii="Courier New" w:hAnsi="Courier New" w:cs="Courier New" w:hint="default"/>
      </w:rPr>
    </w:lvl>
    <w:lvl w:ilvl="2" w:tplc="043E0005" w:tentative="1">
      <w:start w:val="1"/>
      <w:numFmt w:val="bullet"/>
      <w:lvlText w:val=""/>
      <w:lvlJc w:val="left"/>
      <w:pPr>
        <w:ind w:left="2665" w:hanging="360"/>
      </w:pPr>
      <w:rPr>
        <w:rFonts w:ascii="Wingdings" w:hAnsi="Wingdings" w:hint="default"/>
      </w:rPr>
    </w:lvl>
    <w:lvl w:ilvl="3" w:tplc="043E0001" w:tentative="1">
      <w:start w:val="1"/>
      <w:numFmt w:val="bullet"/>
      <w:lvlText w:val=""/>
      <w:lvlJc w:val="left"/>
      <w:pPr>
        <w:ind w:left="3385" w:hanging="360"/>
      </w:pPr>
      <w:rPr>
        <w:rFonts w:ascii="Symbol" w:hAnsi="Symbol" w:hint="default"/>
      </w:rPr>
    </w:lvl>
    <w:lvl w:ilvl="4" w:tplc="043E0003" w:tentative="1">
      <w:start w:val="1"/>
      <w:numFmt w:val="bullet"/>
      <w:lvlText w:val="o"/>
      <w:lvlJc w:val="left"/>
      <w:pPr>
        <w:ind w:left="4105" w:hanging="360"/>
      </w:pPr>
      <w:rPr>
        <w:rFonts w:ascii="Courier New" w:hAnsi="Courier New" w:cs="Courier New" w:hint="default"/>
      </w:rPr>
    </w:lvl>
    <w:lvl w:ilvl="5" w:tplc="043E0005" w:tentative="1">
      <w:start w:val="1"/>
      <w:numFmt w:val="bullet"/>
      <w:lvlText w:val=""/>
      <w:lvlJc w:val="left"/>
      <w:pPr>
        <w:ind w:left="4825" w:hanging="360"/>
      </w:pPr>
      <w:rPr>
        <w:rFonts w:ascii="Wingdings" w:hAnsi="Wingdings" w:hint="default"/>
      </w:rPr>
    </w:lvl>
    <w:lvl w:ilvl="6" w:tplc="043E0001" w:tentative="1">
      <w:start w:val="1"/>
      <w:numFmt w:val="bullet"/>
      <w:lvlText w:val=""/>
      <w:lvlJc w:val="left"/>
      <w:pPr>
        <w:ind w:left="5545" w:hanging="360"/>
      </w:pPr>
      <w:rPr>
        <w:rFonts w:ascii="Symbol" w:hAnsi="Symbol" w:hint="default"/>
      </w:rPr>
    </w:lvl>
    <w:lvl w:ilvl="7" w:tplc="043E0003" w:tentative="1">
      <w:start w:val="1"/>
      <w:numFmt w:val="bullet"/>
      <w:lvlText w:val="o"/>
      <w:lvlJc w:val="left"/>
      <w:pPr>
        <w:ind w:left="6265" w:hanging="360"/>
      </w:pPr>
      <w:rPr>
        <w:rFonts w:ascii="Courier New" w:hAnsi="Courier New" w:cs="Courier New" w:hint="default"/>
      </w:rPr>
    </w:lvl>
    <w:lvl w:ilvl="8" w:tplc="043E0005" w:tentative="1">
      <w:start w:val="1"/>
      <w:numFmt w:val="bullet"/>
      <w:lvlText w:val=""/>
      <w:lvlJc w:val="left"/>
      <w:pPr>
        <w:ind w:left="6985" w:hanging="360"/>
      </w:pPr>
      <w:rPr>
        <w:rFonts w:ascii="Wingdings" w:hAnsi="Wingdings" w:hint="default"/>
      </w:rPr>
    </w:lvl>
  </w:abstractNum>
  <w:abstractNum w:abstractNumId="25" w15:restartNumberingAfterBreak="0">
    <w:nsid w:val="756E5DFB"/>
    <w:multiLevelType w:val="multilevel"/>
    <w:tmpl w:val="0EDA2504"/>
    <w:styleLink w:val="CurrentList5"/>
    <w:lvl w:ilvl="0">
      <w:start w:val="1"/>
      <w:numFmt w:val="bullet"/>
      <w:lvlText w:val=""/>
      <w:lvlJc w:val="left"/>
      <w:pPr>
        <w:ind w:left="870" w:hanging="303"/>
      </w:pPr>
      <w:rPr>
        <w:rFonts w:ascii="Symbol" w:hAnsi="Symbol" w:hint="default"/>
      </w:rPr>
    </w:lvl>
    <w:lvl w:ilvl="1">
      <w:start w:val="1"/>
      <w:numFmt w:val="bullet"/>
      <w:lvlText w:val="o"/>
      <w:lvlJc w:val="left"/>
      <w:pPr>
        <w:ind w:left="1590" w:hanging="360"/>
      </w:pPr>
      <w:rPr>
        <w:rFonts w:ascii="Courier New" w:hAnsi="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hint="default"/>
      </w:rPr>
    </w:lvl>
    <w:lvl w:ilvl="8">
      <w:start w:val="1"/>
      <w:numFmt w:val="bullet"/>
      <w:lvlText w:val=""/>
      <w:lvlJc w:val="left"/>
      <w:pPr>
        <w:ind w:left="6630" w:hanging="360"/>
      </w:pPr>
      <w:rPr>
        <w:rFonts w:ascii="Wingdings" w:hAnsi="Wingdings" w:hint="default"/>
      </w:rPr>
    </w:lvl>
  </w:abstractNum>
  <w:num w:numId="1">
    <w:abstractNumId w:val="8"/>
  </w:num>
  <w:num w:numId="2">
    <w:abstractNumId w:val="12"/>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8"/>
  </w:num>
  <w:num w:numId="7">
    <w:abstractNumId w:val="5"/>
  </w:num>
  <w:num w:numId="8">
    <w:abstractNumId w:val="18"/>
  </w:num>
  <w:num w:numId="9">
    <w:abstractNumId w:val="5"/>
  </w:num>
  <w:num w:numId="10">
    <w:abstractNumId w:val="18"/>
  </w:num>
  <w:num w:numId="11">
    <w:abstractNumId w:val="5"/>
  </w:num>
  <w:num w:numId="12">
    <w:abstractNumId w:val="23"/>
  </w:num>
  <w:num w:numId="13">
    <w:abstractNumId w:val="18"/>
  </w:num>
  <w:num w:numId="14">
    <w:abstractNumId w:val="5"/>
  </w:num>
  <w:num w:numId="15">
    <w:abstractNumId w:val="2"/>
  </w:num>
  <w:num w:numId="16">
    <w:abstractNumId w:val="16"/>
  </w:num>
  <w:num w:numId="17">
    <w:abstractNumId w:val="1"/>
  </w:num>
  <w:num w:numId="18">
    <w:abstractNumId w:val="18"/>
  </w:num>
  <w:num w:numId="19">
    <w:abstractNumId w:val="5"/>
  </w:num>
  <w:num w:numId="20">
    <w:abstractNumId w:val="2"/>
  </w:num>
  <w:num w:numId="21">
    <w:abstractNumId w:val="17"/>
  </w:num>
  <w:num w:numId="22">
    <w:abstractNumId w:val="11"/>
  </w:num>
  <w:num w:numId="23">
    <w:abstractNumId w:val="1"/>
  </w:num>
  <w:num w:numId="24">
    <w:abstractNumId w:val="3"/>
  </w:num>
  <w:num w:numId="25">
    <w:abstractNumId w:val="4"/>
  </w:num>
  <w:num w:numId="26">
    <w:abstractNumId w:val="13"/>
  </w:num>
  <w:num w:numId="27">
    <w:abstractNumId w:val="22"/>
  </w:num>
  <w:num w:numId="28">
    <w:abstractNumId w:val="0"/>
  </w:num>
  <w:num w:numId="29">
    <w:abstractNumId w:val="20"/>
  </w:num>
  <w:num w:numId="30">
    <w:abstractNumId w:val="14"/>
  </w:num>
  <w:num w:numId="31">
    <w:abstractNumId w:val="15"/>
  </w:num>
  <w:num w:numId="32">
    <w:abstractNumId w:val="10"/>
  </w:num>
  <w:num w:numId="33">
    <w:abstractNumId w:val="25"/>
  </w:num>
  <w:num w:numId="34">
    <w:abstractNumId w:val="21"/>
  </w:num>
  <w:num w:numId="35">
    <w:abstractNumId w:val="24"/>
  </w:num>
  <w:num w:numId="36">
    <w:abstractNumId w:val="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76"/>
    <w:rsid w:val="0002554A"/>
    <w:rsid w:val="0003183D"/>
    <w:rsid w:val="00036E25"/>
    <w:rsid w:val="00041937"/>
    <w:rsid w:val="00047C14"/>
    <w:rsid w:val="00062D64"/>
    <w:rsid w:val="0006442A"/>
    <w:rsid w:val="00070BC3"/>
    <w:rsid w:val="00072F70"/>
    <w:rsid w:val="000754D9"/>
    <w:rsid w:val="000946E3"/>
    <w:rsid w:val="000A1388"/>
    <w:rsid w:val="000C3D95"/>
    <w:rsid w:val="000D3FFC"/>
    <w:rsid w:val="000D4CAC"/>
    <w:rsid w:val="000F1772"/>
    <w:rsid w:val="000F774E"/>
    <w:rsid w:val="001035B5"/>
    <w:rsid w:val="001059AA"/>
    <w:rsid w:val="0010737B"/>
    <w:rsid w:val="001125B5"/>
    <w:rsid w:val="00113A18"/>
    <w:rsid w:val="00121956"/>
    <w:rsid w:val="001228BC"/>
    <w:rsid w:val="001241E5"/>
    <w:rsid w:val="001259E6"/>
    <w:rsid w:val="00165CB7"/>
    <w:rsid w:val="00172BC6"/>
    <w:rsid w:val="001750B2"/>
    <w:rsid w:val="00177995"/>
    <w:rsid w:val="00180705"/>
    <w:rsid w:val="00183AB8"/>
    <w:rsid w:val="00187A46"/>
    <w:rsid w:val="00194C32"/>
    <w:rsid w:val="001957FA"/>
    <w:rsid w:val="001C3A2B"/>
    <w:rsid w:val="001D0A2B"/>
    <w:rsid w:val="001D41F9"/>
    <w:rsid w:val="001D5E41"/>
    <w:rsid w:val="001E2AEB"/>
    <w:rsid w:val="001F0C32"/>
    <w:rsid w:val="001F53CA"/>
    <w:rsid w:val="001F6D18"/>
    <w:rsid w:val="002019E5"/>
    <w:rsid w:val="00203290"/>
    <w:rsid w:val="0020566A"/>
    <w:rsid w:val="00205AC7"/>
    <w:rsid w:val="0020625A"/>
    <w:rsid w:val="00206DE0"/>
    <w:rsid w:val="00214A6A"/>
    <w:rsid w:val="00217476"/>
    <w:rsid w:val="00223336"/>
    <w:rsid w:val="00225147"/>
    <w:rsid w:val="00257BA9"/>
    <w:rsid w:val="00262314"/>
    <w:rsid w:val="0026249F"/>
    <w:rsid w:val="00284BEB"/>
    <w:rsid w:val="0028607E"/>
    <w:rsid w:val="002A7513"/>
    <w:rsid w:val="002D57A5"/>
    <w:rsid w:val="002E3019"/>
    <w:rsid w:val="002F3D49"/>
    <w:rsid w:val="00306807"/>
    <w:rsid w:val="00312AC8"/>
    <w:rsid w:val="00322BD2"/>
    <w:rsid w:val="00326141"/>
    <w:rsid w:val="003275B0"/>
    <w:rsid w:val="00341B3A"/>
    <w:rsid w:val="00351457"/>
    <w:rsid w:val="003663D4"/>
    <w:rsid w:val="00386DC4"/>
    <w:rsid w:val="0039002C"/>
    <w:rsid w:val="003938DA"/>
    <w:rsid w:val="003A3CDA"/>
    <w:rsid w:val="003C0958"/>
    <w:rsid w:val="003E2135"/>
    <w:rsid w:val="003E64D0"/>
    <w:rsid w:val="00401B3A"/>
    <w:rsid w:val="00401D30"/>
    <w:rsid w:val="00407587"/>
    <w:rsid w:val="00414DE1"/>
    <w:rsid w:val="00417958"/>
    <w:rsid w:val="00421077"/>
    <w:rsid w:val="0042738E"/>
    <w:rsid w:val="0044014A"/>
    <w:rsid w:val="00450DF3"/>
    <w:rsid w:val="00462946"/>
    <w:rsid w:val="00465953"/>
    <w:rsid w:val="0046726B"/>
    <w:rsid w:val="0046790F"/>
    <w:rsid w:val="00484C66"/>
    <w:rsid w:val="00497584"/>
    <w:rsid w:val="004A2A28"/>
    <w:rsid w:val="004A751A"/>
    <w:rsid w:val="004B5280"/>
    <w:rsid w:val="004D0D3D"/>
    <w:rsid w:val="004D5A80"/>
    <w:rsid w:val="004D6B8D"/>
    <w:rsid w:val="00507828"/>
    <w:rsid w:val="00510707"/>
    <w:rsid w:val="00514646"/>
    <w:rsid w:val="00522304"/>
    <w:rsid w:val="00527484"/>
    <w:rsid w:val="00547C19"/>
    <w:rsid w:val="005515D2"/>
    <w:rsid w:val="00555E2B"/>
    <w:rsid w:val="00561629"/>
    <w:rsid w:val="00573F41"/>
    <w:rsid w:val="00576272"/>
    <w:rsid w:val="00591561"/>
    <w:rsid w:val="005940DE"/>
    <w:rsid w:val="005A2FC0"/>
    <w:rsid w:val="005B0E8A"/>
    <w:rsid w:val="005B6C3D"/>
    <w:rsid w:val="005D71B5"/>
    <w:rsid w:val="005E04FC"/>
    <w:rsid w:val="005E213E"/>
    <w:rsid w:val="005F5E72"/>
    <w:rsid w:val="005F679A"/>
    <w:rsid w:val="00615FFE"/>
    <w:rsid w:val="006211DD"/>
    <w:rsid w:val="006331AD"/>
    <w:rsid w:val="006542FD"/>
    <w:rsid w:val="00662E41"/>
    <w:rsid w:val="006822FA"/>
    <w:rsid w:val="00686327"/>
    <w:rsid w:val="00687513"/>
    <w:rsid w:val="00692393"/>
    <w:rsid w:val="006C13F2"/>
    <w:rsid w:val="006C61EE"/>
    <w:rsid w:val="006C6344"/>
    <w:rsid w:val="00711C0C"/>
    <w:rsid w:val="00713758"/>
    <w:rsid w:val="00714FAD"/>
    <w:rsid w:val="0072478C"/>
    <w:rsid w:val="007267FB"/>
    <w:rsid w:val="00733AF9"/>
    <w:rsid w:val="00763CA5"/>
    <w:rsid w:val="00770771"/>
    <w:rsid w:val="007A0755"/>
    <w:rsid w:val="007B3E14"/>
    <w:rsid w:val="007B4AEB"/>
    <w:rsid w:val="007C2E1C"/>
    <w:rsid w:val="007C437A"/>
    <w:rsid w:val="007D1435"/>
    <w:rsid w:val="007E5A5B"/>
    <w:rsid w:val="007E6280"/>
    <w:rsid w:val="007E7244"/>
    <w:rsid w:val="007E72DA"/>
    <w:rsid w:val="008108A3"/>
    <w:rsid w:val="00825DB3"/>
    <w:rsid w:val="00826149"/>
    <w:rsid w:val="00832797"/>
    <w:rsid w:val="0088318A"/>
    <w:rsid w:val="008B4E46"/>
    <w:rsid w:val="008B5ADF"/>
    <w:rsid w:val="008B7F29"/>
    <w:rsid w:val="008C5CBF"/>
    <w:rsid w:val="008D25DF"/>
    <w:rsid w:val="008E00B4"/>
    <w:rsid w:val="008E0440"/>
    <w:rsid w:val="008E3B5E"/>
    <w:rsid w:val="008E5446"/>
    <w:rsid w:val="008F2FE0"/>
    <w:rsid w:val="00902ECA"/>
    <w:rsid w:val="00904094"/>
    <w:rsid w:val="00915D76"/>
    <w:rsid w:val="00924CAB"/>
    <w:rsid w:val="009313EF"/>
    <w:rsid w:val="00950618"/>
    <w:rsid w:val="00953C94"/>
    <w:rsid w:val="009741CE"/>
    <w:rsid w:val="00985746"/>
    <w:rsid w:val="00997B86"/>
    <w:rsid w:val="009A52C8"/>
    <w:rsid w:val="009B03B9"/>
    <w:rsid w:val="009B152D"/>
    <w:rsid w:val="009F274E"/>
    <w:rsid w:val="009F70E6"/>
    <w:rsid w:val="00A0136F"/>
    <w:rsid w:val="00A02301"/>
    <w:rsid w:val="00A146C0"/>
    <w:rsid w:val="00A17ED5"/>
    <w:rsid w:val="00A41EC8"/>
    <w:rsid w:val="00A60A01"/>
    <w:rsid w:val="00A64950"/>
    <w:rsid w:val="00A87B05"/>
    <w:rsid w:val="00A956E7"/>
    <w:rsid w:val="00A97C3F"/>
    <w:rsid w:val="00AA2078"/>
    <w:rsid w:val="00AA3BBA"/>
    <w:rsid w:val="00AA4EA9"/>
    <w:rsid w:val="00AB2216"/>
    <w:rsid w:val="00AC61B4"/>
    <w:rsid w:val="00AD0A0D"/>
    <w:rsid w:val="00AD2D7B"/>
    <w:rsid w:val="00AE0E14"/>
    <w:rsid w:val="00AE348C"/>
    <w:rsid w:val="00AF44C1"/>
    <w:rsid w:val="00B00E09"/>
    <w:rsid w:val="00B06823"/>
    <w:rsid w:val="00B200C8"/>
    <w:rsid w:val="00B22CA6"/>
    <w:rsid w:val="00B230E1"/>
    <w:rsid w:val="00B262C7"/>
    <w:rsid w:val="00B40C25"/>
    <w:rsid w:val="00B432DE"/>
    <w:rsid w:val="00B43CE0"/>
    <w:rsid w:val="00B670B5"/>
    <w:rsid w:val="00B91113"/>
    <w:rsid w:val="00B927E3"/>
    <w:rsid w:val="00BA72D5"/>
    <w:rsid w:val="00BB1782"/>
    <w:rsid w:val="00BB4F10"/>
    <w:rsid w:val="00BD472B"/>
    <w:rsid w:val="00BE6750"/>
    <w:rsid w:val="00BF437C"/>
    <w:rsid w:val="00BF5D52"/>
    <w:rsid w:val="00C01655"/>
    <w:rsid w:val="00C13470"/>
    <w:rsid w:val="00C22823"/>
    <w:rsid w:val="00C243C9"/>
    <w:rsid w:val="00C370B7"/>
    <w:rsid w:val="00C639EA"/>
    <w:rsid w:val="00C65B0B"/>
    <w:rsid w:val="00C72D00"/>
    <w:rsid w:val="00C82596"/>
    <w:rsid w:val="00C905F1"/>
    <w:rsid w:val="00CA7505"/>
    <w:rsid w:val="00CB597B"/>
    <w:rsid w:val="00CB5B34"/>
    <w:rsid w:val="00CC3BD2"/>
    <w:rsid w:val="00CC57CC"/>
    <w:rsid w:val="00CC6FA6"/>
    <w:rsid w:val="00D1351A"/>
    <w:rsid w:val="00D14594"/>
    <w:rsid w:val="00D319A8"/>
    <w:rsid w:val="00D3413E"/>
    <w:rsid w:val="00D412C1"/>
    <w:rsid w:val="00D46E7D"/>
    <w:rsid w:val="00D75394"/>
    <w:rsid w:val="00D81521"/>
    <w:rsid w:val="00D81A72"/>
    <w:rsid w:val="00D84E70"/>
    <w:rsid w:val="00D90B79"/>
    <w:rsid w:val="00D96023"/>
    <w:rsid w:val="00DC6E17"/>
    <w:rsid w:val="00DC7F54"/>
    <w:rsid w:val="00DD5900"/>
    <w:rsid w:val="00DE596E"/>
    <w:rsid w:val="00E04E7D"/>
    <w:rsid w:val="00E617AA"/>
    <w:rsid w:val="00E66088"/>
    <w:rsid w:val="00E706A1"/>
    <w:rsid w:val="00E755FF"/>
    <w:rsid w:val="00E81AE6"/>
    <w:rsid w:val="00E90986"/>
    <w:rsid w:val="00EB1BE5"/>
    <w:rsid w:val="00EC59C0"/>
    <w:rsid w:val="00ED1BAB"/>
    <w:rsid w:val="00F005AA"/>
    <w:rsid w:val="00F01EEE"/>
    <w:rsid w:val="00F03157"/>
    <w:rsid w:val="00F14E27"/>
    <w:rsid w:val="00F14FBD"/>
    <w:rsid w:val="00F22F3D"/>
    <w:rsid w:val="00F32F04"/>
    <w:rsid w:val="00F35C92"/>
    <w:rsid w:val="00F62C5C"/>
    <w:rsid w:val="00F63448"/>
    <w:rsid w:val="00F650EB"/>
    <w:rsid w:val="00F65F0D"/>
    <w:rsid w:val="00F71EC5"/>
    <w:rsid w:val="00F8480F"/>
    <w:rsid w:val="00F9209D"/>
    <w:rsid w:val="00FA6084"/>
    <w:rsid w:val="00FB0D48"/>
    <w:rsid w:val="00FE2641"/>
    <w:rsid w:val="00FE6577"/>
    <w:rsid w:val="00FF17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A6D0A"/>
  <w15:chartTrackingRefBased/>
  <w15:docId w15:val="{3F45E9FA-8D66-FA4D-BF90-140C8246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25"/>
    <w:rPr>
      <w:rFonts w:ascii="Times New Roman" w:eastAsia="Times New Roman" w:hAnsi="Times New Roman"/>
      <w:sz w:val="24"/>
      <w:szCs w:val="24"/>
      <w:lang w:val="en-MY" w:eastAsia="en-GB"/>
    </w:rPr>
  </w:style>
  <w:style w:type="paragraph" w:styleId="Heading2">
    <w:name w:val="heading 2"/>
    <w:basedOn w:val="Normal"/>
    <w:next w:val="Normal"/>
    <w:link w:val="Heading2Char"/>
    <w:uiPriority w:val="9"/>
    <w:semiHidden/>
    <w:unhideWhenUsed/>
    <w:qFormat/>
    <w:rsid w:val="00BF5D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2230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10707"/>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10707"/>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187A46"/>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52230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numPr>
        <w:numId w:val="21"/>
      </w:numPr>
      <w:adjustRightInd w:val="0"/>
      <w:snapToGrid w:val="0"/>
      <w:spacing w:line="228" w:lineRule="auto"/>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pPr>
      <w:numPr>
        <w:numId w:val="28"/>
      </w:numPr>
    </w:pPr>
  </w:style>
  <w:style w:type="numbering" w:customStyle="1" w:styleId="CurrentList2">
    <w:name w:val="Current List2"/>
    <w:uiPriority w:val="99"/>
    <w:rsid w:val="006C13F2"/>
    <w:pPr>
      <w:numPr>
        <w:numId w:val="29"/>
      </w:numPr>
    </w:pPr>
  </w:style>
  <w:style w:type="numbering" w:customStyle="1" w:styleId="CurrentList3">
    <w:name w:val="Current List3"/>
    <w:uiPriority w:val="99"/>
    <w:rsid w:val="00CC6FA6"/>
    <w:pPr>
      <w:numPr>
        <w:numId w:val="31"/>
      </w:numPr>
    </w:pPr>
  </w:style>
  <w:style w:type="numbering" w:customStyle="1" w:styleId="CurrentList4">
    <w:name w:val="Current List4"/>
    <w:uiPriority w:val="99"/>
    <w:rsid w:val="0026249F"/>
    <w:pPr>
      <w:numPr>
        <w:numId w:val="32"/>
      </w:numPr>
    </w:pPr>
  </w:style>
  <w:style w:type="numbering" w:customStyle="1" w:styleId="CurrentList5">
    <w:name w:val="Current List5"/>
    <w:uiPriority w:val="99"/>
    <w:rsid w:val="0026249F"/>
    <w:pPr>
      <w:numPr>
        <w:numId w:val="33"/>
      </w:numPr>
    </w:pPr>
  </w:style>
  <w:style w:type="numbering" w:customStyle="1" w:styleId="CurrentList6">
    <w:name w:val="Current List6"/>
    <w:uiPriority w:val="99"/>
    <w:rsid w:val="0026249F"/>
    <w:pPr>
      <w:numPr>
        <w:numId w:val="34"/>
      </w:numPr>
    </w:pPr>
  </w:style>
  <w:style w:type="character" w:styleId="Emphasis">
    <w:name w:val="Emphasis"/>
    <w:basedOn w:val="DefaultParagraphFont"/>
    <w:uiPriority w:val="20"/>
    <w:qFormat/>
    <w:rsid w:val="005A2FC0"/>
    <w:rPr>
      <w:i/>
      <w:iCs/>
    </w:rPr>
  </w:style>
  <w:style w:type="table" w:customStyle="1" w:styleId="TableGrid1">
    <w:name w:val="Table Grid1"/>
    <w:basedOn w:val="TableNormal"/>
    <w:next w:val="TableGrid"/>
    <w:uiPriority w:val="39"/>
    <w:rsid w:val="003C0958"/>
    <w:rPr>
      <w:rFonts w:eastAsia="DengXi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F5D52"/>
    <w:rPr>
      <w:rFonts w:asciiTheme="majorHAnsi" w:eastAsiaTheme="majorEastAsia" w:hAnsiTheme="majorHAnsi" w:cstheme="majorBidi"/>
      <w:color w:val="2F5496" w:themeColor="accent1" w:themeShade="BF"/>
      <w:sz w:val="26"/>
      <w:szCs w:val="26"/>
      <w:lang w:val="en-M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5507">
      <w:bodyDiv w:val="1"/>
      <w:marLeft w:val="0"/>
      <w:marRight w:val="0"/>
      <w:marTop w:val="0"/>
      <w:marBottom w:val="0"/>
      <w:divBdr>
        <w:top w:val="none" w:sz="0" w:space="0" w:color="auto"/>
        <w:left w:val="none" w:sz="0" w:space="0" w:color="auto"/>
        <w:bottom w:val="none" w:sz="0" w:space="0" w:color="auto"/>
        <w:right w:val="none" w:sz="0" w:space="0" w:color="auto"/>
      </w:divBdr>
    </w:div>
    <w:div w:id="126558301">
      <w:bodyDiv w:val="1"/>
      <w:marLeft w:val="0"/>
      <w:marRight w:val="0"/>
      <w:marTop w:val="0"/>
      <w:marBottom w:val="0"/>
      <w:divBdr>
        <w:top w:val="none" w:sz="0" w:space="0" w:color="auto"/>
        <w:left w:val="none" w:sz="0" w:space="0" w:color="auto"/>
        <w:bottom w:val="none" w:sz="0" w:space="0" w:color="auto"/>
        <w:right w:val="none" w:sz="0" w:space="0" w:color="auto"/>
      </w:divBdr>
    </w:div>
    <w:div w:id="214505969">
      <w:bodyDiv w:val="1"/>
      <w:marLeft w:val="0"/>
      <w:marRight w:val="0"/>
      <w:marTop w:val="0"/>
      <w:marBottom w:val="0"/>
      <w:divBdr>
        <w:top w:val="none" w:sz="0" w:space="0" w:color="auto"/>
        <w:left w:val="none" w:sz="0" w:space="0" w:color="auto"/>
        <w:bottom w:val="none" w:sz="0" w:space="0" w:color="auto"/>
        <w:right w:val="none" w:sz="0" w:space="0" w:color="auto"/>
      </w:divBdr>
    </w:div>
    <w:div w:id="353583016">
      <w:bodyDiv w:val="1"/>
      <w:marLeft w:val="0"/>
      <w:marRight w:val="0"/>
      <w:marTop w:val="0"/>
      <w:marBottom w:val="0"/>
      <w:divBdr>
        <w:top w:val="none" w:sz="0" w:space="0" w:color="auto"/>
        <w:left w:val="none" w:sz="0" w:space="0" w:color="auto"/>
        <w:bottom w:val="none" w:sz="0" w:space="0" w:color="auto"/>
        <w:right w:val="none" w:sz="0" w:space="0" w:color="auto"/>
      </w:divBdr>
    </w:div>
    <w:div w:id="370149536">
      <w:bodyDiv w:val="1"/>
      <w:marLeft w:val="0"/>
      <w:marRight w:val="0"/>
      <w:marTop w:val="0"/>
      <w:marBottom w:val="0"/>
      <w:divBdr>
        <w:top w:val="none" w:sz="0" w:space="0" w:color="auto"/>
        <w:left w:val="none" w:sz="0" w:space="0" w:color="auto"/>
        <w:bottom w:val="none" w:sz="0" w:space="0" w:color="auto"/>
        <w:right w:val="none" w:sz="0" w:space="0" w:color="auto"/>
      </w:divBdr>
    </w:div>
    <w:div w:id="523977122">
      <w:bodyDiv w:val="1"/>
      <w:marLeft w:val="0"/>
      <w:marRight w:val="0"/>
      <w:marTop w:val="0"/>
      <w:marBottom w:val="0"/>
      <w:divBdr>
        <w:top w:val="none" w:sz="0" w:space="0" w:color="auto"/>
        <w:left w:val="none" w:sz="0" w:space="0" w:color="auto"/>
        <w:bottom w:val="none" w:sz="0" w:space="0" w:color="auto"/>
        <w:right w:val="none" w:sz="0" w:space="0" w:color="auto"/>
      </w:divBdr>
    </w:div>
    <w:div w:id="548419946">
      <w:bodyDiv w:val="1"/>
      <w:marLeft w:val="0"/>
      <w:marRight w:val="0"/>
      <w:marTop w:val="0"/>
      <w:marBottom w:val="0"/>
      <w:divBdr>
        <w:top w:val="none" w:sz="0" w:space="0" w:color="auto"/>
        <w:left w:val="none" w:sz="0" w:space="0" w:color="auto"/>
        <w:bottom w:val="none" w:sz="0" w:space="0" w:color="auto"/>
        <w:right w:val="none" w:sz="0" w:space="0" w:color="auto"/>
      </w:divBdr>
    </w:div>
    <w:div w:id="767235729">
      <w:bodyDiv w:val="1"/>
      <w:marLeft w:val="0"/>
      <w:marRight w:val="0"/>
      <w:marTop w:val="0"/>
      <w:marBottom w:val="0"/>
      <w:divBdr>
        <w:top w:val="none" w:sz="0" w:space="0" w:color="auto"/>
        <w:left w:val="none" w:sz="0" w:space="0" w:color="auto"/>
        <w:bottom w:val="none" w:sz="0" w:space="0" w:color="auto"/>
        <w:right w:val="none" w:sz="0" w:space="0" w:color="auto"/>
      </w:divBdr>
    </w:div>
    <w:div w:id="879896797">
      <w:bodyDiv w:val="1"/>
      <w:marLeft w:val="0"/>
      <w:marRight w:val="0"/>
      <w:marTop w:val="0"/>
      <w:marBottom w:val="0"/>
      <w:divBdr>
        <w:top w:val="none" w:sz="0" w:space="0" w:color="auto"/>
        <w:left w:val="none" w:sz="0" w:space="0" w:color="auto"/>
        <w:bottom w:val="none" w:sz="0" w:space="0" w:color="auto"/>
        <w:right w:val="none" w:sz="0" w:space="0" w:color="auto"/>
      </w:divBdr>
    </w:div>
    <w:div w:id="992677717">
      <w:bodyDiv w:val="1"/>
      <w:marLeft w:val="0"/>
      <w:marRight w:val="0"/>
      <w:marTop w:val="0"/>
      <w:marBottom w:val="0"/>
      <w:divBdr>
        <w:top w:val="none" w:sz="0" w:space="0" w:color="auto"/>
        <w:left w:val="none" w:sz="0" w:space="0" w:color="auto"/>
        <w:bottom w:val="none" w:sz="0" w:space="0" w:color="auto"/>
        <w:right w:val="none" w:sz="0" w:space="0" w:color="auto"/>
      </w:divBdr>
    </w:div>
    <w:div w:id="1229926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anderson.org/documents/about-md-anderson/about-us/facts-and-history/quick-facts.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ep.iium.edu.my/52058"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iencedirect.com/journal/teaching-and-teacher-education/vol/43/suppl/C" TargetMode="External"/><Relationship Id="rId4" Type="http://schemas.openxmlformats.org/officeDocument/2006/relationships/settings" Target="settings.xml"/><Relationship Id="rId9" Type="http://schemas.openxmlformats.org/officeDocument/2006/relationships/hyperlink" Target="https://www.sciencedirect.com/journal/teaching-and-teacher-educatio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5D096-FD30-42C8-8BC4-DCC1FFD0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11</Pages>
  <Words>5117</Words>
  <Characters>29170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nazirah hassan</dc:creator>
  <cp:keywords/>
  <dc:description/>
  <cp:lastModifiedBy>ADMIN</cp:lastModifiedBy>
  <cp:revision>9</cp:revision>
  <dcterms:created xsi:type="dcterms:W3CDTF">2022-09-05T16:34:00Z</dcterms:created>
  <dcterms:modified xsi:type="dcterms:W3CDTF">2022-09-06T05:34:00Z</dcterms:modified>
</cp:coreProperties>
</file>