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07E0A" w14:textId="77777777" w:rsidR="00011399" w:rsidRDefault="00B67BAF">
      <w:pPr>
        <w:pBdr>
          <w:top w:val="nil"/>
          <w:left w:val="nil"/>
          <w:bottom w:val="nil"/>
          <w:right w:val="nil"/>
          <w:between w:val="nil"/>
        </w:pBdr>
        <w:spacing w:before="240"/>
        <w:rPr>
          <w:rFonts w:ascii="Times" w:eastAsia="Times" w:hAnsi="Times" w:cs="Times"/>
          <w:i/>
          <w:color w:val="000000"/>
          <w:sz w:val="20"/>
          <w:szCs w:val="20"/>
        </w:rPr>
      </w:pPr>
      <w:r>
        <w:rPr>
          <w:rFonts w:ascii="Times" w:eastAsia="Times" w:hAnsi="Times" w:cs="Times"/>
          <w:i/>
          <w:sz w:val="20"/>
          <w:szCs w:val="20"/>
        </w:rPr>
        <w:t xml:space="preserve">Article </w:t>
      </w:r>
    </w:p>
    <w:p w14:paraId="562040BE" w14:textId="77777777" w:rsidR="00011399" w:rsidRDefault="00011399">
      <w:pPr>
        <w:rPr>
          <w:rFonts w:ascii="Times" w:eastAsia="Times" w:hAnsi="Times" w:cs="Times"/>
        </w:rPr>
      </w:pPr>
    </w:p>
    <w:p w14:paraId="2E608AD9" w14:textId="3DEBB9CD" w:rsidR="00011399" w:rsidRDefault="003703FB">
      <w:pPr>
        <w:pBdr>
          <w:top w:val="nil"/>
          <w:left w:val="nil"/>
          <w:bottom w:val="nil"/>
          <w:right w:val="nil"/>
          <w:between w:val="nil"/>
        </w:pBdr>
        <w:rPr>
          <w:rFonts w:ascii="Times" w:eastAsia="Times" w:hAnsi="Times" w:cs="Times"/>
          <w:b/>
          <w:sz w:val="32"/>
          <w:szCs w:val="32"/>
        </w:rPr>
      </w:pPr>
      <w:r w:rsidRPr="003703FB">
        <w:rPr>
          <w:rFonts w:ascii="Times" w:eastAsia="Times" w:hAnsi="Times" w:cs="Times"/>
          <w:b/>
          <w:sz w:val="32"/>
          <w:szCs w:val="32"/>
        </w:rPr>
        <w:t>Malaysian Financial Well-being during COVID-19 Pandemic: Does income classification make a difference?</w:t>
      </w:r>
    </w:p>
    <w:p w14:paraId="1D7B26A0" w14:textId="77777777" w:rsidR="009640BF" w:rsidRDefault="009640BF" w:rsidP="009640BF">
      <w:pPr>
        <w:spacing w:line="480" w:lineRule="auto"/>
        <w:rPr>
          <w:color w:val="000000"/>
          <w:lang w:eastAsia="en-MY"/>
        </w:rPr>
      </w:pPr>
    </w:p>
    <w:p w14:paraId="54C58D2B" w14:textId="0CA93C1A" w:rsidR="009640BF" w:rsidRPr="009640BF" w:rsidRDefault="00AC365C" w:rsidP="009640BF">
      <w:pPr>
        <w:spacing w:line="480" w:lineRule="auto"/>
        <w:rPr>
          <w:lang w:eastAsia="en-MY"/>
        </w:rPr>
      </w:pPr>
      <w:r w:rsidRPr="00AC365C">
        <w:rPr>
          <w:bCs/>
          <w:color w:val="000000"/>
          <w:lang w:val="en-US" w:eastAsia="en-MY"/>
        </w:rPr>
        <w:t>Che Norhalila Binti Che Mohamed</w:t>
      </w:r>
      <w:r w:rsidRPr="00AC365C">
        <w:rPr>
          <w:bCs/>
          <w:color w:val="000000"/>
          <w:vertAlign w:val="superscript"/>
          <w:lang w:val="en-US" w:eastAsia="en-MY"/>
        </w:rPr>
        <w:t>1</w:t>
      </w:r>
      <w:r w:rsidRPr="00AC365C">
        <w:rPr>
          <w:bCs/>
          <w:color w:val="000000"/>
          <w:lang w:val="en-US" w:eastAsia="en-MY"/>
        </w:rPr>
        <w:t>, Nur Izzati binti Ahmad Nasharuddin</w:t>
      </w:r>
      <w:r w:rsidRPr="00AC365C">
        <w:rPr>
          <w:bCs/>
          <w:color w:val="000000"/>
          <w:vertAlign w:val="superscript"/>
          <w:lang w:val="en-US" w:eastAsia="en-MY"/>
        </w:rPr>
        <w:t>1</w:t>
      </w:r>
      <w:r w:rsidRPr="00AC365C">
        <w:rPr>
          <w:bCs/>
          <w:color w:val="000000"/>
          <w:lang w:val="en-US" w:eastAsia="en-MY"/>
        </w:rPr>
        <w:t>, Nur Aishah binti Mohamed Yussof</w:t>
      </w:r>
      <w:r w:rsidRPr="00AC365C">
        <w:rPr>
          <w:bCs/>
          <w:color w:val="000000"/>
          <w:vertAlign w:val="superscript"/>
          <w:lang w:val="en-US" w:eastAsia="en-MY"/>
        </w:rPr>
        <w:t>1</w:t>
      </w:r>
      <w:r w:rsidRPr="00AC365C">
        <w:rPr>
          <w:bCs/>
          <w:color w:val="000000"/>
          <w:lang w:val="en-US" w:eastAsia="en-MY"/>
        </w:rPr>
        <w:t>, Nora Binti Mohd Basir</w:t>
      </w:r>
      <w:r w:rsidRPr="00AC365C">
        <w:rPr>
          <w:bCs/>
          <w:color w:val="000000"/>
          <w:vertAlign w:val="superscript"/>
          <w:lang w:val="en-US" w:eastAsia="en-MY"/>
        </w:rPr>
        <w:t>1</w:t>
      </w:r>
      <w:r w:rsidRPr="00AC365C">
        <w:rPr>
          <w:b/>
          <w:color w:val="000000"/>
          <w:lang w:val="en-US" w:eastAsia="en-MY"/>
        </w:rPr>
        <w:t xml:space="preserve"> </w:t>
      </w:r>
    </w:p>
    <w:p w14:paraId="39C58EBA" w14:textId="3F91781B" w:rsidR="009640BF" w:rsidRPr="009640BF" w:rsidRDefault="009640BF" w:rsidP="009640BF">
      <w:pPr>
        <w:rPr>
          <w:lang w:eastAsia="en-MY"/>
        </w:rPr>
      </w:pPr>
      <w:r w:rsidRPr="009640BF">
        <w:rPr>
          <w:rFonts w:ascii="Times" w:hAnsi="Times" w:cs="Times"/>
          <w:color w:val="000000"/>
          <w:sz w:val="12"/>
          <w:szCs w:val="12"/>
          <w:vertAlign w:val="superscript"/>
          <w:lang w:eastAsia="en-MY"/>
        </w:rPr>
        <w:t>1</w:t>
      </w:r>
      <w:r w:rsidR="00232408">
        <w:rPr>
          <w:rFonts w:ascii="Times" w:hAnsi="Times" w:cs="Times"/>
          <w:color w:val="000000"/>
          <w:sz w:val="20"/>
          <w:szCs w:val="20"/>
          <w:lang w:eastAsia="en-MY"/>
        </w:rPr>
        <w:t xml:space="preserve">Collage of Computing, </w:t>
      </w:r>
      <w:r w:rsidR="00FD2960">
        <w:rPr>
          <w:rFonts w:ascii="Times" w:hAnsi="Times" w:cs="Times"/>
          <w:color w:val="000000"/>
          <w:sz w:val="20"/>
          <w:szCs w:val="20"/>
          <w:lang w:eastAsia="en-MY"/>
        </w:rPr>
        <w:t>Informatics</w:t>
      </w:r>
      <w:r w:rsidR="00232408">
        <w:rPr>
          <w:rFonts w:ascii="Times" w:hAnsi="Times" w:cs="Times"/>
          <w:color w:val="000000"/>
          <w:sz w:val="20"/>
          <w:szCs w:val="20"/>
          <w:lang w:eastAsia="en-MY"/>
        </w:rPr>
        <w:t xml:space="preserve"> and Media, </w:t>
      </w:r>
      <w:r w:rsidRPr="009640BF">
        <w:rPr>
          <w:rFonts w:ascii="Times" w:hAnsi="Times" w:cs="Times"/>
          <w:color w:val="000000"/>
          <w:sz w:val="20"/>
          <w:szCs w:val="20"/>
          <w:lang w:eastAsia="en-MY"/>
        </w:rPr>
        <w:t xml:space="preserve">Universiti </w:t>
      </w:r>
      <w:r w:rsidR="00232408">
        <w:rPr>
          <w:rFonts w:ascii="Times" w:hAnsi="Times" w:cs="Times"/>
          <w:color w:val="000000"/>
          <w:sz w:val="20"/>
          <w:szCs w:val="20"/>
          <w:lang w:eastAsia="en-MY"/>
        </w:rPr>
        <w:t>Teknologi MARA, Negeri Sembilan</w:t>
      </w:r>
      <w:r w:rsidRPr="009640BF">
        <w:rPr>
          <w:rFonts w:ascii="Times" w:hAnsi="Times" w:cs="Times"/>
          <w:color w:val="000000"/>
          <w:sz w:val="20"/>
          <w:szCs w:val="20"/>
          <w:lang w:eastAsia="en-MY"/>
        </w:rPr>
        <w:t>, Malaysia.</w:t>
      </w:r>
    </w:p>
    <w:p w14:paraId="2A6D568B" w14:textId="77777777" w:rsidR="009640BF" w:rsidRPr="009640BF" w:rsidRDefault="009640BF" w:rsidP="009640BF">
      <w:pPr>
        <w:rPr>
          <w:lang w:eastAsia="en-MY"/>
        </w:rPr>
      </w:pPr>
    </w:p>
    <w:p w14:paraId="3F9DEDD6" w14:textId="66BBFB03" w:rsidR="009640BF" w:rsidRPr="009640BF" w:rsidRDefault="009640BF" w:rsidP="009640BF">
      <w:pPr>
        <w:rPr>
          <w:lang w:eastAsia="en-MY"/>
        </w:rPr>
      </w:pPr>
      <w:r w:rsidRPr="009640BF">
        <w:rPr>
          <w:rFonts w:ascii="Times" w:hAnsi="Times" w:cs="Times"/>
          <w:color w:val="000000"/>
          <w:sz w:val="12"/>
          <w:szCs w:val="12"/>
          <w:vertAlign w:val="superscript"/>
          <w:lang w:eastAsia="en-MY"/>
        </w:rPr>
        <w:t>*</w:t>
      </w:r>
      <w:r w:rsidRPr="009640BF">
        <w:rPr>
          <w:rFonts w:ascii="Times" w:hAnsi="Times" w:cs="Times"/>
          <w:color w:val="000000"/>
          <w:sz w:val="20"/>
          <w:szCs w:val="20"/>
          <w:lang w:eastAsia="en-MY"/>
        </w:rPr>
        <w:t xml:space="preserve">Corresponding author: </w:t>
      </w:r>
      <w:r w:rsidR="00F038B0">
        <w:rPr>
          <w:rFonts w:ascii="Times" w:hAnsi="Times" w:cs="Times"/>
          <w:color w:val="000000"/>
          <w:sz w:val="20"/>
          <w:szCs w:val="20"/>
          <w:lang w:eastAsia="en-MY"/>
        </w:rPr>
        <w:t>Cheno</w:t>
      </w:r>
      <w:r w:rsidR="007D4554">
        <w:rPr>
          <w:rFonts w:ascii="Times" w:hAnsi="Times" w:cs="Times"/>
          <w:color w:val="000000"/>
          <w:sz w:val="20"/>
          <w:szCs w:val="20"/>
          <w:lang w:eastAsia="en-MY"/>
        </w:rPr>
        <w:t>849</w:t>
      </w:r>
      <w:r w:rsidRPr="009640BF">
        <w:rPr>
          <w:rFonts w:ascii="Times" w:hAnsi="Times" w:cs="Times"/>
          <w:color w:val="000000"/>
          <w:sz w:val="20"/>
          <w:szCs w:val="20"/>
          <w:lang w:eastAsia="en-MY"/>
        </w:rPr>
        <w:t>@</w:t>
      </w:r>
      <w:r w:rsidR="007D4554">
        <w:rPr>
          <w:rFonts w:ascii="Times" w:hAnsi="Times" w:cs="Times"/>
          <w:color w:val="000000"/>
          <w:sz w:val="20"/>
          <w:szCs w:val="20"/>
          <w:lang w:eastAsia="en-MY"/>
        </w:rPr>
        <w:t>uitm.edu.</w:t>
      </w:r>
      <w:r w:rsidRPr="009640BF">
        <w:rPr>
          <w:rFonts w:ascii="Times" w:hAnsi="Times" w:cs="Times"/>
          <w:color w:val="000000"/>
          <w:sz w:val="20"/>
          <w:szCs w:val="20"/>
          <w:lang w:eastAsia="en-MY"/>
        </w:rPr>
        <w:t>my</w:t>
      </w:r>
    </w:p>
    <w:p w14:paraId="48BB67CB" w14:textId="77777777" w:rsidR="00011399" w:rsidRDefault="00011399">
      <w:pPr>
        <w:pBdr>
          <w:top w:val="nil"/>
          <w:left w:val="nil"/>
          <w:bottom w:val="nil"/>
          <w:right w:val="nil"/>
          <w:between w:val="nil"/>
        </w:pBdr>
        <w:rPr>
          <w:rFonts w:ascii="Times" w:eastAsia="Times" w:hAnsi="Times" w:cs="Times"/>
          <w:b/>
          <w:sz w:val="32"/>
          <w:szCs w:val="32"/>
        </w:rPr>
      </w:pPr>
    </w:p>
    <w:p w14:paraId="57D9CBB7" w14:textId="21DA8EC9" w:rsidR="00011399" w:rsidRDefault="00B67BAF">
      <w:pPr>
        <w:jc w:val="both"/>
        <w:rPr>
          <w:rFonts w:ascii="Times" w:eastAsia="Times" w:hAnsi="Times" w:cs="Times"/>
        </w:rPr>
      </w:pPr>
      <w:r>
        <w:rPr>
          <w:rFonts w:ascii="Times" w:eastAsia="Times" w:hAnsi="Times" w:cs="Times"/>
          <w:b/>
        </w:rPr>
        <w:t xml:space="preserve">Abstract: </w:t>
      </w:r>
      <w:r w:rsidR="003703FB" w:rsidRPr="003703FB">
        <w:rPr>
          <w:rFonts w:ascii="Times" w:eastAsia="Times" w:hAnsi="Times" w:cs="Times"/>
        </w:rPr>
        <w:t>The Covid-19 pandemic has affected émotions, health and the community's well-being. Even worse, when the movement control order had to be carried out to curb the spread of this disease and indirectly affected the financial well-being of employees in Malaysia. Therefore, this study aims to compare the financial well-being of Malaysian individuals between income classifications (B40, M40, and T20). Convenience sampling was used to get 265 respondents by using an online survey. A Kruskal Wallis test showed a statistically significant difference in the financial well-being between income classifications, χ2 = 13.818, p-value = 0.001, with a mean rank financial well-being of 119.71 for B40 employees, 131.96 for M40 employees, and 165.48 for T20 employees. In conclusion, employees were recommended to have retirement savings and an excellent financial attitude to have good financial well-being.</w:t>
      </w:r>
    </w:p>
    <w:p w14:paraId="3AE9EC87" w14:textId="77777777" w:rsidR="003703FB" w:rsidRDefault="003703FB">
      <w:pPr>
        <w:jc w:val="both"/>
        <w:rPr>
          <w:rFonts w:ascii="Times" w:eastAsia="Times" w:hAnsi="Times" w:cs="Times"/>
        </w:rPr>
      </w:pPr>
    </w:p>
    <w:p w14:paraId="59691AD3" w14:textId="2D3C2F63" w:rsidR="00011399" w:rsidRDefault="00B67BAF">
      <w:pPr>
        <w:rPr>
          <w:rFonts w:ascii="Times" w:eastAsia="Times" w:hAnsi="Times" w:cs="Times"/>
        </w:rPr>
      </w:pPr>
      <w:r>
        <w:rPr>
          <w:rFonts w:ascii="Times" w:eastAsia="Times" w:hAnsi="Times" w:cs="Times"/>
          <w:b/>
        </w:rPr>
        <w:t>Keywords:</w:t>
      </w:r>
      <w:r>
        <w:rPr>
          <w:rFonts w:ascii="Times" w:eastAsia="Times" w:hAnsi="Times" w:cs="Times"/>
        </w:rPr>
        <w:t xml:space="preserve"> </w:t>
      </w:r>
      <w:r w:rsidR="003703FB" w:rsidRPr="003703FB">
        <w:rPr>
          <w:rFonts w:ascii="Times" w:eastAsia="Times" w:hAnsi="Times" w:cs="Times"/>
        </w:rPr>
        <w:t>Covid-19, financial well-being, income classification, Kruskal-Wallis tes</w:t>
      </w:r>
      <w:r w:rsidR="003703FB">
        <w:rPr>
          <w:rFonts w:ascii="Times" w:eastAsia="Times" w:hAnsi="Times" w:cs="Times"/>
        </w:rPr>
        <w:t>t, Malaysia</w:t>
      </w:r>
      <w:r>
        <w:rPr>
          <w:rFonts w:ascii="Times" w:eastAsia="Times" w:hAnsi="Times" w:cs="Times"/>
        </w:rPr>
        <w:t>.</w:t>
      </w:r>
    </w:p>
    <w:p w14:paraId="3036E758" w14:textId="77777777" w:rsidR="00011399" w:rsidRDefault="00011399">
      <w:pPr>
        <w:pBdr>
          <w:bottom w:val="single" w:sz="12" w:space="1" w:color="000000"/>
        </w:pBdr>
        <w:rPr>
          <w:rFonts w:ascii="Times" w:eastAsia="Times" w:hAnsi="Times" w:cs="Times"/>
        </w:rPr>
      </w:pPr>
    </w:p>
    <w:p w14:paraId="4555FAE1" w14:textId="77777777" w:rsidR="00011399" w:rsidRDefault="00011399"/>
    <w:p w14:paraId="0E865066" w14:textId="77777777" w:rsidR="00011399" w:rsidRDefault="00B67BAF">
      <w:pPr>
        <w:rPr>
          <w:b/>
        </w:rPr>
      </w:pPr>
      <w:r>
        <w:rPr>
          <w:b/>
        </w:rPr>
        <w:t>Introduction</w:t>
      </w:r>
    </w:p>
    <w:p w14:paraId="0727BC8D" w14:textId="77777777" w:rsidR="009E77D8" w:rsidRPr="009E77D8" w:rsidRDefault="009E77D8" w:rsidP="009E77D8">
      <w:pPr>
        <w:jc w:val="both"/>
        <w:rPr>
          <w:rFonts w:ascii="Times" w:eastAsia="Times" w:hAnsi="Times" w:cs="Times"/>
          <w:color w:val="202124"/>
        </w:rPr>
      </w:pPr>
      <w:r w:rsidRPr="009E77D8">
        <w:rPr>
          <w:rFonts w:ascii="Times" w:eastAsia="Times" w:hAnsi="Times" w:cs="Times"/>
          <w:color w:val="202124"/>
        </w:rPr>
        <w:t xml:space="preserve">Coronavirus 2 (SARS-CoV-2) or Coronavirus disease (Covid-19) is a virus that causes severe acute respiratory syndrome. Covid-19 was discovered and has spread worldwide, including in Malaysia, since the end of 2019. The widespread COVID-19 epidemic worldwide has changed our lives in many aspects, especially in health, social, financial, and economic factors. Presently, statistics show about 200 countries are facing a downturn by Covid-19 (Nik Azman et al., 2021). Meanwhile, according to the Ministry of Health Malaysia, almost 36 thousand total death cases were reported as of 6th February 2023 in Malaysia. This pandemic caused lockdowns worldwide where the World Health Organization (WHO) enforced movement restrictions and Malaysia's government executed Standard Operating Procedure (SOP) for Malaysians to practice in this new normal. </w:t>
      </w:r>
    </w:p>
    <w:p w14:paraId="1A793455" w14:textId="77777777" w:rsidR="009E77D8" w:rsidRPr="009E77D8" w:rsidRDefault="009E77D8" w:rsidP="009E77D8">
      <w:pPr>
        <w:ind w:firstLine="720"/>
        <w:jc w:val="both"/>
        <w:rPr>
          <w:rFonts w:ascii="Times" w:eastAsia="Times" w:hAnsi="Times" w:cs="Times"/>
          <w:color w:val="202124"/>
        </w:rPr>
      </w:pPr>
      <w:r w:rsidRPr="009E77D8">
        <w:rPr>
          <w:rFonts w:ascii="Times" w:eastAsia="Times" w:hAnsi="Times" w:cs="Times"/>
          <w:color w:val="202124"/>
        </w:rPr>
        <w:t xml:space="preserve">Consequently, this situation led to the financial decline of most Malaysians. According to the Star newspaper, Human Resources Minister Datuk Seri M Saravanan, about 100,000 Malaysians lost their careers during the movement control order (Tan et al., 2020). Nambiar (2012) stated that financial problems always became an issue among Malaysians even before the Covid-19 outbreak. This matter has become worse due to the pandemic. Lee (2021) stated that economists have mentioned that most workers risk losing their job because of the extended lockdown as the nation’s infection rates remain high. This concern has moved to the forefront of personal loans, which are the biggest reason for bankruptcies in Malaysia. This statement can be </w:t>
      </w:r>
      <w:r w:rsidRPr="009E77D8">
        <w:rPr>
          <w:rFonts w:ascii="Times" w:eastAsia="Times" w:hAnsi="Times" w:cs="Times"/>
          <w:color w:val="202124"/>
        </w:rPr>
        <w:lastRenderedPageBreak/>
        <w:t xml:space="preserve">proven by the Law Minister of Malaysia, Wan Junaidi Tuanku Jaafar, who mentioned that a sum of 11,207 Malaysians was declared bankrupt during the Covid-19 outbreak (FMT Reporters, 2021). </w:t>
      </w:r>
    </w:p>
    <w:p w14:paraId="36D962D1" w14:textId="77777777" w:rsidR="009E77D8" w:rsidRPr="009E77D8" w:rsidRDefault="009E77D8" w:rsidP="009E77D8">
      <w:pPr>
        <w:jc w:val="both"/>
        <w:rPr>
          <w:rFonts w:ascii="Times" w:eastAsia="Times" w:hAnsi="Times" w:cs="Times"/>
          <w:color w:val="202124"/>
        </w:rPr>
      </w:pPr>
      <w:r w:rsidRPr="009E77D8">
        <w:rPr>
          <w:rFonts w:ascii="Times" w:eastAsia="Times" w:hAnsi="Times" w:cs="Times"/>
          <w:color w:val="202124"/>
        </w:rPr>
        <w:t xml:space="preserve">Ferrer-i Carbonell et al. (2003) indicated that financial well-being is part of personal division well-being which consists of the environment, housing, job, health, and leisure. Financial well-being, also known as financial wellness, is a substantial concept based on objectives and subjective measures. Furthermore, Gerrans et al. (2014) said researchers who approach financial well-being topics would usually conceptualize financial well-being as a subjective judgement. This pandemic significantly impacted the country's economy, leading to the decline of Malaysian finances. According to Haryanto (2020), most economists estimate that this pandemic outbreak will decrease global economic growth, including in Malaysia. The aftermath of the COVID-19 pandemic escalated the absolute poverty figure in Malaysia, increasing from 5.6 per cent in 2019 to 8.4 per cent in 2020 (DOSM, 2021). </w:t>
      </w:r>
    </w:p>
    <w:p w14:paraId="53449995" w14:textId="4CB0BFC5" w:rsidR="00011399" w:rsidRDefault="009E77D8" w:rsidP="009E77D8">
      <w:pPr>
        <w:ind w:firstLine="720"/>
        <w:jc w:val="both"/>
        <w:rPr>
          <w:rFonts w:ascii="Times" w:eastAsia="Times" w:hAnsi="Times" w:cs="Times"/>
          <w:color w:val="202124"/>
        </w:rPr>
      </w:pPr>
      <w:r w:rsidRPr="009E77D8">
        <w:rPr>
          <w:rFonts w:ascii="Times" w:eastAsia="Times" w:hAnsi="Times" w:cs="Times"/>
          <w:color w:val="202124"/>
        </w:rPr>
        <w:t>Therefore, this study attempted to compare the financial well-being of individuals in Malaysia with a preliminary analysis of respondent demographic profiles. The results will encourage Malaysians to understand their financial well-being better and have a high financial literacy to manage money better.</w:t>
      </w:r>
    </w:p>
    <w:p w14:paraId="2584915C" w14:textId="77777777" w:rsidR="009E77D8" w:rsidRPr="009E77D8" w:rsidRDefault="009E77D8" w:rsidP="009E77D8">
      <w:pPr>
        <w:jc w:val="both"/>
        <w:rPr>
          <w:rFonts w:ascii="Times" w:eastAsia="Times" w:hAnsi="Times" w:cs="Times"/>
          <w:color w:val="202124"/>
        </w:rPr>
      </w:pPr>
      <w:r w:rsidRPr="009E77D8">
        <w:rPr>
          <w:rFonts w:ascii="Times" w:eastAsia="Times" w:hAnsi="Times" w:cs="Times"/>
          <w:color w:val="202124"/>
        </w:rPr>
        <w:t>Financial well-being is defined as one’s financial situation based on emotions such as happiness and free from worry about financial problems (Joo, 2008). The denotation of financial well-being has evolved from a simple level of happiness or satisfaction in an individual’s financial state to a complex measurement that includes quantitative and qualitative materials (Delafrooz &amp; Paim, 2011). This can be said that the real concept of financial well-being is faded and unclear, which can lead to its definition and measurement inconsistency (Bruggen et al., 2017). However, considering the previous measurement, adding a qualitative factor may be more suitable because only the respondents can express their true feelings about their financial wellness.</w:t>
      </w:r>
    </w:p>
    <w:p w14:paraId="69C936EF" w14:textId="77777777" w:rsidR="009E77D8" w:rsidRPr="009E77D8" w:rsidRDefault="009E77D8" w:rsidP="009E77D8">
      <w:pPr>
        <w:jc w:val="both"/>
        <w:rPr>
          <w:rFonts w:ascii="Times" w:eastAsia="Times" w:hAnsi="Times" w:cs="Times"/>
          <w:color w:val="202124"/>
        </w:rPr>
      </w:pPr>
      <w:r w:rsidRPr="009E77D8">
        <w:rPr>
          <w:rFonts w:ascii="Times" w:eastAsia="Times" w:hAnsi="Times" w:cs="Times"/>
          <w:color w:val="202124"/>
        </w:rPr>
        <w:t xml:space="preserve">Gender differences may create a gap in financial knowledge resulting in a distinct interest in financial issues (Greimel-Fuhrmann &amp; Silgoner, 2018). The prior study indicated that women's interest in finance is approximately 10 % lower than men's financial interest (Luhrmann et al., 2013). However, women have lower financial literacy, and it is hard to ¨ recover from the sudden financial shock. In addition, women outshine men in financial behavior and attitudes while having less financial education than men (Greimel-Fuhrmann &amp; Silgoner, 2018). Regarding marital status, financial decisions made by the husband did affect the financial stability of the dual-income family. Previous results revealed at each level of financial literacy, the possibility of the husband contribution was higher than the wife. The monthly income of married employees in dual-income families impacts the percentage variation of their financial literacy levels. Therefore, married employees with higher incomes have better financial well-being than those with lower monthly incomes (Zaimah, 2019). </w:t>
      </w:r>
    </w:p>
    <w:p w14:paraId="674D57B9" w14:textId="77777777" w:rsidR="009E77D8" w:rsidRPr="009E77D8" w:rsidRDefault="009E77D8" w:rsidP="009E77D8">
      <w:pPr>
        <w:ind w:firstLine="720"/>
        <w:jc w:val="both"/>
        <w:rPr>
          <w:rFonts w:ascii="Times" w:eastAsia="Times" w:hAnsi="Times" w:cs="Times"/>
          <w:color w:val="202124"/>
        </w:rPr>
      </w:pPr>
      <w:r w:rsidRPr="009E77D8">
        <w:rPr>
          <w:rFonts w:ascii="Times" w:eastAsia="Times" w:hAnsi="Times" w:cs="Times"/>
          <w:color w:val="202124"/>
        </w:rPr>
        <w:t xml:space="preserve">Abd. Rahim &amp; Samad (2012) found dissimilarities in financial literacy among various ethnicities in Malaysia. Chinese tend to have higher financial well-being than Malay and Indian. However, the Chinese tend to have lower financial well-being than Malay and Indian regarding solvency and consumer debt ratios (Abd. Rahim &amp; Samad, 2012). The consumer debt ratio is the ratio of gross annual debt payment to discretionary income, and the solvency ratio is the ratio of assets to liabilities (DeVaney, 1994). Looking into the education level in Malaysia, the minimum education qualification to get employed is a Sijil Pelajaran Malaysia (SPM) certificate. Mahdzan et al. (2020) found significant differences between education levels in financial well-being. The outcomes portray that people with the highest formal education at the postgraduate level have the highest financial well-being followed by the undergraduate level. Vosloo (2014) also suggests that education is related to financial well-being. </w:t>
      </w:r>
    </w:p>
    <w:p w14:paraId="1D2B3970" w14:textId="77777777" w:rsidR="009E77D8" w:rsidRPr="009E77D8" w:rsidRDefault="009E77D8" w:rsidP="009E77D8">
      <w:pPr>
        <w:jc w:val="both"/>
        <w:rPr>
          <w:rFonts w:ascii="Times" w:eastAsia="Times" w:hAnsi="Times" w:cs="Times"/>
          <w:color w:val="202124"/>
        </w:rPr>
      </w:pPr>
      <w:r w:rsidRPr="009E77D8">
        <w:rPr>
          <w:rFonts w:ascii="Times" w:eastAsia="Times" w:hAnsi="Times" w:cs="Times"/>
          <w:color w:val="202124"/>
        </w:rPr>
        <w:t xml:space="preserve">Next, it is worth looking into the job sector. Public workers are confident that their statutory savings will provide them with complete financial security when they retire (Kamakia et al., 2017). However, Mokhtar et al. (2015) reveal that public workers' overall financial well-being is average. On the other hand, people in business, farmers, professionals, and traders tend to achieve good financial well-being and financial literacy (Worthington &amp; Whittaker, 2006). Osman et al. (2018) study suggests that retired people from government bodies do not have security in aspects of finance after their retirement compared to other job sectors such as private and entrepreneurs. </w:t>
      </w:r>
    </w:p>
    <w:p w14:paraId="1E474060" w14:textId="77777777" w:rsidR="009E77D8" w:rsidRPr="009E77D8" w:rsidRDefault="009E77D8" w:rsidP="009E77D8">
      <w:pPr>
        <w:ind w:firstLine="720"/>
        <w:jc w:val="both"/>
        <w:rPr>
          <w:rFonts w:ascii="Times" w:eastAsia="Times" w:hAnsi="Times" w:cs="Times"/>
          <w:color w:val="202124"/>
        </w:rPr>
      </w:pPr>
      <w:r w:rsidRPr="009E77D8">
        <w:rPr>
          <w:rFonts w:ascii="Times" w:eastAsia="Times" w:hAnsi="Times" w:cs="Times"/>
          <w:color w:val="202124"/>
        </w:rPr>
        <w:lastRenderedPageBreak/>
        <w:t xml:space="preserve">Income classification in Malaysia segregates the population into three classes, namely, B40, M40 and T20. B40, M40 and T20 represent the percentage of the country's population of the Bottom 40%, Middle 40% and Top 20%, respectively, which represent the proportion of the total income households in Malaysia (Mahdzan et al., 2020). The income group base on the country's GDP; the value is not fixed and may increase or decrease year-buy-year. The threshold value for the income classification based on the 2019 DOSM Household Income and Basic Amenities (HIS/BA) survey 2019 are (1) less than RM4,850 for B40, (2) between RM4,850 to RM10,959 for M40 and (3) more than RM10,95 for T20 (DOSM, 2022). </w:t>
      </w:r>
    </w:p>
    <w:p w14:paraId="3FD5C398" w14:textId="2E7D6FAE" w:rsidR="009E77D8" w:rsidRDefault="009E77D8" w:rsidP="009E77D8">
      <w:pPr>
        <w:ind w:firstLine="720"/>
        <w:jc w:val="both"/>
        <w:rPr>
          <w:rFonts w:ascii="Times" w:eastAsia="Times" w:hAnsi="Times" w:cs="Times"/>
          <w:color w:val="202124"/>
        </w:rPr>
      </w:pPr>
      <w:r w:rsidRPr="009E77D8">
        <w:rPr>
          <w:rFonts w:ascii="Times" w:eastAsia="Times" w:hAnsi="Times" w:cs="Times"/>
          <w:color w:val="202124"/>
        </w:rPr>
        <w:t>The financial Well Being Index (FWBI) was calculated to provide a better scenario of the financial well-being of Malaysian households and to address the discrepancy in the current MWI (objective measure) and MFWBI (subjective measure) (Prawitz et al., 2006). Mahdzan et al. (2020) have discovered that B40 households held the lowest value of FWBI which is 37.37. Next, M40 households reported FWBI of 46.11 and lastly, T20 households have the highest score of FWBI which is 58.67. The value of FWBI for the three groups respectively displayed that the B40 group has low financial well-being levels that can lead to financial instability. Furthermore, the M40 group holds a decent FWBI value. Shockingly, T20 groups are in a moderately higher place than the M40 households where individuals with high income also have an average level of financial well-being and average financial distress.</w:t>
      </w:r>
    </w:p>
    <w:p w14:paraId="79DC7082" w14:textId="77777777" w:rsidR="009E77D8" w:rsidRDefault="009E77D8" w:rsidP="009E77D8">
      <w:pPr>
        <w:jc w:val="both"/>
      </w:pPr>
    </w:p>
    <w:p w14:paraId="09C4C811" w14:textId="77777777" w:rsidR="00011399" w:rsidRDefault="00B67BAF">
      <w:pPr>
        <w:rPr>
          <w:b/>
        </w:rPr>
      </w:pPr>
      <w:r>
        <w:rPr>
          <w:b/>
        </w:rPr>
        <w:t>Methodology</w:t>
      </w:r>
    </w:p>
    <w:p w14:paraId="69061FE4" w14:textId="1AFC72FC" w:rsidR="009E77D8" w:rsidRDefault="009E77D8">
      <w:pPr>
        <w:jc w:val="both"/>
        <w:rPr>
          <w:rFonts w:ascii="Times" w:eastAsia="Times" w:hAnsi="Times" w:cs="Times"/>
          <w:color w:val="202124"/>
        </w:rPr>
      </w:pPr>
      <w:r w:rsidRPr="009E77D8">
        <w:rPr>
          <w:rFonts w:ascii="Times" w:eastAsia="Times" w:hAnsi="Times" w:cs="Times"/>
          <w:color w:val="202124"/>
        </w:rPr>
        <w:t>Due to the COVID-19 pandemic, distributing the questionnaire to the respondents in person is hard as Standard Operation Procedure (SOP) must be practiced daily. Thus, convenience sampling was applied to gain a sample representing the captive audience. In addition, 265 respondents across Malaysia successfully answered the questionnaire distributed within a month. This study uses a cross-sectional design, where the sample information was collected using an online survey. For the research instrument, the demographic profile question mainly referred to an article by Mokhtar and Abd Rahim (2016), and for financial well-being question was obtained from Bureau (2015).</w:t>
      </w:r>
    </w:p>
    <w:p w14:paraId="4FE1BC16" w14:textId="77777777" w:rsidR="009E77D8" w:rsidRPr="009E77D8" w:rsidRDefault="009E77D8" w:rsidP="009E77D8">
      <w:pPr>
        <w:ind w:firstLine="720"/>
        <w:jc w:val="both"/>
        <w:rPr>
          <w:rFonts w:ascii="Times" w:eastAsia="Times" w:hAnsi="Times" w:cs="Times"/>
        </w:rPr>
      </w:pPr>
      <w:r w:rsidRPr="009E77D8">
        <w:rPr>
          <w:rFonts w:ascii="Times" w:eastAsia="Times" w:hAnsi="Times" w:cs="Times"/>
        </w:rPr>
        <w:t xml:space="preserve">Analysis of Variance (ANOVA) compares individual financial well-being in Malaysia between income classifications. As Alexopoulos (2010) stated, an ANOVA table can describe the significance of survey or experiment findings. Three assumptions must be fulfill before the ANOVA test, namely, (1) the population must be normally distributed, (2) populations have equal variances, and (3) the sample are independent. </w:t>
      </w:r>
    </w:p>
    <w:p w14:paraId="21F97F35" w14:textId="77777777" w:rsidR="009E77D8" w:rsidRPr="009E77D8" w:rsidRDefault="009E77D8" w:rsidP="009E77D8">
      <w:pPr>
        <w:ind w:firstLine="720"/>
        <w:jc w:val="both"/>
        <w:rPr>
          <w:rFonts w:ascii="Times" w:eastAsia="Times" w:hAnsi="Times" w:cs="Times"/>
        </w:rPr>
      </w:pPr>
      <w:r w:rsidRPr="009E77D8">
        <w:rPr>
          <w:rFonts w:ascii="Times" w:eastAsia="Times" w:hAnsi="Times" w:cs="Times"/>
        </w:rPr>
        <w:t xml:space="preserve">However, if the assumption is not fulfilled, Kruskal-Wallis test is an alternative to ANOVA. According to Ostertagova et al. (2014), Kruskal-Wallis test can be used to compare more than two independent samples and is an adequate substitute for one-way analysis of variance. Non-parametric ANOVA makes no assumptions about the normality of random error, but it does require random error independence. </w:t>
      </w:r>
    </w:p>
    <w:p w14:paraId="14F09C74" w14:textId="7B91E2ED" w:rsidR="009E77D8" w:rsidRDefault="009E77D8" w:rsidP="009E77D8">
      <w:pPr>
        <w:jc w:val="both"/>
        <w:rPr>
          <w:rFonts w:ascii="Times" w:eastAsia="Times" w:hAnsi="Times" w:cs="Times"/>
        </w:rPr>
      </w:pPr>
      <w:r w:rsidRPr="009E77D8">
        <w:rPr>
          <w:rFonts w:ascii="Times" w:eastAsia="Times" w:hAnsi="Times" w:cs="Times"/>
        </w:rPr>
        <w:t>In addition, further analysis is needed to see if there is a significant difference between the group. For example, Post Hoc Pairwise Comparison test were one of the most recommended tests to identify which group significantly differed from the other group.</w:t>
      </w:r>
    </w:p>
    <w:p w14:paraId="051C9416" w14:textId="77777777" w:rsidR="009E77D8" w:rsidRDefault="009E77D8">
      <w:pPr>
        <w:rPr>
          <w:b/>
        </w:rPr>
      </w:pPr>
    </w:p>
    <w:p w14:paraId="7204183B" w14:textId="26BB93A9" w:rsidR="00011399" w:rsidRDefault="00B67BAF">
      <w:pPr>
        <w:rPr>
          <w:b/>
        </w:rPr>
      </w:pPr>
      <w:r>
        <w:rPr>
          <w:b/>
        </w:rPr>
        <w:t>The Findings</w:t>
      </w:r>
    </w:p>
    <w:p w14:paraId="4D5CF508" w14:textId="77777777" w:rsidR="009E77D8" w:rsidRPr="009E77D8" w:rsidRDefault="009E77D8" w:rsidP="009E77D8">
      <w:pPr>
        <w:jc w:val="both"/>
        <w:rPr>
          <w:b/>
          <w:bCs/>
          <w:i/>
          <w:iCs/>
          <w:lang w:val="en-US"/>
        </w:rPr>
      </w:pPr>
      <w:r w:rsidRPr="009E77D8">
        <w:rPr>
          <w:b/>
          <w:bCs/>
          <w:i/>
          <w:iCs/>
          <w:lang w:val="en-US"/>
        </w:rPr>
        <w:t>Respondent profile</w:t>
      </w:r>
    </w:p>
    <w:p w14:paraId="2EF4A98B" w14:textId="77777777" w:rsidR="009E77D8" w:rsidRPr="009E77D8" w:rsidRDefault="009E77D8" w:rsidP="009E77D8">
      <w:pPr>
        <w:jc w:val="both"/>
        <w:rPr>
          <w:bCs/>
          <w:lang w:val="en-US"/>
        </w:rPr>
      </w:pPr>
      <w:r w:rsidRPr="009E77D8">
        <w:rPr>
          <w:bCs/>
          <w:lang w:val="en-US"/>
        </w:rPr>
        <w:t xml:space="preserve">Descriptive statistics were performed to identify the respondent distribution by demographic profile as shown in Table 1. More than 65% respondent were female, and 52.5% of all respondents were married. The majority of the respondents were Malay (94%) followed by Bumiputera (3.8%). For the respondents’ highest education level, more than 60% of the respondents had Bachelor degrees or higher. More than half (55.1%) of the respondents were working in the private sector, followed by the government sector (34.3%). Interestingly, among the respondents that participated in the study, three of them were retired and one was unemployed. As for respondent distribution based on the income class, 48.3% was from B40 and followed by M40 and T20 which is 30.9% and 20.8% respectively. </w:t>
      </w:r>
    </w:p>
    <w:p w14:paraId="7B190266" w14:textId="77777777" w:rsidR="009E77D8" w:rsidRDefault="009E77D8" w:rsidP="009E77D8">
      <w:pPr>
        <w:jc w:val="both"/>
        <w:rPr>
          <w:b/>
          <w:bCs/>
          <w:i/>
          <w:iCs/>
          <w:lang w:val="en-US"/>
        </w:rPr>
      </w:pPr>
    </w:p>
    <w:p w14:paraId="583E4539" w14:textId="77777777" w:rsidR="009E77D8" w:rsidRDefault="009E77D8" w:rsidP="009E77D8">
      <w:pPr>
        <w:jc w:val="both"/>
        <w:rPr>
          <w:b/>
          <w:bCs/>
          <w:i/>
          <w:iCs/>
          <w:lang w:val="en-US"/>
        </w:rPr>
      </w:pPr>
    </w:p>
    <w:p w14:paraId="5B10137B" w14:textId="77777777" w:rsidR="009E77D8" w:rsidRDefault="009E77D8" w:rsidP="009E77D8">
      <w:pPr>
        <w:jc w:val="both"/>
        <w:rPr>
          <w:b/>
          <w:bCs/>
          <w:i/>
          <w:iCs/>
          <w:lang w:val="en-US"/>
        </w:rPr>
      </w:pPr>
    </w:p>
    <w:p w14:paraId="246C7E02" w14:textId="77777777" w:rsidR="009E77D8" w:rsidRDefault="009E77D8" w:rsidP="009E77D8">
      <w:pPr>
        <w:jc w:val="both"/>
        <w:rPr>
          <w:b/>
          <w:bCs/>
          <w:i/>
          <w:iCs/>
          <w:lang w:val="en-US"/>
        </w:rPr>
      </w:pPr>
    </w:p>
    <w:p w14:paraId="797442A5" w14:textId="77777777" w:rsidR="007E2298" w:rsidRPr="009E77D8" w:rsidRDefault="007E2298" w:rsidP="009E77D8">
      <w:pPr>
        <w:jc w:val="both"/>
        <w:rPr>
          <w:b/>
          <w:bCs/>
          <w:i/>
          <w:iCs/>
          <w:lang w:val="en-US"/>
        </w:rPr>
      </w:pPr>
    </w:p>
    <w:p w14:paraId="097E1026" w14:textId="77777777" w:rsidR="009E77D8" w:rsidRDefault="009E77D8" w:rsidP="009E77D8">
      <w:pPr>
        <w:jc w:val="center"/>
        <w:rPr>
          <w:bCs/>
          <w:lang w:val="en-US"/>
        </w:rPr>
      </w:pPr>
      <w:r w:rsidRPr="009E77D8">
        <w:rPr>
          <w:bCs/>
          <w:lang w:val="en-US"/>
        </w:rPr>
        <w:t>Table 1: Respondent Distribution by Demographic Profile</w:t>
      </w:r>
    </w:p>
    <w:p w14:paraId="7F66369E" w14:textId="77777777" w:rsidR="009E77D8" w:rsidRPr="009E77D8" w:rsidRDefault="009E77D8" w:rsidP="009E77D8">
      <w:pPr>
        <w:jc w:val="center"/>
        <w:rPr>
          <w:bCs/>
          <w:lang w:val="en-US"/>
        </w:rPr>
      </w:pPr>
    </w:p>
    <w:tbl>
      <w:tblPr>
        <w:tblW w:w="7353" w:type="dxa"/>
        <w:jc w:val="center"/>
        <w:tblLook w:val="04A0" w:firstRow="1" w:lastRow="0" w:firstColumn="1" w:lastColumn="0" w:noHBand="0" w:noVBand="1"/>
      </w:tblPr>
      <w:tblGrid>
        <w:gridCol w:w="2455"/>
        <w:gridCol w:w="240"/>
        <w:gridCol w:w="1814"/>
        <w:gridCol w:w="116"/>
        <w:gridCol w:w="89"/>
        <w:gridCol w:w="1283"/>
        <w:gridCol w:w="68"/>
        <w:gridCol w:w="1224"/>
        <w:gridCol w:w="64"/>
      </w:tblGrid>
      <w:tr w:rsidR="009E77D8" w:rsidRPr="009E77D8" w14:paraId="559B3C62" w14:textId="77777777" w:rsidTr="000A6544">
        <w:trPr>
          <w:trHeight w:val="310"/>
          <w:jc w:val="center"/>
        </w:trPr>
        <w:tc>
          <w:tcPr>
            <w:tcW w:w="2695" w:type="dxa"/>
            <w:gridSpan w:val="2"/>
            <w:tcBorders>
              <w:top w:val="single" w:sz="4" w:space="0" w:color="auto"/>
              <w:left w:val="nil"/>
              <w:bottom w:val="single" w:sz="4" w:space="0" w:color="auto"/>
              <w:right w:val="nil"/>
            </w:tcBorders>
            <w:shd w:val="clear" w:color="auto" w:fill="auto"/>
            <w:noWrap/>
            <w:vAlign w:val="center"/>
            <w:hideMark/>
          </w:tcPr>
          <w:p w14:paraId="443E367B" w14:textId="77777777" w:rsidR="009E77D8" w:rsidRPr="009E77D8" w:rsidRDefault="009E77D8" w:rsidP="009E77D8">
            <w:pPr>
              <w:jc w:val="both"/>
              <w:rPr>
                <w:b/>
                <w:sz w:val="20"/>
                <w:szCs w:val="20"/>
              </w:rPr>
            </w:pPr>
            <w:r w:rsidRPr="009E77D8">
              <w:rPr>
                <w:b/>
                <w:sz w:val="20"/>
                <w:szCs w:val="20"/>
              </w:rPr>
              <w:t>Variables</w:t>
            </w:r>
          </w:p>
        </w:tc>
        <w:tc>
          <w:tcPr>
            <w:tcW w:w="2019" w:type="dxa"/>
            <w:gridSpan w:val="3"/>
            <w:tcBorders>
              <w:top w:val="single" w:sz="4" w:space="0" w:color="auto"/>
              <w:left w:val="nil"/>
              <w:bottom w:val="single" w:sz="4" w:space="0" w:color="auto"/>
              <w:right w:val="nil"/>
            </w:tcBorders>
            <w:shd w:val="clear" w:color="auto" w:fill="auto"/>
            <w:noWrap/>
            <w:vAlign w:val="center"/>
            <w:hideMark/>
          </w:tcPr>
          <w:p w14:paraId="21BCDAC3" w14:textId="77777777" w:rsidR="009E77D8" w:rsidRPr="009E77D8" w:rsidRDefault="009E77D8" w:rsidP="009E77D8">
            <w:pPr>
              <w:jc w:val="both"/>
              <w:rPr>
                <w:b/>
                <w:sz w:val="20"/>
                <w:szCs w:val="20"/>
              </w:rPr>
            </w:pPr>
          </w:p>
        </w:tc>
        <w:tc>
          <w:tcPr>
            <w:tcW w:w="1351" w:type="dxa"/>
            <w:gridSpan w:val="2"/>
            <w:tcBorders>
              <w:top w:val="single" w:sz="4" w:space="0" w:color="auto"/>
              <w:left w:val="nil"/>
              <w:bottom w:val="single" w:sz="4" w:space="0" w:color="auto"/>
              <w:right w:val="nil"/>
            </w:tcBorders>
            <w:shd w:val="clear" w:color="auto" w:fill="auto"/>
            <w:noWrap/>
            <w:vAlign w:val="center"/>
            <w:hideMark/>
          </w:tcPr>
          <w:p w14:paraId="652128A7" w14:textId="77777777" w:rsidR="009E77D8" w:rsidRPr="009E77D8" w:rsidRDefault="009E77D8" w:rsidP="009E77D8">
            <w:pPr>
              <w:jc w:val="both"/>
              <w:rPr>
                <w:b/>
                <w:sz w:val="20"/>
                <w:szCs w:val="20"/>
              </w:rPr>
            </w:pPr>
            <w:r w:rsidRPr="009E77D8">
              <w:rPr>
                <w:b/>
                <w:sz w:val="20"/>
                <w:szCs w:val="20"/>
              </w:rPr>
              <w:t>Frequency</w:t>
            </w:r>
          </w:p>
        </w:tc>
        <w:tc>
          <w:tcPr>
            <w:tcW w:w="1288" w:type="dxa"/>
            <w:gridSpan w:val="2"/>
            <w:tcBorders>
              <w:top w:val="single" w:sz="4" w:space="0" w:color="auto"/>
              <w:left w:val="nil"/>
              <w:bottom w:val="single" w:sz="4" w:space="0" w:color="auto"/>
              <w:right w:val="nil"/>
            </w:tcBorders>
            <w:shd w:val="clear" w:color="auto" w:fill="auto"/>
            <w:noWrap/>
            <w:vAlign w:val="center"/>
            <w:hideMark/>
          </w:tcPr>
          <w:p w14:paraId="44218940" w14:textId="77777777" w:rsidR="009E77D8" w:rsidRPr="009E77D8" w:rsidRDefault="009E77D8" w:rsidP="009E77D8">
            <w:pPr>
              <w:jc w:val="both"/>
              <w:rPr>
                <w:b/>
                <w:i/>
                <w:iCs/>
                <w:sz w:val="20"/>
                <w:szCs w:val="20"/>
              </w:rPr>
            </w:pPr>
            <w:r w:rsidRPr="009E77D8">
              <w:rPr>
                <w:b/>
                <w:i/>
                <w:iCs/>
                <w:sz w:val="20"/>
                <w:szCs w:val="20"/>
              </w:rPr>
              <w:t>%</w:t>
            </w:r>
          </w:p>
        </w:tc>
      </w:tr>
      <w:tr w:rsidR="009E77D8" w:rsidRPr="009E77D8" w14:paraId="75F5E070"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3F68572A" w14:textId="77777777" w:rsidR="009E77D8" w:rsidRPr="009E77D8" w:rsidRDefault="009E77D8" w:rsidP="009E77D8">
            <w:pPr>
              <w:jc w:val="both"/>
              <w:rPr>
                <w:bCs/>
                <w:sz w:val="20"/>
                <w:szCs w:val="20"/>
              </w:rPr>
            </w:pPr>
            <w:r w:rsidRPr="009E77D8">
              <w:rPr>
                <w:bCs/>
                <w:sz w:val="20"/>
                <w:szCs w:val="20"/>
              </w:rPr>
              <w:t>Gender</w:t>
            </w:r>
          </w:p>
        </w:tc>
        <w:tc>
          <w:tcPr>
            <w:tcW w:w="2054" w:type="dxa"/>
            <w:gridSpan w:val="2"/>
            <w:tcBorders>
              <w:top w:val="nil"/>
              <w:left w:val="nil"/>
              <w:bottom w:val="nil"/>
              <w:right w:val="nil"/>
            </w:tcBorders>
            <w:shd w:val="clear" w:color="auto" w:fill="auto"/>
            <w:noWrap/>
            <w:vAlign w:val="center"/>
            <w:hideMark/>
          </w:tcPr>
          <w:p w14:paraId="20E4BEC0" w14:textId="77777777" w:rsidR="009E77D8" w:rsidRPr="009E77D8" w:rsidRDefault="009E77D8" w:rsidP="009E77D8">
            <w:pPr>
              <w:jc w:val="both"/>
              <w:rPr>
                <w:bCs/>
                <w:sz w:val="20"/>
                <w:szCs w:val="20"/>
              </w:rPr>
            </w:pPr>
            <w:r w:rsidRPr="009E77D8">
              <w:rPr>
                <w:bCs/>
                <w:sz w:val="20"/>
                <w:szCs w:val="20"/>
              </w:rPr>
              <w:t>Male</w:t>
            </w:r>
          </w:p>
        </w:tc>
        <w:tc>
          <w:tcPr>
            <w:tcW w:w="1488" w:type="dxa"/>
            <w:gridSpan w:val="3"/>
            <w:tcBorders>
              <w:top w:val="nil"/>
              <w:left w:val="nil"/>
              <w:bottom w:val="nil"/>
              <w:right w:val="nil"/>
            </w:tcBorders>
            <w:shd w:val="clear" w:color="auto" w:fill="auto"/>
            <w:noWrap/>
            <w:vAlign w:val="center"/>
            <w:hideMark/>
          </w:tcPr>
          <w:p w14:paraId="02769316" w14:textId="77777777" w:rsidR="009E77D8" w:rsidRPr="009E77D8" w:rsidRDefault="009E77D8" w:rsidP="009E77D8">
            <w:pPr>
              <w:jc w:val="center"/>
              <w:rPr>
                <w:bCs/>
                <w:sz w:val="20"/>
                <w:szCs w:val="20"/>
              </w:rPr>
            </w:pPr>
            <w:r w:rsidRPr="009E77D8">
              <w:rPr>
                <w:bCs/>
                <w:sz w:val="20"/>
                <w:szCs w:val="20"/>
              </w:rPr>
              <w:t>85</w:t>
            </w:r>
          </w:p>
        </w:tc>
        <w:tc>
          <w:tcPr>
            <w:tcW w:w="1292" w:type="dxa"/>
            <w:gridSpan w:val="2"/>
            <w:tcBorders>
              <w:top w:val="nil"/>
              <w:left w:val="nil"/>
              <w:bottom w:val="nil"/>
              <w:right w:val="nil"/>
            </w:tcBorders>
            <w:shd w:val="clear" w:color="auto" w:fill="auto"/>
            <w:noWrap/>
            <w:vAlign w:val="center"/>
            <w:hideMark/>
          </w:tcPr>
          <w:p w14:paraId="19F56379" w14:textId="77777777" w:rsidR="009E77D8" w:rsidRPr="009E77D8" w:rsidRDefault="009E77D8" w:rsidP="009E77D8">
            <w:pPr>
              <w:jc w:val="center"/>
              <w:rPr>
                <w:bCs/>
                <w:i/>
                <w:iCs/>
                <w:sz w:val="20"/>
                <w:szCs w:val="20"/>
              </w:rPr>
            </w:pPr>
            <w:r w:rsidRPr="009E77D8">
              <w:rPr>
                <w:bCs/>
                <w:i/>
                <w:iCs/>
                <w:sz w:val="20"/>
                <w:szCs w:val="20"/>
              </w:rPr>
              <w:t>32.1</w:t>
            </w:r>
          </w:p>
        </w:tc>
      </w:tr>
      <w:tr w:rsidR="009E77D8" w:rsidRPr="009E77D8" w14:paraId="1A4E33F6"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74B02477" w14:textId="77777777" w:rsidR="009E77D8" w:rsidRPr="009E77D8" w:rsidRDefault="009E77D8" w:rsidP="009E77D8">
            <w:pPr>
              <w:jc w:val="both"/>
              <w:rPr>
                <w:bCs/>
                <w:i/>
                <w:iCs/>
                <w:sz w:val="20"/>
                <w:szCs w:val="20"/>
              </w:rPr>
            </w:pPr>
          </w:p>
        </w:tc>
        <w:tc>
          <w:tcPr>
            <w:tcW w:w="2054" w:type="dxa"/>
            <w:gridSpan w:val="2"/>
            <w:tcBorders>
              <w:top w:val="nil"/>
              <w:left w:val="nil"/>
              <w:bottom w:val="nil"/>
              <w:right w:val="nil"/>
            </w:tcBorders>
            <w:shd w:val="clear" w:color="auto" w:fill="auto"/>
            <w:noWrap/>
            <w:vAlign w:val="center"/>
            <w:hideMark/>
          </w:tcPr>
          <w:p w14:paraId="2473EC22" w14:textId="77777777" w:rsidR="009E77D8" w:rsidRPr="009E77D8" w:rsidRDefault="009E77D8" w:rsidP="009E77D8">
            <w:pPr>
              <w:jc w:val="both"/>
              <w:rPr>
                <w:bCs/>
                <w:sz w:val="20"/>
                <w:szCs w:val="20"/>
              </w:rPr>
            </w:pPr>
            <w:r w:rsidRPr="009E77D8">
              <w:rPr>
                <w:bCs/>
                <w:sz w:val="20"/>
                <w:szCs w:val="20"/>
              </w:rPr>
              <w:t>Female</w:t>
            </w:r>
          </w:p>
        </w:tc>
        <w:tc>
          <w:tcPr>
            <w:tcW w:w="1488" w:type="dxa"/>
            <w:gridSpan w:val="3"/>
            <w:tcBorders>
              <w:top w:val="nil"/>
              <w:left w:val="nil"/>
              <w:bottom w:val="nil"/>
              <w:right w:val="nil"/>
            </w:tcBorders>
            <w:shd w:val="clear" w:color="auto" w:fill="auto"/>
            <w:noWrap/>
            <w:vAlign w:val="center"/>
            <w:hideMark/>
          </w:tcPr>
          <w:p w14:paraId="0E36946B" w14:textId="77777777" w:rsidR="009E77D8" w:rsidRPr="009E77D8" w:rsidRDefault="009E77D8" w:rsidP="009E77D8">
            <w:pPr>
              <w:jc w:val="center"/>
              <w:rPr>
                <w:bCs/>
                <w:sz w:val="20"/>
                <w:szCs w:val="20"/>
              </w:rPr>
            </w:pPr>
            <w:r w:rsidRPr="009E77D8">
              <w:rPr>
                <w:bCs/>
                <w:sz w:val="20"/>
                <w:szCs w:val="20"/>
              </w:rPr>
              <w:t>180</w:t>
            </w:r>
          </w:p>
        </w:tc>
        <w:tc>
          <w:tcPr>
            <w:tcW w:w="1292" w:type="dxa"/>
            <w:gridSpan w:val="2"/>
            <w:tcBorders>
              <w:top w:val="nil"/>
              <w:left w:val="nil"/>
              <w:bottom w:val="nil"/>
              <w:right w:val="nil"/>
            </w:tcBorders>
            <w:shd w:val="clear" w:color="auto" w:fill="auto"/>
            <w:noWrap/>
            <w:vAlign w:val="center"/>
            <w:hideMark/>
          </w:tcPr>
          <w:p w14:paraId="5EE88BF6" w14:textId="77777777" w:rsidR="009E77D8" w:rsidRPr="009E77D8" w:rsidRDefault="009E77D8" w:rsidP="009E77D8">
            <w:pPr>
              <w:jc w:val="center"/>
              <w:rPr>
                <w:bCs/>
                <w:i/>
                <w:iCs/>
                <w:sz w:val="20"/>
                <w:szCs w:val="20"/>
              </w:rPr>
            </w:pPr>
            <w:r w:rsidRPr="009E77D8">
              <w:rPr>
                <w:bCs/>
                <w:i/>
                <w:iCs/>
                <w:sz w:val="20"/>
                <w:szCs w:val="20"/>
              </w:rPr>
              <w:t>67.9</w:t>
            </w:r>
          </w:p>
        </w:tc>
      </w:tr>
      <w:tr w:rsidR="009E77D8" w:rsidRPr="009E77D8" w14:paraId="789D38E0"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452C24CE" w14:textId="77777777" w:rsidR="009E77D8" w:rsidRPr="009E77D8" w:rsidRDefault="009E77D8" w:rsidP="009E77D8">
            <w:pPr>
              <w:jc w:val="both"/>
              <w:rPr>
                <w:bCs/>
                <w:sz w:val="20"/>
                <w:szCs w:val="20"/>
              </w:rPr>
            </w:pPr>
            <w:r w:rsidRPr="009E77D8">
              <w:rPr>
                <w:bCs/>
                <w:sz w:val="20"/>
                <w:szCs w:val="20"/>
              </w:rPr>
              <w:t>Marital Status</w:t>
            </w:r>
          </w:p>
        </w:tc>
        <w:tc>
          <w:tcPr>
            <w:tcW w:w="2054" w:type="dxa"/>
            <w:gridSpan w:val="2"/>
            <w:tcBorders>
              <w:top w:val="nil"/>
              <w:left w:val="nil"/>
              <w:bottom w:val="nil"/>
              <w:right w:val="nil"/>
            </w:tcBorders>
            <w:shd w:val="clear" w:color="auto" w:fill="auto"/>
            <w:noWrap/>
            <w:vAlign w:val="center"/>
            <w:hideMark/>
          </w:tcPr>
          <w:p w14:paraId="498CD4C4" w14:textId="77777777" w:rsidR="009E77D8" w:rsidRPr="009E77D8" w:rsidRDefault="009E77D8" w:rsidP="009E77D8">
            <w:pPr>
              <w:jc w:val="both"/>
              <w:rPr>
                <w:bCs/>
                <w:sz w:val="20"/>
                <w:szCs w:val="20"/>
              </w:rPr>
            </w:pPr>
            <w:r w:rsidRPr="009E77D8">
              <w:rPr>
                <w:bCs/>
                <w:sz w:val="20"/>
                <w:szCs w:val="20"/>
              </w:rPr>
              <w:t>Married</w:t>
            </w:r>
          </w:p>
        </w:tc>
        <w:tc>
          <w:tcPr>
            <w:tcW w:w="1488" w:type="dxa"/>
            <w:gridSpan w:val="3"/>
            <w:tcBorders>
              <w:top w:val="nil"/>
              <w:left w:val="nil"/>
              <w:bottom w:val="nil"/>
              <w:right w:val="nil"/>
            </w:tcBorders>
            <w:shd w:val="clear" w:color="auto" w:fill="auto"/>
            <w:noWrap/>
            <w:vAlign w:val="center"/>
            <w:hideMark/>
          </w:tcPr>
          <w:p w14:paraId="3ACB4C8E" w14:textId="77777777" w:rsidR="009E77D8" w:rsidRPr="009E77D8" w:rsidRDefault="009E77D8" w:rsidP="009E77D8">
            <w:pPr>
              <w:jc w:val="center"/>
              <w:rPr>
                <w:bCs/>
                <w:sz w:val="20"/>
                <w:szCs w:val="20"/>
              </w:rPr>
            </w:pPr>
            <w:r w:rsidRPr="009E77D8">
              <w:rPr>
                <w:bCs/>
                <w:sz w:val="20"/>
                <w:szCs w:val="20"/>
              </w:rPr>
              <w:t>139</w:t>
            </w:r>
          </w:p>
        </w:tc>
        <w:tc>
          <w:tcPr>
            <w:tcW w:w="1292" w:type="dxa"/>
            <w:gridSpan w:val="2"/>
            <w:tcBorders>
              <w:top w:val="nil"/>
              <w:left w:val="nil"/>
              <w:bottom w:val="nil"/>
              <w:right w:val="nil"/>
            </w:tcBorders>
            <w:shd w:val="clear" w:color="auto" w:fill="auto"/>
            <w:noWrap/>
            <w:vAlign w:val="center"/>
            <w:hideMark/>
          </w:tcPr>
          <w:p w14:paraId="2444A5E6" w14:textId="77777777" w:rsidR="009E77D8" w:rsidRPr="009E77D8" w:rsidRDefault="009E77D8" w:rsidP="009E77D8">
            <w:pPr>
              <w:jc w:val="center"/>
              <w:rPr>
                <w:bCs/>
                <w:i/>
                <w:iCs/>
                <w:sz w:val="20"/>
                <w:szCs w:val="20"/>
              </w:rPr>
            </w:pPr>
            <w:r w:rsidRPr="009E77D8">
              <w:rPr>
                <w:bCs/>
                <w:i/>
                <w:iCs/>
                <w:sz w:val="20"/>
                <w:szCs w:val="20"/>
              </w:rPr>
              <w:t>52.5</w:t>
            </w:r>
          </w:p>
        </w:tc>
      </w:tr>
      <w:tr w:rsidR="009E77D8" w:rsidRPr="009E77D8" w14:paraId="61F17755"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429BDECA" w14:textId="77777777" w:rsidR="009E77D8" w:rsidRPr="009E77D8" w:rsidRDefault="009E77D8" w:rsidP="009E77D8">
            <w:pPr>
              <w:jc w:val="both"/>
              <w:rPr>
                <w:bCs/>
                <w:i/>
                <w:iCs/>
                <w:sz w:val="20"/>
                <w:szCs w:val="20"/>
              </w:rPr>
            </w:pPr>
          </w:p>
        </w:tc>
        <w:tc>
          <w:tcPr>
            <w:tcW w:w="2054" w:type="dxa"/>
            <w:gridSpan w:val="2"/>
            <w:tcBorders>
              <w:top w:val="nil"/>
              <w:left w:val="nil"/>
              <w:bottom w:val="nil"/>
              <w:right w:val="nil"/>
            </w:tcBorders>
            <w:shd w:val="clear" w:color="auto" w:fill="auto"/>
            <w:noWrap/>
            <w:vAlign w:val="center"/>
            <w:hideMark/>
          </w:tcPr>
          <w:p w14:paraId="70BEB722" w14:textId="77777777" w:rsidR="009E77D8" w:rsidRPr="009E77D8" w:rsidRDefault="009E77D8" w:rsidP="009E77D8">
            <w:pPr>
              <w:jc w:val="both"/>
              <w:rPr>
                <w:bCs/>
                <w:sz w:val="20"/>
                <w:szCs w:val="20"/>
              </w:rPr>
            </w:pPr>
            <w:r w:rsidRPr="009E77D8">
              <w:rPr>
                <w:bCs/>
                <w:sz w:val="20"/>
                <w:szCs w:val="20"/>
              </w:rPr>
              <w:t>Single</w:t>
            </w:r>
          </w:p>
        </w:tc>
        <w:tc>
          <w:tcPr>
            <w:tcW w:w="1488" w:type="dxa"/>
            <w:gridSpan w:val="3"/>
            <w:tcBorders>
              <w:top w:val="nil"/>
              <w:left w:val="nil"/>
              <w:bottom w:val="nil"/>
              <w:right w:val="nil"/>
            </w:tcBorders>
            <w:shd w:val="clear" w:color="auto" w:fill="auto"/>
            <w:noWrap/>
            <w:vAlign w:val="center"/>
            <w:hideMark/>
          </w:tcPr>
          <w:p w14:paraId="5F8485B1" w14:textId="77777777" w:rsidR="009E77D8" w:rsidRPr="009E77D8" w:rsidRDefault="009E77D8" w:rsidP="009E77D8">
            <w:pPr>
              <w:jc w:val="center"/>
              <w:rPr>
                <w:bCs/>
                <w:sz w:val="20"/>
                <w:szCs w:val="20"/>
              </w:rPr>
            </w:pPr>
            <w:r w:rsidRPr="009E77D8">
              <w:rPr>
                <w:bCs/>
                <w:sz w:val="20"/>
                <w:szCs w:val="20"/>
              </w:rPr>
              <w:t>126</w:t>
            </w:r>
          </w:p>
        </w:tc>
        <w:tc>
          <w:tcPr>
            <w:tcW w:w="1292" w:type="dxa"/>
            <w:gridSpan w:val="2"/>
            <w:tcBorders>
              <w:top w:val="nil"/>
              <w:left w:val="nil"/>
              <w:bottom w:val="nil"/>
              <w:right w:val="nil"/>
            </w:tcBorders>
            <w:shd w:val="clear" w:color="auto" w:fill="auto"/>
            <w:noWrap/>
            <w:vAlign w:val="center"/>
            <w:hideMark/>
          </w:tcPr>
          <w:p w14:paraId="7A09B854" w14:textId="77777777" w:rsidR="009E77D8" w:rsidRPr="009E77D8" w:rsidRDefault="009E77D8" w:rsidP="009E77D8">
            <w:pPr>
              <w:jc w:val="center"/>
              <w:rPr>
                <w:bCs/>
                <w:i/>
                <w:iCs/>
                <w:sz w:val="20"/>
                <w:szCs w:val="20"/>
              </w:rPr>
            </w:pPr>
            <w:r w:rsidRPr="009E77D8">
              <w:rPr>
                <w:bCs/>
                <w:i/>
                <w:iCs/>
                <w:sz w:val="20"/>
                <w:szCs w:val="20"/>
              </w:rPr>
              <w:t>47.5</w:t>
            </w:r>
          </w:p>
        </w:tc>
      </w:tr>
      <w:tr w:rsidR="009E77D8" w:rsidRPr="009E77D8" w14:paraId="63705253"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077BEBCC" w14:textId="77777777" w:rsidR="009E77D8" w:rsidRPr="009E77D8" w:rsidRDefault="009E77D8" w:rsidP="009E77D8">
            <w:pPr>
              <w:jc w:val="both"/>
              <w:rPr>
                <w:bCs/>
                <w:sz w:val="20"/>
                <w:szCs w:val="20"/>
              </w:rPr>
            </w:pPr>
            <w:r w:rsidRPr="009E77D8">
              <w:rPr>
                <w:bCs/>
                <w:sz w:val="20"/>
                <w:szCs w:val="20"/>
              </w:rPr>
              <w:t>Ethnicity</w:t>
            </w:r>
          </w:p>
        </w:tc>
        <w:tc>
          <w:tcPr>
            <w:tcW w:w="2054" w:type="dxa"/>
            <w:gridSpan w:val="2"/>
            <w:tcBorders>
              <w:top w:val="nil"/>
              <w:left w:val="nil"/>
              <w:bottom w:val="nil"/>
              <w:right w:val="nil"/>
            </w:tcBorders>
            <w:shd w:val="clear" w:color="auto" w:fill="auto"/>
            <w:noWrap/>
            <w:vAlign w:val="center"/>
            <w:hideMark/>
          </w:tcPr>
          <w:p w14:paraId="3811A483" w14:textId="77777777" w:rsidR="009E77D8" w:rsidRPr="009E77D8" w:rsidRDefault="009E77D8" w:rsidP="009E77D8">
            <w:pPr>
              <w:jc w:val="both"/>
              <w:rPr>
                <w:bCs/>
                <w:sz w:val="20"/>
                <w:szCs w:val="20"/>
              </w:rPr>
            </w:pPr>
            <w:r w:rsidRPr="009E77D8">
              <w:rPr>
                <w:bCs/>
                <w:sz w:val="20"/>
                <w:szCs w:val="20"/>
              </w:rPr>
              <w:t>Malay</w:t>
            </w:r>
          </w:p>
        </w:tc>
        <w:tc>
          <w:tcPr>
            <w:tcW w:w="1488" w:type="dxa"/>
            <w:gridSpan w:val="3"/>
            <w:tcBorders>
              <w:top w:val="nil"/>
              <w:left w:val="nil"/>
              <w:bottom w:val="nil"/>
              <w:right w:val="nil"/>
            </w:tcBorders>
            <w:shd w:val="clear" w:color="auto" w:fill="auto"/>
            <w:noWrap/>
            <w:vAlign w:val="center"/>
            <w:hideMark/>
          </w:tcPr>
          <w:p w14:paraId="17E1004C" w14:textId="77777777" w:rsidR="009E77D8" w:rsidRPr="009E77D8" w:rsidRDefault="009E77D8" w:rsidP="009E77D8">
            <w:pPr>
              <w:jc w:val="center"/>
              <w:rPr>
                <w:bCs/>
                <w:sz w:val="20"/>
                <w:szCs w:val="20"/>
              </w:rPr>
            </w:pPr>
            <w:r w:rsidRPr="009E77D8">
              <w:rPr>
                <w:bCs/>
                <w:sz w:val="20"/>
                <w:szCs w:val="20"/>
              </w:rPr>
              <w:t>249</w:t>
            </w:r>
          </w:p>
        </w:tc>
        <w:tc>
          <w:tcPr>
            <w:tcW w:w="1292" w:type="dxa"/>
            <w:gridSpan w:val="2"/>
            <w:tcBorders>
              <w:top w:val="nil"/>
              <w:left w:val="nil"/>
              <w:bottom w:val="nil"/>
              <w:right w:val="nil"/>
            </w:tcBorders>
            <w:shd w:val="clear" w:color="auto" w:fill="auto"/>
            <w:noWrap/>
            <w:vAlign w:val="center"/>
            <w:hideMark/>
          </w:tcPr>
          <w:p w14:paraId="2DD51AC2" w14:textId="77777777" w:rsidR="009E77D8" w:rsidRPr="009E77D8" w:rsidRDefault="009E77D8" w:rsidP="009E77D8">
            <w:pPr>
              <w:jc w:val="center"/>
              <w:rPr>
                <w:bCs/>
                <w:i/>
                <w:iCs/>
                <w:sz w:val="20"/>
                <w:szCs w:val="20"/>
              </w:rPr>
            </w:pPr>
            <w:r w:rsidRPr="009E77D8">
              <w:rPr>
                <w:bCs/>
                <w:i/>
                <w:iCs/>
                <w:sz w:val="20"/>
                <w:szCs w:val="20"/>
              </w:rPr>
              <w:t>94</w:t>
            </w:r>
          </w:p>
        </w:tc>
      </w:tr>
      <w:tr w:rsidR="009E77D8" w:rsidRPr="009E77D8" w14:paraId="5DCAF0F6"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67132FCA" w14:textId="77777777" w:rsidR="009E77D8" w:rsidRPr="009E77D8" w:rsidRDefault="009E77D8" w:rsidP="009E77D8">
            <w:pPr>
              <w:jc w:val="both"/>
              <w:rPr>
                <w:bCs/>
                <w:i/>
                <w:iCs/>
                <w:sz w:val="20"/>
                <w:szCs w:val="20"/>
              </w:rPr>
            </w:pPr>
          </w:p>
        </w:tc>
        <w:tc>
          <w:tcPr>
            <w:tcW w:w="2054" w:type="dxa"/>
            <w:gridSpan w:val="2"/>
            <w:tcBorders>
              <w:top w:val="nil"/>
              <w:left w:val="nil"/>
              <w:bottom w:val="nil"/>
              <w:right w:val="nil"/>
            </w:tcBorders>
            <w:shd w:val="clear" w:color="auto" w:fill="auto"/>
            <w:noWrap/>
            <w:vAlign w:val="center"/>
            <w:hideMark/>
          </w:tcPr>
          <w:p w14:paraId="661D38F7" w14:textId="77777777" w:rsidR="009E77D8" w:rsidRPr="009E77D8" w:rsidRDefault="009E77D8" w:rsidP="009E77D8">
            <w:pPr>
              <w:jc w:val="both"/>
              <w:rPr>
                <w:bCs/>
                <w:sz w:val="20"/>
                <w:szCs w:val="20"/>
              </w:rPr>
            </w:pPr>
            <w:r w:rsidRPr="009E77D8">
              <w:rPr>
                <w:bCs/>
                <w:sz w:val="20"/>
                <w:szCs w:val="20"/>
              </w:rPr>
              <w:t>Chinese</w:t>
            </w:r>
          </w:p>
        </w:tc>
        <w:tc>
          <w:tcPr>
            <w:tcW w:w="1488" w:type="dxa"/>
            <w:gridSpan w:val="3"/>
            <w:tcBorders>
              <w:top w:val="nil"/>
              <w:left w:val="nil"/>
              <w:bottom w:val="nil"/>
              <w:right w:val="nil"/>
            </w:tcBorders>
            <w:shd w:val="clear" w:color="auto" w:fill="auto"/>
            <w:noWrap/>
            <w:vAlign w:val="center"/>
            <w:hideMark/>
          </w:tcPr>
          <w:p w14:paraId="0A1F3ABE" w14:textId="77777777" w:rsidR="009E77D8" w:rsidRPr="009E77D8" w:rsidRDefault="009E77D8" w:rsidP="009E77D8">
            <w:pPr>
              <w:jc w:val="center"/>
              <w:rPr>
                <w:bCs/>
                <w:sz w:val="20"/>
                <w:szCs w:val="20"/>
              </w:rPr>
            </w:pPr>
            <w:r w:rsidRPr="009E77D8">
              <w:rPr>
                <w:bCs/>
                <w:sz w:val="20"/>
                <w:szCs w:val="20"/>
              </w:rPr>
              <w:t>4</w:t>
            </w:r>
          </w:p>
        </w:tc>
        <w:tc>
          <w:tcPr>
            <w:tcW w:w="1292" w:type="dxa"/>
            <w:gridSpan w:val="2"/>
            <w:tcBorders>
              <w:top w:val="nil"/>
              <w:left w:val="nil"/>
              <w:bottom w:val="nil"/>
              <w:right w:val="nil"/>
            </w:tcBorders>
            <w:shd w:val="clear" w:color="auto" w:fill="auto"/>
            <w:noWrap/>
            <w:vAlign w:val="center"/>
            <w:hideMark/>
          </w:tcPr>
          <w:p w14:paraId="6B1D4AC9" w14:textId="77777777" w:rsidR="009E77D8" w:rsidRPr="009E77D8" w:rsidRDefault="009E77D8" w:rsidP="009E77D8">
            <w:pPr>
              <w:jc w:val="center"/>
              <w:rPr>
                <w:bCs/>
                <w:i/>
                <w:iCs/>
                <w:sz w:val="20"/>
                <w:szCs w:val="20"/>
              </w:rPr>
            </w:pPr>
            <w:r w:rsidRPr="009E77D8">
              <w:rPr>
                <w:bCs/>
                <w:i/>
                <w:iCs/>
                <w:sz w:val="20"/>
                <w:szCs w:val="20"/>
              </w:rPr>
              <w:t>1.5</w:t>
            </w:r>
          </w:p>
        </w:tc>
      </w:tr>
      <w:tr w:rsidR="009E77D8" w:rsidRPr="009E77D8" w14:paraId="4382EAD1"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4D8AF598" w14:textId="77777777" w:rsidR="009E77D8" w:rsidRPr="009E77D8" w:rsidRDefault="009E77D8" w:rsidP="009E77D8">
            <w:pPr>
              <w:jc w:val="both"/>
              <w:rPr>
                <w:bCs/>
                <w:i/>
                <w:iCs/>
                <w:sz w:val="20"/>
                <w:szCs w:val="20"/>
              </w:rPr>
            </w:pPr>
          </w:p>
        </w:tc>
        <w:tc>
          <w:tcPr>
            <w:tcW w:w="2054" w:type="dxa"/>
            <w:gridSpan w:val="2"/>
            <w:tcBorders>
              <w:top w:val="nil"/>
              <w:left w:val="nil"/>
              <w:bottom w:val="nil"/>
              <w:right w:val="nil"/>
            </w:tcBorders>
            <w:shd w:val="clear" w:color="auto" w:fill="auto"/>
            <w:noWrap/>
            <w:vAlign w:val="center"/>
            <w:hideMark/>
          </w:tcPr>
          <w:p w14:paraId="66FC9518" w14:textId="77777777" w:rsidR="009E77D8" w:rsidRPr="009E77D8" w:rsidRDefault="009E77D8" w:rsidP="009E77D8">
            <w:pPr>
              <w:jc w:val="both"/>
              <w:rPr>
                <w:bCs/>
                <w:sz w:val="20"/>
                <w:szCs w:val="20"/>
              </w:rPr>
            </w:pPr>
            <w:r w:rsidRPr="009E77D8">
              <w:rPr>
                <w:bCs/>
                <w:sz w:val="20"/>
                <w:szCs w:val="20"/>
              </w:rPr>
              <w:t>Indian</w:t>
            </w:r>
          </w:p>
        </w:tc>
        <w:tc>
          <w:tcPr>
            <w:tcW w:w="1488" w:type="dxa"/>
            <w:gridSpan w:val="3"/>
            <w:tcBorders>
              <w:top w:val="nil"/>
              <w:left w:val="nil"/>
              <w:bottom w:val="nil"/>
              <w:right w:val="nil"/>
            </w:tcBorders>
            <w:shd w:val="clear" w:color="auto" w:fill="auto"/>
            <w:noWrap/>
            <w:vAlign w:val="center"/>
            <w:hideMark/>
          </w:tcPr>
          <w:p w14:paraId="02F0A180" w14:textId="77777777" w:rsidR="009E77D8" w:rsidRPr="009E77D8" w:rsidRDefault="009E77D8" w:rsidP="009E77D8">
            <w:pPr>
              <w:jc w:val="center"/>
              <w:rPr>
                <w:bCs/>
                <w:sz w:val="20"/>
                <w:szCs w:val="20"/>
              </w:rPr>
            </w:pPr>
            <w:r w:rsidRPr="009E77D8">
              <w:rPr>
                <w:bCs/>
                <w:sz w:val="20"/>
                <w:szCs w:val="20"/>
              </w:rPr>
              <w:t>2</w:t>
            </w:r>
          </w:p>
        </w:tc>
        <w:tc>
          <w:tcPr>
            <w:tcW w:w="1292" w:type="dxa"/>
            <w:gridSpan w:val="2"/>
            <w:tcBorders>
              <w:top w:val="nil"/>
              <w:left w:val="nil"/>
              <w:bottom w:val="nil"/>
              <w:right w:val="nil"/>
            </w:tcBorders>
            <w:shd w:val="clear" w:color="auto" w:fill="auto"/>
            <w:noWrap/>
            <w:vAlign w:val="center"/>
            <w:hideMark/>
          </w:tcPr>
          <w:p w14:paraId="64704E91" w14:textId="77777777" w:rsidR="009E77D8" w:rsidRPr="009E77D8" w:rsidRDefault="009E77D8" w:rsidP="009E77D8">
            <w:pPr>
              <w:jc w:val="center"/>
              <w:rPr>
                <w:bCs/>
                <w:i/>
                <w:iCs/>
                <w:sz w:val="20"/>
                <w:szCs w:val="20"/>
              </w:rPr>
            </w:pPr>
            <w:r w:rsidRPr="009E77D8">
              <w:rPr>
                <w:bCs/>
                <w:i/>
                <w:iCs/>
                <w:sz w:val="20"/>
                <w:szCs w:val="20"/>
              </w:rPr>
              <w:t>0.8</w:t>
            </w:r>
          </w:p>
        </w:tc>
      </w:tr>
      <w:tr w:rsidR="009E77D8" w:rsidRPr="009E77D8" w14:paraId="7FFB531D"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1077321D" w14:textId="77777777" w:rsidR="009E77D8" w:rsidRPr="009E77D8" w:rsidRDefault="009E77D8" w:rsidP="009E77D8">
            <w:pPr>
              <w:jc w:val="both"/>
              <w:rPr>
                <w:bCs/>
                <w:i/>
                <w:iCs/>
                <w:sz w:val="20"/>
                <w:szCs w:val="20"/>
              </w:rPr>
            </w:pPr>
          </w:p>
        </w:tc>
        <w:tc>
          <w:tcPr>
            <w:tcW w:w="2054" w:type="dxa"/>
            <w:gridSpan w:val="2"/>
            <w:tcBorders>
              <w:top w:val="nil"/>
              <w:left w:val="nil"/>
              <w:bottom w:val="nil"/>
              <w:right w:val="nil"/>
            </w:tcBorders>
            <w:shd w:val="clear" w:color="auto" w:fill="auto"/>
            <w:noWrap/>
            <w:vAlign w:val="center"/>
            <w:hideMark/>
          </w:tcPr>
          <w:p w14:paraId="47CA4260" w14:textId="77777777" w:rsidR="009E77D8" w:rsidRPr="009E77D8" w:rsidRDefault="009E77D8" w:rsidP="009E77D8">
            <w:pPr>
              <w:jc w:val="both"/>
              <w:rPr>
                <w:bCs/>
                <w:sz w:val="20"/>
                <w:szCs w:val="20"/>
              </w:rPr>
            </w:pPr>
            <w:r w:rsidRPr="009E77D8">
              <w:rPr>
                <w:bCs/>
                <w:sz w:val="20"/>
                <w:szCs w:val="20"/>
              </w:rPr>
              <w:t>Bumiputera</w:t>
            </w:r>
          </w:p>
        </w:tc>
        <w:tc>
          <w:tcPr>
            <w:tcW w:w="1488" w:type="dxa"/>
            <w:gridSpan w:val="3"/>
            <w:tcBorders>
              <w:top w:val="nil"/>
              <w:left w:val="nil"/>
              <w:bottom w:val="nil"/>
              <w:right w:val="nil"/>
            </w:tcBorders>
            <w:shd w:val="clear" w:color="auto" w:fill="auto"/>
            <w:noWrap/>
            <w:vAlign w:val="center"/>
            <w:hideMark/>
          </w:tcPr>
          <w:p w14:paraId="35612D6D" w14:textId="77777777" w:rsidR="009E77D8" w:rsidRPr="009E77D8" w:rsidRDefault="009E77D8" w:rsidP="009E77D8">
            <w:pPr>
              <w:jc w:val="center"/>
              <w:rPr>
                <w:bCs/>
                <w:sz w:val="20"/>
                <w:szCs w:val="20"/>
              </w:rPr>
            </w:pPr>
            <w:r w:rsidRPr="009E77D8">
              <w:rPr>
                <w:bCs/>
                <w:sz w:val="20"/>
                <w:szCs w:val="20"/>
              </w:rPr>
              <w:t>10</w:t>
            </w:r>
          </w:p>
        </w:tc>
        <w:tc>
          <w:tcPr>
            <w:tcW w:w="1292" w:type="dxa"/>
            <w:gridSpan w:val="2"/>
            <w:tcBorders>
              <w:top w:val="nil"/>
              <w:left w:val="nil"/>
              <w:bottom w:val="nil"/>
              <w:right w:val="nil"/>
            </w:tcBorders>
            <w:shd w:val="clear" w:color="auto" w:fill="auto"/>
            <w:noWrap/>
            <w:vAlign w:val="center"/>
            <w:hideMark/>
          </w:tcPr>
          <w:p w14:paraId="6C186C30" w14:textId="77777777" w:rsidR="009E77D8" w:rsidRPr="009E77D8" w:rsidRDefault="009E77D8" w:rsidP="009E77D8">
            <w:pPr>
              <w:jc w:val="center"/>
              <w:rPr>
                <w:bCs/>
                <w:i/>
                <w:iCs/>
                <w:sz w:val="20"/>
                <w:szCs w:val="20"/>
              </w:rPr>
            </w:pPr>
            <w:r w:rsidRPr="009E77D8">
              <w:rPr>
                <w:bCs/>
                <w:i/>
                <w:iCs/>
                <w:sz w:val="20"/>
                <w:szCs w:val="20"/>
              </w:rPr>
              <w:t>3.8</w:t>
            </w:r>
          </w:p>
        </w:tc>
      </w:tr>
      <w:tr w:rsidR="009E77D8" w:rsidRPr="009E77D8" w14:paraId="13A18887"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67B06C1B" w14:textId="77777777" w:rsidR="009E77D8" w:rsidRPr="009E77D8" w:rsidRDefault="009E77D8" w:rsidP="009E77D8">
            <w:pPr>
              <w:jc w:val="both"/>
              <w:rPr>
                <w:bCs/>
                <w:sz w:val="20"/>
                <w:szCs w:val="20"/>
              </w:rPr>
            </w:pPr>
            <w:r w:rsidRPr="009E77D8">
              <w:rPr>
                <w:bCs/>
                <w:sz w:val="20"/>
                <w:szCs w:val="20"/>
              </w:rPr>
              <w:t>Highest Education Level</w:t>
            </w:r>
          </w:p>
        </w:tc>
        <w:tc>
          <w:tcPr>
            <w:tcW w:w="2054" w:type="dxa"/>
            <w:gridSpan w:val="2"/>
            <w:tcBorders>
              <w:top w:val="nil"/>
              <w:left w:val="nil"/>
              <w:bottom w:val="nil"/>
              <w:right w:val="nil"/>
            </w:tcBorders>
            <w:shd w:val="clear" w:color="auto" w:fill="auto"/>
            <w:noWrap/>
            <w:vAlign w:val="center"/>
            <w:hideMark/>
          </w:tcPr>
          <w:p w14:paraId="7630294A" w14:textId="77777777" w:rsidR="009E77D8" w:rsidRPr="009E77D8" w:rsidRDefault="009E77D8" w:rsidP="009E77D8">
            <w:pPr>
              <w:jc w:val="both"/>
              <w:rPr>
                <w:bCs/>
                <w:sz w:val="20"/>
                <w:szCs w:val="20"/>
              </w:rPr>
            </w:pPr>
            <w:r w:rsidRPr="009E77D8">
              <w:rPr>
                <w:bCs/>
                <w:sz w:val="20"/>
                <w:szCs w:val="20"/>
              </w:rPr>
              <w:t>Master/PhD</w:t>
            </w:r>
          </w:p>
        </w:tc>
        <w:tc>
          <w:tcPr>
            <w:tcW w:w="1488" w:type="dxa"/>
            <w:gridSpan w:val="3"/>
            <w:tcBorders>
              <w:top w:val="nil"/>
              <w:left w:val="nil"/>
              <w:bottom w:val="nil"/>
              <w:right w:val="nil"/>
            </w:tcBorders>
            <w:shd w:val="clear" w:color="auto" w:fill="auto"/>
            <w:noWrap/>
            <w:vAlign w:val="center"/>
            <w:hideMark/>
          </w:tcPr>
          <w:p w14:paraId="30ACE1C9" w14:textId="77777777" w:rsidR="009E77D8" w:rsidRPr="009E77D8" w:rsidRDefault="009E77D8" w:rsidP="009E77D8">
            <w:pPr>
              <w:jc w:val="center"/>
              <w:rPr>
                <w:bCs/>
                <w:sz w:val="20"/>
                <w:szCs w:val="20"/>
              </w:rPr>
            </w:pPr>
            <w:r w:rsidRPr="009E77D8">
              <w:rPr>
                <w:bCs/>
                <w:sz w:val="20"/>
                <w:szCs w:val="20"/>
              </w:rPr>
              <w:t>43</w:t>
            </w:r>
          </w:p>
        </w:tc>
        <w:tc>
          <w:tcPr>
            <w:tcW w:w="1292" w:type="dxa"/>
            <w:gridSpan w:val="2"/>
            <w:tcBorders>
              <w:top w:val="nil"/>
              <w:left w:val="nil"/>
              <w:bottom w:val="nil"/>
              <w:right w:val="nil"/>
            </w:tcBorders>
            <w:shd w:val="clear" w:color="auto" w:fill="auto"/>
            <w:noWrap/>
            <w:vAlign w:val="center"/>
            <w:hideMark/>
          </w:tcPr>
          <w:p w14:paraId="735EB70E" w14:textId="77777777" w:rsidR="009E77D8" w:rsidRPr="009E77D8" w:rsidRDefault="009E77D8" w:rsidP="009E77D8">
            <w:pPr>
              <w:jc w:val="center"/>
              <w:rPr>
                <w:bCs/>
                <w:i/>
                <w:iCs/>
                <w:sz w:val="20"/>
                <w:szCs w:val="20"/>
              </w:rPr>
            </w:pPr>
            <w:r w:rsidRPr="009E77D8">
              <w:rPr>
                <w:bCs/>
                <w:i/>
                <w:iCs/>
                <w:sz w:val="20"/>
                <w:szCs w:val="20"/>
              </w:rPr>
              <w:t>16.2</w:t>
            </w:r>
          </w:p>
        </w:tc>
      </w:tr>
      <w:tr w:rsidR="009E77D8" w:rsidRPr="009E77D8" w14:paraId="6DB21BE2"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36FF6102" w14:textId="77777777" w:rsidR="009E77D8" w:rsidRPr="009E77D8" w:rsidRDefault="009E77D8" w:rsidP="009E77D8">
            <w:pPr>
              <w:jc w:val="both"/>
              <w:rPr>
                <w:bCs/>
                <w:i/>
                <w:iCs/>
                <w:sz w:val="20"/>
                <w:szCs w:val="20"/>
              </w:rPr>
            </w:pPr>
          </w:p>
        </w:tc>
        <w:tc>
          <w:tcPr>
            <w:tcW w:w="2054" w:type="dxa"/>
            <w:gridSpan w:val="2"/>
            <w:tcBorders>
              <w:top w:val="nil"/>
              <w:left w:val="nil"/>
              <w:bottom w:val="nil"/>
              <w:right w:val="nil"/>
            </w:tcBorders>
            <w:shd w:val="clear" w:color="auto" w:fill="auto"/>
            <w:noWrap/>
            <w:vAlign w:val="center"/>
            <w:hideMark/>
          </w:tcPr>
          <w:p w14:paraId="7E396BE1" w14:textId="77777777" w:rsidR="009E77D8" w:rsidRPr="009E77D8" w:rsidRDefault="009E77D8" w:rsidP="009E77D8">
            <w:pPr>
              <w:jc w:val="both"/>
              <w:rPr>
                <w:bCs/>
                <w:sz w:val="20"/>
                <w:szCs w:val="20"/>
              </w:rPr>
            </w:pPr>
            <w:r w:rsidRPr="009E77D8">
              <w:rPr>
                <w:bCs/>
                <w:sz w:val="20"/>
                <w:szCs w:val="20"/>
              </w:rPr>
              <w:t>Bachelor’s degree</w:t>
            </w:r>
          </w:p>
        </w:tc>
        <w:tc>
          <w:tcPr>
            <w:tcW w:w="1488" w:type="dxa"/>
            <w:gridSpan w:val="3"/>
            <w:tcBorders>
              <w:top w:val="nil"/>
              <w:left w:val="nil"/>
              <w:bottom w:val="nil"/>
              <w:right w:val="nil"/>
            </w:tcBorders>
            <w:shd w:val="clear" w:color="auto" w:fill="auto"/>
            <w:noWrap/>
            <w:vAlign w:val="center"/>
            <w:hideMark/>
          </w:tcPr>
          <w:p w14:paraId="7BEC94FD" w14:textId="77777777" w:rsidR="009E77D8" w:rsidRPr="009E77D8" w:rsidRDefault="009E77D8" w:rsidP="009E77D8">
            <w:pPr>
              <w:jc w:val="center"/>
              <w:rPr>
                <w:bCs/>
                <w:sz w:val="20"/>
                <w:szCs w:val="20"/>
              </w:rPr>
            </w:pPr>
            <w:r w:rsidRPr="009E77D8">
              <w:rPr>
                <w:bCs/>
                <w:sz w:val="20"/>
                <w:szCs w:val="20"/>
              </w:rPr>
              <w:t>128</w:t>
            </w:r>
          </w:p>
        </w:tc>
        <w:tc>
          <w:tcPr>
            <w:tcW w:w="1292" w:type="dxa"/>
            <w:gridSpan w:val="2"/>
            <w:tcBorders>
              <w:top w:val="nil"/>
              <w:left w:val="nil"/>
              <w:bottom w:val="nil"/>
              <w:right w:val="nil"/>
            </w:tcBorders>
            <w:shd w:val="clear" w:color="auto" w:fill="auto"/>
            <w:noWrap/>
            <w:vAlign w:val="center"/>
            <w:hideMark/>
          </w:tcPr>
          <w:p w14:paraId="3E1CB0A9" w14:textId="77777777" w:rsidR="009E77D8" w:rsidRPr="009E77D8" w:rsidRDefault="009E77D8" w:rsidP="009E77D8">
            <w:pPr>
              <w:jc w:val="center"/>
              <w:rPr>
                <w:bCs/>
                <w:i/>
                <w:iCs/>
                <w:sz w:val="20"/>
                <w:szCs w:val="20"/>
              </w:rPr>
            </w:pPr>
            <w:r w:rsidRPr="009E77D8">
              <w:rPr>
                <w:bCs/>
                <w:i/>
                <w:iCs/>
                <w:sz w:val="20"/>
                <w:szCs w:val="20"/>
              </w:rPr>
              <w:t>48.3</w:t>
            </w:r>
          </w:p>
        </w:tc>
      </w:tr>
      <w:tr w:rsidR="009E77D8" w:rsidRPr="009E77D8" w14:paraId="3C50613C"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64E49ACB" w14:textId="77777777" w:rsidR="009E77D8" w:rsidRPr="009E77D8" w:rsidRDefault="009E77D8" w:rsidP="009E77D8">
            <w:pPr>
              <w:jc w:val="both"/>
              <w:rPr>
                <w:bCs/>
                <w:i/>
                <w:iCs/>
                <w:sz w:val="20"/>
                <w:szCs w:val="20"/>
              </w:rPr>
            </w:pPr>
          </w:p>
        </w:tc>
        <w:tc>
          <w:tcPr>
            <w:tcW w:w="2054" w:type="dxa"/>
            <w:gridSpan w:val="2"/>
            <w:tcBorders>
              <w:top w:val="nil"/>
              <w:left w:val="nil"/>
              <w:bottom w:val="nil"/>
              <w:right w:val="nil"/>
            </w:tcBorders>
            <w:shd w:val="clear" w:color="auto" w:fill="auto"/>
            <w:noWrap/>
            <w:vAlign w:val="center"/>
            <w:hideMark/>
          </w:tcPr>
          <w:p w14:paraId="31135AF4" w14:textId="77777777" w:rsidR="009E77D8" w:rsidRPr="009E77D8" w:rsidRDefault="009E77D8" w:rsidP="009E77D8">
            <w:pPr>
              <w:jc w:val="both"/>
              <w:rPr>
                <w:bCs/>
                <w:sz w:val="20"/>
                <w:szCs w:val="20"/>
              </w:rPr>
            </w:pPr>
            <w:r w:rsidRPr="009E77D8">
              <w:rPr>
                <w:bCs/>
                <w:sz w:val="20"/>
                <w:szCs w:val="20"/>
              </w:rPr>
              <w:t>Diploma level</w:t>
            </w:r>
          </w:p>
        </w:tc>
        <w:tc>
          <w:tcPr>
            <w:tcW w:w="1488" w:type="dxa"/>
            <w:gridSpan w:val="3"/>
            <w:tcBorders>
              <w:top w:val="nil"/>
              <w:left w:val="nil"/>
              <w:bottom w:val="nil"/>
              <w:right w:val="nil"/>
            </w:tcBorders>
            <w:shd w:val="clear" w:color="auto" w:fill="auto"/>
            <w:noWrap/>
            <w:vAlign w:val="center"/>
            <w:hideMark/>
          </w:tcPr>
          <w:p w14:paraId="4E950A1F" w14:textId="77777777" w:rsidR="009E77D8" w:rsidRPr="009E77D8" w:rsidRDefault="009E77D8" w:rsidP="009E77D8">
            <w:pPr>
              <w:jc w:val="center"/>
              <w:rPr>
                <w:bCs/>
                <w:sz w:val="20"/>
                <w:szCs w:val="20"/>
              </w:rPr>
            </w:pPr>
            <w:r w:rsidRPr="009E77D8">
              <w:rPr>
                <w:bCs/>
                <w:sz w:val="20"/>
                <w:szCs w:val="20"/>
              </w:rPr>
              <w:t>45</w:t>
            </w:r>
          </w:p>
        </w:tc>
        <w:tc>
          <w:tcPr>
            <w:tcW w:w="1292" w:type="dxa"/>
            <w:gridSpan w:val="2"/>
            <w:tcBorders>
              <w:top w:val="nil"/>
              <w:left w:val="nil"/>
              <w:bottom w:val="nil"/>
              <w:right w:val="nil"/>
            </w:tcBorders>
            <w:shd w:val="clear" w:color="auto" w:fill="auto"/>
            <w:noWrap/>
            <w:vAlign w:val="center"/>
            <w:hideMark/>
          </w:tcPr>
          <w:p w14:paraId="46B22C0A" w14:textId="77777777" w:rsidR="009E77D8" w:rsidRPr="009E77D8" w:rsidRDefault="009E77D8" w:rsidP="009E77D8">
            <w:pPr>
              <w:jc w:val="center"/>
              <w:rPr>
                <w:bCs/>
                <w:i/>
                <w:iCs/>
                <w:sz w:val="20"/>
                <w:szCs w:val="20"/>
              </w:rPr>
            </w:pPr>
            <w:r w:rsidRPr="009E77D8">
              <w:rPr>
                <w:bCs/>
                <w:i/>
                <w:iCs/>
                <w:sz w:val="20"/>
                <w:szCs w:val="20"/>
              </w:rPr>
              <w:t>17</w:t>
            </w:r>
          </w:p>
        </w:tc>
      </w:tr>
      <w:tr w:rsidR="009E77D8" w:rsidRPr="009E77D8" w14:paraId="4701CE44"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72AF2052" w14:textId="77777777" w:rsidR="009E77D8" w:rsidRPr="009E77D8" w:rsidRDefault="009E77D8" w:rsidP="009E77D8">
            <w:pPr>
              <w:jc w:val="both"/>
              <w:rPr>
                <w:bCs/>
                <w:i/>
                <w:iCs/>
                <w:sz w:val="20"/>
                <w:szCs w:val="20"/>
              </w:rPr>
            </w:pPr>
          </w:p>
        </w:tc>
        <w:tc>
          <w:tcPr>
            <w:tcW w:w="2054" w:type="dxa"/>
            <w:gridSpan w:val="2"/>
            <w:tcBorders>
              <w:top w:val="nil"/>
              <w:left w:val="nil"/>
              <w:bottom w:val="nil"/>
              <w:right w:val="nil"/>
            </w:tcBorders>
            <w:shd w:val="clear" w:color="auto" w:fill="auto"/>
            <w:noWrap/>
            <w:vAlign w:val="center"/>
            <w:hideMark/>
          </w:tcPr>
          <w:p w14:paraId="4377EEB6" w14:textId="77777777" w:rsidR="009E77D8" w:rsidRPr="009E77D8" w:rsidRDefault="009E77D8" w:rsidP="009E77D8">
            <w:pPr>
              <w:jc w:val="both"/>
              <w:rPr>
                <w:bCs/>
                <w:sz w:val="20"/>
                <w:szCs w:val="20"/>
              </w:rPr>
            </w:pPr>
            <w:r w:rsidRPr="009E77D8">
              <w:rPr>
                <w:bCs/>
                <w:sz w:val="20"/>
                <w:szCs w:val="20"/>
              </w:rPr>
              <w:t>Certificate level</w:t>
            </w:r>
          </w:p>
        </w:tc>
        <w:tc>
          <w:tcPr>
            <w:tcW w:w="1488" w:type="dxa"/>
            <w:gridSpan w:val="3"/>
            <w:tcBorders>
              <w:top w:val="nil"/>
              <w:left w:val="nil"/>
              <w:bottom w:val="nil"/>
              <w:right w:val="nil"/>
            </w:tcBorders>
            <w:shd w:val="clear" w:color="auto" w:fill="auto"/>
            <w:noWrap/>
            <w:vAlign w:val="center"/>
            <w:hideMark/>
          </w:tcPr>
          <w:p w14:paraId="6B0D9EF2" w14:textId="77777777" w:rsidR="009E77D8" w:rsidRPr="009E77D8" w:rsidRDefault="009E77D8" w:rsidP="009E77D8">
            <w:pPr>
              <w:jc w:val="center"/>
              <w:rPr>
                <w:bCs/>
                <w:sz w:val="20"/>
                <w:szCs w:val="20"/>
              </w:rPr>
            </w:pPr>
            <w:r w:rsidRPr="009E77D8">
              <w:rPr>
                <w:bCs/>
                <w:sz w:val="20"/>
                <w:szCs w:val="20"/>
              </w:rPr>
              <w:t>10</w:t>
            </w:r>
          </w:p>
        </w:tc>
        <w:tc>
          <w:tcPr>
            <w:tcW w:w="1292" w:type="dxa"/>
            <w:gridSpan w:val="2"/>
            <w:tcBorders>
              <w:top w:val="nil"/>
              <w:left w:val="nil"/>
              <w:bottom w:val="nil"/>
              <w:right w:val="nil"/>
            </w:tcBorders>
            <w:shd w:val="clear" w:color="auto" w:fill="auto"/>
            <w:noWrap/>
            <w:vAlign w:val="center"/>
            <w:hideMark/>
          </w:tcPr>
          <w:p w14:paraId="04979A29" w14:textId="77777777" w:rsidR="009E77D8" w:rsidRPr="009E77D8" w:rsidRDefault="009E77D8" w:rsidP="009E77D8">
            <w:pPr>
              <w:jc w:val="center"/>
              <w:rPr>
                <w:bCs/>
                <w:i/>
                <w:iCs/>
                <w:sz w:val="20"/>
                <w:szCs w:val="20"/>
              </w:rPr>
            </w:pPr>
            <w:r w:rsidRPr="009E77D8">
              <w:rPr>
                <w:bCs/>
                <w:i/>
                <w:iCs/>
                <w:sz w:val="20"/>
                <w:szCs w:val="20"/>
              </w:rPr>
              <w:t>3.8</w:t>
            </w:r>
          </w:p>
        </w:tc>
      </w:tr>
      <w:tr w:rsidR="009E77D8" w:rsidRPr="009E77D8" w14:paraId="4AF9AA17"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2B52E976" w14:textId="77777777" w:rsidR="009E77D8" w:rsidRPr="009E77D8" w:rsidRDefault="009E77D8" w:rsidP="009E77D8">
            <w:pPr>
              <w:jc w:val="both"/>
              <w:rPr>
                <w:bCs/>
                <w:i/>
                <w:iCs/>
                <w:sz w:val="20"/>
                <w:szCs w:val="20"/>
              </w:rPr>
            </w:pPr>
          </w:p>
        </w:tc>
        <w:tc>
          <w:tcPr>
            <w:tcW w:w="2054" w:type="dxa"/>
            <w:gridSpan w:val="2"/>
            <w:tcBorders>
              <w:top w:val="nil"/>
              <w:left w:val="nil"/>
              <w:bottom w:val="nil"/>
              <w:right w:val="nil"/>
            </w:tcBorders>
            <w:shd w:val="clear" w:color="auto" w:fill="auto"/>
            <w:noWrap/>
            <w:vAlign w:val="center"/>
            <w:hideMark/>
          </w:tcPr>
          <w:p w14:paraId="26D316C8" w14:textId="77777777" w:rsidR="009E77D8" w:rsidRPr="009E77D8" w:rsidRDefault="009E77D8" w:rsidP="009E77D8">
            <w:pPr>
              <w:jc w:val="both"/>
              <w:rPr>
                <w:bCs/>
                <w:sz w:val="20"/>
                <w:szCs w:val="20"/>
              </w:rPr>
            </w:pPr>
            <w:r w:rsidRPr="009E77D8">
              <w:rPr>
                <w:bCs/>
                <w:sz w:val="20"/>
                <w:szCs w:val="20"/>
              </w:rPr>
              <w:t>Secondary level</w:t>
            </w:r>
          </w:p>
        </w:tc>
        <w:tc>
          <w:tcPr>
            <w:tcW w:w="1488" w:type="dxa"/>
            <w:gridSpan w:val="3"/>
            <w:tcBorders>
              <w:top w:val="nil"/>
              <w:left w:val="nil"/>
              <w:bottom w:val="nil"/>
              <w:right w:val="nil"/>
            </w:tcBorders>
            <w:shd w:val="clear" w:color="auto" w:fill="auto"/>
            <w:noWrap/>
            <w:vAlign w:val="center"/>
            <w:hideMark/>
          </w:tcPr>
          <w:p w14:paraId="0B1DB201" w14:textId="77777777" w:rsidR="009E77D8" w:rsidRPr="009E77D8" w:rsidRDefault="009E77D8" w:rsidP="009E77D8">
            <w:pPr>
              <w:jc w:val="center"/>
              <w:rPr>
                <w:bCs/>
                <w:sz w:val="20"/>
                <w:szCs w:val="20"/>
              </w:rPr>
            </w:pPr>
            <w:r w:rsidRPr="009E77D8">
              <w:rPr>
                <w:bCs/>
                <w:sz w:val="20"/>
                <w:szCs w:val="20"/>
              </w:rPr>
              <w:t>39</w:t>
            </w:r>
          </w:p>
        </w:tc>
        <w:tc>
          <w:tcPr>
            <w:tcW w:w="1292" w:type="dxa"/>
            <w:gridSpan w:val="2"/>
            <w:tcBorders>
              <w:top w:val="nil"/>
              <w:left w:val="nil"/>
              <w:bottom w:val="nil"/>
              <w:right w:val="nil"/>
            </w:tcBorders>
            <w:shd w:val="clear" w:color="auto" w:fill="auto"/>
            <w:noWrap/>
            <w:vAlign w:val="center"/>
            <w:hideMark/>
          </w:tcPr>
          <w:p w14:paraId="0D427E73" w14:textId="77777777" w:rsidR="009E77D8" w:rsidRPr="009E77D8" w:rsidRDefault="009E77D8" w:rsidP="009E77D8">
            <w:pPr>
              <w:jc w:val="center"/>
              <w:rPr>
                <w:bCs/>
                <w:i/>
                <w:iCs/>
                <w:sz w:val="20"/>
                <w:szCs w:val="20"/>
              </w:rPr>
            </w:pPr>
            <w:r w:rsidRPr="009E77D8">
              <w:rPr>
                <w:bCs/>
                <w:i/>
                <w:iCs/>
                <w:sz w:val="20"/>
                <w:szCs w:val="20"/>
              </w:rPr>
              <w:t>14.7</w:t>
            </w:r>
          </w:p>
        </w:tc>
      </w:tr>
      <w:tr w:rsidR="009E77D8" w:rsidRPr="009E77D8" w14:paraId="374D8D1F"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66FF038D" w14:textId="77777777" w:rsidR="009E77D8" w:rsidRPr="009E77D8" w:rsidRDefault="009E77D8" w:rsidP="009E77D8">
            <w:pPr>
              <w:jc w:val="both"/>
              <w:rPr>
                <w:bCs/>
                <w:sz w:val="20"/>
                <w:szCs w:val="20"/>
              </w:rPr>
            </w:pPr>
            <w:r w:rsidRPr="009E77D8">
              <w:rPr>
                <w:bCs/>
                <w:sz w:val="20"/>
                <w:szCs w:val="20"/>
              </w:rPr>
              <w:t>Job Sector</w:t>
            </w:r>
          </w:p>
        </w:tc>
        <w:tc>
          <w:tcPr>
            <w:tcW w:w="2054" w:type="dxa"/>
            <w:gridSpan w:val="2"/>
            <w:tcBorders>
              <w:top w:val="nil"/>
              <w:left w:val="nil"/>
              <w:bottom w:val="nil"/>
              <w:right w:val="nil"/>
            </w:tcBorders>
            <w:shd w:val="clear" w:color="auto" w:fill="auto"/>
            <w:noWrap/>
            <w:vAlign w:val="center"/>
            <w:hideMark/>
          </w:tcPr>
          <w:p w14:paraId="60383833" w14:textId="77777777" w:rsidR="009E77D8" w:rsidRPr="009E77D8" w:rsidRDefault="009E77D8" w:rsidP="009E77D8">
            <w:pPr>
              <w:jc w:val="both"/>
              <w:rPr>
                <w:bCs/>
                <w:sz w:val="20"/>
                <w:szCs w:val="20"/>
              </w:rPr>
            </w:pPr>
            <w:r w:rsidRPr="009E77D8">
              <w:rPr>
                <w:bCs/>
                <w:sz w:val="20"/>
                <w:szCs w:val="20"/>
              </w:rPr>
              <w:t>Entrepreneur</w:t>
            </w:r>
          </w:p>
        </w:tc>
        <w:tc>
          <w:tcPr>
            <w:tcW w:w="1488" w:type="dxa"/>
            <w:gridSpan w:val="3"/>
            <w:tcBorders>
              <w:top w:val="nil"/>
              <w:left w:val="nil"/>
              <w:bottom w:val="nil"/>
              <w:right w:val="nil"/>
            </w:tcBorders>
            <w:shd w:val="clear" w:color="auto" w:fill="auto"/>
            <w:noWrap/>
            <w:vAlign w:val="center"/>
            <w:hideMark/>
          </w:tcPr>
          <w:p w14:paraId="67D0DFA8" w14:textId="77777777" w:rsidR="009E77D8" w:rsidRPr="009E77D8" w:rsidRDefault="009E77D8" w:rsidP="009E77D8">
            <w:pPr>
              <w:jc w:val="center"/>
              <w:rPr>
                <w:bCs/>
                <w:sz w:val="20"/>
                <w:szCs w:val="20"/>
              </w:rPr>
            </w:pPr>
            <w:r w:rsidRPr="009E77D8">
              <w:rPr>
                <w:bCs/>
                <w:sz w:val="20"/>
                <w:szCs w:val="20"/>
              </w:rPr>
              <w:t>24</w:t>
            </w:r>
          </w:p>
        </w:tc>
        <w:tc>
          <w:tcPr>
            <w:tcW w:w="1292" w:type="dxa"/>
            <w:gridSpan w:val="2"/>
            <w:tcBorders>
              <w:top w:val="nil"/>
              <w:left w:val="nil"/>
              <w:bottom w:val="nil"/>
              <w:right w:val="nil"/>
            </w:tcBorders>
            <w:shd w:val="clear" w:color="auto" w:fill="auto"/>
            <w:noWrap/>
            <w:vAlign w:val="center"/>
            <w:hideMark/>
          </w:tcPr>
          <w:p w14:paraId="532115C8" w14:textId="77777777" w:rsidR="009E77D8" w:rsidRPr="009E77D8" w:rsidRDefault="009E77D8" w:rsidP="009E77D8">
            <w:pPr>
              <w:jc w:val="center"/>
              <w:rPr>
                <w:bCs/>
                <w:i/>
                <w:iCs/>
                <w:sz w:val="20"/>
                <w:szCs w:val="20"/>
              </w:rPr>
            </w:pPr>
            <w:r w:rsidRPr="009E77D8">
              <w:rPr>
                <w:bCs/>
                <w:i/>
                <w:iCs/>
                <w:sz w:val="20"/>
                <w:szCs w:val="20"/>
              </w:rPr>
              <w:t>9.1</w:t>
            </w:r>
          </w:p>
        </w:tc>
      </w:tr>
      <w:tr w:rsidR="009E77D8" w:rsidRPr="009E77D8" w14:paraId="68D087A8"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352BB495" w14:textId="77777777" w:rsidR="009E77D8" w:rsidRPr="009E77D8" w:rsidRDefault="009E77D8" w:rsidP="009E77D8">
            <w:pPr>
              <w:jc w:val="both"/>
              <w:rPr>
                <w:bCs/>
                <w:i/>
                <w:iCs/>
                <w:sz w:val="20"/>
                <w:szCs w:val="20"/>
              </w:rPr>
            </w:pPr>
          </w:p>
        </w:tc>
        <w:tc>
          <w:tcPr>
            <w:tcW w:w="2054" w:type="dxa"/>
            <w:gridSpan w:val="2"/>
            <w:tcBorders>
              <w:top w:val="nil"/>
              <w:left w:val="nil"/>
              <w:bottom w:val="nil"/>
              <w:right w:val="nil"/>
            </w:tcBorders>
            <w:shd w:val="clear" w:color="auto" w:fill="auto"/>
            <w:noWrap/>
            <w:vAlign w:val="center"/>
            <w:hideMark/>
          </w:tcPr>
          <w:p w14:paraId="68BB7531" w14:textId="77777777" w:rsidR="009E77D8" w:rsidRPr="009E77D8" w:rsidRDefault="009E77D8" w:rsidP="009E77D8">
            <w:pPr>
              <w:jc w:val="both"/>
              <w:rPr>
                <w:bCs/>
                <w:sz w:val="20"/>
                <w:szCs w:val="20"/>
              </w:rPr>
            </w:pPr>
            <w:r w:rsidRPr="009E77D8">
              <w:rPr>
                <w:bCs/>
                <w:sz w:val="20"/>
                <w:szCs w:val="20"/>
              </w:rPr>
              <w:t>Government</w:t>
            </w:r>
          </w:p>
        </w:tc>
        <w:tc>
          <w:tcPr>
            <w:tcW w:w="1488" w:type="dxa"/>
            <w:gridSpan w:val="3"/>
            <w:tcBorders>
              <w:top w:val="nil"/>
              <w:left w:val="nil"/>
              <w:bottom w:val="nil"/>
              <w:right w:val="nil"/>
            </w:tcBorders>
            <w:shd w:val="clear" w:color="auto" w:fill="auto"/>
            <w:noWrap/>
            <w:vAlign w:val="center"/>
            <w:hideMark/>
          </w:tcPr>
          <w:p w14:paraId="7A8BDA6C" w14:textId="77777777" w:rsidR="009E77D8" w:rsidRPr="009E77D8" w:rsidRDefault="009E77D8" w:rsidP="009E77D8">
            <w:pPr>
              <w:jc w:val="center"/>
              <w:rPr>
                <w:bCs/>
                <w:sz w:val="20"/>
                <w:szCs w:val="20"/>
              </w:rPr>
            </w:pPr>
            <w:r w:rsidRPr="009E77D8">
              <w:rPr>
                <w:bCs/>
                <w:sz w:val="20"/>
                <w:szCs w:val="20"/>
              </w:rPr>
              <w:t>91</w:t>
            </w:r>
          </w:p>
        </w:tc>
        <w:tc>
          <w:tcPr>
            <w:tcW w:w="1292" w:type="dxa"/>
            <w:gridSpan w:val="2"/>
            <w:tcBorders>
              <w:top w:val="nil"/>
              <w:left w:val="nil"/>
              <w:bottom w:val="nil"/>
              <w:right w:val="nil"/>
            </w:tcBorders>
            <w:shd w:val="clear" w:color="auto" w:fill="auto"/>
            <w:noWrap/>
            <w:vAlign w:val="center"/>
            <w:hideMark/>
          </w:tcPr>
          <w:p w14:paraId="62476A93" w14:textId="77777777" w:rsidR="009E77D8" w:rsidRPr="009E77D8" w:rsidRDefault="009E77D8" w:rsidP="009E77D8">
            <w:pPr>
              <w:jc w:val="center"/>
              <w:rPr>
                <w:bCs/>
                <w:i/>
                <w:iCs/>
                <w:sz w:val="20"/>
                <w:szCs w:val="20"/>
              </w:rPr>
            </w:pPr>
            <w:r w:rsidRPr="009E77D8">
              <w:rPr>
                <w:bCs/>
                <w:i/>
                <w:iCs/>
                <w:sz w:val="20"/>
                <w:szCs w:val="20"/>
              </w:rPr>
              <w:t>34.3</w:t>
            </w:r>
          </w:p>
        </w:tc>
      </w:tr>
      <w:tr w:rsidR="009E77D8" w:rsidRPr="009E77D8" w14:paraId="137061F0"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22F11458" w14:textId="77777777" w:rsidR="009E77D8" w:rsidRPr="009E77D8" w:rsidRDefault="009E77D8" w:rsidP="009E77D8">
            <w:pPr>
              <w:jc w:val="both"/>
              <w:rPr>
                <w:bCs/>
                <w:i/>
                <w:iCs/>
                <w:sz w:val="20"/>
                <w:szCs w:val="20"/>
              </w:rPr>
            </w:pPr>
          </w:p>
        </w:tc>
        <w:tc>
          <w:tcPr>
            <w:tcW w:w="2054" w:type="dxa"/>
            <w:gridSpan w:val="2"/>
            <w:tcBorders>
              <w:top w:val="nil"/>
              <w:left w:val="nil"/>
              <w:bottom w:val="nil"/>
              <w:right w:val="nil"/>
            </w:tcBorders>
            <w:shd w:val="clear" w:color="auto" w:fill="auto"/>
            <w:noWrap/>
            <w:vAlign w:val="center"/>
            <w:hideMark/>
          </w:tcPr>
          <w:p w14:paraId="15A6456B" w14:textId="77777777" w:rsidR="009E77D8" w:rsidRPr="009E77D8" w:rsidRDefault="009E77D8" w:rsidP="009E77D8">
            <w:pPr>
              <w:jc w:val="both"/>
              <w:rPr>
                <w:bCs/>
                <w:sz w:val="20"/>
                <w:szCs w:val="20"/>
              </w:rPr>
            </w:pPr>
            <w:r w:rsidRPr="009E77D8">
              <w:rPr>
                <w:bCs/>
                <w:sz w:val="20"/>
                <w:szCs w:val="20"/>
              </w:rPr>
              <w:t>Private</w:t>
            </w:r>
          </w:p>
        </w:tc>
        <w:tc>
          <w:tcPr>
            <w:tcW w:w="1488" w:type="dxa"/>
            <w:gridSpan w:val="3"/>
            <w:tcBorders>
              <w:top w:val="nil"/>
              <w:left w:val="nil"/>
              <w:bottom w:val="nil"/>
              <w:right w:val="nil"/>
            </w:tcBorders>
            <w:shd w:val="clear" w:color="auto" w:fill="auto"/>
            <w:noWrap/>
            <w:vAlign w:val="center"/>
            <w:hideMark/>
          </w:tcPr>
          <w:p w14:paraId="26C1DE5B" w14:textId="77777777" w:rsidR="009E77D8" w:rsidRPr="009E77D8" w:rsidRDefault="009E77D8" w:rsidP="009E77D8">
            <w:pPr>
              <w:jc w:val="center"/>
              <w:rPr>
                <w:bCs/>
                <w:sz w:val="20"/>
                <w:szCs w:val="20"/>
              </w:rPr>
            </w:pPr>
            <w:r w:rsidRPr="009E77D8">
              <w:rPr>
                <w:bCs/>
                <w:sz w:val="20"/>
                <w:szCs w:val="20"/>
              </w:rPr>
              <w:t>146</w:t>
            </w:r>
          </w:p>
        </w:tc>
        <w:tc>
          <w:tcPr>
            <w:tcW w:w="1292" w:type="dxa"/>
            <w:gridSpan w:val="2"/>
            <w:tcBorders>
              <w:top w:val="nil"/>
              <w:left w:val="nil"/>
              <w:bottom w:val="nil"/>
              <w:right w:val="nil"/>
            </w:tcBorders>
            <w:shd w:val="clear" w:color="auto" w:fill="auto"/>
            <w:noWrap/>
            <w:vAlign w:val="center"/>
            <w:hideMark/>
          </w:tcPr>
          <w:p w14:paraId="767C23A5" w14:textId="77777777" w:rsidR="009E77D8" w:rsidRPr="009E77D8" w:rsidRDefault="009E77D8" w:rsidP="009E77D8">
            <w:pPr>
              <w:jc w:val="center"/>
              <w:rPr>
                <w:bCs/>
                <w:i/>
                <w:iCs/>
                <w:sz w:val="20"/>
                <w:szCs w:val="20"/>
              </w:rPr>
            </w:pPr>
            <w:r w:rsidRPr="009E77D8">
              <w:rPr>
                <w:bCs/>
                <w:i/>
                <w:iCs/>
                <w:sz w:val="20"/>
                <w:szCs w:val="20"/>
              </w:rPr>
              <w:t>55.1</w:t>
            </w:r>
          </w:p>
        </w:tc>
      </w:tr>
      <w:tr w:rsidR="009E77D8" w:rsidRPr="009E77D8" w14:paraId="529AD240"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5969E45D" w14:textId="77777777" w:rsidR="009E77D8" w:rsidRPr="009E77D8" w:rsidRDefault="009E77D8" w:rsidP="009E77D8">
            <w:pPr>
              <w:jc w:val="both"/>
              <w:rPr>
                <w:bCs/>
                <w:i/>
                <w:iCs/>
                <w:sz w:val="20"/>
                <w:szCs w:val="20"/>
              </w:rPr>
            </w:pPr>
          </w:p>
        </w:tc>
        <w:tc>
          <w:tcPr>
            <w:tcW w:w="2054" w:type="dxa"/>
            <w:gridSpan w:val="2"/>
            <w:tcBorders>
              <w:top w:val="nil"/>
              <w:left w:val="nil"/>
              <w:bottom w:val="nil"/>
              <w:right w:val="nil"/>
            </w:tcBorders>
            <w:shd w:val="clear" w:color="auto" w:fill="auto"/>
            <w:noWrap/>
            <w:vAlign w:val="center"/>
            <w:hideMark/>
          </w:tcPr>
          <w:p w14:paraId="4E6ABC1F" w14:textId="77777777" w:rsidR="009E77D8" w:rsidRPr="009E77D8" w:rsidRDefault="009E77D8" w:rsidP="009E77D8">
            <w:pPr>
              <w:jc w:val="both"/>
              <w:rPr>
                <w:bCs/>
                <w:sz w:val="20"/>
                <w:szCs w:val="20"/>
              </w:rPr>
            </w:pPr>
            <w:r w:rsidRPr="009E77D8">
              <w:rPr>
                <w:bCs/>
                <w:sz w:val="20"/>
                <w:szCs w:val="20"/>
              </w:rPr>
              <w:t>Retiree</w:t>
            </w:r>
          </w:p>
        </w:tc>
        <w:tc>
          <w:tcPr>
            <w:tcW w:w="1488" w:type="dxa"/>
            <w:gridSpan w:val="3"/>
            <w:tcBorders>
              <w:top w:val="nil"/>
              <w:left w:val="nil"/>
              <w:bottom w:val="nil"/>
              <w:right w:val="nil"/>
            </w:tcBorders>
            <w:shd w:val="clear" w:color="auto" w:fill="auto"/>
            <w:noWrap/>
            <w:vAlign w:val="center"/>
            <w:hideMark/>
          </w:tcPr>
          <w:p w14:paraId="6FBFC029" w14:textId="77777777" w:rsidR="009E77D8" w:rsidRPr="009E77D8" w:rsidRDefault="009E77D8" w:rsidP="009E77D8">
            <w:pPr>
              <w:jc w:val="center"/>
              <w:rPr>
                <w:bCs/>
                <w:sz w:val="20"/>
                <w:szCs w:val="20"/>
              </w:rPr>
            </w:pPr>
            <w:r w:rsidRPr="009E77D8">
              <w:rPr>
                <w:bCs/>
                <w:sz w:val="20"/>
                <w:szCs w:val="20"/>
              </w:rPr>
              <w:t>3</w:t>
            </w:r>
          </w:p>
        </w:tc>
        <w:tc>
          <w:tcPr>
            <w:tcW w:w="1292" w:type="dxa"/>
            <w:gridSpan w:val="2"/>
            <w:tcBorders>
              <w:top w:val="nil"/>
              <w:left w:val="nil"/>
              <w:bottom w:val="nil"/>
              <w:right w:val="nil"/>
            </w:tcBorders>
            <w:shd w:val="clear" w:color="auto" w:fill="auto"/>
            <w:noWrap/>
            <w:vAlign w:val="center"/>
            <w:hideMark/>
          </w:tcPr>
          <w:p w14:paraId="2A3BC900" w14:textId="77777777" w:rsidR="009E77D8" w:rsidRPr="009E77D8" w:rsidRDefault="009E77D8" w:rsidP="009E77D8">
            <w:pPr>
              <w:jc w:val="center"/>
              <w:rPr>
                <w:bCs/>
                <w:i/>
                <w:iCs/>
                <w:sz w:val="20"/>
                <w:szCs w:val="20"/>
              </w:rPr>
            </w:pPr>
            <w:r w:rsidRPr="009E77D8">
              <w:rPr>
                <w:bCs/>
                <w:i/>
                <w:iCs/>
                <w:sz w:val="20"/>
                <w:szCs w:val="20"/>
              </w:rPr>
              <w:t>1.1</w:t>
            </w:r>
          </w:p>
        </w:tc>
      </w:tr>
      <w:tr w:rsidR="009E77D8" w:rsidRPr="009E77D8" w14:paraId="1C683DC5"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1880C582" w14:textId="77777777" w:rsidR="009E77D8" w:rsidRPr="009E77D8" w:rsidRDefault="009E77D8" w:rsidP="009E77D8">
            <w:pPr>
              <w:jc w:val="both"/>
              <w:rPr>
                <w:bCs/>
                <w:i/>
                <w:iCs/>
                <w:sz w:val="20"/>
                <w:szCs w:val="20"/>
              </w:rPr>
            </w:pPr>
          </w:p>
        </w:tc>
        <w:tc>
          <w:tcPr>
            <w:tcW w:w="2054" w:type="dxa"/>
            <w:gridSpan w:val="2"/>
            <w:tcBorders>
              <w:top w:val="nil"/>
              <w:left w:val="nil"/>
              <w:bottom w:val="nil"/>
              <w:right w:val="nil"/>
            </w:tcBorders>
            <w:shd w:val="clear" w:color="auto" w:fill="auto"/>
            <w:noWrap/>
            <w:vAlign w:val="center"/>
            <w:hideMark/>
          </w:tcPr>
          <w:p w14:paraId="1F25C10E" w14:textId="77777777" w:rsidR="009E77D8" w:rsidRPr="009E77D8" w:rsidRDefault="009E77D8" w:rsidP="009E77D8">
            <w:pPr>
              <w:jc w:val="both"/>
              <w:rPr>
                <w:bCs/>
                <w:sz w:val="20"/>
                <w:szCs w:val="20"/>
              </w:rPr>
            </w:pPr>
            <w:r w:rsidRPr="009E77D8">
              <w:rPr>
                <w:bCs/>
                <w:sz w:val="20"/>
                <w:szCs w:val="20"/>
              </w:rPr>
              <w:t>Unemployed</w:t>
            </w:r>
          </w:p>
        </w:tc>
        <w:tc>
          <w:tcPr>
            <w:tcW w:w="1488" w:type="dxa"/>
            <w:gridSpan w:val="3"/>
            <w:tcBorders>
              <w:top w:val="nil"/>
              <w:left w:val="nil"/>
              <w:bottom w:val="nil"/>
              <w:right w:val="nil"/>
            </w:tcBorders>
            <w:shd w:val="clear" w:color="auto" w:fill="auto"/>
            <w:noWrap/>
            <w:vAlign w:val="center"/>
            <w:hideMark/>
          </w:tcPr>
          <w:p w14:paraId="066BEBBD" w14:textId="77777777" w:rsidR="009E77D8" w:rsidRPr="009E77D8" w:rsidRDefault="009E77D8" w:rsidP="009E77D8">
            <w:pPr>
              <w:jc w:val="center"/>
              <w:rPr>
                <w:bCs/>
                <w:sz w:val="20"/>
                <w:szCs w:val="20"/>
              </w:rPr>
            </w:pPr>
            <w:r w:rsidRPr="009E77D8">
              <w:rPr>
                <w:bCs/>
                <w:sz w:val="20"/>
                <w:szCs w:val="20"/>
              </w:rPr>
              <w:t>1</w:t>
            </w:r>
          </w:p>
        </w:tc>
        <w:tc>
          <w:tcPr>
            <w:tcW w:w="1292" w:type="dxa"/>
            <w:gridSpan w:val="2"/>
            <w:tcBorders>
              <w:top w:val="nil"/>
              <w:left w:val="nil"/>
              <w:bottom w:val="nil"/>
              <w:right w:val="nil"/>
            </w:tcBorders>
            <w:shd w:val="clear" w:color="auto" w:fill="auto"/>
            <w:noWrap/>
            <w:vAlign w:val="center"/>
            <w:hideMark/>
          </w:tcPr>
          <w:p w14:paraId="753F673B" w14:textId="77777777" w:rsidR="009E77D8" w:rsidRPr="009E77D8" w:rsidRDefault="009E77D8" w:rsidP="009E77D8">
            <w:pPr>
              <w:jc w:val="center"/>
              <w:rPr>
                <w:bCs/>
                <w:i/>
                <w:iCs/>
                <w:sz w:val="20"/>
                <w:szCs w:val="20"/>
              </w:rPr>
            </w:pPr>
            <w:r w:rsidRPr="009E77D8">
              <w:rPr>
                <w:bCs/>
                <w:i/>
                <w:iCs/>
                <w:sz w:val="20"/>
                <w:szCs w:val="20"/>
              </w:rPr>
              <w:t>0.4</w:t>
            </w:r>
          </w:p>
        </w:tc>
      </w:tr>
      <w:tr w:rsidR="009E77D8" w:rsidRPr="009E77D8" w14:paraId="13E60BBB"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66166171" w14:textId="77777777" w:rsidR="009E77D8" w:rsidRPr="009E77D8" w:rsidRDefault="009E77D8" w:rsidP="009E77D8">
            <w:pPr>
              <w:jc w:val="both"/>
              <w:rPr>
                <w:bCs/>
                <w:sz w:val="20"/>
                <w:szCs w:val="20"/>
              </w:rPr>
            </w:pPr>
            <w:r w:rsidRPr="009E77D8">
              <w:rPr>
                <w:bCs/>
                <w:sz w:val="20"/>
                <w:szCs w:val="20"/>
              </w:rPr>
              <w:t>Income Class</w:t>
            </w:r>
          </w:p>
        </w:tc>
        <w:tc>
          <w:tcPr>
            <w:tcW w:w="2054" w:type="dxa"/>
            <w:gridSpan w:val="2"/>
            <w:tcBorders>
              <w:top w:val="nil"/>
              <w:left w:val="nil"/>
              <w:bottom w:val="nil"/>
              <w:right w:val="nil"/>
            </w:tcBorders>
            <w:shd w:val="clear" w:color="auto" w:fill="auto"/>
            <w:noWrap/>
            <w:vAlign w:val="center"/>
            <w:hideMark/>
          </w:tcPr>
          <w:p w14:paraId="03A512B5" w14:textId="77777777" w:rsidR="009E77D8" w:rsidRPr="009E77D8" w:rsidRDefault="009E77D8" w:rsidP="009E77D8">
            <w:pPr>
              <w:jc w:val="both"/>
              <w:rPr>
                <w:bCs/>
                <w:sz w:val="20"/>
                <w:szCs w:val="20"/>
              </w:rPr>
            </w:pPr>
            <w:r w:rsidRPr="009E77D8">
              <w:rPr>
                <w:bCs/>
                <w:sz w:val="20"/>
                <w:szCs w:val="20"/>
              </w:rPr>
              <w:t>B40</w:t>
            </w:r>
          </w:p>
        </w:tc>
        <w:tc>
          <w:tcPr>
            <w:tcW w:w="1488" w:type="dxa"/>
            <w:gridSpan w:val="3"/>
            <w:tcBorders>
              <w:top w:val="nil"/>
              <w:left w:val="nil"/>
              <w:bottom w:val="nil"/>
              <w:right w:val="nil"/>
            </w:tcBorders>
            <w:shd w:val="clear" w:color="auto" w:fill="auto"/>
            <w:noWrap/>
            <w:vAlign w:val="center"/>
            <w:hideMark/>
          </w:tcPr>
          <w:p w14:paraId="6ECB5762" w14:textId="77777777" w:rsidR="009E77D8" w:rsidRPr="009E77D8" w:rsidRDefault="009E77D8" w:rsidP="009E77D8">
            <w:pPr>
              <w:jc w:val="center"/>
              <w:rPr>
                <w:bCs/>
                <w:sz w:val="20"/>
                <w:szCs w:val="20"/>
              </w:rPr>
            </w:pPr>
            <w:r w:rsidRPr="009E77D8">
              <w:rPr>
                <w:bCs/>
                <w:sz w:val="20"/>
                <w:szCs w:val="20"/>
              </w:rPr>
              <w:t>128</w:t>
            </w:r>
          </w:p>
        </w:tc>
        <w:tc>
          <w:tcPr>
            <w:tcW w:w="1292" w:type="dxa"/>
            <w:gridSpan w:val="2"/>
            <w:tcBorders>
              <w:top w:val="nil"/>
              <w:left w:val="nil"/>
              <w:bottom w:val="nil"/>
              <w:right w:val="nil"/>
            </w:tcBorders>
            <w:shd w:val="clear" w:color="auto" w:fill="auto"/>
            <w:noWrap/>
            <w:vAlign w:val="center"/>
            <w:hideMark/>
          </w:tcPr>
          <w:p w14:paraId="09E43C32" w14:textId="77777777" w:rsidR="009E77D8" w:rsidRPr="009E77D8" w:rsidRDefault="009E77D8" w:rsidP="009E77D8">
            <w:pPr>
              <w:jc w:val="center"/>
              <w:rPr>
                <w:bCs/>
                <w:i/>
                <w:iCs/>
                <w:sz w:val="20"/>
                <w:szCs w:val="20"/>
              </w:rPr>
            </w:pPr>
            <w:r w:rsidRPr="009E77D8">
              <w:rPr>
                <w:bCs/>
                <w:i/>
                <w:iCs/>
                <w:sz w:val="20"/>
                <w:szCs w:val="20"/>
              </w:rPr>
              <w:t>48.3</w:t>
            </w:r>
          </w:p>
        </w:tc>
      </w:tr>
      <w:tr w:rsidR="009E77D8" w:rsidRPr="009E77D8" w14:paraId="5263C222" w14:textId="77777777" w:rsidTr="000A6544">
        <w:trPr>
          <w:gridAfter w:val="1"/>
          <w:wAfter w:w="64" w:type="dxa"/>
          <w:trHeight w:val="310"/>
          <w:jc w:val="center"/>
        </w:trPr>
        <w:tc>
          <w:tcPr>
            <w:tcW w:w="2455" w:type="dxa"/>
            <w:tcBorders>
              <w:top w:val="nil"/>
              <w:left w:val="nil"/>
              <w:bottom w:val="nil"/>
              <w:right w:val="nil"/>
            </w:tcBorders>
            <w:shd w:val="clear" w:color="auto" w:fill="auto"/>
            <w:noWrap/>
            <w:vAlign w:val="center"/>
            <w:hideMark/>
          </w:tcPr>
          <w:p w14:paraId="7B5CB5EF" w14:textId="77777777" w:rsidR="009E77D8" w:rsidRPr="009E77D8" w:rsidRDefault="009E77D8" w:rsidP="009E77D8">
            <w:pPr>
              <w:jc w:val="both"/>
              <w:rPr>
                <w:bCs/>
                <w:i/>
                <w:iCs/>
                <w:sz w:val="20"/>
                <w:szCs w:val="20"/>
              </w:rPr>
            </w:pPr>
          </w:p>
        </w:tc>
        <w:tc>
          <w:tcPr>
            <w:tcW w:w="2054" w:type="dxa"/>
            <w:gridSpan w:val="2"/>
            <w:tcBorders>
              <w:top w:val="nil"/>
              <w:left w:val="nil"/>
              <w:bottom w:val="nil"/>
              <w:right w:val="nil"/>
            </w:tcBorders>
            <w:shd w:val="clear" w:color="auto" w:fill="auto"/>
            <w:noWrap/>
            <w:vAlign w:val="center"/>
            <w:hideMark/>
          </w:tcPr>
          <w:p w14:paraId="2EBC8A16" w14:textId="77777777" w:rsidR="009E77D8" w:rsidRPr="009E77D8" w:rsidRDefault="009E77D8" w:rsidP="009E77D8">
            <w:pPr>
              <w:jc w:val="both"/>
              <w:rPr>
                <w:bCs/>
                <w:sz w:val="20"/>
                <w:szCs w:val="20"/>
              </w:rPr>
            </w:pPr>
            <w:r w:rsidRPr="009E77D8">
              <w:rPr>
                <w:bCs/>
                <w:sz w:val="20"/>
                <w:szCs w:val="20"/>
              </w:rPr>
              <w:t>M40</w:t>
            </w:r>
          </w:p>
        </w:tc>
        <w:tc>
          <w:tcPr>
            <w:tcW w:w="1488" w:type="dxa"/>
            <w:gridSpan w:val="3"/>
            <w:tcBorders>
              <w:top w:val="nil"/>
              <w:left w:val="nil"/>
              <w:bottom w:val="nil"/>
              <w:right w:val="nil"/>
            </w:tcBorders>
            <w:shd w:val="clear" w:color="auto" w:fill="auto"/>
            <w:noWrap/>
            <w:vAlign w:val="center"/>
            <w:hideMark/>
          </w:tcPr>
          <w:p w14:paraId="120A3600" w14:textId="77777777" w:rsidR="009E77D8" w:rsidRPr="009E77D8" w:rsidRDefault="009E77D8" w:rsidP="009E77D8">
            <w:pPr>
              <w:jc w:val="center"/>
              <w:rPr>
                <w:bCs/>
                <w:sz w:val="20"/>
                <w:szCs w:val="20"/>
              </w:rPr>
            </w:pPr>
            <w:r w:rsidRPr="009E77D8">
              <w:rPr>
                <w:bCs/>
                <w:sz w:val="20"/>
                <w:szCs w:val="20"/>
              </w:rPr>
              <w:t>82</w:t>
            </w:r>
          </w:p>
        </w:tc>
        <w:tc>
          <w:tcPr>
            <w:tcW w:w="1292" w:type="dxa"/>
            <w:gridSpan w:val="2"/>
            <w:tcBorders>
              <w:top w:val="nil"/>
              <w:left w:val="nil"/>
              <w:bottom w:val="nil"/>
              <w:right w:val="nil"/>
            </w:tcBorders>
            <w:shd w:val="clear" w:color="auto" w:fill="auto"/>
            <w:noWrap/>
            <w:vAlign w:val="center"/>
            <w:hideMark/>
          </w:tcPr>
          <w:p w14:paraId="2CC666D5" w14:textId="77777777" w:rsidR="009E77D8" w:rsidRPr="009E77D8" w:rsidRDefault="009E77D8" w:rsidP="009E77D8">
            <w:pPr>
              <w:jc w:val="center"/>
              <w:rPr>
                <w:bCs/>
                <w:i/>
                <w:iCs/>
                <w:sz w:val="20"/>
                <w:szCs w:val="20"/>
              </w:rPr>
            </w:pPr>
            <w:r w:rsidRPr="009E77D8">
              <w:rPr>
                <w:bCs/>
                <w:i/>
                <w:iCs/>
                <w:sz w:val="20"/>
                <w:szCs w:val="20"/>
              </w:rPr>
              <w:t>30.9</w:t>
            </w:r>
          </w:p>
        </w:tc>
      </w:tr>
      <w:tr w:rsidR="009E77D8" w:rsidRPr="009E77D8" w14:paraId="3FE0092E" w14:textId="77777777" w:rsidTr="000A6544">
        <w:trPr>
          <w:trHeight w:val="310"/>
          <w:jc w:val="center"/>
        </w:trPr>
        <w:tc>
          <w:tcPr>
            <w:tcW w:w="2455" w:type="dxa"/>
            <w:tcBorders>
              <w:top w:val="nil"/>
              <w:left w:val="nil"/>
              <w:bottom w:val="nil"/>
              <w:right w:val="nil"/>
            </w:tcBorders>
            <w:shd w:val="clear" w:color="auto" w:fill="auto"/>
            <w:noWrap/>
            <w:vAlign w:val="center"/>
            <w:hideMark/>
          </w:tcPr>
          <w:p w14:paraId="581B7A80" w14:textId="77777777" w:rsidR="009E77D8" w:rsidRPr="009E77D8" w:rsidRDefault="009E77D8" w:rsidP="009E77D8">
            <w:pPr>
              <w:jc w:val="both"/>
              <w:rPr>
                <w:bCs/>
                <w:i/>
                <w:iCs/>
                <w:sz w:val="20"/>
                <w:szCs w:val="20"/>
              </w:rPr>
            </w:pPr>
          </w:p>
        </w:tc>
        <w:tc>
          <w:tcPr>
            <w:tcW w:w="2170" w:type="dxa"/>
            <w:gridSpan w:val="3"/>
            <w:tcBorders>
              <w:top w:val="nil"/>
              <w:left w:val="nil"/>
              <w:bottom w:val="nil"/>
              <w:right w:val="nil"/>
            </w:tcBorders>
            <w:shd w:val="clear" w:color="auto" w:fill="auto"/>
            <w:noWrap/>
            <w:vAlign w:val="center"/>
            <w:hideMark/>
          </w:tcPr>
          <w:p w14:paraId="31376CC6" w14:textId="77777777" w:rsidR="009E77D8" w:rsidRPr="009E77D8" w:rsidRDefault="009E77D8" w:rsidP="009E77D8">
            <w:pPr>
              <w:jc w:val="both"/>
              <w:rPr>
                <w:bCs/>
                <w:sz w:val="20"/>
                <w:szCs w:val="20"/>
              </w:rPr>
            </w:pPr>
            <w:r w:rsidRPr="009E77D8">
              <w:rPr>
                <w:bCs/>
                <w:sz w:val="20"/>
                <w:szCs w:val="20"/>
              </w:rPr>
              <w:t>T20</w:t>
            </w:r>
          </w:p>
        </w:tc>
        <w:tc>
          <w:tcPr>
            <w:tcW w:w="1440" w:type="dxa"/>
            <w:gridSpan w:val="3"/>
            <w:tcBorders>
              <w:top w:val="nil"/>
              <w:left w:val="nil"/>
              <w:bottom w:val="nil"/>
              <w:right w:val="nil"/>
            </w:tcBorders>
            <w:shd w:val="clear" w:color="auto" w:fill="auto"/>
            <w:noWrap/>
            <w:vAlign w:val="center"/>
            <w:hideMark/>
          </w:tcPr>
          <w:p w14:paraId="3654AD77" w14:textId="77777777" w:rsidR="009E77D8" w:rsidRPr="009E77D8" w:rsidRDefault="009E77D8" w:rsidP="009E77D8">
            <w:pPr>
              <w:jc w:val="center"/>
              <w:rPr>
                <w:bCs/>
                <w:sz w:val="20"/>
                <w:szCs w:val="20"/>
              </w:rPr>
            </w:pPr>
            <w:r w:rsidRPr="009E77D8">
              <w:rPr>
                <w:bCs/>
                <w:sz w:val="20"/>
                <w:szCs w:val="20"/>
              </w:rPr>
              <w:t>55</w:t>
            </w:r>
          </w:p>
        </w:tc>
        <w:tc>
          <w:tcPr>
            <w:tcW w:w="1288" w:type="dxa"/>
            <w:gridSpan w:val="2"/>
            <w:tcBorders>
              <w:top w:val="nil"/>
              <w:left w:val="nil"/>
              <w:bottom w:val="nil"/>
              <w:right w:val="nil"/>
            </w:tcBorders>
            <w:shd w:val="clear" w:color="auto" w:fill="auto"/>
            <w:noWrap/>
            <w:vAlign w:val="center"/>
            <w:hideMark/>
          </w:tcPr>
          <w:p w14:paraId="698F7749" w14:textId="77777777" w:rsidR="009E77D8" w:rsidRPr="009E77D8" w:rsidRDefault="009E77D8" w:rsidP="009E77D8">
            <w:pPr>
              <w:jc w:val="center"/>
              <w:rPr>
                <w:bCs/>
                <w:i/>
                <w:iCs/>
                <w:sz w:val="20"/>
                <w:szCs w:val="20"/>
              </w:rPr>
            </w:pPr>
            <w:r w:rsidRPr="009E77D8">
              <w:rPr>
                <w:bCs/>
                <w:i/>
                <w:iCs/>
                <w:sz w:val="20"/>
                <w:szCs w:val="20"/>
              </w:rPr>
              <w:t>20.8</w:t>
            </w:r>
          </w:p>
        </w:tc>
      </w:tr>
      <w:tr w:rsidR="009E77D8" w:rsidRPr="009E77D8" w14:paraId="33EB9AA1" w14:textId="77777777" w:rsidTr="000A6544">
        <w:trPr>
          <w:trHeight w:val="310"/>
          <w:jc w:val="center"/>
        </w:trPr>
        <w:tc>
          <w:tcPr>
            <w:tcW w:w="4714" w:type="dxa"/>
            <w:gridSpan w:val="5"/>
            <w:tcBorders>
              <w:top w:val="single" w:sz="4" w:space="0" w:color="auto"/>
              <w:left w:val="nil"/>
              <w:bottom w:val="single" w:sz="4" w:space="0" w:color="auto"/>
              <w:right w:val="nil"/>
            </w:tcBorders>
            <w:shd w:val="clear" w:color="auto" w:fill="auto"/>
            <w:noWrap/>
            <w:vAlign w:val="center"/>
            <w:hideMark/>
          </w:tcPr>
          <w:p w14:paraId="10CD0580" w14:textId="77777777" w:rsidR="009E77D8" w:rsidRPr="009E77D8" w:rsidRDefault="009E77D8" w:rsidP="009E77D8">
            <w:pPr>
              <w:jc w:val="both"/>
              <w:rPr>
                <w:bCs/>
                <w:sz w:val="20"/>
                <w:szCs w:val="20"/>
              </w:rPr>
            </w:pPr>
            <w:r w:rsidRPr="009E77D8">
              <w:rPr>
                <w:bCs/>
                <w:sz w:val="20"/>
                <w:szCs w:val="20"/>
              </w:rPr>
              <w:t>Total</w:t>
            </w:r>
          </w:p>
        </w:tc>
        <w:tc>
          <w:tcPr>
            <w:tcW w:w="1351" w:type="dxa"/>
            <w:gridSpan w:val="2"/>
            <w:tcBorders>
              <w:top w:val="single" w:sz="4" w:space="0" w:color="auto"/>
              <w:left w:val="nil"/>
              <w:bottom w:val="single" w:sz="4" w:space="0" w:color="auto"/>
              <w:right w:val="nil"/>
            </w:tcBorders>
            <w:shd w:val="clear" w:color="auto" w:fill="auto"/>
            <w:noWrap/>
            <w:vAlign w:val="center"/>
            <w:hideMark/>
          </w:tcPr>
          <w:p w14:paraId="2458C689" w14:textId="77777777" w:rsidR="009E77D8" w:rsidRPr="009E77D8" w:rsidRDefault="009E77D8" w:rsidP="009E77D8">
            <w:pPr>
              <w:jc w:val="center"/>
              <w:rPr>
                <w:bCs/>
                <w:sz w:val="20"/>
                <w:szCs w:val="20"/>
              </w:rPr>
            </w:pPr>
            <w:r w:rsidRPr="009E77D8">
              <w:rPr>
                <w:bCs/>
                <w:sz w:val="20"/>
                <w:szCs w:val="20"/>
              </w:rPr>
              <w:t>265</w:t>
            </w:r>
          </w:p>
        </w:tc>
        <w:tc>
          <w:tcPr>
            <w:tcW w:w="1288" w:type="dxa"/>
            <w:gridSpan w:val="2"/>
            <w:tcBorders>
              <w:top w:val="single" w:sz="4" w:space="0" w:color="auto"/>
              <w:left w:val="nil"/>
              <w:bottom w:val="single" w:sz="4" w:space="0" w:color="auto"/>
              <w:right w:val="nil"/>
            </w:tcBorders>
            <w:shd w:val="clear" w:color="auto" w:fill="auto"/>
            <w:noWrap/>
            <w:vAlign w:val="center"/>
            <w:hideMark/>
          </w:tcPr>
          <w:p w14:paraId="7CC530BC" w14:textId="77777777" w:rsidR="009E77D8" w:rsidRPr="009E77D8" w:rsidRDefault="009E77D8" w:rsidP="009E77D8">
            <w:pPr>
              <w:jc w:val="center"/>
              <w:rPr>
                <w:bCs/>
                <w:i/>
                <w:iCs/>
                <w:sz w:val="20"/>
                <w:szCs w:val="20"/>
              </w:rPr>
            </w:pPr>
            <w:r w:rsidRPr="009E77D8">
              <w:rPr>
                <w:bCs/>
                <w:i/>
                <w:iCs/>
                <w:sz w:val="20"/>
                <w:szCs w:val="20"/>
              </w:rPr>
              <w:t>100</w:t>
            </w:r>
          </w:p>
        </w:tc>
      </w:tr>
    </w:tbl>
    <w:p w14:paraId="7097CF8D" w14:textId="77777777" w:rsidR="009E77D8" w:rsidRPr="009E77D8" w:rsidRDefault="009E77D8" w:rsidP="009E77D8">
      <w:pPr>
        <w:jc w:val="both"/>
        <w:rPr>
          <w:b/>
          <w:bCs/>
          <w:i/>
          <w:iCs/>
          <w:lang w:val="en-US"/>
        </w:rPr>
      </w:pPr>
    </w:p>
    <w:p w14:paraId="0B0255DA" w14:textId="77777777" w:rsidR="009E77D8" w:rsidRPr="009E77D8" w:rsidRDefault="009E77D8" w:rsidP="009E77D8">
      <w:pPr>
        <w:jc w:val="both"/>
        <w:rPr>
          <w:b/>
          <w:bCs/>
          <w:i/>
          <w:iCs/>
          <w:lang w:val="en-US"/>
        </w:rPr>
      </w:pPr>
      <w:r w:rsidRPr="009E77D8">
        <w:rPr>
          <w:b/>
          <w:bCs/>
          <w:i/>
          <w:iCs/>
          <w:lang w:val="en-US"/>
        </w:rPr>
        <w:t>Financial Well-being between Income Classification</w:t>
      </w:r>
    </w:p>
    <w:p w14:paraId="008FEB20" w14:textId="77777777" w:rsidR="009E77D8" w:rsidRPr="009E77D8" w:rsidRDefault="009E77D8" w:rsidP="009E77D8">
      <w:pPr>
        <w:jc w:val="both"/>
        <w:rPr>
          <w:bCs/>
          <w:lang w:val="en-US"/>
        </w:rPr>
      </w:pPr>
      <w:r w:rsidRPr="009E77D8">
        <w:rPr>
          <w:bCs/>
          <w:lang w:val="en-US"/>
        </w:rPr>
        <w:t xml:space="preserve">Table 2 below shows the summary means of financial well-being according to income classification and the whole sample mean. The mean of Malaysian financial well-being is average since the entire sample mean is 53.02. Furthermore, the mean of financial well-being for each income classification is also in an average state, which is B40 is 51.83, M40 is 52.78, and T20 is 56.16. </w:t>
      </w:r>
    </w:p>
    <w:p w14:paraId="2C3BD184" w14:textId="77777777" w:rsidR="009E77D8" w:rsidRPr="009E77D8" w:rsidRDefault="009E77D8" w:rsidP="009E77D8">
      <w:pPr>
        <w:jc w:val="both"/>
        <w:rPr>
          <w:b/>
          <w:lang w:val="en-US"/>
        </w:rPr>
      </w:pPr>
    </w:p>
    <w:p w14:paraId="0DE172D9" w14:textId="77777777" w:rsidR="009E77D8" w:rsidRDefault="009E77D8" w:rsidP="009E77D8">
      <w:pPr>
        <w:jc w:val="center"/>
        <w:rPr>
          <w:bCs/>
          <w:lang w:val="en-US"/>
        </w:rPr>
      </w:pPr>
      <w:r w:rsidRPr="009E77D8">
        <w:rPr>
          <w:bCs/>
          <w:lang w:val="en-US"/>
        </w:rPr>
        <w:t>Table 2: Descriptive Statistics for Financial Well-being for each Income Classification</w:t>
      </w:r>
    </w:p>
    <w:p w14:paraId="6016A92B" w14:textId="77777777" w:rsidR="009E77D8" w:rsidRPr="009E77D8" w:rsidRDefault="009E77D8" w:rsidP="009E77D8">
      <w:pPr>
        <w:jc w:val="center"/>
        <w:rPr>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236"/>
        <w:gridCol w:w="1292"/>
        <w:gridCol w:w="1425"/>
        <w:gridCol w:w="1325"/>
      </w:tblGrid>
      <w:tr w:rsidR="009E77D8" w:rsidRPr="009E77D8" w14:paraId="0EB5D9EC" w14:textId="77777777" w:rsidTr="000A6544">
        <w:trPr>
          <w:jc w:val="center"/>
        </w:trPr>
        <w:tc>
          <w:tcPr>
            <w:tcW w:w="2092" w:type="dxa"/>
            <w:vMerge w:val="restart"/>
            <w:tcBorders>
              <w:left w:val="nil"/>
              <w:right w:val="nil"/>
            </w:tcBorders>
            <w:shd w:val="clear" w:color="auto" w:fill="auto"/>
          </w:tcPr>
          <w:p w14:paraId="1CFFAF29" w14:textId="77777777" w:rsidR="009E77D8" w:rsidRPr="009E77D8" w:rsidRDefault="009E77D8" w:rsidP="009E77D8">
            <w:pPr>
              <w:jc w:val="both"/>
              <w:rPr>
                <w:b/>
                <w:bCs/>
                <w:sz w:val="20"/>
                <w:szCs w:val="20"/>
                <w:lang w:val="en-US"/>
              </w:rPr>
            </w:pPr>
            <w:r w:rsidRPr="009E77D8">
              <w:rPr>
                <w:b/>
                <w:bCs/>
                <w:sz w:val="20"/>
                <w:szCs w:val="20"/>
                <w:lang w:val="en-US"/>
              </w:rPr>
              <w:t>Income</w:t>
            </w:r>
          </w:p>
          <w:p w14:paraId="17EF7C32" w14:textId="77777777" w:rsidR="009E77D8" w:rsidRPr="009E77D8" w:rsidRDefault="009E77D8" w:rsidP="009E77D8">
            <w:pPr>
              <w:jc w:val="both"/>
              <w:rPr>
                <w:b/>
                <w:sz w:val="20"/>
                <w:szCs w:val="20"/>
                <w:lang w:val="en-US"/>
              </w:rPr>
            </w:pPr>
            <w:r w:rsidRPr="009E77D8">
              <w:rPr>
                <w:b/>
                <w:bCs/>
                <w:sz w:val="20"/>
                <w:szCs w:val="20"/>
                <w:lang w:val="en-US"/>
              </w:rPr>
              <w:t>Classification</w:t>
            </w:r>
          </w:p>
        </w:tc>
        <w:tc>
          <w:tcPr>
            <w:tcW w:w="5278" w:type="dxa"/>
            <w:gridSpan w:val="4"/>
            <w:tcBorders>
              <w:left w:val="nil"/>
              <w:bottom w:val="single" w:sz="4" w:space="0" w:color="auto"/>
              <w:right w:val="nil"/>
            </w:tcBorders>
            <w:shd w:val="clear" w:color="auto" w:fill="auto"/>
          </w:tcPr>
          <w:p w14:paraId="597C4026" w14:textId="77777777" w:rsidR="009E77D8" w:rsidRPr="009E77D8" w:rsidRDefault="009E77D8" w:rsidP="009E77D8">
            <w:pPr>
              <w:jc w:val="center"/>
              <w:rPr>
                <w:b/>
                <w:bCs/>
                <w:sz w:val="20"/>
                <w:szCs w:val="20"/>
                <w:lang w:val="en-US"/>
              </w:rPr>
            </w:pPr>
            <w:r w:rsidRPr="009E77D8">
              <w:rPr>
                <w:b/>
                <w:bCs/>
                <w:sz w:val="20"/>
                <w:szCs w:val="20"/>
                <w:lang w:val="en-US"/>
              </w:rPr>
              <w:t>Financial Well-being</w:t>
            </w:r>
          </w:p>
        </w:tc>
      </w:tr>
      <w:tr w:rsidR="009E77D8" w:rsidRPr="009E77D8" w14:paraId="0FCD2789" w14:textId="77777777" w:rsidTr="000A6544">
        <w:trPr>
          <w:jc w:val="center"/>
        </w:trPr>
        <w:tc>
          <w:tcPr>
            <w:tcW w:w="2092" w:type="dxa"/>
            <w:vMerge/>
            <w:tcBorders>
              <w:left w:val="nil"/>
              <w:right w:val="nil"/>
            </w:tcBorders>
            <w:shd w:val="clear" w:color="auto" w:fill="auto"/>
          </w:tcPr>
          <w:p w14:paraId="7175E1F0" w14:textId="77777777" w:rsidR="009E77D8" w:rsidRPr="009E77D8" w:rsidRDefault="009E77D8" w:rsidP="009E77D8">
            <w:pPr>
              <w:jc w:val="both"/>
              <w:rPr>
                <w:b/>
                <w:sz w:val="20"/>
                <w:szCs w:val="20"/>
                <w:lang w:val="en-US"/>
              </w:rPr>
            </w:pPr>
          </w:p>
        </w:tc>
        <w:tc>
          <w:tcPr>
            <w:tcW w:w="1236" w:type="dxa"/>
            <w:tcBorders>
              <w:top w:val="single" w:sz="4" w:space="0" w:color="auto"/>
              <w:left w:val="nil"/>
              <w:right w:val="nil"/>
            </w:tcBorders>
            <w:shd w:val="clear" w:color="auto" w:fill="auto"/>
          </w:tcPr>
          <w:p w14:paraId="52699EA9" w14:textId="77777777" w:rsidR="009E77D8" w:rsidRPr="009E77D8" w:rsidRDefault="009E77D8" w:rsidP="009E77D8">
            <w:pPr>
              <w:jc w:val="center"/>
              <w:rPr>
                <w:b/>
                <w:bCs/>
                <w:sz w:val="20"/>
                <w:szCs w:val="20"/>
                <w:lang w:val="en-US"/>
              </w:rPr>
            </w:pPr>
            <w:r w:rsidRPr="009E77D8">
              <w:rPr>
                <w:b/>
                <w:bCs/>
                <w:sz w:val="20"/>
                <w:szCs w:val="20"/>
                <w:lang w:val="en-US"/>
              </w:rPr>
              <w:t>n</w:t>
            </w:r>
          </w:p>
        </w:tc>
        <w:tc>
          <w:tcPr>
            <w:tcW w:w="1292" w:type="dxa"/>
            <w:tcBorders>
              <w:top w:val="single" w:sz="4" w:space="0" w:color="auto"/>
              <w:left w:val="nil"/>
              <w:right w:val="nil"/>
            </w:tcBorders>
            <w:shd w:val="clear" w:color="auto" w:fill="auto"/>
          </w:tcPr>
          <w:p w14:paraId="38F89795" w14:textId="77777777" w:rsidR="009E77D8" w:rsidRPr="009E77D8" w:rsidRDefault="009E77D8" w:rsidP="009E77D8">
            <w:pPr>
              <w:jc w:val="center"/>
              <w:rPr>
                <w:b/>
                <w:bCs/>
                <w:sz w:val="20"/>
                <w:szCs w:val="20"/>
                <w:lang w:val="en-US"/>
              </w:rPr>
            </w:pPr>
            <w:r w:rsidRPr="009E77D8">
              <w:rPr>
                <w:b/>
                <w:bCs/>
                <w:sz w:val="20"/>
                <w:szCs w:val="20"/>
                <w:lang w:val="en-US"/>
              </w:rPr>
              <w:t>Min</w:t>
            </w:r>
          </w:p>
        </w:tc>
        <w:tc>
          <w:tcPr>
            <w:tcW w:w="1425" w:type="dxa"/>
            <w:tcBorders>
              <w:top w:val="single" w:sz="4" w:space="0" w:color="auto"/>
              <w:left w:val="nil"/>
              <w:right w:val="nil"/>
            </w:tcBorders>
            <w:shd w:val="clear" w:color="auto" w:fill="auto"/>
          </w:tcPr>
          <w:p w14:paraId="33DBEEF8" w14:textId="77777777" w:rsidR="009E77D8" w:rsidRPr="009E77D8" w:rsidRDefault="009E77D8" w:rsidP="009E77D8">
            <w:pPr>
              <w:jc w:val="center"/>
              <w:rPr>
                <w:b/>
                <w:bCs/>
                <w:sz w:val="20"/>
                <w:szCs w:val="20"/>
                <w:lang w:val="en-US"/>
              </w:rPr>
            </w:pPr>
            <w:r w:rsidRPr="009E77D8">
              <w:rPr>
                <w:b/>
                <w:bCs/>
                <w:sz w:val="20"/>
                <w:szCs w:val="20"/>
                <w:lang w:val="en-US"/>
              </w:rPr>
              <w:t>Mean</w:t>
            </w:r>
          </w:p>
        </w:tc>
        <w:tc>
          <w:tcPr>
            <w:tcW w:w="1325" w:type="dxa"/>
            <w:tcBorders>
              <w:top w:val="single" w:sz="4" w:space="0" w:color="auto"/>
              <w:left w:val="nil"/>
              <w:right w:val="nil"/>
            </w:tcBorders>
            <w:shd w:val="clear" w:color="auto" w:fill="auto"/>
          </w:tcPr>
          <w:p w14:paraId="176B70A5" w14:textId="77777777" w:rsidR="009E77D8" w:rsidRPr="009E77D8" w:rsidRDefault="009E77D8" w:rsidP="009E77D8">
            <w:pPr>
              <w:jc w:val="center"/>
              <w:rPr>
                <w:b/>
                <w:bCs/>
                <w:sz w:val="20"/>
                <w:szCs w:val="20"/>
                <w:lang w:val="en-US"/>
              </w:rPr>
            </w:pPr>
            <w:r w:rsidRPr="009E77D8">
              <w:rPr>
                <w:b/>
                <w:bCs/>
                <w:sz w:val="20"/>
                <w:szCs w:val="20"/>
                <w:lang w:val="en-US"/>
              </w:rPr>
              <w:t>Max</w:t>
            </w:r>
          </w:p>
        </w:tc>
      </w:tr>
      <w:tr w:rsidR="009E77D8" w:rsidRPr="009E77D8" w14:paraId="534A2C9F" w14:textId="77777777" w:rsidTr="000A6544">
        <w:trPr>
          <w:jc w:val="center"/>
        </w:trPr>
        <w:tc>
          <w:tcPr>
            <w:tcW w:w="2092" w:type="dxa"/>
            <w:tcBorders>
              <w:left w:val="nil"/>
              <w:right w:val="nil"/>
            </w:tcBorders>
            <w:shd w:val="clear" w:color="auto" w:fill="auto"/>
          </w:tcPr>
          <w:p w14:paraId="4C727215" w14:textId="77777777" w:rsidR="009E77D8" w:rsidRPr="009E77D8" w:rsidRDefault="009E77D8" w:rsidP="009E77D8">
            <w:pPr>
              <w:jc w:val="both"/>
              <w:rPr>
                <w:bCs/>
                <w:sz w:val="20"/>
                <w:szCs w:val="20"/>
                <w:lang w:val="en-US"/>
              </w:rPr>
            </w:pPr>
            <w:r w:rsidRPr="009E77D8">
              <w:rPr>
                <w:bCs/>
                <w:sz w:val="20"/>
                <w:szCs w:val="20"/>
                <w:lang w:val="en-US"/>
              </w:rPr>
              <w:t>B40</w:t>
            </w:r>
          </w:p>
        </w:tc>
        <w:tc>
          <w:tcPr>
            <w:tcW w:w="1236" w:type="dxa"/>
            <w:tcBorders>
              <w:left w:val="nil"/>
              <w:right w:val="nil"/>
            </w:tcBorders>
            <w:shd w:val="clear" w:color="auto" w:fill="auto"/>
          </w:tcPr>
          <w:p w14:paraId="5D8F7C20" w14:textId="77777777" w:rsidR="009E77D8" w:rsidRPr="009E77D8" w:rsidRDefault="009E77D8" w:rsidP="009E77D8">
            <w:pPr>
              <w:jc w:val="center"/>
              <w:rPr>
                <w:bCs/>
                <w:sz w:val="20"/>
                <w:szCs w:val="20"/>
                <w:lang w:val="en-US"/>
              </w:rPr>
            </w:pPr>
            <w:r w:rsidRPr="009E77D8">
              <w:rPr>
                <w:bCs/>
                <w:sz w:val="20"/>
                <w:szCs w:val="20"/>
                <w:lang w:val="en-US"/>
              </w:rPr>
              <w:t>128</w:t>
            </w:r>
          </w:p>
        </w:tc>
        <w:tc>
          <w:tcPr>
            <w:tcW w:w="1292" w:type="dxa"/>
            <w:tcBorders>
              <w:left w:val="nil"/>
              <w:right w:val="nil"/>
            </w:tcBorders>
            <w:shd w:val="clear" w:color="auto" w:fill="auto"/>
          </w:tcPr>
          <w:p w14:paraId="6499B210" w14:textId="77777777" w:rsidR="009E77D8" w:rsidRPr="009E77D8" w:rsidRDefault="009E77D8" w:rsidP="009E77D8">
            <w:pPr>
              <w:jc w:val="center"/>
              <w:rPr>
                <w:bCs/>
                <w:sz w:val="20"/>
                <w:szCs w:val="20"/>
                <w:lang w:val="en-US"/>
              </w:rPr>
            </w:pPr>
            <w:r w:rsidRPr="009E77D8">
              <w:rPr>
                <w:bCs/>
                <w:sz w:val="20"/>
                <w:szCs w:val="20"/>
                <w:lang w:val="en-US"/>
              </w:rPr>
              <w:t>41</w:t>
            </w:r>
          </w:p>
        </w:tc>
        <w:tc>
          <w:tcPr>
            <w:tcW w:w="1425" w:type="dxa"/>
            <w:tcBorders>
              <w:left w:val="nil"/>
              <w:right w:val="nil"/>
            </w:tcBorders>
            <w:shd w:val="clear" w:color="auto" w:fill="auto"/>
          </w:tcPr>
          <w:p w14:paraId="7750F2DD" w14:textId="77777777" w:rsidR="009E77D8" w:rsidRPr="009E77D8" w:rsidRDefault="009E77D8" w:rsidP="009E77D8">
            <w:pPr>
              <w:jc w:val="center"/>
              <w:rPr>
                <w:bCs/>
                <w:sz w:val="20"/>
                <w:szCs w:val="20"/>
                <w:lang w:val="en-US"/>
              </w:rPr>
            </w:pPr>
            <w:r w:rsidRPr="009E77D8">
              <w:rPr>
                <w:bCs/>
                <w:sz w:val="20"/>
                <w:szCs w:val="20"/>
                <w:lang w:val="en-US"/>
              </w:rPr>
              <w:t>51.83</w:t>
            </w:r>
          </w:p>
        </w:tc>
        <w:tc>
          <w:tcPr>
            <w:tcW w:w="1325" w:type="dxa"/>
            <w:tcBorders>
              <w:left w:val="nil"/>
              <w:right w:val="nil"/>
            </w:tcBorders>
            <w:shd w:val="clear" w:color="auto" w:fill="auto"/>
          </w:tcPr>
          <w:p w14:paraId="77820D6E" w14:textId="77777777" w:rsidR="009E77D8" w:rsidRPr="009E77D8" w:rsidRDefault="009E77D8" w:rsidP="009E77D8">
            <w:pPr>
              <w:jc w:val="center"/>
              <w:rPr>
                <w:bCs/>
                <w:sz w:val="20"/>
                <w:szCs w:val="20"/>
                <w:lang w:val="en-US"/>
              </w:rPr>
            </w:pPr>
            <w:r w:rsidRPr="009E77D8">
              <w:rPr>
                <w:bCs/>
                <w:sz w:val="20"/>
                <w:szCs w:val="20"/>
                <w:lang w:val="en-US"/>
              </w:rPr>
              <w:t>63</w:t>
            </w:r>
          </w:p>
        </w:tc>
      </w:tr>
      <w:tr w:rsidR="009E77D8" w:rsidRPr="009E77D8" w14:paraId="293F0AA6" w14:textId="77777777" w:rsidTr="000A6544">
        <w:trPr>
          <w:jc w:val="center"/>
        </w:trPr>
        <w:tc>
          <w:tcPr>
            <w:tcW w:w="2092" w:type="dxa"/>
            <w:tcBorders>
              <w:left w:val="nil"/>
              <w:right w:val="nil"/>
            </w:tcBorders>
            <w:shd w:val="clear" w:color="auto" w:fill="auto"/>
          </w:tcPr>
          <w:p w14:paraId="5F9EACBF" w14:textId="77777777" w:rsidR="009E77D8" w:rsidRPr="009E77D8" w:rsidRDefault="009E77D8" w:rsidP="009E77D8">
            <w:pPr>
              <w:jc w:val="both"/>
              <w:rPr>
                <w:bCs/>
                <w:sz w:val="20"/>
                <w:szCs w:val="20"/>
                <w:lang w:val="en-US"/>
              </w:rPr>
            </w:pPr>
            <w:r w:rsidRPr="009E77D8">
              <w:rPr>
                <w:bCs/>
                <w:sz w:val="20"/>
                <w:szCs w:val="20"/>
                <w:lang w:val="en-US"/>
              </w:rPr>
              <w:t>M40</w:t>
            </w:r>
          </w:p>
        </w:tc>
        <w:tc>
          <w:tcPr>
            <w:tcW w:w="1236" w:type="dxa"/>
            <w:tcBorders>
              <w:left w:val="nil"/>
              <w:right w:val="nil"/>
            </w:tcBorders>
            <w:shd w:val="clear" w:color="auto" w:fill="auto"/>
          </w:tcPr>
          <w:p w14:paraId="6556052F" w14:textId="77777777" w:rsidR="009E77D8" w:rsidRPr="009E77D8" w:rsidRDefault="009E77D8" w:rsidP="009E77D8">
            <w:pPr>
              <w:jc w:val="center"/>
              <w:rPr>
                <w:bCs/>
                <w:sz w:val="20"/>
                <w:szCs w:val="20"/>
                <w:lang w:val="en-US"/>
              </w:rPr>
            </w:pPr>
            <w:r w:rsidRPr="009E77D8">
              <w:rPr>
                <w:bCs/>
                <w:sz w:val="20"/>
                <w:szCs w:val="20"/>
                <w:lang w:val="en-US"/>
              </w:rPr>
              <w:t>82</w:t>
            </w:r>
          </w:p>
        </w:tc>
        <w:tc>
          <w:tcPr>
            <w:tcW w:w="1292" w:type="dxa"/>
            <w:tcBorders>
              <w:left w:val="nil"/>
              <w:right w:val="nil"/>
            </w:tcBorders>
            <w:shd w:val="clear" w:color="auto" w:fill="auto"/>
          </w:tcPr>
          <w:p w14:paraId="3011C832" w14:textId="77777777" w:rsidR="009E77D8" w:rsidRPr="009E77D8" w:rsidRDefault="009E77D8" w:rsidP="009E77D8">
            <w:pPr>
              <w:jc w:val="center"/>
              <w:rPr>
                <w:bCs/>
                <w:sz w:val="20"/>
                <w:szCs w:val="20"/>
                <w:lang w:val="en-US"/>
              </w:rPr>
            </w:pPr>
            <w:r w:rsidRPr="009E77D8">
              <w:rPr>
                <w:bCs/>
                <w:sz w:val="20"/>
                <w:szCs w:val="20"/>
                <w:lang w:val="en-US"/>
              </w:rPr>
              <w:t>41</w:t>
            </w:r>
          </w:p>
        </w:tc>
        <w:tc>
          <w:tcPr>
            <w:tcW w:w="1425" w:type="dxa"/>
            <w:tcBorders>
              <w:left w:val="nil"/>
              <w:right w:val="nil"/>
            </w:tcBorders>
            <w:shd w:val="clear" w:color="auto" w:fill="auto"/>
          </w:tcPr>
          <w:p w14:paraId="353A0420" w14:textId="77777777" w:rsidR="009E77D8" w:rsidRPr="009E77D8" w:rsidRDefault="009E77D8" w:rsidP="009E77D8">
            <w:pPr>
              <w:jc w:val="center"/>
              <w:rPr>
                <w:bCs/>
                <w:sz w:val="20"/>
                <w:szCs w:val="20"/>
                <w:lang w:val="en-US"/>
              </w:rPr>
            </w:pPr>
            <w:r w:rsidRPr="009E77D8">
              <w:rPr>
                <w:bCs/>
                <w:sz w:val="20"/>
                <w:szCs w:val="20"/>
                <w:lang w:val="en-US"/>
              </w:rPr>
              <w:t>52.78</w:t>
            </w:r>
          </w:p>
        </w:tc>
        <w:tc>
          <w:tcPr>
            <w:tcW w:w="1325" w:type="dxa"/>
            <w:tcBorders>
              <w:left w:val="nil"/>
              <w:right w:val="nil"/>
            </w:tcBorders>
            <w:shd w:val="clear" w:color="auto" w:fill="auto"/>
          </w:tcPr>
          <w:p w14:paraId="0DBD10ED" w14:textId="77777777" w:rsidR="009E77D8" w:rsidRPr="009E77D8" w:rsidRDefault="009E77D8" w:rsidP="009E77D8">
            <w:pPr>
              <w:jc w:val="center"/>
              <w:rPr>
                <w:bCs/>
                <w:sz w:val="20"/>
                <w:szCs w:val="20"/>
                <w:lang w:val="en-US"/>
              </w:rPr>
            </w:pPr>
            <w:r w:rsidRPr="009E77D8">
              <w:rPr>
                <w:bCs/>
                <w:sz w:val="20"/>
                <w:szCs w:val="20"/>
                <w:lang w:val="en-US"/>
              </w:rPr>
              <w:t>65</w:t>
            </w:r>
          </w:p>
        </w:tc>
      </w:tr>
      <w:tr w:rsidR="009E77D8" w:rsidRPr="009E77D8" w14:paraId="27B3063B" w14:textId="77777777" w:rsidTr="000A6544">
        <w:trPr>
          <w:jc w:val="center"/>
        </w:trPr>
        <w:tc>
          <w:tcPr>
            <w:tcW w:w="2092" w:type="dxa"/>
            <w:tcBorders>
              <w:left w:val="nil"/>
              <w:right w:val="nil"/>
            </w:tcBorders>
            <w:shd w:val="clear" w:color="auto" w:fill="auto"/>
          </w:tcPr>
          <w:p w14:paraId="72883EC5" w14:textId="77777777" w:rsidR="009E77D8" w:rsidRPr="009E77D8" w:rsidRDefault="009E77D8" w:rsidP="009E77D8">
            <w:pPr>
              <w:jc w:val="both"/>
              <w:rPr>
                <w:bCs/>
                <w:sz w:val="20"/>
                <w:szCs w:val="20"/>
                <w:lang w:val="en-US"/>
              </w:rPr>
            </w:pPr>
            <w:r w:rsidRPr="009E77D8">
              <w:rPr>
                <w:bCs/>
                <w:sz w:val="20"/>
                <w:szCs w:val="20"/>
                <w:lang w:val="en-US"/>
              </w:rPr>
              <w:t>T20</w:t>
            </w:r>
          </w:p>
        </w:tc>
        <w:tc>
          <w:tcPr>
            <w:tcW w:w="1236" w:type="dxa"/>
            <w:tcBorders>
              <w:left w:val="nil"/>
              <w:right w:val="nil"/>
            </w:tcBorders>
            <w:shd w:val="clear" w:color="auto" w:fill="auto"/>
          </w:tcPr>
          <w:p w14:paraId="6FDCFBCE" w14:textId="77777777" w:rsidR="009E77D8" w:rsidRPr="009E77D8" w:rsidRDefault="009E77D8" w:rsidP="009E77D8">
            <w:pPr>
              <w:jc w:val="center"/>
              <w:rPr>
                <w:bCs/>
                <w:sz w:val="20"/>
                <w:szCs w:val="20"/>
                <w:lang w:val="en-US"/>
              </w:rPr>
            </w:pPr>
            <w:r w:rsidRPr="009E77D8">
              <w:rPr>
                <w:bCs/>
                <w:sz w:val="20"/>
                <w:szCs w:val="20"/>
                <w:lang w:val="en-US"/>
              </w:rPr>
              <w:t>55</w:t>
            </w:r>
          </w:p>
        </w:tc>
        <w:tc>
          <w:tcPr>
            <w:tcW w:w="1292" w:type="dxa"/>
            <w:tcBorders>
              <w:left w:val="nil"/>
              <w:right w:val="nil"/>
            </w:tcBorders>
            <w:shd w:val="clear" w:color="auto" w:fill="auto"/>
          </w:tcPr>
          <w:p w14:paraId="0BB511F0" w14:textId="77777777" w:rsidR="009E77D8" w:rsidRPr="009E77D8" w:rsidRDefault="009E77D8" w:rsidP="009E77D8">
            <w:pPr>
              <w:jc w:val="center"/>
              <w:rPr>
                <w:bCs/>
                <w:sz w:val="20"/>
                <w:szCs w:val="20"/>
                <w:lang w:val="en-US"/>
              </w:rPr>
            </w:pPr>
            <w:r w:rsidRPr="009E77D8">
              <w:rPr>
                <w:bCs/>
                <w:sz w:val="20"/>
                <w:szCs w:val="20"/>
                <w:lang w:val="en-US"/>
              </w:rPr>
              <w:t>44</w:t>
            </w:r>
          </w:p>
        </w:tc>
        <w:tc>
          <w:tcPr>
            <w:tcW w:w="1425" w:type="dxa"/>
            <w:tcBorders>
              <w:left w:val="nil"/>
              <w:right w:val="nil"/>
            </w:tcBorders>
            <w:shd w:val="clear" w:color="auto" w:fill="auto"/>
          </w:tcPr>
          <w:p w14:paraId="3C7DE0A8" w14:textId="77777777" w:rsidR="009E77D8" w:rsidRPr="009E77D8" w:rsidRDefault="009E77D8" w:rsidP="009E77D8">
            <w:pPr>
              <w:jc w:val="center"/>
              <w:rPr>
                <w:bCs/>
                <w:sz w:val="20"/>
                <w:szCs w:val="20"/>
                <w:lang w:val="en-US"/>
              </w:rPr>
            </w:pPr>
            <w:r w:rsidRPr="009E77D8">
              <w:rPr>
                <w:bCs/>
                <w:sz w:val="20"/>
                <w:szCs w:val="20"/>
                <w:lang w:val="en-US"/>
              </w:rPr>
              <w:t>56.16</w:t>
            </w:r>
          </w:p>
        </w:tc>
        <w:tc>
          <w:tcPr>
            <w:tcW w:w="1325" w:type="dxa"/>
            <w:tcBorders>
              <w:left w:val="nil"/>
              <w:right w:val="nil"/>
            </w:tcBorders>
            <w:shd w:val="clear" w:color="auto" w:fill="auto"/>
          </w:tcPr>
          <w:p w14:paraId="442056E9" w14:textId="77777777" w:rsidR="009E77D8" w:rsidRPr="009E77D8" w:rsidRDefault="009E77D8" w:rsidP="009E77D8">
            <w:pPr>
              <w:jc w:val="center"/>
              <w:rPr>
                <w:bCs/>
                <w:sz w:val="20"/>
                <w:szCs w:val="20"/>
                <w:lang w:val="en-US"/>
              </w:rPr>
            </w:pPr>
            <w:r w:rsidRPr="009E77D8">
              <w:rPr>
                <w:bCs/>
                <w:sz w:val="20"/>
                <w:szCs w:val="20"/>
                <w:lang w:val="en-US"/>
              </w:rPr>
              <w:t>78</w:t>
            </w:r>
          </w:p>
        </w:tc>
      </w:tr>
      <w:tr w:rsidR="009E77D8" w:rsidRPr="009E77D8" w14:paraId="7F5C41BA" w14:textId="77777777" w:rsidTr="000A6544">
        <w:trPr>
          <w:jc w:val="center"/>
        </w:trPr>
        <w:tc>
          <w:tcPr>
            <w:tcW w:w="2092" w:type="dxa"/>
            <w:tcBorders>
              <w:left w:val="nil"/>
              <w:right w:val="nil"/>
            </w:tcBorders>
            <w:shd w:val="clear" w:color="auto" w:fill="auto"/>
          </w:tcPr>
          <w:p w14:paraId="1A02DA41" w14:textId="77777777" w:rsidR="009E77D8" w:rsidRPr="009E77D8" w:rsidRDefault="009E77D8" w:rsidP="009E77D8">
            <w:pPr>
              <w:jc w:val="both"/>
              <w:rPr>
                <w:bCs/>
                <w:sz w:val="20"/>
                <w:szCs w:val="20"/>
                <w:lang w:val="en-US"/>
              </w:rPr>
            </w:pPr>
            <w:r w:rsidRPr="009E77D8">
              <w:rPr>
                <w:bCs/>
                <w:sz w:val="20"/>
                <w:szCs w:val="20"/>
                <w:lang w:val="en-US"/>
              </w:rPr>
              <w:t>Total</w:t>
            </w:r>
          </w:p>
        </w:tc>
        <w:tc>
          <w:tcPr>
            <w:tcW w:w="1236" w:type="dxa"/>
            <w:tcBorders>
              <w:left w:val="nil"/>
              <w:right w:val="nil"/>
            </w:tcBorders>
            <w:shd w:val="clear" w:color="auto" w:fill="auto"/>
          </w:tcPr>
          <w:p w14:paraId="7A7BBAC3" w14:textId="77777777" w:rsidR="009E77D8" w:rsidRPr="009E77D8" w:rsidRDefault="009E77D8" w:rsidP="009E77D8">
            <w:pPr>
              <w:jc w:val="center"/>
              <w:rPr>
                <w:bCs/>
                <w:sz w:val="20"/>
                <w:szCs w:val="20"/>
                <w:lang w:val="en-US"/>
              </w:rPr>
            </w:pPr>
            <w:r w:rsidRPr="009E77D8">
              <w:rPr>
                <w:bCs/>
                <w:sz w:val="20"/>
                <w:szCs w:val="20"/>
                <w:lang w:val="en-US"/>
              </w:rPr>
              <w:t>265</w:t>
            </w:r>
          </w:p>
        </w:tc>
        <w:tc>
          <w:tcPr>
            <w:tcW w:w="1292" w:type="dxa"/>
            <w:tcBorders>
              <w:left w:val="nil"/>
              <w:right w:val="nil"/>
            </w:tcBorders>
            <w:shd w:val="clear" w:color="auto" w:fill="auto"/>
          </w:tcPr>
          <w:p w14:paraId="77B8D228" w14:textId="77777777" w:rsidR="009E77D8" w:rsidRPr="009E77D8" w:rsidRDefault="009E77D8" w:rsidP="009E77D8">
            <w:pPr>
              <w:jc w:val="center"/>
              <w:rPr>
                <w:bCs/>
                <w:sz w:val="20"/>
                <w:szCs w:val="20"/>
                <w:lang w:val="en-US"/>
              </w:rPr>
            </w:pPr>
            <w:r w:rsidRPr="009E77D8">
              <w:rPr>
                <w:bCs/>
                <w:sz w:val="20"/>
                <w:szCs w:val="20"/>
                <w:lang w:val="en-US"/>
              </w:rPr>
              <w:t>41</w:t>
            </w:r>
          </w:p>
        </w:tc>
        <w:tc>
          <w:tcPr>
            <w:tcW w:w="1425" w:type="dxa"/>
            <w:tcBorders>
              <w:left w:val="nil"/>
              <w:right w:val="nil"/>
            </w:tcBorders>
            <w:shd w:val="clear" w:color="auto" w:fill="auto"/>
          </w:tcPr>
          <w:p w14:paraId="08634A89" w14:textId="77777777" w:rsidR="009E77D8" w:rsidRPr="009E77D8" w:rsidRDefault="009E77D8" w:rsidP="009E77D8">
            <w:pPr>
              <w:jc w:val="center"/>
              <w:rPr>
                <w:bCs/>
                <w:sz w:val="20"/>
                <w:szCs w:val="20"/>
                <w:lang w:val="en-US"/>
              </w:rPr>
            </w:pPr>
            <w:r w:rsidRPr="009E77D8">
              <w:rPr>
                <w:bCs/>
                <w:sz w:val="20"/>
                <w:szCs w:val="20"/>
                <w:lang w:val="en-US"/>
              </w:rPr>
              <w:t>53.02</w:t>
            </w:r>
          </w:p>
        </w:tc>
        <w:tc>
          <w:tcPr>
            <w:tcW w:w="1325" w:type="dxa"/>
            <w:tcBorders>
              <w:left w:val="nil"/>
              <w:right w:val="nil"/>
            </w:tcBorders>
            <w:shd w:val="clear" w:color="auto" w:fill="auto"/>
          </w:tcPr>
          <w:p w14:paraId="642F22F0" w14:textId="77777777" w:rsidR="009E77D8" w:rsidRPr="009E77D8" w:rsidRDefault="009E77D8" w:rsidP="009E77D8">
            <w:pPr>
              <w:jc w:val="center"/>
              <w:rPr>
                <w:bCs/>
                <w:sz w:val="20"/>
                <w:szCs w:val="20"/>
                <w:lang w:val="en-US"/>
              </w:rPr>
            </w:pPr>
            <w:r w:rsidRPr="009E77D8">
              <w:rPr>
                <w:bCs/>
                <w:sz w:val="20"/>
                <w:szCs w:val="20"/>
                <w:lang w:val="en-US"/>
              </w:rPr>
              <w:t>78</w:t>
            </w:r>
          </w:p>
        </w:tc>
      </w:tr>
    </w:tbl>
    <w:p w14:paraId="11527608" w14:textId="77777777" w:rsidR="009E77D8" w:rsidRPr="009E77D8" w:rsidRDefault="009E77D8" w:rsidP="009E77D8">
      <w:pPr>
        <w:jc w:val="both"/>
        <w:rPr>
          <w:b/>
          <w:lang w:val="en-US"/>
        </w:rPr>
      </w:pPr>
    </w:p>
    <w:p w14:paraId="2386D551" w14:textId="1288C0C9" w:rsidR="009E77D8" w:rsidRPr="009E77D8" w:rsidRDefault="009E77D8" w:rsidP="009E77D8">
      <w:pPr>
        <w:jc w:val="both"/>
        <w:rPr>
          <w:bCs/>
          <w:lang w:val="en-US"/>
        </w:rPr>
      </w:pPr>
      <w:r w:rsidRPr="009E77D8">
        <w:rPr>
          <w:bCs/>
          <w:lang w:val="en-US"/>
        </w:rPr>
        <w:t>Fig</w:t>
      </w:r>
      <w:r>
        <w:rPr>
          <w:bCs/>
          <w:lang w:val="en-US"/>
        </w:rPr>
        <w:t>ure</w:t>
      </w:r>
      <w:r w:rsidRPr="009E77D8">
        <w:rPr>
          <w:bCs/>
          <w:lang w:val="en-US"/>
        </w:rPr>
        <w:t xml:space="preserve"> 1 shows a boxplot graph scoring financial well-being against income classification. The graph shows no outliers in this dataset. There is greater variability in financial well-being for T20. However, for B40 and M40 employees, they are almost the same.</w:t>
      </w:r>
    </w:p>
    <w:p w14:paraId="06B2580D" w14:textId="77777777" w:rsidR="009E77D8" w:rsidRPr="009E77D8" w:rsidRDefault="009E77D8" w:rsidP="009E77D8">
      <w:pPr>
        <w:jc w:val="both"/>
        <w:rPr>
          <w:bCs/>
          <w:lang w:val="en-US"/>
        </w:rPr>
      </w:pPr>
    </w:p>
    <w:p w14:paraId="02E8931D" w14:textId="77777777" w:rsidR="009E77D8" w:rsidRPr="009E77D8" w:rsidRDefault="009E77D8" w:rsidP="009E77D8">
      <w:pPr>
        <w:jc w:val="center"/>
        <w:rPr>
          <w:b/>
          <w:bCs/>
          <w:lang w:val="en-US"/>
        </w:rPr>
      </w:pPr>
      <w:r w:rsidRPr="009E77D8">
        <w:rPr>
          <w:b/>
          <w:noProof/>
          <w:lang w:val="en-US"/>
        </w:rPr>
        <w:lastRenderedPageBreak/>
        <w:drawing>
          <wp:inline distT="0" distB="0" distL="0" distR="0" wp14:anchorId="7F0D49A1" wp14:editId="3BCE8FBD">
            <wp:extent cx="4356100" cy="2209800"/>
            <wp:effectExtent l="0" t="0" r="6350" b="0"/>
            <wp:docPr id="1" name="Picture 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ox and whisker chart&#10;&#10;Description automatically generated"/>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356100" cy="2209800"/>
                    </a:xfrm>
                    <a:prstGeom prst="rect">
                      <a:avLst/>
                    </a:prstGeom>
                    <a:noFill/>
                    <a:ln>
                      <a:noFill/>
                    </a:ln>
                  </pic:spPr>
                </pic:pic>
              </a:graphicData>
            </a:graphic>
          </wp:inline>
        </w:drawing>
      </w:r>
    </w:p>
    <w:p w14:paraId="2F606F57" w14:textId="77777777" w:rsidR="009E77D8" w:rsidRPr="009E77D8" w:rsidRDefault="009E77D8" w:rsidP="009E77D8">
      <w:pPr>
        <w:jc w:val="center"/>
        <w:rPr>
          <w:bCs/>
          <w:lang w:val="en-US"/>
        </w:rPr>
      </w:pPr>
      <w:r w:rsidRPr="009E77D8">
        <w:rPr>
          <w:bCs/>
          <w:lang w:val="en-US"/>
        </w:rPr>
        <w:t>Figure 1: Boxplot of Scores for Financial Well-being and Income Classification</w:t>
      </w:r>
    </w:p>
    <w:p w14:paraId="219C321A" w14:textId="77777777" w:rsidR="009E77D8" w:rsidRPr="009E77D8" w:rsidRDefault="009E77D8" w:rsidP="009E77D8">
      <w:pPr>
        <w:jc w:val="both"/>
        <w:rPr>
          <w:b/>
          <w:lang w:val="en-US"/>
        </w:rPr>
      </w:pPr>
    </w:p>
    <w:p w14:paraId="148F8199" w14:textId="77777777" w:rsidR="009E77D8" w:rsidRPr="009E77D8" w:rsidRDefault="009E77D8" w:rsidP="009E77D8">
      <w:pPr>
        <w:jc w:val="both"/>
        <w:rPr>
          <w:i/>
          <w:iCs/>
          <w:lang w:val="en-US"/>
        </w:rPr>
      </w:pPr>
      <w:r w:rsidRPr="009E77D8">
        <w:rPr>
          <w:i/>
          <w:iCs/>
          <w:lang w:val="en-US"/>
        </w:rPr>
        <w:t>ANOVA Test Assumption</w:t>
      </w:r>
    </w:p>
    <w:p w14:paraId="606B8BC5" w14:textId="77777777" w:rsidR="009E77D8" w:rsidRPr="009E77D8" w:rsidRDefault="009E77D8" w:rsidP="009E77D8">
      <w:pPr>
        <w:jc w:val="both"/>
        <w:rPr>
          <w:bCs/>
          <w:lang w:val="en-US"/>
        </w:rPr>
      </w:pPr>
      <w:r w:rsidRPr="009E77D8">
        <w:rPr>
          <w:bCs/>
          <w:lang w:val="en-US"/>
        </w:rPr>
        <w:t xml:space="preserve">In order to achieve the study objective, the assumption for the ANOVA needs to be fulfilled. Table 3 shows that the population in this research is normally distributed since the p-value of Kolmogorov-Smirnov test is 0.000 which is less than 0.05. Hence, the first assumption (the population must be normal) was not fulfilled. </w:t>
      </w:r>
    </w:p>
    <w:p w14:paraId="18DDDF75" w14:textId="77777777" w:rsidR="009E77D8" w:rsidRPr="009E77D8" w:rsidRDefault="009E77D8" w:rsidP="009E77D8">
      <w:pPr>
        <w:jc w:val="both"/>
        <w:rPr>
          <w:b/>
          <w:lang w:val="en-US"/>
        </w:rPr>
      </w:pPr>
    </w:p>
    <w:p w14:paraId="12D24BA5" w14:textId="77777777" w:rsidR="009E77D8" w:rsidRDefault="009E77D8" w:rsidP="007E2298">
      <w:pPr>
        <w:jc w:val="center"/>
        <w:rPr>
          <w:bCs/>
          <w:lang w:val="en-US"/>
        </w:rPr>
      </w:pPr>
      <w:r w:rsidRPr="009E77D8">
        <w:rPr>
          <w:bCs/>
          <w:lang w:val="en-US"/>
        </w:rPr>
        <w:t>Table 3: Test for ANOVA Assumption</w:t>
      </w:r>
    </w:p>
    <w:p w14:paraId="092923E7" w14:textId="77777777" w:rsidR="007E2298" w:rsidRPr="009E77D8" w:rsidRDefault="007E2298" w:rsidP="007E2298">
      <w:pPr>
        <w:jc w:val="center"/>
        <w:rPr>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25"/>
      </w:tblGrid>
      <w:tr w:rsidR="009E77D8" w:rsidRPr="009E77D8" w14:paraId="4FBE80C5" w14:textId="77777777" w:rsidTr="000A6544">
        <w:trPr>
          <w:jc w:val="center"/>
        </w:trPr>
        <w:tc>
          <w:tcPr>
            <w:tcW w:w="3235" w:type="dxa"/>
            <w:tcBorders>
              <w:top w:val="single" w:sz="4" w:space="0" w:color="auto"/>
              <w:left w:val="nil"/>
              <w:bottom w:val="nil"/>
              <w:right w:val="nil"/>
            </w:tcBorders>
            <w:shd w:val="clear" w:color="auto" w:fill="auto"/>
          </w:tcPr>
          <w:p w14:paraId="28ACBF00" w14:textId="77777777" w:rsidR="009E77D8" w:rsidRPr="009E77D8" w:rsidRDefault="009E77D8" w:rsidP="009E77D8">
            <w:pPr>
              <w:jc w:val="both"/>
              <w:rPr>
                <w:bCs/>
                <w:sz w:val="20"/>
                <w:szCs w:val="20"/>
                <w:lang w:val="en-US"/>
              </w:rPr>
            </w:pPr>
          </w:p>
        </w:tc>
        <w:tc>
          <w:tcPr>
            <w:tcW w:w="1625" w:type="dxa"/>
            <w:tcBorders>
              <w:top w:val="single" w:sz="4" w:space="0" w:color="auto"/>
              <w:left w:val="nil"/>
              <w:bottom w:val="nil"/>
              <w:right w:val="nil"/>
            </w:tcBorders>
            <w:shd w:val="clear" w:color="auto" w:fill="auto"/>
          </w:tcPr>
          <w:p w14:paraId="06283679" w14:textId="77777777" w:rsidR="009E77D8" w:rsidRPr="009E77D8" w:rsidRDefault="009E77D8" w:rsidP="009E77D8">
            <w:pPr>
              <w:jc w:val="both"/>
              <w:rPr>
                <w:b/>
                <w:sz w:val="20"/>
                <w:szCs w:val="20"/>
                <w:lang w:val="en-US"/>
              </w:rPr>
            </w:pPr>
            <w:r w:rsidRPr="009E77D8">
              <w:rPr>
                <w:b/>
                <w:i/>
                <w:iCs/>
                <w:sz w:val="20"/>
                <w:szCs w:val="20"/>
                <w:lang w:val="en-US"/>
              </w:rPr>
              <w:t>p</w:t>
            </w:r>
            <w:r w:rsidRPr="009E77D8">
              <w:rPr>
                <w:b/>
                <w:sz w:val="20"/>
                <w:szCs w:val="20"/>
                <w:lang w:val="en-US"/>
              </w:rPr>
              <w:t>-value</w:t>
            </w:r>
          </w:p>
        </w:tc>
      </w:tr>
      <w:tr w:rsidR="009E77D8" w:rsidRPr="009E77D8" w14:paraId="52A0F8DC" w14:textId="77777777" w:rsidTr="000A6544">
        <w:trPr>
          <w:jc w:val="center"/>
        </w:trPr>
        <w:tc>
          <w:tcPr>
            <w:tcW w:w="3235" w:type="dxa"/>
            <w:tcBorders>
              <w:top w:val="single" w:sz="4" w:space="0" w:color="auto"/>
              <w:left w:val="nil"/>
              <w:bottom w:val="nil"/>
              <w:right w:val="nil"/>
            </w:tcBorders>
            <w:shd w:val="clear" w:color="auto" w:fill="auto"/>
          </w:tcPr>
          <w:p w14:paraId="5A5EE3FA" w14:textId="77777777" w:rsidR="009E77D8" w:rsidRPr="009E77D8" w:rsidRDefault="009E77D8" w:rsidP="009E77D8">
            <w:pPr>
              <w:jc w:val="both"/>
              <w:rPr>
                <w:bCs/>
                <w:sz w:val="20"/>
                <w:szCs w:val="20"/>
                <w:lang w:val="en-US"/>
              </w:rPr>
            </w:pPr>
            <w:r w:rsidRPr="009E77D8">
              <w:rPr>
                <w:bCs/>
                <w:sz w:val="20"/>
                <w:szCs w:val="20"/>
                <w:lang w:val="en-US"/>
              </w:rPr>
              <w:t>Kolmogorov-Smirnov test</w:t>
            </w:r>
          </w:p>
        </w:tc>
        <w:tc>
          <w:tcPr>
            <w:tcW w:w="1625" w:type="dxa"/>
            <w:tcBorders>
              <w:top w:val="single" w:sz="4" w:space="0" w:color="auto"/>
              <w:left w:val="nil"/>
              <w:bottom w:val="nil"/>
              <w:right w:val="nil"/>
            </w:tcBorders>
            <w:shd w:val="clear" w:color="auto" w:fill="auto"/>
          </w:tcPr>
          <w:p w14:paraId="055CC291" w14:textId="77777777" w:rsidR="009E77D8" w:rsidRPr="009E77D8" w:rsidRDefault="009E77D8" w:rsidP="009E77D8">
            <w:pPr>
              <w:jc w:val="both"/>
              <w:rPr>
                <w:bCs/>
                <w:sz w:val="20"/>
                <w:szCs w:val="20"/>
                <w:lang w:val="en-US"/>
              </w:rPr>
            </w:pPr>
            <w:r w:rsidRPr="009E77D8">
              <w:rPr>
                <w:bCs/>
                <w:sz w:val="20"/>
                <w:szCs w:val="20"/>
                <w:lang w:val="en-US"/>
              </w:rPr>
              <w:t>0.000</w:t>
            </w:r>
          </w:p>
        </w:tc>
      </w:tr>
      <w:tr w:rsidR="009E77D8" w:rsidRPr="009E77D8" w14:paraId="344F1994" w14:textId="77777777" w:rsidTr="000A6544">
        <w:trPr>
          <w:jc w:val="center"/>
        </w:trPr>
        <w:tc>
          <w:tcPr>
            <w:tcW w:w="3235" w:type="dxa"/>
            <w:tcBorders>
              <w:top w:val="nil"/>
              <w:left w:val="nil"/>
              <w:right w:val="nil"/>
            </w:tcBorders>
            <w:shd w:val="clear" w:color="auto" w:fill="auto"/>
          </w:tcPr>
          <w:p w14:paraId="0477F501" w14:textId="77777777" w:rsidR="009E77D8" w:rsidRPr="009E77D8" w:rsidRDefault="009E77D8" w:rsidP="009E77D8">
            <w:pPr>
              <w:jc w:val="both"/>
              <w:rPr>
                <w:bCs/>
                <w:sz w:val="20"/>
                <w:szCs w:val="20"/>
                <w:lang w:val="en-US"/>
              </w:rPr>
            </w:pPr>
            <w:r w:rsidRPr="009E77D8">
              <w:rPr>
                <w:bCs/>
                <w:sz w:val="20"/>
                <w:szCs w:val="20"/>
                <w:lang w:val="en-US"/>
              </w:rPr>
              <w:t>Levene Test</w:t>
            </w:r>
          </w:p>
        </w:tc>
        <w:tc>
          <w:tcPr>
            <w:tcW w:w="1625" w:type="dxa"/>
            <w:tcBorders>
              <w:top w:val="nil"/>
              <w:left w:val="nil"/>
              <w:right w:val="nil"/>
            </w:tcBorders>
            <w:shd w:val="clear" w:color="auto" w:fill="auto"/>
          </w:tcPr>
          <w:p w14:paraId="08FEDC1E" w14:textId="77777777" w:rsidR="009E77D8" w:rsidRPr="009E77D8" w:rsidRDefault="009E77D8" w:rsidP="009E77D8">
            <w:pPr>
              <w:jc w:val="both"/>
              <w:rPr>
                <w:bCs/>
                <w:sz w:val="20"/>
                <w:szCs w:val="20"/>
                <w:lang w:val="en-US"/>
              </w:rPr>
            </w:pPr>
            <w:r w:rsidRPr="009E77D8">
              <w:rPr>
                <w:bCs/>
                <w:sz w:val="20"/>
                <w:szCs w:val="20"/>
                <w:lang w:val="en-US"/>
              </w:rPr>
              <w:t>0.002</w:t>
            </w:r>
          </w:p>
        </w:tc>
      </w:tr>
    </w:tbl>
    <w:p w14:paraId="599522D3" w14:textId="77777777" w:rsidR="009E77D8" w:rsidRPr="009E77D8" w:rsidRDefault="009E77D8" w:rsidP="009E77D8">
      <w:pPr>
        <w:jc w:val="both"/>
        <w:rPr>
          <w:b/>
          <w:lang w:val="en-US"/>
        </w:rPr>
      </w:pPr>
    </w:p>
    <w:p w14:paraId="4965CD3F" w14:textId="77777777" w:rsidR="009E77D8" w:rsidRPr="009E77D8" w:rsidRDefault="009E77D8" w:rsidP="007E2298">
      <w:pPr>
        <w:ind w:firstLine="720"/>
        <w:jc w:val="both"/>
        <w:rPr>
          <w:bCs/>
          <w:lang w:val="en-US"/>
        </w:rPr>
      </w:pPr>
      <w:r w:rsidRPr="009E77D8">
        <w:rPr>
          <w:bCs/>
          <w:lang w:val="en-US"/>
        </w:rPr>
        <w:t xml:space="preserve">Next, Levene test were performed to identify the homogeneity of variance for the population. The p-value is 0.002 which was less than 0.05, thus the population has unequal variance. Hence, the second assumption was not met. As the two assumptions for ANOVA test were not fulfilled, the ANOVA test cannot be performed. Thus, Kruskal-Wallis’s test should be substitute the ANOVA test in comparing the financial well-being of individual in Malaysia between income classification.  </w:t>
      </w:r>
    </w:p>
    <w:p w14:paraId="617FC67F" w14:textId="77777777" w:rsidR="009E77D8" w:rsidRPr="009E77D8" w:rsidRDefault="009E77D8" w:rsidP="009E77D8">
      <w:pPr>
        <w:jc w:val="both"/>
        <w:rPr>
          <w:b/>
          <w:bCs/>
          <w:lang w:val="en-US"/>
        </w:rPr>
      </w:pPr>
    </w:p>
    <w:p w14:paraId="7DEEE374" w14:textId="77777777" w:rsidR="009E77D8" w:rsidRPr="009E77D8" w:rsidRDefault="009E77D8" w:rsidP="009E77D8">
      <w:pPr>
        <w:jc w:val="both"/>
        <w:rPr>
          <w:i/>
          <w:iCs/>
          <w:lang w:val="en-US"/>
        </w:rPr>
      </w:pPr>
      <w:r w:rsidRPr="009E77D8">
        <w:rPr>
          <w:i/>
          <w:iCs/>
          <w:lang w:val="en-US"/>
        </w:rPr>
        <w:t>Kruskal-Wallis Test</w:t>
      </w:r>
    </w:p>
    <w:p w14:paraId="5098D9DE" w14:textId="77777777" w:rsidR="009E77D8" w:rsidRPr="009E77D8" w:rsidRDefault="009E77D8" w:rsidP="009E77D8">
      <w:pPr>
        <w:jc w:val="both"/>
        <w:rPr>
          <w:bCs/>
          <w:lang w:val="en-US"/>
        </w:rPr>
      </w:pPr>
      <w:r w:rsidRPr="009E77D8">
        <w:rPr>
          <w:bCs/>
          <w:lang w:val="en-US"/>
        </w:rPr>
        <w:t xml:space="preserve">Table 4 below displays the </w:t>
      </w:r>
      <w:r w:rsidRPr="009E77D8">
        <w:rPr>
          <w:bCs/>
          <w:i/>
          <w:iCs/>
          <w:lang w:val="en-US"/>
        </w:rPr>
        <w:t>p</w:t>
      </w:r>
      <w:r w:rsidRPr="009E77D8">
        <w:rPr>
          <w:bCs/>
          <w:lang w:val="en-US"/>
        </w:rPr>
        <w:t>-value for the Kruskal-Wallis was 0.001, which is less than the alpha value (0.05). This indicates that there is a significant difference in financial well-being between employee income classifications.</w:t>
      </w:r>
    </w:p>
    <w:p w14:paraId="12EAF5E3" w14:textId="77777777" w:rsidR="009E77D8" w:rsidRPr="009E77D8" w:rsidRDefault="009E77D8" w:rsidP="009E77D8">
      <w:pPr>
        <w:jc w:val="both"/>
        <w:rPr>
          <w:b/>
          <w:lang w:val="en-US"/>
        </w:rPr>
      </w:pPr>
    </w:p>
    <w:p w14:paraId="5AE7CFF1" w14:textId="77777777" w:rsidR="009E77D8" w:rsidRDefault="009E77D8" w:rsidP="007E2298">
      <w:pPr>
        <w:jc w:val="center"/>
        <w:rPr>
          <w:bCs/>
          <w:lang w:val="en-US"/>
        </w:rPr>
      </w:pPr>
      <w:r w:rsidRPr="009E77D8">
        <w:rPr>
          <w:bCs/>
          <w:lang w:val="en-US"/>
        </w:rPr>
        <w:t>Table 4:</w:t>
      </w:r>
      <w:r w:rsidRPr="009E77D8">
        <w:rPr>
          <w:b/>
          <w:lang w:val="en-US"/>
        </w:rPr>
        <w:t xml:space="preserve"> </w:t>
      </w:r>
      <w:r w:rsidRPr="009E77D8">
        <w:rPr>
          <w:bCs/>
          <w:lang w:val="en-US"/>
        </w:rPr>
        <w:t>Kruskal-Wallis’s test</w:t>
      </w:r>
    </w:p>
    <w:p w14:paraId="7D9D622B" w14:textId="77777777" w:rsidR="007E2298" w:rsidRPr="009E77D8" w:rsidRDefault="007E2298" w:rsidP="007E2298">
      <w:pPr>
        <w:jc w:val="center"/>
        <w:rPr>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700"/>
      </w:tblGrid>
      <w:tr w:rsidR="009E77D8" w:rsidRPr="009E77D8" w14:paraId="54574E8E" w14:textId="77777777" w:rsidTr="000A6544">
        <w:trPr>
          <w:jc w:val="center"/>
        </w:trPr>
        <w:tc>
          <w:tcPr>
            <w:tcW w:w="2430" w:type="dxa"/>
            <w:tcBorders>
              <w:left w:val="nil"/>
              <w:bottom w:val="single" w:sz="4" w:space="0" w:color="auto"/>
              <w:right w:val="nil"/>
            </w:tcBorders>
            <w:shd w:val="clear" w:color="auto" w:fill="auto"/>
          </w:tcPr>
          <w:p w14:paraId="0A213F86" w14:textId="77777777" w:rsidR="009E77D8" w:rsidRPr="009E77D8" w:rsidRDefault="009E77D8" w:rsidP="007E2298">
            <w:pPr>
              <w:jc w:val="center"/>
              <w:rPr>
                <w:b/>
                <w:sz w:val="20"/>
                <w:szCs w:val="20"/>
                <w:lang w:val="en-US"/>
              </w:rPr>
            </w:pPr>
            <w:r w:rsidRPr="009E77D8">
              <w:rPr>
                <w:b/>
                <w:sz w:val="20"/>
                <w:szCs w:val="20"/>
                <w:lang w:val="en-US"/>
              </w:rPr>
              <w:t>Chi Square</w:t>
            </w:r>
          </w:p>
        </w:tc>
        <w:tc>
          <w:tcPr>
            <w:tcW w:w="2700" w:type="dxa"/>
            <w:tcBorders>
              <w:left w:val="nil"/>
              <w:bottom w:val="single" w:sz="4" w:space="0" w:color="auto"/>
              <w:right w:val="nil"/>
            </w:tcBorders>
            <w:shd w:val="clear" w:color="auto" w:fill="auto"/>
          </w:tcPr>
          <w:p w14:paraId="388EAB88" w14:textId="77777777" w:rsidR="009E77D8" w:rsidRPr="009E77D8" w:rsidRDefault="009E77D8" w:rsidP="007E2298">
            <w:pPr>
              <w:jc w:val="center"/>
              <w:rPr>
                <w:b/>
                <w:sz w:val="20"/>
                <w:szCs w:val="20"/>
                <w:lang w:val="en-US"/>
              </w:rPr>
            </w:pPr>
            <w:r w:rsidRPr="009E77D8">
              <w:rPr>
                <w:b/>
                <w:i/>
                <w:iCs/>
                <w:sz w:val="20"/>
                <w:szCs w:val="20"/>
                <w:lang w:val="en-US"/>
              </w:rPr>
              <w:t>p</w:t>
            </w:r>
            <w:r w:rsidRPr="009E77D8">
              <w:rPr>
                <w:b/>
                <w:sz w:val="20"/>
                <w:szCs w:val="20"/>
                <w:lang w:val="en-US"/>
              </w:rPr>
              <w:t>-value</w:t>
            </w:r>
          </w:p>
        </w:tc>
      </w:tr>
      <w:tr w:rsidR="009E77D8" w:rsidRPr="009E77D8" w14:paraId="0DCF5734" w14:textId="77777777" w:rsidTr="000A6544">
        <w:trPr>
          <w:jc w:val="center"/>
        </w:trPr>
        <w:tc>
          <w:tcPr>
            <w:tcW w:w="2430" w:type="dxa"/>
            <w:tcBorders>
              <w:left w:val="nil"/>
              <w:right w:val="nil"/>
            </w:tcBorders>
            <w:shd w:val="clear" w:color="auto" w:fill="auto"/>
          </w:tcPr>
          <w:p w14:paraId="346D88BC" w14:textId="77777777" w:rsidR="009E77D8" w:rsidRPr="009E77D8" w:rsidRDefault="009E77D8" w:rsidP="007E2298">
            <w:pPr>
              <w:jc w:val="center"/>
              <w:rPr>
                <w:bCs/>
                <w:sz w:val="20"/>
                <w:szCs w:val="20"/>
                <w:lang w:val="en-US"/>
              </w:rPr>
            </w:pPr>
            <w:r w:rsidRPr="009E77D8">
              <w:rPr>
                <w:bCs/>
                <w:sz w:val="20"/>
                <w:szCs w:val="20"/>
                <w:lang w:val="en-US"/>
              </w:rPr>
              <w:t>13.818</w:t>
            </w:r>
          </w:p>
        </w:tc>
        <w:tc>
          <w:tcPr>
            <w:tcW w:w="2700" w:type="dxa"/>
            <w:tcBorders>
              <w:left w:val="nil"/>
              <w:right w:val="nil"/>
            </w:tcBorders>
            <w:shd w:val="clear" w:color="auto" w:fill="auto"/>
          </w:tcPr>
          <w:p w14:paraId="69236465" w14:textId="77777777" w:rsidR="009E77D8" w:rsidRPr="009E77D8" w:rsidRDefault="009E77D8" w:rsidP="007E2298">
            <w:pPr>
              <w:jc w:val="center"/>
              <w:rPr>
                <w:bCs/>
                <w:sz w:val="20"/>
                <w:szCs w:val="20"/>
                <w:lang w:val="en-US"/>
              </w:rPr>
            </w:pPr>
            <w:r w:rsidRPr="009E77D8">
              <w:rPr>
                <w:bCs/>
                <w:sz w:val="20"/>
                <w:szCs w:val="20"/>
                <w:lang w:val="en-US"/>
              </w:rPr>
              <w:t>0.001</w:t>
            </w:r>
          </w:p>
        </w:tc>
      </w:tr>
    </w:tbl>
    <w:p w14:paraId="66511791" w14:textId="77777777" w:rsidR="009E77D8" w:rsidRPr="009E77D8" w:rsidRDefault="009E77D8" w:rsidP="009E77D8">
      <w:pPr>
        <w:jc w:val="both"/>
        <w:rPr>
          <w:b/>
          <w:bCs/>
          <w:lang w:val="en-US"/>
        </w:rPr>
      </w:pPr>
    </w:p>
    <w:p w14:paraId="5001FFEC" w14:textId="77777777" w:rsidR="009E77D8" w:rsidRPr="009E77D8" w:rsidRDefault="009E77D8" w:rsidP="007E2298">
      <w:pPr>
        <w:ind w:firstLine="720"/>
        <w:jc w:val="both"/>
        <w:rPr>
          <w:bCs/>
          <w:lang w:val="en-US"/>
        </w:rPr>
      </w:pPr>
      <w:r w:rsidRPr="009E77D8">
        <w:rPr>
          <w:bCs/>
          <w:lang w:val="en-US"/>
        </w:rPr>
        <w:t>Looking into the mean ranks for the financial well-being score based on the income classification, T20 class suggest as the highest-scoring financial well-being with a mean rank of 165.48. However, M40 and B40 were followed as the second and lowest-scoring financial well-being with a mean rank of 131.96 and 119.71, respectively (Table 5).</w:t>
      </w:r>
    </w:p>
    <w:p w14:paraId="77C3F04D" w14:textId="77777777" w:rsidR="009E77D8" w:rsidRPr="009E77D8" w:rsidRDefault="009E77D8" w:rsidP="009E77D8">
      <w:pPr>
        <w:jc w:val="both"/>
        <w:rPr>
          <w:b/>
          <w:lang w:val="en-US"/>
        </w:rPr>
      </w:pPr>
    </w:p>
    <w:p w14:paraId="0105B9F3" w14:textId="77777777" w:rsidR="007E2298" w:rsidRDefault="007E2298" w:rsidP="007E2298">
      <w:pPr>
        <w:jc w:val="center"/>
        <w:rPr>
          <w:bCs/>
          <w:lang w:val="en-US"/>
        </w:rPr>
      </w:pPr>
    </w:p>
    <w:p w14:paraId="55487D70" w14:textId="77777777" w:rsidR="007E2298" w:rsidRDefault="007E2298" w:rsidP="007E2298">
      <w:pPr>
        <w:jc w:val="center"/>
        <w:rPr>
          <w:bCs/>
          <w:lang w:val="en-US"/>
        </w:rPr>
      </w:pPr>
    </w:p>
    <w:p w14:paraId="1C207DCE" w14:textId="77777777" w:rsidR="007E2298" w:rsidRDefault="007E2298" w:rsidP="007E2298">
      <w:pPr>
        <w:jc w:val="center"/>
        <w:rPr>
          <w:bCs/>
          <w:lang w:val="en-US"/>
        </w:rPr>
      </w:pPr>
    </w:p>
    <w:p w14:paraId="4B4C2538" w14:textId="77777777" w:rsidR="007E2298" w:rsidRDefault="007E2298" w:rsidP="007E2298">
      <w:pPr>
        <w:jc w:val="center"/>
        <w:rPr>
          <w:bCs/>
          <w:lang w:val="en-US"/>
        </w:rPr>
      </w:pPr>
    </w:p>
    <w:p w14:paraId="32E6A592" w14:textId="433CB0E8" w:rsidR="009E77D8" w:rsidRDefault="009E77D8" w:rsidP="007E2298">
      <w:pPr>
        <w:jc w:val="center"/>
        <w:rPr>
          <w:bCs/>
          <w:lang w:val="en-US"/>
        </w:rPr>
      </w:pPr>
      <w:r w:rsidRPr="009E77D8">
        <w:rPr>
          <w:bCs/>
          <w:lang w:val="en-US"/>
        </w:rPr>
        <w:lastRenderedPageBreak/>
        <w:t>Table 5: Mean Ranks for Financial Well-being based on the Income Classification</w:t>
      </w:r>
    </w:p>
    <w:p w14:paraId="0C390B0B" w14:textId="77777777" w:rsidR="007E2298" w:rsidRPr="009E77D8" w:rsidRDefault="007E2298" w:rsidP="007E2298">
      <w:pPr>
        <w:jc w:val="center"/>
        <w:rPr>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983"/>
        <w:gridCol w:w="1812"/>
      </w:tblGrid>
      <w:tr w:rsidR="009E77D8" w:rsidRPr="009E77D8" w14:paraId="78F30E09" w14:textId="77777777" w:rsidTr="000A6544">
        <w:trPr>
          <w:jc w:val="center"/>
        </w:trPr>
        <w:tc>
          <w:tcPr>
            <w:tcW w:w="2329" w:type="dxa"/>
            <w:tcBorders>
              <w:left w:val="nil"/>
              <w:right w:val="nil"/>
            </w:tcBorders>
            <w:shd w:val="clear" w:color="auto" w:fill="auto"/>
          </w:tcPr>
          <w:p w14:paraId="556AA595" w14:textId="77777777" w:rsidR="009E77D8" w:rsidRPr="009E77D8" w:rsidRDefault="009E77D8" w:rsidP="007E2298">
            <w:pPr>
              <w:jc w:val="center"/>
              <w:rPr>
                <w:b/>
                <w:lang w:val="en-US"/>
              </w:rPr>
            </w:pPr>
            <w:r w:rsidRPr="009E77D8">
              <w:rPr>
                <w:b/>
                <w:lang w:val="en-US"/>
              </w:rPr>
              <w:t>Income Classification</w:t>
            </w:r>
          </w:p>
        </w:tc>
        <w:tc>
          <w:tcPr>
            <w:tcW w:w="983" w:type="dxa"/>
            <w:tcBorders>
              <w:left w:val="nil"/>
              <w:right w:val="nil"/>
            </w:tcBorders>
            <w:shd w:val="clear" w:color="auto" w:fill="auto"/>
          </w:tcPr>
          <w:p w14:paraId="775F3345" w14:textId="77777777" w:rsidR="009E77D8" w:rsidRPr="009E77D8" w:rsidRDefault="009E77D8" w:rsidP="007E2298">
            <w:pPr>
              <w:jc w:val="center"/>
              <w:rPr>
                <w:b/>
                <w:lang w:val="en-US"/>
              </w:rPr>
            </w:pPr>
            <w:r w:rsidRPr="009E77D8">
              <w:rPr>
                <w:b/>
                <w:lang w:val="en-US"/>
              </w:rPr>
              <w:t>N</w:t>
            </w:r>
          </w:p>
        </w:tc>
        <w:tc>
          <w:tcPr>
            <w:tcW w:w="1812" w:type="dxa"/>
            <w:tcBorders>
              <w:left w:val="nil"/>
              <w:right w:val="nil"/>
            </w:tcBorders>
            <w:shd w:val="clear" w:color="auto" w:fill="auto"/>
          </w:tcPr>
          <w:p w14:paraId="1A3EDEB9" w14:textId="77777777" w:rsidR="009E77D8" w:rsidRPr="009E77D8" w:rsidRDefault="009E77D8" w:rsidP="007E2298">
            <w:pPr>
              <w:jc w:val="center"/>
              <w:rPr>
                <w:b/>
                <w:lang w:val="en-US"/>
              </w:rPr>
            </w:pPr>
            <w:r w:rsidRPr="009E77D8">
              <w:rPr>
                <w:b/>
                <w:lang w:val="en-US"/>
              </w:rPr>
              <w:t>Mean Rank</w:t>
            </w:r>
          </w:p>
        </w:tc>
      </w:tr>
      <w:tr w:rsidR="009E77D8" w:rsidRPr="009E77D8" w14:paraId="25B6CFB1" w14:textId="77777777" w:rsidTr="000A6544">
        <w:trPr>
          <w:jc w:val="center"/>
        </w:trPr>
        <w:tc>
          <w:tcPr>
            <w:tcW w:w="2329" w:type="dxa"/>
            <w:tcBorders>
              <w:left w:val="nil"/>
              <w:right w:val="nil"/>
            </w:tcBorders>
            <w:shd w:val="clear" w:color="auto" w:fill="auto"/>
          </w:tcPr>
          <w:p w14:paraId="1F6E5D44" w14:textId="77777777" w:rsidR="009E77D8" w:rsidRPr="009E77D8" w:rsidRDefault="009E77D8" w:rsidP="007E2298">
            <w:pPr>
              <w:jc w:val="center"/>
              <w:rPr>
                <w:bCs/>
                <w:lang w:val="en-US"/>
              </w:rPr>
            </w:pPr>
            <w:r w:rsidRPr="009E77D8">
              <w:rPr>
                <w:bCs/>
                <w:lang w:val="en-US"/>
              </w:rPr>
              <w:t>B40</w:t>
            </w:r>
          </w:p>
        </w:tc>
        <w:tc>
          <w:tcPr>
            <w:tcW w:w="983" w:type="dxa"/>
            <w:tcBorders>
              <w:left w:val="nil"/>
              <w:right w:val="nil"/>
            </w:tcBorders>
            <w:shd w:val="clear" w:color="auto" w:fill="auto"/>
          </w:tcPr>
          <w:p w14:paraId="67FCC60E" w14:textId="77777777" w:rsidR="009E77D8" w:rsidRPr="009E77D8" w:rsidRDefault="009E77D8" w:rsidP="007E2298">
            <w:pPr>
              <w:jc w:val="center"/>
              <w:rPr>
                <w:bCs/>
                <w:lang w:val="en-US"/>
              </w:rPr>
            </w:pPr>
            <w:r w:rsidRPr="009E77D8">
              <w:rPr>
                <w:bCs/>
                <w:lang w:val="en-US"/>
              </w:rPr>
              <w:t>128</w:t>
            </w:r>
          </w:p>
        </w:tc>
        <w:tc>
          <w:tcPr>
            <w:tcW w:w="1812" w:type="dxa"/>
            <w:tcBorders>
              <w:left w:val="nil"/>
              <w:right w:val="nil"/>
            </w:tcBorders>
            <w:shd w:val="clear" w:color="auto" w:fill="auto"/>
          </w:tcPr>
          <w:p w14:paraId="6746E472" w14:textId="77777777" w:rsidR="009E77D8" w:rsidRPr="009E77D8" w:rsidRDefault="009E77D8" w:rsidP="007E2298">
            <w:pPr>
              <w:jc w:val="center"/>
              <w:rPr>
                <w:bCs/>
                <w:lang w:val="en-US"/>
              </w:rPr>
            </w:pPr>
            <w:r w:rsidRPr="009E77D8">
              <w:rPr>
                <w:bCs/>
                <w:lang w:val="en-US"/>
              </w:rPr>
              <w:t>119.71</w:t>
            </w:r>
          </w:p>
        </w:tc>
      </w:tr>
      <w:tr w:rsidR="009E77D8" w:rsidRPr="009E77D8" w14:paraId="600764E3" w14:textId="77777777" w:rsidTr="000A6544">
        <w:trPr>
          <w:jc w:val="center"/>
        </w:trPr>
        <w:tc>
          <w:tcPr>
            <w:tcW w:w="2329" w:type="dxa"/>
            <w:tcBorders>
              <w:left w:val="nil"/>
              <w:right w:val="nil"/>
            </w:tcBorders>
            <w:shd w:val="clear" w:color="auto" w:fill="auto"/>
          </w:tcPr>
          <w:p w14:paraId="714A90D0" w14:textId="77777777" w:rsidR="009E77D8" w:rsidRPr="009E77D8" w:rsidRDefault="009E77D8" w:rsidP="007E2298">
            <w:pPr>
              <w:jc w:val="center"/>
              <w:rPr>
                <w:bCs/>
                <w:lang w:val="en-US"/>
              </w:rPr>
            </w:pPr>
            <w:r w:rsidRPr="009E77D8">
              <w:rPr>
                <w:bCs/>
                <w:lang w:val="en-US"/>
              </w:rPr>
              <w:t>M40</w:t>
            </w:r>
          </w:p>
        </w:tc>
        <w:tc>
          <w:tcPr>
            <w:tcW w:w="983" w:type="dxa"/>
            <w:tcBorders>
              <w:left w:val="nil"/>
              <w:right w:val="nil"/>
            </w:tcBorders>
            <w:shd w:val="clear" w:color="auto" w:fill="auto"/>
          </w:tcPr>
          <w:p w14:paraId="54A281C2" w14:textId="77777777" w:rsidR="009E77D8" w:rsidRPr="009E77D8" w:rsidRDefault="009E77D8" w:rsidP="007E2298">
            <w:pPr>
              <w:jc w:val="center"/>
              <w:rPr>
                <w:bCs/>
                <w:lang w:val="en-US"/>
              </w:rPr>
            </w:pPr>
            <w:r w:rsidRPr="009E77D8">
              <w:rPr>
                <w:bCs/>
                <w:lang w:val="en-US"/>
              </w:rPr>
              <w:t>82</w:t>
            </w:r>
          </w:p>
        </w:tc>
        <w:tc>
          <w:tcPr>
            <w:tcW w:w="1812" w:type="dxa"/>
            <w:tcBorders>
              <w:left w:val="nil"/>
              <w:right w:val="nil"/>
            </w:tcBorders>
            <w:shd w:val="clear" w:color="auto" w:fill="auto"/>
          </w:tcPr>
          <w:p w14:paraId="7958D59A" w14:textId="77777777" w:rsidR="009E77D8" w:rsidRPr="009E77D8" w:rsidRDefault="009E77D8" w:rsidP="007E2298">
            <w:pPr>
              <w:jc w:val="center"/>
              <w:rPr>
                <w:bCs/>
                <w:lang w:val="en-US"/>
              </w:rPr>
            </w:pPr>
            <w:r w:rsidRPr="009E77D8">
              <w:rPr>
                <w:bCs/>
                <w:lang w:val="en-US"/>
              </w:rPr>
              <w:t>131.96</w:t>
            </w:r>
          </w:p>
        </w:tc>
      </w:tr>
      <w:tr w:rsidR="009E77D8" w:rsidRPr="009E77D8" w14:paraId="368F4E0E" w14:textId="77777777" w:rsidTr="000A6544">
        <w:trPr>
          <w:jc w:val="center"/>
        </w:trPr>
        <w:tc>
          <w:tcPr>
            <w:tcW w:w="2329" w:type="dxa"/>
            <w:tcBorders>
              <w:left w:val="nil"/>
              <w:right w:val="nil"/>
            </w:tcBorders>
            <w:shd w:val="clear" w:color="auto" w:fill="auto"/>
          </w:tcPr>
          <w:p w14:paraId="16B640B1" w14:textId="77777777" w:rsidR="009E77D8" w:rsidRPr="009E77D8" w:rsidRDefault="009E77D8" w:rsidP="007E2298">
            <w:pPr>
              <w:jc w:val="center"/>
              <w:rPr>
                <w:bCs/>
                <w:lang w:val="en-US"/>
              </w:rPr>
            </w:pPr>
            <w:r w:rsidRPr="009E77D8">
              <w:rPr>
                <w:bCs/>
                <w:lang w:val="en-US"/>
              </w:rPr>
              <w:t>T20</w:t>
            </w:r>
          </w:p>
        </w:tc>
        <w:tc>
          <w:tcPr>
            <w:tcW w:w="983" w:type="dxa"/>
            <w:tcBorders>
              <w:left w:val="nil"/>
              <w:right w:val="nil"/>
            </w:tcBorders>
            <w:shd w:val="clear" w:color="auto" w:fill="auto"/>
          </w:tcPr>
          <w:p w14:paraId="68DC932D" w14:textId="77777777" w:rsidR="009E77D8" w:rsidRPr="009E77D8" w:rsidRDefault="009E77D8" w:rsidP="007E2298">
            <w:pPr>
              <w:jc w:val="center"/>
              <w:rPr>
                <w:bCs/>
                <w:lang w:val="en-US"/>
              </w:rPr>
            </w:pPr>
            <w:r w:rsidRPr="009E77D8">
              <w:rPr>
                <w:bCs/>
                <w:lang w:val="en-US"/>
              </w:rPr>
              <w:t>55</w:t>
            </w:r>
          </w:p>
        </w:tc>
        <w:tc>
          <w:tcPr>
            <w:tcW w:w="1812" w:type="dxa"/>
            <w:tcBorders>
              <w:left w:val="nil"/>
              <w:right w:val="nil"/>
            </w:tcBorders>
            <w:shd w:val="clear" w:color="auto" w:fill="auto"/>
          </w:tcPr>
          <w:p w14:paraId="71070D1F" w14:textId="77777777" w:rsidR="009E77D8" w:rsidRPr="009E77D8" w:rsidRDefault="009E77D8" w:rsidP="007E2298">
            <w:pPr>
              <w:jc w:val="center"/>
              <w:rPr>
                <w:bCs/>
                <w:lang w:val="en-US"/>
              </w:rPr>
            </w:pPr>
            <w:r w:rsidRPr="009E77D8">
              <w:rPr>
                <w:bCs/>
                <w:lang w:val="en-US"/>
              </w:rPr>
              <w:t>165.48</w:t>
            </w:r>
          </w:p>
        </w:tc>
      </w:tr>
    </w:tbl>
    <w:p w14:paraId="32B2493A" w14:textId="77777777" w:rsidR="009E77D8" w:rsidRPr="009E77D8" w:rsidRDefault="009E77D8" w:rsidP="009E77D8">
      <w:pPr>
        <w:jc w:val="both"/>
        <w:rPr>
          <w:b/>
          <w:lang w:val="en-US"/>
        </w:rPr>
      </w:pPr>
    </w:p>
    <w:p w14:paraId="7CAFFD40" w14:textId="77777777" w:rsidR="009E77D8" w:rsidRPr="009E77D8" w:rsidRDefault="009E77D8" w:rsidP="009E77D8">
      <w:pPr>
        <w:jc w:val="both"/>
        <w:rPr>
          <w:i/>
          <w:iCs/>
          <w:lang w:val="en-US"/>
        </w:rPr>
      </w:pPr>
      <w:r w:rsidRPr="009E77D8">
        <w:rPr>
          <w:i/>
          <w:iCs/>
          <w:lang w:val="en-US"/>
        </w:rPr>
        <w:t>Post Hoc Pairwise Comparison</w:t>
      </w:r>
    </w:p>
    <w:p w14:paraId="06936F86" w14:textId="77777777" w:rsidR="009E77D8" w:rsidRPr="009E77D8" w:rsidRDefault="009E77D8" w:rsidP="009E77D8">
      <w:pPr>
        <w:jc w:val="both"/>
        <w:rPr>
          <w:bCs/>
          <w:i/>
          <w:iCs/>
          <w:lang w:val="en-US"/>
        </w:rPr>
      </w:pPr>
      <w:r w:rsidRPr="009E77D8">
        <w:rPr>
          <w:lang w:val="en-US"/>
        </w:rPr>
        <w:t>As Kruskal-Wallis’s test show</w:t>
      </w:r>
      <w:r w:rsidRPr="009E77D8">
        <w:rPr>
          <w:bCs/>
          <w:lang w:val="en-US"/>
        </w:rPr>
        <w:t xml:space="preserve"> that there is a significant difference in financial well-being between employee income classifications, thus, post hoc pairwise comparison</w:t>
      </w:r>
      <w:r w:rsidRPr="009E77D8">
        <w:rPr>
          <w:bCs/>
          <w:i/>
          <w:iCs/>
          <w:lang w:val="en-US"/>
        </w:rPr>
        <w:t xml:space="preserve"> </w:t>
      </w:r>
      <w:r w:rsidRPr="009E77D8">
        <w:rPr>
          <w:bCs/>
          <w:lang w:val="en-US"/>
        </w:rPr>
        <w:t xml:space="preserve">analysis was performed to identify which income class differed. Table 6 shows there is no significant difference between income classifications B40 and M40. However, there is a significant difference between B40 with T20, also M40 with T20.  </w:t>
      </w:r>
    </w:p>
    <w:p w14:paraId="612A111D" w14:textId="77777777" w:rsidR="009E77D8" w:rsidRPr="009E77D8" w:rsidRDefault="009E77D8" w:rsidP="009E77D8">
      <w:pPr>
        <w:jc w:val="both"/>
        <w:rPr>
          <w:b/>
          <w:bCs/>
          <w:lang w:val="en-US"/>
        </w:rPr>
      </w:pPr>
    </w:p>
    <w:p w14:paraId="25DF7089" w14:textId="77777777" w:rsidR="009E77D8" w:rsidRDefault="009E77D8" w:rsidP="007E2298">
      <w:pPr>
        <w:jc w:val="center"/>
        <w:rPr>
          <w:bCs/>
          <w:lang w:val="en-US"/>
        </w:rPr>
      </w:pPr>
      <w:r w:rsidRPr="009E77D8">
        <w:rPr>
          <w:bCs/>
          <w:lang w:val="en-US"/>
        </w:rPr>
        <w:t>Table 6:</w:t>
      </w:r>
      <w:r w:rsidRPr="009E77D8">
        <w:rPr>
          <w:b/>
          <w:lang w:val="en-US"/>
        </w:rPr>
        <w:t xml:space="preserve"> </w:t>
      </w:r>
      <w:r w:rsidRPr="009E77D8">
        <w:rPr>
          <w:bCs/>
          <w:lang w:val="en-US"/>
        </w:rPr>
        <w:t>Pairwise Comparison between Income Classification</w:t>
      </w:r>
    </w:p>
    <w:p w14:paraId="41EBE679" w14:textId="77777777" w:rsidR="007E2298" w:rsidRPr="009E77D8" w:rsidRDefault="007E2298" w:rsidP="007E2298">
      <w:pPr>
        <w:jc w:val="center"/>
        <w:rPr>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616"/>
        <w:gridCol w:w="1843"/>
      </w:tblGrid>
      <w:tr w:rsidR="009E77D8" w:rsidRPr="009E77D8" w14:paraId="74F17392" w14:textId="77777777" w:rsidTr="000A6544">
        <w:trPr>
          <w:jc w:val="center"/>
        </w:trPr>
        <w:tc>
          <w:tcPr>
            <w:tcW w:w="2552" w:type="dxa"/>
            <w:tcBorders>
              <w:left w:val="nil"/>
              <w:right w:val="nil"/>
            </w:tcBorders>
            <w:shd w:val="clear" w:color="auto" w:fill="auto"/>
          </w:tcPr>
          <w:p w14:paraId="07ECF9EF" w14:textId="77777777" w:rsidR="009E77D8" w:rsidRPr="009E77D8" w:rsidRDefault="009E77D8" w:rsidP="007E2298">
            <w:pPr>
              <w:jc w:val="center"/>
              <w:rPr>
                <w:b/>
                <w:sz w:val="20"/>
                <w:szCs w:val="20"/>
                <w:lang w:val="en-US"/>
              </w:rPr>
            </w:pPr>
            <w:r w:rsidRPr="009E77D8">
              <w:rPr>
                <w:b/>
                <w:sz w:val="20"/>
                <w:szCs w:val="20"/>
                <w:lang w:val="en-US"/>
              </w:rPr>
              <w:t>Sample1 – Sample2</w:t>
            </w:r>
          </w:p>
        </w:tc>
        <w:tc>
          <w:tcPr>
            <w:tcW w:w="1616" w:type="dxa"/>
            <w:tcBorders>
              <w:left w:val="nil"/>
              <w:right w:val="nil"/>
            </w:tcBorders>
            <w:shd w:val="clear" w:color="auto" w:fill="auto"/>
          </w:tcPr>
          <w:p w14:paraId="293D0836" w14:textId="77777777" w:rsidR="009E77D8" w:rsidRPr="009E77D8" w:rsidRDefault="009E77D8" w:rsidP="007E2298">
            <w:pPr>
              <w:jc w:val="center"/>
              <w:rPr>
                <w:b/>
                <w:sz w:val="20"/>
                <w:szCs w:val="20"/>
                <w:lang w:val="en-US"/>
              </w:rPr>
            </w:pPr>
            <w:r w:rsidRPr="009E77D8">
              <w:rPr>
                <w:b/>
                <w:i/>
                <w:iCs/>
                <w:sz w:val="20"/>
                <w:szCs w:val="20"/>
                <w:lang w:val="en-US"/>
              </w:rPr>
              <w:t>p</w:t>
            </w:r>
            <w:r w:rsidRPr="009E77D8">
              <w:rPr>
                <w:b/>
                <w:sz w:val="20"/>
                <w:szCs w:val="20"/>
                <w:lang w:val="en-US"/>
              </w:rPr>
              <w:t>-value</w:t>
            </w:r>
          </w:p>
        </w:tc>
        <w:tc>
          <w:tcPr>
            <w:tcW w:w="1843" w:type="dxa"/>
            <w:tcBorders>
              <w:left w:val="nil"/>
              <w:right w:val="nil"/>
            </w:tcBorders>
            <w:shd w:val="clear" w:color="auto" w:fill="auto"/>
          </w:tcPr>
          <w:p w14:paraId="2570D6E9" w14:textId="77777777" w:rsidR="009E77D8" w:rsidRPr="009E77D8" w:rsidRDefault="009E77D8" w:rsidP="007E2298">
            <w:pPr>
              <w:jc w:val="center"/>
              <w:rPr>
                <w:b/>
                <w:sz w:val="20"/>
                <w:szCs w:val="20"/>
                <w:lang w:val="en-US"/>
              </w:rPr>
            </w:pPr>
            <w:r w:rsidRPr="009E77D8">
              <w:rPr>
                <w:b/>
                <w:sz w:val="20"/>
                <w:szCs w:val="20"/>
                <w:lang w:val="en-US"/>
              </w:rPr>
              <w:t>Significant</w:t>
            </w:r>
          </w:p>
        </w:tc>
      </w:tr>
      <w:tr w:rsidR="009E77D8" w:rsidRPr="009E77D8" w14:paraId="39C19944" w14:textId="77777777" w:rsidTr="000A6544">
        <w:trPr>
          <w:jc w:val="center"/>
        </w:trPr>
        <w:tc>
          <w:tcPr>
            <w:tcW w:w="2552" w:type="dxa"/>
            <w:tcBorders>
              <w:left w:val="nil"/>
              <w:right w:val="nil"/>
            </w:tcBorders>
            <w:shd w:val="clear" w:color="auto" w:fill="auto"/>
          </w:tcPr>
          <w:p w14:paraId="6DEB9A74" w14:textId="77777777" w:rsidR="009E77D8" w:rsidRPr="009E77D8" w:rsidRDefault="009E77D8" w:rsidP="007E2298">
            <w:pPr>
              <w:jc w:val="center"/>
              <w:rPr>
                <w:bCs/>
                <w:sz w:val="20"/>
                <w:szCs w:val="20"/>
                <w:lang w:val="en-US"/>
              </w:rPr>
            </w:pPr>
            <w:r w:rsidRPr="009E77D8">
              <w:rPr>
                <w:bCs/>
                <w:sz w:val="20"/>
                <w:szCs w:val="20"/>
                <w:lang w:val="en-US"/>
              </w:rPr>
              <w:t>B40 – M40</w:t>
            </w:r>
          </w:p>
        </w:tc>
        <w:tc>
          <w:tcPr>
            <w:tcW w:w="1616" w:type="dxa"/>
            <w:tcBorders>
              <w:left w:val="nil"/>
              <w:right w:val="nil"/>
            </w:tcBorders>
            <w:shd w:val="clear" w:color="auto" w:fill="auto"/>
          </w:tcPr>
          <w:p w14:paraId="02913C12" w14:textId="77777777" w:rsidR="009E77D8" w:rsidRPr="009E77D8" w:rsidRDefault="009E77D8" w:rsidP="007E2298">
            <w:pPr>
              <w:jc w:val="center"/>
              <w:rPr>
                <w:bCs/>
                <w:sz w:val="20"/>
                <w:szCs w:val="20"/>
                <w:lang w:val="en-US"/>
              </w:rPr>
            </w:pPr>
            <w:r w:rsidRPr="009E77D8">
              <w:rPr>
                <w:bCs/>
                <w:sz w:val="20"/>
                <w:szCs w:val="20"/>
                <w:lang w:val="en-US"/>
              </w:rPr>
              <w:t>0.257</w:t>
            </w:r>
          </w:p>
        </w:tc>
        <w:tc>
          <w:tcPr>
            <w:tcW w:w="1843" w:type="dxa"/>
            <w:tcBorders>
              <w:left w:val="nil"/>
              <w:right w:val="nil"/>
            </w:tcBorders>
            <w:shd w:val="clear" w:color="auto" w:fill="auto"/>
          </w:tcPr>
          <w:p w14:paraId="18BA2F9F" w14:textId="77777777" w:rsidR="009E77D8" w:rsidRPr="009E77D8" w:rsidRDefault="009E77D8" w:rsidP="007E2298">
            <w:pPr>
              <w:jc w:val="center"/>
              <w:rPr>
                <w:bCs/>
                <w:sz w:val="20"/>
                <w:szCs w:val="20"/>
                <w:lang w:val="en-US"/>
              </w:rPr>
            </w:pPr>
          </w:p>
        </w:tc>
      </w:tr>
      <w:tr w:rsidR="009E77D8" w:rsidRPr="009E77D8" w14:paraId="68EB03F3" w14:textId="77777777" w:rsidTr="000A6544">
        <w:trPr>
          <w:jc w:val="center"/>
        </w:trPr>
        <w:tc>
          <w:tcPr>
            <w:tcW w:w="2552" w:type="dxa"/>
            <w:tcBorders>
              <w:left w:val="nil"/>
              <w:right w:val="nil"/>
            </w:tcBorders>
            <w:shd w:val="clear" w:color="auto" w:fill="auto"/>
          </w:tcPr>
          <w:p w14:paraId="5321A084" w14:textId="77777777" w:rsidR="009E77D8" w:rsidRPr="009E77D8" w:rsidRDefault="009E77D8" w:rsidP="007E2298">
            <w:pPr>
              <w:jc w:val="center"/>
              <w:rPr>
                <w:bCs/>
                <w:sz w:val="20"/>
                <w:szCs w:val="20"/>
                <w:lang w:val="en-US"/>
              </w:rPr>
            </w:pPr>
            <w:r w:rsidRPr="009E77D8">
              <w:rPr>
                <w:bCs/>
                <w:sz w:val="20"/>
                <w:szCs w:val="20"/>
                <w:lang w:val="en-US"/>
              </w:rPr>
              <w:t>B40 – T20</w:t>
            </w:r>
          </w:p>
        </w:tc>
        <w:tc>
          <w:tcPr>
            <w:tcW w:w="1616" w:type="dxa"/>
            <w:tcBorders>
              <w:left w:val="nil"/>
              <w:right w:val="nil"/>
            </w:tcBorders>
            <w:shd w:val="clear" w:color="auto" w:fill="auto"/>
          </w:tcPr>
          <w:p w14:paraId="4C17C77C" w14:textId="77777777" w:rsidR="009E77D8" w:rsidRPr="009E77D8" w:rsidRDefault="009E77D8" w:rsidP="007E2298">
            <w:pPr>
              <w:jc w:val="center"/>
              <w:rPr>
                <w:bCs/>
                <w:sz w:val="20"/>
                <w:szCs w:val="20"/>
                <w:lang w:val="en-US"/>
              </w:rPr>
            </w:pPr>
            <w:r w:rsidRPr="009E77D8">
              <w:rPr>
                <w:bCs/>
                <w:sz w:val="20"/>
                <w:szCs w:val="20"/>
                <w:lang w:val="en-US"/>
              </w:rPr>
              <w:t>0.000</w:t>
            </w:r>
          </w:p>
        </w:tc>
        <w:tc>
          <w:tcPr>
            <w:tcW w:w="1843" w:type="dxa"/>
            <w:tcBorders>
              <w:left w:val="nil"/>
              <w:right w:val="nil"/>
            </w:tcBorders>
            <w:shd w:val="clear" w:color="auto" w:fill="auto"/>
          </w:tcPr>
          <w:p w14:paraId="474CD097" w14:textId="77777777" w:rsidR="009E77D8" w:rsidRPr="009E77D8" w:rsidRDefault="009E77D8" w:rsidP="007E2298">
            <w:pPr>
              <w:jc w:val="center"/>
              <w:rPr>
                <w:bCs/>
                <w:sz w:val="20"/>
                <w:szCs w:val="20"/>
                <w:lang w:val="en-US"/>
              </w:rPr>
            </w:pPr>
            <w:r w:rsidRPr="009E77D8">
              <w:rPr>
                <w:bCs/>
                <w:sz w:val="20"/>
                <w:szCs w:val="20"/>
                <w:lang w:val="en-US"/>
              </w:rPr>
              <w:t>***</w:t>
            </w:r>
          </w:p>
        </w:tc>
      </w:tr>
      <w:tr w:rsidR="009E77D8" w:rsidRPr="009E77D8" w14:paraId="6439F0F5" w14:textId="77777777" w:rsidTr="000A6544">
        <w:trPr>
          <w:jc w:val="center"/>
        </w:trPr>
        <w:tc>
          <w:tcPr>
            <w:tcW w:w="2552" w:type="dxa"/>
            <w:tcBorders>
              <w:left w:val="nil"/>
              <w:bottom w:val="single" w:sz="4" w:space="0" w:color="auto"/>
              <w:right w:val="nil"/>
            </w:tcBorders>
            <w:shd w:val="clear" w:color="auto" w:fill="auto"/>
          </w:tcPr>
          <w:p w14:paraId="1B036BFA" w14:textId="77777777" w:rsidR="009E77D8" w:rsidRPr="009E77D8" w:rsidRDefault="009E77D8" w:rsidP="007E2298">
            <w:pPr>
              <w:jc w:val="center"/>
              <w:rPr>
                <w:bCs/>
                <w:sz w:val="20"/>
                <w:szCs w:val="20"/>
                <w:lang w:val="en-US"/>
              </w:rPr>
            </w:pPr>
            <w:r w:rsidRPr="009E77D8">
              <w:rPr>
                <w:bCs/>
                <w:sz w:val="20"/>
                <w:szCs w:val="20"/>
                <w:lang w:val="en-US"/>
              </w:rPr>
              <w:t>T20 – M40</w:t>
            </w:r>
          </w:p>
        </w:tc>
        <w:tc>
          <w:tcPr>
            <w:tcW w:w="1616" w:type="dxa"/>
            <w:tcBorders>
              <w:left w:val="nil"/>
              <w:bottom w:val="single" w:sz="4" w:space="0" w:color="auto"/>
              <w:right w:val="nil"/>
            </w:tcBorders>
            <w:shd w:val="clear" w:color="auto" w:fill="auto"/>
          </w:tcPr>
          <w:p w14:paraId="6D522278" w14:textId="77777777" w:rsidR="009E77D8" w:rsidRPr="009E77D8" w:rsidRDefault="009E77D8" w:rsidP="007E2298">
            <w:pPr>
              <w:jc w:val="center"/>
              <w:rPr>
                <w:bCs/>
                <w:sz w:val="20"/>
                <w:szCs w:val="20"/>
                <w:lang w:val="en-US"/>
              </w:rPr>
            </w:pPr>
            <w:r w:rsidRPr="009E77D8">
              <w:rPr>
                <w:bCs/>
                <w:sz w:val="20"/>
                <w:szCs w:val="20"/>
                <w:lang w:val="en-US"/>
              </w:rPr>
              <w:t>0.012</w:t>
            </w:r>
          </w:p>
        </w:tc>
        <w:tc>
          <w:tcPr>
            <w:tcW w:w="1843" w:type="dxa"/>
            <w:tcBorders>
              <w:left w:val="nil"/>
              <w:bottom w:val="single" w:sz="4" w:space="0" w:color="auto"/>
              <w:right w:val="nil"/>
            </w:tcBorders>
            <w:shd w:val="clear" w:color="auto" w:fill="auto"/>
          </w:tcPr>
          <w:p w14:paraId="03014ED5" w14:textId="77777777" w:rsidR="009E77D8" w:rsidRPr="009E77D8" w:rsidRDefault="009E77D8" w:rsidP="007E2298">
            <w:pPr>
              <w:jc w:val="center"/>
              <w:rPr>
                <w:bCs/>
                <w:sz w:val="20"/>
                <w:szCs w:val="20"/>
                <w:lang w:val="en-US"/>
              </w:rPr>
            </w:pPr>
            <w:r w:rsidRPr="009E77D8">
              <w:rPr>
                <w:bCs/>
                <w:sz w:val="20"/>
                <w:szCs w:val="20"/>
                <w:lang w:val="en-US"/>
              </w:rPr>
              <w:t>***</w:t>
            </w:r>
          </w:p>
        </w:tc>
      </w:tr>
      <w:tr w:rsidR="009E77D8" w:rsidRPr="009E77D8" w14:paraId="61331083" w14:textId="77777777" w:rsidTr="000A6544">
        <w:trPr>
          <w:jc w:val="center"/>
        </w:trPr>
        <w:tc>
          <w:tcPr>
            <w:tcW w:w="6011" w:type="dxa"/>
            <w:gridSpan w:val="3"/>
            <w:tcBorders>
              <w:left w:val="nil"/>
              <w:bottom w:val="nil"/>
              <w:right w:val="nil"/>
            </w:tcBorders>
            <w:shd w:val="clear" w:color="auto" w:fill="auto"/>
          </w:tcPr>
          <w:p w14:paraId="1DDDCDF6" w14:textId="77777777" w:rsidR="009E77D8" w:rsidRPr="009E77D8" w:rsidRDefault="009E77D8" w:rsidP="009E77D8">
            <w:pPr>
              <w:jc w:val="both"/>
              <w:rPr>
                <w:bCs/>
                <w:sz w:val="20"/>
                <w:szCs w:val="20"/>
                <w:lang w:val="en-US"/>
              </w:rPr>
            </w:pPr>
            <w:r w:rsidRPr="009E77D8">
              <w:rPr>
                <w:bCs/>
                <w:sz w:val="20"/>
                <w:szCs w:val="20"/>
                <w:lang w:val="en-US"/>
              </w:rPr>
              <w:t>Significant Code: 0 '***' 0.001 '**' 0.01 '*' 0.05 '.’  0.1 ‘ ’  1</w:t>
            </w:r>
          </w:p>
        </w:tc>
      </w:tr>
    </w:tbl>
    <w:p w14:paraId="2E73A50F" w14:textId="77777777" w:rsidR="009E77D8" w:rsidRDefault="009E77D8">
      <w:pPr>
        <w:jc w:val="both"/>
      </w:pPr>
    </w:p>
    <w:p w14:paraId="1B22175D" w14:textId="5F421AED" w:rsidR="00011399" w:rsidRDefault="007E2298">
      <w:pPr>
        <w:jc w:val="both"/>
      </w:pPr>
      <w:r>
        <w:rPr>
          <w:b/>
        </w:rPr>
        <w:t>Conclusion</w:t>
      </w:r>
      <w:r w:rsidR="00B67BAF">
        <w:t xml:space="preserve"> </w:t>
      </w:r>
    </w:p>
    <w:p w14:paraId="1BF6048A" w14:textId="77777777" w:rsidR="007E2298" w:rsidRDefault="007E2298" w:rsidP="007E2298">
      <w:pPr>
        <w:jc w:val="both"/>
        <w:rPr>
          <w:lang w:val="en-US"/>
        </w:rPr>
      </w:pPr>
      <w:r w:rsidRPr="007E2298">
        <w:rPr>
          <w:lang w:val="en-US"/>
        </w:rPr>
        <w:t xml:space="preserve">The objective of this research is to differentiate the significance of income classifications in one's financial sustainability. To complete the objective, Kruskal-Wallis test was used to compare the mean of income classification towards financial well-being. The Kruskal-Wallis test was used instead of ANOVA test because there are 2 assumptions of ANOVA test that the researchers did not meet: normality and equal variance. There is enough evidence to prove that income classification significantly affects financial well-being. Post Hoc test was conducted by the analysts to study which income classification has a significant difference with each other. The results mentioned that M40 and T20 pair and B40 and T20 significantly differ in financial well-being. The finding parallels Mahdzan et al. (2020) which suggests B40 people have lower financial well-being than T20 people. The author also indicated that T20 households only have a moderately higher financial well-being than the M40 people. The same author also stated a positive association between income classification and their level of satisfaction in finances. Therefore, the most affected group is B40 because of the financial downturn. </w:t>
      </w:r>
    </w:p>
    <w:p w14:paraId="439FA2D6" w14:textId="77777777" w:rsidR="00211945" w:rsidRDefault="00211945" w:rsidP="007E2298">
      <w:pPr>
        <w:jc w:val="both"/>
        <w:rPr>
          <w:lang w:val="en-US"/>
        </w:rPr>
      </w:pPr>
    </w:p>
    <w:p w14:paraId="75E4FB32" w14:textId="6834D031" w:rsidR="00211945" w:rsidRPr="007E2298" w:rsidRDefault="00211945" w:rsidP="007E2298">
      <w:pPr>
        <w:jc w:val="both"/>
        <w:rPr>
          <w:b/>
          <w:bCs/>
          <w:lang w:val="en-US"/>
        </w:rPr>
      </w:pPr>
      <w:r w:rsidRPr="00211945">
        <w:rPr>
          <w:b/>
          <w:bCs/>
          <w:lang w:val="en-US"/>
        </w:rPr>
        <w:t>Recommendation</w:t>
      </w:r>
    </w:p>
    <w:p w14:paraId="001A418F" w14:textId="77777777" w:rsidR="007E2298" w:rsidRPr="007E2298" w:rsidRDefault="007E2298" w:rsidP="007E2298">
      <w:pPr>
        <w:ind w:firstLine="720"/>
        <w:jc w:val="both"/>
        <w:rPr>
          <w:lang w:val="en-US"/>
        </w:rPr>
      </w:pPr>
      <w:r w:rsidRPr="007E2298">
        <w:rPr>
          <w:lang w:val="en-US"/>
        </w:rPr>
        <w:t xml:space="preserve">KWSP (2021) mentioned that EPF savings could ensure members' retirement well-being. According to MyPF (2022), Malaysians must save around RM240,000 before retiring at 55 to cover requirements such as food and expenses. Despite that, Salim (2022) reported RM 101 billion had been spent by about half of EPF members to survive during the pandemic. To rebuild EPF savings, the members need to serve as employees for about 4 to 6 years. Thus, i-Saraan was recommended in this research. KWSP (2021) has introduced the Voluntary Contribution with Retirement Incentive (i-Saraan), which enables freelance EPF members who do not generate regular earnings to make a self-voluntary contribution to their EPF savings while gaining additional government contributions. A few conditions need to be met for individuals to apply i-Saraan, which are the applicants need to be Malaysian citizens, registered EPF members, choose to contribute to i-Saraan, are below the age of 60 and be freelancers. One benefit for the members is that they will get an EPF death benefit of up to RM2500. As stated in Bajet (2022), i-Saraan will give the members an additional special incentive of 15% up to a maximum of RM250 per year. </w:t>
      </w:r>
    </w:p>
    <w:p w14:paraId="098CE3D3" w14:textId="77777777" w:rsidR="00011399" w:rsidRDefault="00011399">
      <w:pPr>
        <w:jc w:val="both"/>
      </w:pPr>
    </w:p>
    <w:p w14:paraId="374B1162" w14:textId="77777777" w:rsidR="00011399" w:rsidRDefault="00B67BAF">
      <w:pPr>
        <w:rPr>
          <w:i/>
        </w:rPr>
      </w:pPr>
      <w:r>
        <w:tab/>
      </w:r>
    </w:p>
    <w:p w14:paraId="54DD4B46" w14:textId="323BBF2A" w:rsidR="00011399" w:rsidRDefault="00B67BAF">
      <w:pPr>
        <w:jc w:val="both"/>
        <w:rPr>
          <w:b/>
        </w:rPr>
      </w:pPr>
      <w:r>
        <w:rPr>
          <w:b/>
          <w:i/>
        </w:rPr>
        <w:lastRenderedPageBreak/>
        <w:t>Ethical Approval</w:t>
      </w:r>
      <w:r>
        <w:t xml:space="preserve">: Ethical approval for this study was granted by the </w:t>
      </w:r>
      <w:r w:rsidR="00255A3A">
        <w:t xml:space="preserve">UiTM Research </w:t>
      </w:r>
      <w:r>
        <w:t>Ethics Committee with protocol code:</w:t>
      </w:r>
      <w:r w:rsidR="00211945">
        <w:t xml:space="preserve"> REC/318/2022 an</w:t>
      </w:r>
      <w:r>
        <w:t xml:space="preserve">d date of approval: </w:t>
      </w:r>
      <w:r w:rsidR="00211945">
        <w:t>5 April 2022</w:t>
      </w:r>
      <w:r>
        <w:t>.</w:t>
      </w:r>
    </w:p>
    <w:p w14:paraId="489DA255" w14:textId="77777777" w:rsidR="00011399" w:rsidRDefault="00011399">
      <w:pPr>
        <w:jc w:val="both"/>
        <w:rPr>
          <w:i/>
        </w:rPr>
      </w:pPr>
    </w:p>
    <w:p w14:paraId="626971EA" w14:textId="638855EC" w:rsidR="00011399" w:rsidRDefault="00B67BAF">
      <w:pPr>
        <w:jc w:val="both"/>
      </w:pPr>
      <w:r>
        <w:rPr>
          <w:b/>
          <w:i/>
        </w:rPr>
        <w:t>Informed Consent Statement:</w:t>
      </w:r>
      <w:r>
        <w:rPr>
          <w:b/>
        </w:rPr>
        <w:t xml:space="preserve"> </w:t>
      </w:r>
      <w:r>
        <w:t xml:space="preserve">Informed consent was obtained from all subjects involved in the study. </w:t>
      </w:r>
    </w:p>
    <w:p w14:paraId="02441273" w14:textId="77777777" w:rsidR="00011399" w:rsidRDefault="00011399">
      <w:pPr>
        <w:jc w:val="both"/>
        <w:rPr>
          <w:b/>
        </w:rPr>
      </w:pPr>
    </w:p>
    <w:p w14:paraId="08848399" w14:textId="56C534DF" w:rsidR="00011399" w:rsidRDefault="00B67BAF">
      <w:pPr>
        <w:jc w:val="both"/>
        <w:rPr>
          <w:b/>
        </w:rPr>
      </w:pPr>
      <w:r>
        <w:rPr>
          <w:b/>
          <w:i/>
        </w:rPr>
        <w:t>Conflicts of Interest:</w:t>
      </w:r>
      <w:r>
        <w:rPr>
          <w:b/>
        </w:rPr>
        <w:t xml:space="preserve"> </w:t>
      </w:r>
      <w:r>
        <w:t>The authors declare no conflict of interest.</w:t>
      </w:r>
    </w:p>
    <w:p w14:paraId="5EB93270" w14:textId="77777777" w:rsidR="00011399" w:rsidRDefault="00011399">
      <w:pPr>
        <w:jc w:val="both"/>
        <w:rPr>
          <w:i/>
        </w:rPr>
      </w:pPr>
    </w:p>
    <w:p w14:paraId="01D0E9D1" w14:textId="77777777" w:rsidR="00011399" w:rsidRDefault="00B67BAF">
      <w:pPr>
        <w:jc w:val="both"/>
        <w:rPr>
          <w:b/>
        </w:rPr>
      </w:pPr>
      <w:r>
        <w:rPr>
          <w:b/>
        </w:rPr>
        <w:t xml:space="preserve">References </w:t>
      </w:r>
    </w:p>
    <w:p w14:paraId="1B8932B6"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Abd. Rahim, H., &amp; Samad, M. (2012, 01). Financial well-being among main ethnicities in Malaysia. Malaysian Journal of Consumer and Family Economics, 15, 71-84.</w:t>
      </w:r>
    </w:p>
    <w:p w14:paraId="796B3798"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Alexopoulos, E. C. (2010). Introduction to multivariate regression analysis. Hippokratia, 14(Suppl 1), 23.</w:t>
      </w:r>
    </w:p>
    <w:p w14:paraId="2140CD5D"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Bajet. (2022). I-saraan. Retrieved from https://budget.mof.gov.my/manfaat/faq/ isaraan.html</w:t>
      </w:r>
    </w:p>
    <w:p w14:paraId="4E132819"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 xml:space="preserve">Bruggen, E. C., Hogreve, J., Holmlund, M., Kabadayi, S., &amp; Lofgren, M. (2017). Financial well-being: A conceptualization and research agenda. </w:t>
      </w:r>
      <w:r w:rsidRPr="00211945">
        <w:rPr>
          <w:rFonts w:ascii="Times" w:eastAsia="Times" w:hAnsi="Times" w:cs="Times"/>
          <w:i/>
          <w:iCs/>
          <w:color w:val="202124"/>
          <w:highlight w:val="white"/>
          <w:lang w:val="en-US"/>
        </w:rPr>
        <w:t>Journal of Business Research</w:t>
      </w:r>
      <w:r w:rsidRPr="00211945">
        <w:rPr>
          <w:rFonts w:ascii="Times" w:eastAsia="Times" w:hAnsi="Times" w:cs="Times"/>
          <w:color w:val="202124"/>
          <w:highlight w:val="white"/>
          <w:lang w:val="en-US"/>
        </w:rPr>
        <w:t>, 79, 228–237.</w:t>
      </w:r>
    </w:p>
    <w:p w14:paraId="4FF63394" w14:textId="77777777" w:rsidR="00211945" w:rsidRPr="00211945" w:rsidRDefault="00211945" w:rsidP="00211945">
      <w:pPr>
        <w:ind w:left="567" w:hanging="567"/>
        <w:jc w:val="both"/>
        <w:rPr>
          <w:rFonts w:ascii="Times" w:eastAsia="Times" w:hAnsi="Times" w:cs="Times"/>
          <w:color w:val="202124"/>
          <w:highlight w:val="white"/>
          <w:u w:val="single"/>
          <w:lang w:val="en-US"/>
        </w:rPr>
      </w:pPr>
      <w:r w:rsidRPr="00211945">
        <w:rPr>
          <w:rFonts w:ascii="Times" w:eastAsia="Times" w:hAnsi="Times" w:cs="Times"/>
          <w:color w:val="202124"/>
          <w:highlight w:val="white"/>
          <w:u w:val="single"/>
          <w:lang w:val="en-US"/>
        </w:rPr>
        <w:t xml:space="preserve">Delafrooz, N., &amp; Paim, L. H. (2011). Determinants of financial wellness among Malaysia workers. </w:t>
      </w:r>
      <w:r w:rsidRPr="00211945">
        <w:rPr>
          <w:rFonts w:ascii="Times" w:eastAsia="Times" w:hAnsi="Times" w:cs="Times"/>
          <w:i/>
          <w:iCs/>
          <w:color w:val="202124"/>
          <w:highlight w:val="white"/>
          <w:u w:val="single"/>
          <w:lang w:val="en-US"/>
        </w:rPr>
        <w:t>African Journal of Business Management</w:t>
      </w:r>
      <w:r w:rsidRPr="00211945">
        <w:rPr>
          <w:rFonts w:ascii="Times" w:eastAsia="Times" w:hAnsi="Times" w:cs="Times"/>
          <w:color w:val="202124"/>
          <w:highlight w:val="white"/>
          <w:u w:val="single"/>
          <w:lang w:val="en-US"/>
        </w:rPr>
        <w:t>, 5(24), 10092–10100.</w:t>
      </w:r>
    </w:p>
    <w:p w14:paraId="33258F35"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 xml:space="preserve">DeVaney, S. A. (1994). The usefulness of financial ratios as predictors of household insolvency: Two perspectives. </w:t>
      </w:r>
      <w:r w:rsidRPr="00211945">
        <w:rPr>
          <w:rFonts w:ascii="Times" w:eastAsia="Times" w:hAnsi="Times" w:cs="Times"/>
          <w:i/>
          <w:iCs/>
          <w:color w:val="202124"/>
          <w:highlight w:val="white"/>
          <w:lang w:val="en-US"/>
        </w:rPr>
        <w:t>Financial Counseling and Planning</w:t>
      </w:r>
      <w:r w:rsidRPr="00211945">
        <w:rPr>
          <w:rFonts w:ascii="Times" w:eastAsia="Times" w:hAnsi="Times" w:cs="Times"/>
          <w:color w:val="202124"/>
          <w:highlight w:val="white"/>
          <w:lang w:val="en-US"/>
        </w:rPr>
        <w:t>, 5(1), 5–24.</w:t>
      </w:r>
    </w:p>
    <w:p w14:paraId="42F3A0F2" w14:textId="77777777" w:rsidR="00211945" w:rsidRPr="00211945" w:rsidRDefault="00211945" w:rsidP="00211945">
      <w:pPr>
        <w:ind w:left="567" w:hanging="567"/>
        <w:jc w:val="both"/>
        <w:rPr>
          <w:rFonts w:ascii="Times" w:eastAsia="Times" w:hAnsi="Times" w:cs="Times"/>
          <w:color w:val="202124"/>
          <w:highlight w:val="white"/>
          <w:u w:val="single"/>
          <w:lang w:val="en-US"/>
        </w:rPr>
      </w:pPr>
      <w:r w:rsidRPr="00211945">
        <w:rPr>
          <w:rFonts w:ascii="Times" w:eastAsia="Times" w:hAnsi="Times" w:cs="Times"/>
          <w:color w:val="202124"/>
          <w:highlight w:val="white"/>
          <w:lang w:val="en-US"/>
        </w:rPr>
        <w:t>DOSM (2021), Household Income Estimates and Incidence of Poverty Report, Malaysia, 2020 https://www.dosm.gov.my/v1/index.php?r=column/cthemeByCat&amp;cat=493&amp;bul_id=VTNHRkdiZkFzenBNd1Y1dmg2UUlrZz09&amp;menu_id=amVoWU54UTl0a21NWmdhMjFMMWcyZz09</w:t>
      </w:r>
    </w:p>
    <w:p w14:paraId="177242B3"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 xml:space="preserve">Ferrer-i Carbonell, A., Frijters, P., &amp; Van praag, B. (2003, 02). The anatomy of subjective well-being. </w:t>
      </w:r>
      <w:r w:rsidRPr="00211945">
        <w:rPr>
          <w:rFonts w:ascii="Times" w:eastAsia="Times" w:hAnsi="Times" w:cs="Times"/>
          <w:i/>
          <w:iCs/>
          <w:color w:val="202124"/>
          <w:highlight w:val="white"/>
          <w:lang w:val="en-US"/>
        </w:rPr>
        <w:t>Journal of Economic Behavior Organization</w:t>
      </w:r>
      <w:r w:rsidRPr="00211945">
        <w:rPr>
          <w:rFonts w:ascii="Times" w:eastAsia="Times" w:hAnsi="Times" w:cs="Times"/>
          <w:color w:val="202124"/>
          <w:highlight w:val="white"/>
          <w:lang w:val="en-US"/>
        </w:rPr>
        <w:t>, 51, 29-49. doi: 10.1016/ S0167-2681(02)00140-3</w:t>
      </w:r>
    </w:p>
    <w:p w14:paraId="15759E41"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FMT Reporters, f. (2021, Dec). More than 11,000 declared bankrupt since pandemic began. FMT.</w:t>
      </w:r>
    </w:p>
    <w:p w14:paraId="5C44D331" w14:textId="77777777" w:rsidR="00211945" w:rsidRPr="00211945" w:rsidRDefault="00211945" w:rsidP="00211945">
      <w:pPr>
        <w:ind w:left="567" w:hanging="567"/>
        <w:jc w:val="both"/>
        <w:rPr>
          <w:rFonts w:ascii="Times" w:eastAsia="Times" w:hAnsi="Times" w:cs="Times"/>
          <w:color w:val="202124"/>
          <w:highlight w:val="white"/>
          <w:u w:val="single"/>
          <w:lang w:val="en-US"/>
        </w:rPr>
      </w:pPr>
      <w:r w:rsidRPr="00211945">
        <w:rPr>
          <w:rFonts w:ascii="Times" w:eastAsia="Times" w:hAnsi="Times" w:cs="Times"/>
          <w:color w:val="202124"/>
          <w:highlight w:val="white"/>
          <w:u w:val="single"/>
          <w:lang w:val="en-US"/>
        </w:rPr>
        <w:t xml:space="preserve">Gerrans, P., Speelman, C., &amp; Campitelli, G. (2014). The relationship between personal financial wellness and financial wellbeing: A structural equation modelling approach. </w:t>
      </w:r>
      <w:r w:rsidRPr="00211945">
        <w:rPr>
          <w:rFonts w:ascii="Times" w:eastAsia="Times" w:hAnsi="Times" w:cs="Times"/>
          <w:i/>
          <w:iCs/>
          <w:color w:val="202124"/>
          <w:highlight w:val="white"/>
          <w:u w:val="single"/>
          <w:lang w:val="en-US"/>
        </w:rPr>
        <w:t>Journal of Family and Economic Issues</w:t>
      </w:r>
      <w:r w:rsidRPr="00211945">
        <w:rPr>
          <w:rFonts w:ascii="Times" w:eastAsia="Times" w:hAnsi="Times" w:cs="Times"/>
          <w:color w:val="202124"/>
          <w:highlight w:val="white"/>
          <w:u w:val="single"/>
          <w:lang w:val="en-US"/>
        </w:rPr>
        <w:t>, 35(2), 145–160.</w:t>
      </w:r>
    </w:p>
    <w:p w14:paraId="5766E5C0"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 xml:space="preserve">Greimel-Fuhrmann, B., &amp; Silgoner, M. (2018). Analyzing the gender gap in financial literacy. </w:t>
      </w:r>
      <w:r w:rsidRPr="00211945">
        <w:rPr>
          <w:rFonts w:ascii="Times" w:eastAsia="Times" w:hAnsi="Times" w:cs="Times"/>
          <w:i/>
          <w:iCs/>
          <w:color w:val="202124"/>
          <w:highlight w:val="white"/>
          <w:lang w:val="en-US"/>
        </w:rPr>
        <w:t>International Journal for Infonomics</w:t>
      </w:r>
      <w:r w:rsidRPr="00211945">
        <w:rPr>
          <w:rFonts w:ascii="Times" w:eastAsia="Times" w:hAnsi="Times" w:cs="Times"/>
          <w:color w:val="202124"/>
          <w:highlight w:val="white"/>
          <w:lang w:val="en-US"/>
        </w:rPr>
        <w:t xml:space="preserve"> </w:t>
      </w:r>
      <w:r w:rsidRPr="00211945">
        <w:rPr>
          <w:rFonts w:ascii="Times" w:eastAsia="Times" w:hAnsi="Times" w:cs="Times"/>
          <w:i/>
          <w:iCs/>
          <w:color w:val="202124"/>
          <w:highlight w:val="white"/>
          <w:lang w:val="en-US"/>
        </w:rPr>
        <w:t>(IJI)</w:t>
      </w:r>
      <w:r w:rsidRPr="00211945">
        <w:rPr>
          <w:rFonts w:ascii="Times" w:eastAsia="Times" w:hAnsi="Times" w:cs="Times"/>
          <w:color w:val="202124"/>
          <w:highlight w:val="white"/>
          <w:lang w:val="en-US"/>
        </w:rPr>
        <w:t>, 11(3), 1779–1787.</w:t>
      </w:r>
    </w:p>
    <w:p w14:paraId="2188E69F"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 xml:space="preserve">Haryanto, T. (2020). Covid-19 pandemic and international tourism demand. </w:t>
      </w:r>
      <w:r w:rsidRPr="00211945">
        <w:rPr>
          <w:rFonts w:ascii="Times" w:eastAsia="Times" w:hAnsi="Times" w:cs="Times"/>
          <w:i/>
          <w:iCs/>
          <w:color w:val="202124"/>
          <w:highlight w:val="white"/>
          <w:lang w:val="en-US"/>
        </w:rPr>
        <w:t>Journal of Developing Economies (JDE)</w:t>
      </w:r>
      <w:r w:rsidRPr="00211945">
        <w:rPr>
          <w:rFonts w:ascii="Times" w:eastAsia="Times" w:hAnsi="Times" w:cs="Times"/>
          <w:color w:val="202124"/>
          <w:highlight w:val="white"/>
          <w:lang w:val="en-US"/>
        </w:rPr>
        <w:t>, 5(1), 1–5.</w:t>
      </w:r>
    </w:p>
    <w:p w14:paraId="1C041C82" w14:textId="77777777" w:rsidR="00211945" w:rsidRPr="00211945" w:rsidRDefault="00211945" w:rsidP="00211945">
      <w:pPr>
        <w:ind w:left="567" w:hanging="567"/>
        <w:jc w:val="both"/>
        <w:rPr>
          <w:rFonts w:ascii="Times" w:eastAsia="Times" w:hAnsi="Times" w:cs="Times"/>
          <w:color w:val="202124"/>
          <w:highlight w:val="white"/>
          <w:u w:val="single"/>
          <w:lang w:val="en-US"/>
        </w:rPr>
      </w:pPr>
      <w:r w:rsidRPr="00211945">
        <w:rPr>
          <w:rFonts w:ascii="Times" w:eastAsia="Times" w:hAnsi="Times" w:cs="Times"/>
          <w:color w:val="202124"/>
          <w:highlight w:val="white"/>
          <w:u w:val="single"/>
          <w:lang w:val="en-US"/>
        </w:rPr>
        <w:t>Joo, S. (2008). Personal financial wellness. in handbook of consumer finance research. Springer New York.</w:t>
      </w:r>
    </w:p>
    <w:p w14:paraId="64C66A49"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 xml:space="preserve">Kamakia, M. G., Mwangi, C. I., &amp; Mwangi, M. (2017). Financial literacy and financial wellbeing of public sector employees: A critical literature review. </w:t>
      </w:r>
      <w:r w:rsidRPr="00211945">
        <w:rPr>
          <w:rFonts w:ascii="Times" w:eastAsia="Times" w:hAnsi="Times" w:cs="Times"/>
          <w:i/>
          <w:iCs/>
          <w:color w:val="202124"/>
          <w:highlight w:val="white"/>
          <w:lang w:val="en-US"/>
        </w:rPr>
        <w:t>European Scientific Journal</w:t>
      </w:r>
      <w:r w:rsidRPr="00211945">
        <w:rPr>
          <w:rFonts w:ascii="Times" w:eastAsia="Times" w:hAnsi="Times" w:cs="Times"/>
          <w:color w:val="202124"/>
          <w:highlight w:val="white"/>
          <w:lang w:val="en-US"/>
        </w:rPr>
        <w:t>, 13(16), 233–249.</w:t>
      </w:r>
    </w:p>
    <w:p w14:paraId="2AE8622A"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KWSP. (2021). Retrieved from https://www.kwsp.gov.my/member/contribution/ i-saraan</w:t>
      </w:r>
    </w:p>
    <w:p w14:paraId="300AB176" w14:textId="77777777" w:rsidR="00211945" w:rsidRPr="00211945" w:rsidRDefault="00211945" w:rsidP="00211945">
      <w:pPr>
        <w:ind w:left="567" w:hanging="567"/>
        <w:jc w:val="both"/>
        <w:rPr>
          <w:rFonts w:ascii="Times" w:eastAsia="Times" w:hAnsi="Times" w:cs="Times"/>
          <w:color w:val="202124"/>
          <w:highlight w:val="white"/>
          <w:u w:val="single"/>
          <w:lang w:val="en-US"/>
        </w:rPr>
      </w:pPr>
      <w:r w:rsidRPr="00211945">
        <w:rPr>
          <w:rFonts w:ascii="Times" w:eastAsia="Times" w:hAnsi="Times" w:cs="Times"/>
          <w:color w:val="202124"/>
          <w:highlight w:val="white"/>
          <w:u w:val="single"/>
          <w:lang w:val="en-US"/>
        </w:rPr>
        <w:t xml:space="preserve">Lee, E. (2021, Jul). The state of the nation: Bankruptcy and winding-up cases continued declining trend in 2020. Retrieved from </w:t>
      </w:r>
      <w:hyperlink r:id="rId9" w:history="1">
        <w:r w:rsidRPr="00211945">
          <w:rPr>
            <w:rStyle w:val="Hyperlink"/>
            <w:rFonts w:ascii="Times" w:eastAsia="Times" w:hAnsi="Times" w:cs="Times"/>
            <w:highlight w:val="white"/>
            <w:lang w:val="en-US"/>
          </w:rPr>
          <w:t>https://www.theedgemarkets.com/article/state-nation-bankruptcy-and-windingup-cases-continued</w:t>
        </w:r>
      </w:hyperlink>
    </w:p>
    <w:p w14:paraId="2546CB4B"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Luhrmann, M., Serra-Garcia, M., &amp; Winter, J. (2013). The effects of financial literacy training: Evidence from a field experiment in German high schools. Beitrage zur Jahrestagung des Vereins fur Socio-political.</w:t>
      </w:r>
    </w:p>
    <w:p w14:paraId="27F1C467"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 xml:space="preserve">Mahdzan, N. S., Zainudin, R., Abd Sukor, M. E., Zainir, F., &amp; Ahmad, W. M. W. (2020). An exploratory study of financial well-being among Malaysian households. </w:t>
      </w:r>
      <w:r w:rsidRPr="00211945">
        <w:rPr>
          <w:rFonts w:ascii="Times" w:eastAsia="Times" w:hAnsi="Times" w:cs="Times"/>
          <w:i/>
          <w:iCs/>
          <w:color w:val="202124"/>
          <w:highlight w:val="white"/>
          <w:lang w:val="en-US"/>
        </w:rPr>
        <w:t>Journal of Asian Business and Economic Studies</w:t>
      </w:r>
      <w:r w:rsidRPr="00211945">
        <w:rPr>
          <w:rFonts w:ascii="Times" w:eastAsia="Times" w:hAnsi="Times" w:cs="Times"/>
          <w:color w:val="202124"/>
          <w:highlight w:val="white"/>
          <w:lang w:val="en-US"/>
        </w:rPr>
        <w:t>.</w:t>
      </w:r>
    </w:p>
    <w:p w14:paraId="01087A30"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 xml:space="preserve">Mokhtar, N., Husniyah, A., Sabri, M., &amp; Talib, M. A. (2015). Financial well-being among public employees in Malaysia: A preliminary study. </w:t>
      </w:r>
      <w:r w:rsidRPr="00211945">
        <w:rPr>
          <w:rFonts w:ascii="Times" w:eastAsia="Times" w:hAnsi="Times" w:cs="Times"/>
          <w:i/>
          <w:iCs/>
          <w:color w:val="202124"/>
          <w:highlight w:val="white"/>
          <w:lang w:val="en-US"/>
        </w:rPr>
        <w:t>Asian Social Science</w:t>
      </w:r>
      <w:r w:rsidRPr="00211945">
        <w:rPr>
          <w:rFonts w:ascii="Times" w:eastAsia="Times" w:hAnsi="Times" w:cs="Times"/>
          <w:color w:val="202124"/>
          <w:highlight w:val="white"/>
          <w:lang w:val="en-US"/>
        </w:rPr>
        <w:t>, 11(18), 49.</w:t>
      </w:r>
    </w:p>
    <w:p w14:paraId="3D4443F4"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MyPF. (2022). Retrieved from https://www.freemalaysiatoday.com/category/ leisure/money/2022/05/01/how-much-do-you-actually-need-to-retire -in-malaysia/</w:t>
      </w:r>
    </w:p>
    <w:p w14:paraId="7EEFAA2D"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Nambiar, S. (2012). Malaysia and the global crisis: impact, response, and rebalancing strategies. The Global Financial Crisis and Asia: Implications and Challenges, 218. central bank of malaysia. (2021, Nov). Retrieved from https://www.bnm.gov.my/-/ 3q-gdp-2021</w:t>
      </w:r>
    </w:p>
    <w:p w14:paraId="4B60710A"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lastRenderedPageBreak/>
        <w:t xml:space="preserve">Nik Azman, N. H., Md Zabri, M. Z., &amp; Zull Kepili, E. I. (2021). Nexus between Islamic microfinancing and financial wellbeing of micro-entrepreneurs during the COVID-19 pandemic in Malaysia. </w:t>
      </w:r>
      <w:r w:rsidRPr="00211945">
        <w:rPr>
          <w:rFonts w:ascii="Times" w:eastAsia="Times" w:hAnsi="Times" w:cs="Times"/>
          <w:i/>
          <w:iCs/>
          <w:color w:val="202124"/>
          <w:highlight w:val="white"/>
          <w:lang w:val="en-US"/>
        </w:rPr>
        <w:t>Jurnal Ekonomi Malaysia</w:t>
      </w:r>
      <w:r w:rsidRPr="00211945">
        <w:rPr>
          <w:rFonts w:ascii="Times" w:eastAsia="Times" w:hAnsi="Times" w:cs="Times"/>
          <w:color w:val="202124"/>
          <w:highlight w:val="white"/>
          <w:lang w:val="en-US"/>
        </w:rPr>
        <w:t xml:space="preserve">, </w:t>
      </w:r>
      <w:r w:rsidRPr="00211945">
        <w:rPr>
          <w:rFonts w:ascii="Times" w:eastAsia="Times" w:hAnsi="Times" w:cs="Times"/>
          <w:i/>
          <w:iCs/>
          <w:color w:val="202124"/>
          <w:highlight w:val="white"/>
          <w:lang w:val="en-US"/>
        </w:rPr>
        <w:t>55</w:t>
      </w:r>
      <w:r w:rsidRPr="00211945">
        <w:rPr>
          <w:rFonts w:ascii="Times" w:eastAsia="Times" w:hAnsi="Times" w:cs="Times"/>
          <w:color w:val="202124"/>
          <w:highlight w:val="white"/>
          <w:lang w:val="en-US"/>
        </w:rPr>
        <w:t xml:space="preserve">(1). </w:t>
      </w:r>
      <w:hyperlink r:id="rId10" w:history="1">
        <w:r w:rsidRPr="00211945">
          <w:rPr>
            <w:rStyle w:val="Hyperlink"/>
            <w:rFonts w:ascii="Times" w:eastAsia="Times" w:hAnsi="Times" w:cs="Times"/>
            <w:highlight w:val="white"/>
            <w:lang w:val="en-US"/>
          </w:rPr>
          <w:t>https://doi.org/10.17576/JEM-2021-5501-10</w:t>
        </w:r>
      </w:hyperlink>
    </w:p>
    <w:p w14:paraId="4DDD6DAA"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 xml:space="preserve">Osman, Z., Madzlan, E. M., &amp; Ing, P. (2018). In pursuit of financial well-being: The effects of financial literacy, financial behaviour and financial stress on employees in Labuan. </w:t>
      </w:r>
      <w:r w:rsidRPr="00211945">
        <w:rPr>
          <w:rFonts w:ascii="Times" w:eastAsia="Times" w:hAnsi="Times" w:cs="Times"/>
          <w:i/>
          <w:iCs/>
          <w:color w:val="202124"/>
          <w:highlight w:val="white"/>
          <w:lang w:val="en-US"/>
        </w:rPr>
        <w:t>International Journal of Service Management and Sustainability</w:t>
      </w:r>
      <w:r w:rsidRPr="00211945">
        <w:rPr>
          <w:rFonts w:ascii="Times" w:eastAsia="Times" w:hAnsi="Times" w:cs="Times"/>
          <w:color w:val="202124"/>
          <w:highlight w:val="white"/>
          <w:lang w:val="en-US"/>
        </w:rPr>
        <w:t>, 3(1), 55–94.</w:t>
      </w:r>
    </w:p>
    <w:p w14:paraId="42C4F537"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Ostertagova, E., Ostertag, O., &amp; Kova´c, J. (2014). Methodology and application of the kruskal-wallis test. In Applied mechanics and materials (Vol. 611, pp. 115–120).</w:t>
      </w:r>
    </w:p>
    <w:p w14:paraId="19000C62"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 xml:space="preserve">Prawitz, A., Garman, E. T., Sorhaindo, B., O'Neill, B., Kim, J., &amp; Drentea, P. (2006). Incharge financial distress/financial well-being scale: Development, administration, and score interpretation. </w:t>
      </w:r>
      <w:r w:rsidRPr="00211945">
        <w:rPr>
          <w:rFonts w:ascii="Times" w:eastAsia="Times" w:hAnsi="Times" w:cs="Times"/>
          <w:i/>
          <w:iCs/>
          <w:color w:val="202124"/>
          <w:highlight w:val="white"/>
          <w:lang w:val="en-US"/>
        </w:rPr>
        <w:t>Journal of Financial Counseling and Planning</w:t>
      </w:r>
      <w:r w:rsidRPr="00211945">
        <w:rPr>
          <w:rFonts w:ascii="Times" w:eastAsia="Times" w:hAnsi="Times" w:cs="Times"/>
          <w:color w:val="202124"/>
          <w:highlight w:val="white"/>
          <w:lang w:val="en-US"/>
        </w:rPr>
        <w:t>, 17(1).</w:t>
      </w:r>
    </w:p>
    <w:p w14:paraId="31E7D76E"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 xml:space="preserve">Salim, S. (2022, Jun). Epf: Members need to work 4-6 years more to rebuild savings used during pandemic; 73% now lack funds to retire above poverty line. Retrieved from </w:t>
      </w:r>
      <w:hyperlink r:id="rId11" w:history="1">
        <w:r w:rsidRPr="00211945">
          <w:rPr>
            <w:rStyle w:val="Hyperlink"/>
            <w:rFonts w:ascii="Times" w:eastAsia="Times" w:hAnsi="Times" w:cs="Times"/>
            <w:highlight w:val="white"/>
            <w:lang w:val="en-US"/>
          </w:rPr>
          <w:t>https://www.theedgemarkets.com/article/</w:t>
        </w:r>
      </w:hyperlink>
    </w:p>
    <w:p w14:paraId="264069E9"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Tan, T., Carvalho, M., &amp; Sivanandam, H. (2020, Dec). Nearly 100,000 malaysians have lost jobs since start of mco, says hr ministry. Nearly 100,000 Malaysians have lost jobs since start of MCO, says HR ministry. Retrieved from https://www.thestar.com.my/news/nation/2020/12/09/nearly-100000 -Malaysians-have-lost-jobs-since-start-of-mco-says-hr-ministry</w:t>
      </w:r>
    </w:p>
    <w:p w14:paraId="102BC60C"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Vosloo, W. (2014). The relationship between financial efficacy, satisfaction with remuneration and personal financial well-being (Unpublished doctoral dissertation).</w:t>
      </w:r>
    </w:p>
    <w:p w14:paraId="7A5968E3" w14:textId="77777777" w:rsidR="00211945" w:rsidRPr="00211945" w:rsidRDefault="00211945" w:rsidP="00211945">
      <w:pPr>
        <w:ind w:left="567" w:hanging="567"/>
        <w:jc w:val="both"/>
        <w:rPr>
          <w:rFonts w:ascii="Times" w:eastAsia="Times" w:hAnsi="Times" w:cs="Times"/>
          <w:color w:val="202124"/>
          <w:highlight w:val="white"/>
          <w:u w:val="single"/>
          <w:lang w:val="en-US"/>
        </w:rPr>
      </w:pPr>
      <w:r w:rsidRPr="00211945">
        <w:rPr>
          <w:rFonts w:ascii="Times" w:eastAsia="Times" w:hAnsi="Times" w:cs="Times"/>
          <w:color w:val="202124"/>
          <w:highlight w:val="white"/>
          <w:lang w:val="en-US"/>
        </w:rPr>
        <w:t xml:space="preserve">World Health Organization, W. (2021, Nov). Who coronavirus (covid-19) dashboard. World Health Organization. Retrieved from </w:t>
      </w:r>
      <w:hyperlink r:id="rId12" w:history="1">
        <w:r w:rsidRPr="00211945">
          <w:rPr>
            <w:rStyle w:val="Hyperlink"/>
            <w:rFonts w:ascii="Times" w:eastAsia="Times" w:hAnsi="Times" w:cs="Times"/>
            <w:highlight w:val="white"/>
            <w:lang w:val="en-US"/>
          </w:rPr>
          <w:t>https://covid19.who.int/</w:t>
        </w:r>
      </w:hyperlink>
    </w:p>
    <w:p w14:paraId="5319C4F3"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 xml:space="preserve">Worthington, R. L., &amp; Whittaker, T. A. (2006). Scale development research: A content analysis and recommendations for best practices. </w:t>
      </w:r>
      <w:r w:rsidRPr="00211945">
        <w:rPr>
          <w:rFonts w:ascii="Times" w:eastAsia="Times" w:hAnsi="Times" w:cs="Times"/>
          <w:i/>
          <w:iCs/>
          <w:color w:val="202124"/>
          <w:highlight w:val="white"/>
          <w:lang w:val="en-US"/>
        </w:rPr>
        <w:t>The counseling psychologist</w:t>
      </w:r>
      <w:r w:rsidRPr="00211945">
        <w:rPr>
          <w:rFonts w:ascii="Times" w:eastAsia="Times" w:hAnsi="Times" w:cs="Times"/>
          <w:color w:val="202124"/>
          <w:highlight w:val="white"/>
          <w:lang w:val="en-US"/>
        </w:rPr>
        <w:t>, 34(6), 806–838.</w:t>
      </w:r>
    </w:p>
    <w:p w14:paraId="1EA57B1E" w14:textId="77777777" w:rsidR="00211945" w:rsidRPr="00211945" w:rsidRDefault="00211945" w:rsidP="00211945">
      <w:pPr>
        <w:ind w:left="567" w:hanging="567"/>
        <w:jc w:val="both"/>
        <w:rPr>
          <w:rFonts w:ascii="Times" w:eastAsia="Times" w:hAnsi="Times" w:cs="Times"/>
          <w:color w:val="202124"/>
          <w:highlight w:val="white"/>
          <w:lang w:val="en-US"/>
        </w:rPr>
      </w:pPr>
      <w:r w:rsidRPr="00211945">
        <w:rPr>
          <w:rFonts w:ascii="Times" w:eastAsia="Times" w:hAnsi="Times" w:cs="Times"/>
          <w:color w:val="202124"/>
          <w:highlight w:val="white"/>
          <w:lang w:val="en-US"/>
        </w:rPr>
        <w:t xml:space="preserve">Zaimah, R. (2019). The probability factor influences the level of financial well-being of workers in Malaysia. </w:t>
      </w:r>
      <w:r w:rsidRPr="00211945">
        <w:rPr>
          <w:rFonts w:ascii="Times" w:eastAsia="Times" w:hAnsi="Times" w:cs="Times"/>
          <w:i/>
          <w:iCs/>
          <w:color w:val="202124"/>
          <w:highlight w:val="white"/>
          <w:lang w:val="en-US"/>
        </w:rPr>
        <w:t>Geografia-Malaysian Journal of Society and Space</w:t>
      </w:r>
      <w:r w:rsidRPr="00211945">
        <w:rPr>
          <w:rFonts w:ascii="Times" w:eastAsia="Times" w:hAnsi="Times" w:cs="Times"/>
          <w:color w:val="202124"/>
          <w:highlight w:val="white"/>
          <w:lang w:val="en-US"/>
        </w:rPr>
        <w:t>, 15(3).</w:t>
      </w:r>
    </w:p>
    <w:sectPr w:rsidR="00211945" w:rsidRPr="00211945">
      <w:headerReference w:type="even" r:id="rId13"/>
      <w:headerReference w:type="default" r:id="rId14"/>
      <w:footerReference w:type="default" r:id="rId15"/>
      <w:headerReference w:type="first" r:id="rId16"/>
      <w:footerReference w:type="first" r:id="rId17"/>
      <w:pgSz w:w="11906" w:h="16838"/>
      <w:pgMar w:top="1417" w:right="720" w:bottom="1077" w:left="720" w:header="102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F71B" w14:textId="77777777" w:rsidR="002929AA" w:rsidRDefault="002929AA">
      <w:r>
        <w:separator/>
      </w:r>
    </w:p>
  </w:endnote>
  <w:endnote w:type="continuationSeparator" w:id="0">
    <w:p w14:paraId="068FCE08" w14:textId="77777777" w:rsidR="002929AA" w:rsidRDefault="0029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EB00" w14:textId="77777777" w:rsidR="00011399" w:rsidRDefault="00011399">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EBCF" w14:textId="77777777" w:rsidR="00011399" w:rsidRDefault="00011399">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459C1D25" w14:textId="77777777" w:rsidR="00011399" w:rsidRDefault="00B67BAF">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5B1B2" w14:textId="77777777" w:rsidR="002929AA" w:rsidRDefault="002929AA">
      <w:r>
        <w:separator/>
      </w:r>
    </w:p>
  </w:footnote>
  <w:footnote w:type="continuationSeparator" w:id="0">
    <w:p w14:paraId="27C1E96A" w14:textId="77777777" w:rsidR="002929AA" w:rsidRDefault="00292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A819" w14:textId="77777777" w:rsidR="00011399" w:rsidRDefault="00011399">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3C9" w14:textId="77777777" w:rsidR="00011399" w:rsidRDefault="00B67BAF">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3703FB">
      <w:rPr>
        <w:noProof/>
        <w:sz w:val="16"/>
        <w:szCs w:val="16"/>
      </w:rPr>
      <w:t>2</w:t>
    </w:r>
    <w:r>
      <w:rPr>
        <w:sz w:val="16"/>
        <w:szCs w:val="16"/>
      </w:rPr>
      <w:fldChar w:fldCharType="end"/>
    </w:r>
  </w:p>
  <w:p w14:paraId="7CA99C73" w14:textId="77777777" w:rsidR="00011399" w:rsidRDefault="00011399">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EAC6" w14:textId="77777777" w:rsidR="00011399" w:rsidRDefault="00011399">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011399" w14:paraId="0786C2D3" w14:textId="77777777">
      <w:trPr>
        <w:trHeight w:val="536"/>
      </w:trPr>
      <w:tc>
        <w:tcPr>
          <w:tcW w:w="4668" w:type="dxa"/>
          <w:shd w:val="clear" w:color="auto" w:fill="auto"/>
        </w:tcPr>
        <w:p w14:paraId="0AFDB2DB" w14:textId="77777777" w:rsidR="00011399" w:rsidRDefault="00011399">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41C33807" w14:textId="77777777" w:rsidR="00011399" w:rsidRDefault="00011399">
          <w:pPr>
            <w:pBdr>
              <w:top w:val="nil"/>
              <w:left w:val="nil"/>
              <w:bottom w:val="none" w:sz="0" w:space="0" w:color="000000"/>
              <w:right w:val="nil"/>
              <w:between w:val="nil"/>
            </w:pBdr>
            <w:tabs>
              <w:tab w:val="center" w:pos="4153"/>
              <w:tab w:val="right" w:pos="8306"/>
            </w:tabs>
            <w:jc w:val="center"/>
            <w:rPr>
              <w:color w:val="FFFFFF"/>
              <w:sz w:val="20"/>
              <w:szCs w:val="20"/>
            </w:rPr>
          </w:pPr>
        </w:p>
        <w:p w14:paraId="79492E6B" w14:textId="77777777" w:rsidR="00011399" w:rsidRDefault="00B67BAF">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57ECC72F" w14:textId="77777777" w:rsidR="00011399" w:rsidRDefault="00B67BAF">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3512B8C8" wp14:editId="2A47A7E0">
          <wp:simplePos x="0" y="0"/>
          <wp:positionH relativeFrom="column">
            <wp:posOffset>-2043429</wp:posOffset>
          </wp:positionH>
          <wp:positionV relativeFrom="paragraph">
            <wp:posOffset>-432148</wp:posOffset>
          </wp:positionV>
          <wp:extent cx="4309110" cy="39878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31A22832" w14:textId="77777777" w:rsidR="00011399" w:rsidRDefault="00B67BAF">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34ECE300" w14:textId="77777777" w:rsidR="00011399" w:rsidRDefault="00B67BAF">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7ECD52DC" w14:textId="77777777" w:rsidR="00011399" w:rsidRDefault="00B67BAF">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103D"/>
    <w:multiLevelType w:val="multilevel"/>
    <w:tmpl w:val="42087BEE"/>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C21B11"/>
    <w:multiLevelType w:val="multilevel"/>
    <w:tmpl w:val="387A25CC"/>
    <w:lvl w:ilvl="0">
      <w:start w:val="1"/>
      <w:numFmt w:val="bullet"/>
      <w:lvlText w:val="●"/>
      <w:lvlJc w:val="left"/>
      <w:pPr>
        <w:ind w:left="870" w:hanging="303"/>
      </w:pPr>
      <w:rPr>
        <w:rFonts w:ascii="Noto Sans Symbols" w:eastAsia="Noto Sans Symbols" w:hAnsi="Noto Sans Symbols" w:cs="Noto Sans Symbols"/>
      </w:rPr>
    </w:lvl>
    <w:lvl w:ilvl="1">
      <w:start w:val="1"/>
      <w:numFmt w:val="bullet"/>
      <w:lvlText w:val="o"/>
      <w:lvlJc w:val="left"/>
      <w:pPr>
        <w:ind w:left="1590" w:hanging="360"/>
      </w:pPr>
      <w:rPr>
        <w:rFonts w:ascii="Courier New" w:eastAsia="Courier New" w:hAnsi="Courier New" w:cs="Courier New"/>
      </w:rPr>
    </w:lvl>
    <w:lvl w:ilvl="2">
      <w:start w:val="1"/>
      <w:numFmt w:val="bullet"/>
      <w:lvlText w:val="▪"/>
      <w:lvlJc w:val="left"/>
      <w:pPr>
        <w:ind w:left="2310" w:hanging="360"/>
      </w:pPr>
      <w:rPr>
        <w:rFonts w:ascii="Noto Sans Symbols" w:eastAsia="Noto Sans Symbols" w:hAnsi="Noto Sans Symbols" w:cs="Noto Sans Symbols"/>
      </w:rPr>
    </w:lvl>
    <w:lvl w:ilvl="3">
      <w:start w:val="1"/>
      <w:numFmt w:val="bullet"/>
      <w:lvlText w:val="●"/>
      <w:lvlJc w:val="left"/>
      <w:pPr>
        <w:ind w:left="3030" w:hanging="360"/>
      </w:pPr>
      <w:rPr>
        <w:rFonts w:ascii="Noto Sans Symbols" w:eastAsia="Noto Sans Symbols" w:hAnsi="Noto Sans Symbols" w:cs="Noto Sans Symbols"/>
      </w:rPr>
    </w:lvl>
    <w:lvl w:ilvl="4">
      <w:start w:val="1"/>
      <w:numFmt w:val="bullet"/>
      <w:lvlText w:val="o"/>
      <w:lvlJc w:val="left"/>
      <w:pPr>
        <w:ind w:left="3750" w:hanging="360"/>
      </w:pPr>
      <w:rPr>
        <w:rFonts w:ascii="Courier New" w:eastAsia="Courier New" w:hAnsi="Courier New" w:cs="Courier New"/>
      </w:rPr>
    </w:lvl>
    <w:lvl w:ilvl="5">
      <w:start w:val="1"/>
      <w:numFmt w:val="bullet"/>
      <w:lvlText w:val="▪"/>
      <w:lvlJc w:val="left"/>
      <w:pPr>
        <w:ind w:left="4470" w:hanging="360"/>
      </w:pPr>
      <w:rPr>
        <w:rFonts w:ascii="Noto Sans Symbols" w:eastAsia="Noto Sans Symbols" w:hAnsi="Noto Sans Symbols" w:cs="Noto Sans Symbols"/>
      </w:rPr>
    </w:lvl>
    <w:lvl w:ilvl="6">
      <w:start w:val="1"/>
      <w:numFmt w:val="bullet"/>
      <w:lvlText w:val="●"/>
      <w:lvlJc w:val="left"/>
      <w:pPr>
        <w:ind w:left="5190" w:hanging="360"/>
      </w:pPr>
      <w:rPr>
        <w:rFonts w:ascii="Noto Sans Symbols" w:eastAsia="Noto Sans Symbols" w:hAnsi="Noto Sans Symbols" w:cs="Noto Sans Symbols"/>
      </w:rPr>
    </w:lvl>
    <w:lvl w:ilvl="7">
      <w:start w:val="1"/>
      <w:numFmt w:val="bullet"/>
      <w:lvlText w:val="o"/>
      <w:lvlJc w:val="left"/>
      <w:pPr>
        <w:ind w:left="5910" w:hanging="360"/>
      </w:pPr>
      <w:rPr>
        <w:rFonts w:ascii="Courier New" w:eastAsia="Courier New" w:hAnsi="Courier New" w:cs="Courier New"/>
      </w:rPr>
    </w:lvl>
    <w:lvl w:ilvl="8">
      <w:start w:val="1"/>
      <w:numFmt w:val="bullet"/>
      <w:lvlText w:val="▪"/>
      <w:lvlJc w:val="left"/>
      <w:pPr>
        <w:ind w:left="6630" w:hanging="360"/>
      </w:pPr>
      <w:rPr>
        <w:rFonts w:ascii="Noto Sans Symbols" w:eastAsia="Noto Sans Symbols" w:hAnsi="Noto Sans Symbols" w:cs="Noto Sans Symbols"/>
      </w:rPr>
    </w:lvl>
  </w:abstractNum>
  <w:abstractNum w:abstractNumId="2" w15:restartNumberingAfterBreak="0">
    <w:nsid w:val="6ECB21D4"/>
    <w:multiLevelType w:val="multilevel"/>
    <w:tmpl w:val="4409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65B49F6"/>
    <w:multiLevelType w:val="multilevel"/>
    <w:tmpl w:val="28EE9FA2"/>
    <w:lvl w:ilvl="0">
      <w:start w:val="1"/>
      <w:numFmt w:val="decimal"/>
      <w:lvlText w:val="%1."/>
      <w:lvlJc w:val="left"/>
      <w:pPr>
        <w:ind w:left="720" w:hanging="15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3936118">
    <w:abstractNumId w:val="3"/>
  </w:num>
  <w:num w:numId="2" w16cid:durableId="1684164470">
    <w:abstractNumId w:val="1"/>
  </w:num>
  <w:num w:numId="3" w16cid:durableId="2147385232">
    <w:abstractNumId w:val="0"/>
  </w:num>
  <w:num w:numId="4" w16cid:durableId="247886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0151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997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447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6792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4731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224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4454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97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168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1MDG3MAciAzMjSyUdpeDU4uLM/DyQAqNaAGFtaMAsAAAA"/>
  </w:docVars>
  <w:rsids>
    <w:rsidRoot w:val="00011399"/>
    <w:rsid w:val="00011399"/>
    <w:rsid w:val="00191213"/>
    <w:rsid w:val="00211945"/>
    <w:rsid w:val="00232408"/>
    <w:rsid w:val="00255A3A"/>
    <w:rsid w:val="002929AA"/>
    <w:rsid w:val="003703FB"/>
    <w:rsid w:val="003D4B46"/>
    <w:rsid w:val="004B796A"/>
    <w:rsid w:val="007D4554"/>
    <w:rsid w:val="007E2298"/>
    <w:rsid w:val="009640BF"/>
    <w:rsid w:val="009E77D8"/>
    <w:rsid w:val="00AC365C"/>
    <w:rsid w:val="00B67BAF"/>
    <w:rsid w:val="00F038B0"/>
    <w:rsid w:val="00FD29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B36B"/>
  <w15:docId w15:val="{69D4977B-FC59-4C85-9204-FA8BD225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25"/>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3"/>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48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vid19.who.i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edgemarkets.com/articl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7576/JEM-2021-5501-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edgemarkets.com/article/state-nation-bankruptcy-and-windingup-cases-continue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MLFDo14EfsMsPPv7tuJ/7Ph8og==">AMUW2mXYBI90BQF9FoWKkLNzfCVSbxNpSZIb7iH82g8aKlgqtsiGoh2fB1K5MBQng4k9Vpes6C1u3LLEGkEh1n0RB+gUTJciH2xveMNjaRkag6zDyxUhF2w=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3698</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NORA BINTI MOHD BASIR</cp:lastModifiedBy>
  <cp:revision>10</cp:revision>
  <dcterms:created xsi:type="dcterms:W3CDTF">2023-06-07T04:07:00Z</dcterms:created>
  <dcterms:modified xsi:type="dcterms:W3CDTF">2023-06-07T04:29:00Z</dcterms:modified>
</cp:coreProperties>
</file>