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4B2AF" w14:textId="77777777" w:rsidR="000B5AF7" w:rsidRPr="002D4513" w:rsidRDefault="000B5AF7" w:rsidP="00FE19D4">
      <w:pPr>
        <w:spacing w:after="0" w:line="240" w:lineRule="auto"/>
        <w:rPr>
          <w:rFonts w:ascii="Times New Roman" w:hAnsi="Times New Roman" w:cs="Times New Roman"/>
          <w:i/>
          <w:lang w:val="ms-MY"/>
        </w:rPr>
      </w:pPr>
      <w:r w:rsidRPr="002D4513">
        <w:rPr>
          <w:rFonts w:ascii="Times New Roman" w:hAnsi="Times New Roman" w:cs="Times New Roman"/>
          <w:i/>
          <w:lang w:val="ms-MY"/>
        </w:rPr>
        <w:t>Article</w:t>
      </w:r>
    </w:p>
    <w:p w14:paraId="3A41E500" w14:textId="77777777" w:rsidR="00D7505C" w:rsidRPr="002D4513" w:rsidRDefault="00D7505C" w:rsidP="00FE19D4">
      <w:pPr>
        <w:spacing w:after="0" w:line="240" w:lineRule="auto"/>
        <w:jc w:val="center"/>
        <w:rPr>
          <w:rFonts w:ascii="Times New Roman" w:hAnsi="Times New Roman" w:cs="Times New Roman"/>
          <w:b/>
          <w:sz w:val="24"/>
          <w:szCs w:val="24"/>
          <w:lang w:val="ms-MY"/>
        </w:rPr>
      </w:pPr>
    </w:p>
    <w:p w14:paraId="41531E80" w14:textId="50B7E7BC" w:rsidR="0032520D" w:rsidRPr="002D4513" w:rsidRDefault="00B62EE7" w:rsidP="00FE19D4">
      <w:pPr>
        <w:spacing w:after="0" w:line="240" w:lineRule="auto"/>
        <w:jc w:val="center"/>
        <w:rPr>
          <w:rFonts w:ascii="Times New Roman" w:hAnsi="Times New Roman" w:cs="Times New Roman"/>
          <w:b/>
          <w:sz w:val="24"/>
          <w:szCs w:val="24"/>
          <w:lang w:val="ms-MY"/>
        </w:rPr>
      </w:pPr>
      <w:r w:rsidRPr="002D4513">
        <w:rPr>
          <w:rFonts w:ascii="Times New Roman" w:hAnsi="Times New Roman" w:cs="Times New Roman"/>
          <w:b/>
          <w:sz w:val="24"/>
          <w:szCs w:val="24"/>
          <w:lang w:val="ms-MY"/>
        </w:rPr>
        <w:t xml:space="preserve">Cabaran Pekerja Sosial </w:t>
      </w:r>
      <w:r w:rsidR="00F6706F" w:rsidRPr="002D4513">
        <w:rPr>
          <w:rFonts w:ascii="Times New Roman" w:hAnsi="Times New Roman" w:cs="Times New Roman"/>
          <w:b/>
          <w:sz w:val="24"/>
          <w:szCs w:val="24"/>
          <w:lang w:val="ms-MY"/>
        </w:rPr>
        <w:t>d</w:t>
      </w:r>
      <w:r w:rsidRPr="002D4513">
        <w:rPr>
          <w:rFonts w:ascii="Times New Roman" w:hAnsi="Times New Roman" w:cs="Times New Roman"/>
          <w:b/>
          <w:sz w:val="24"/>
          <w:szCs w:val="24"/>
          <w:lang w:val="ms-MY"/>
        </w:rPr>
        <w:t>alam Mengendalikan Pengurusan Kes Kanak-Kanak Terbantut di Kabupaten Malang, Indonesia</w:t>
      </w:r>
    </w:p>
    <w:p w14:paraId="2CC5ED5E" w14:textId="77777777" w:rsidR="00A03C11" w:rsidRPr="002D4513" w:rsidRDefault="00A03C11" w:rsidP="00FE19D4">
      <w:pPr>
        <w:spacing w:after="0" w:line="240" w:lineRule="auto"/>
        <w:jc w:val="center"/>
        <w:rPr>
          <w:rFonts w:ascii="Times New Roman" w:hAnsi="Times New Roman" w:cs="Times New Roman"/>
          <w:b/>
          <w:sz w:val="24"/>
          <w:szCs w:val="24"/>
          <w:lang w:val="ms-MY"/>
        </w:rPr>
      </w:pPr>
      <w:r w:rsidRPr="002D4513">
        <w:rPr>
          <w:rFonts w:ascii="Times New Roman" w:hAnsi="Times New Roman" w:cs="Times New Roman"/>
          <w:b/>
          <w:sz w:val="24"/>
          <w:szCs w:val="24"/>
          <w:lang w:val="ms-MY"/>
        </w:rPr>
        <w:t>(</w:t>
      </w:r>
      <w:r w:rsidRPr="002D4513">
        <w:rPr>
          <w:rFonts w:ascii="Times New Roman" w:hAnsi="Times New Roman" w:cs="Times New Roman"/>
          <w:b/>
          <w:i/>
          <w:sz w:val="20"/>
          <w:szCs w:val="20"/>
          <w:lang w:val="ms-MY"/>
        </w:rPr>
        <w:t>Challenges of Social Worker in Handling the Case Management of Stunted Children in Malang, Indonesia</w:t>
      </w:r>
      <w:r w:rsidRPr="002D4513">
        <w:rPr>
          <w:rFonts w:ascii="Times New Roman" w:hAnsi="Times New Roman" w:cs="Times New Roman"/>
          <w:b/>
          <w:sz w:val="24"/>
          <w:szCs w:val="24"/>
          <w:lang w:val="ms-MY"/>
        </w:rPr>
        <w:t>)</w:t>
      </w:r>
    </w:p>
    <w:p w14:paraId="402FF2F5" w14:textId="77777777" w:rsidR="00B62EE7" w:rsidRPr="002D4513" w:rsidRDefault="00B62EE7" w:rsidP="00FE19D4">
      <w:pPr>
        <w:spacing w:after="0" w:line="240" w:lineRule="auto"/>
        <w:jc w:val="center"/>
        <w:rPr>
          <w:rFonts w:ascii="Times New Roman" w:hAnsi="Times New Roman" w:cs="Times New Roman"/>
          <w:b/>
          <w:sz w:val="24"/>
          <w:szCs w:val="24"/>
          <w:lang w:val="ms-MY"/>
        </w:rPr>
      </w:pPr>
    </w:p>
    <w:p w14:paraId="30A11B42" w14:textId="77777777" w:rsidR="0094506F" w:rsidRPr="002D4513" w:rsidRDefault="0094506F" w:rsidP="00FE19D4">
      <w:pPr>
        <w:spacing w:after="0" w:line="240" w:lineRule="auto"/>
        <w:jc w:val="center"/>
        <w:rPr>
          <w:rFonts w:ascii="Times New Roman" w:hAnsi="Times New Roman" w:cs="Times New Roman"/>
          <w:sz w:val="24"/>
          <w:szCs w:val="24"/>
          <w:lang w:val="ms-MY"/>
        </w:rPr>
      </w:pPr>
    </w:p>
    <w:p w14:paraId="69504756" w14:textId="337F3583" w:rsidR="000A795E" w:rsidRPr="002D4513" w:rsidRDefault="00B62EE7" w:rsidP="00FE19D4">
      <w:pPr>
        <w:spacing w:after="0" w:line="240" w:lineRule="auto"/>
        <w:jc w:val="both"/>
        <w:rPr>
          <w:rFonts w:ascii="Times New Roman" w:hAnsi="Times New Roman" w:cs="Times New Roman"/>
          <w:sz w:val="24"/>
          <w:szCs w:val="24"/>
          <w:lang w:val="ms-MY"/>
        </w:rPr>
      </w:pPr>
      <w:r w:rsidRPr="002D4513">
        <w:rPr>
          <w:rFonts w:ascii="Times New Roman" w:hAnsi="Times New Roman" w:cs="Times New Roman"/>
          <w:b/>
          <w:sz w:val="24"/>
          <w:szCs w:val="24"/>
          <w:lang w:val="ms-MY"/>
        </w:rPr>
        <w:t>Abstrak</w:t>
      </w:r>
      <w:r w:rsidR="00ED5FC0" w:rsidRPr="002D4513">
        <w:rPr>
          <w:rFonts w:ascii="Times New Roman" w:hAnsi="Times New Roman" w:cs="Times New Roman"/>
          <w:b/>
          <w:sz w:val="24"/>
          <w:szCs w:val="24"/>
          <w:lang w:val="ms-MY"/>
        </w:rPr>
        <w:t xml:space="preserve">: </w:t>
      </w:r>
      <w:r w:rsidR="000A795E" w:rsidRPr="002D4513">
        <w:rPr>
          <w:rFonts w:ascii="Times New Roman" w:hAnsi="Times New Roman" w:cs="Times New Roman"/>
          <w:noProof/>
          <w:sz w:val="24"/>
          <w:szCs w:val="24"/>
          <w:lang w:val="ms-MY"/>
        </w:rPr>
        <w:t>Kanak-kanak terbantut  merupakan salah satu isu utama dalam Matlamat Pembangunan Mampan (SDGs) dan ditakrifkan sebagai pertumbuhan yang terbantut atau kerdil di bandingkan dengan rata-rata rakan seusianya. WHO menetapkan had soalan gizi tidak lebih dari 20 peratus. Justeru, Indonesia termasuk dalam salah satu negara yang memiliki soalan tersebut. Tujuan kajian adalah untuk</w:t>
      </w:r>
      <w:r w:rsidR="001C6E4F" w:rsidRPr="002D4513">
        <w:rPr>
          <w:rFonts w:ascii="Times New Roman" w:hAnsi="Times New Roman" w:cs="Times New Roman"/>
          <w:noProof/>
          <w:sz w:val="24"/>
          <w:szCs w:val="24"/>
          <w:lang w:val="ms-MY"/>
        </w:rPr>
        <w:t xml:space="preserve"> </w:t>
      </w:r>
      <w:r w:rsidR="001D0016">
        <w:rPr>
          <w:rFonts w:ascii="Times New Roman" w:hAnsi="Times New Roman" w:cs="Times New Roman"/>
          <w:noProof/>
          <w:sz w:val="24"/>
          <w:szCs w:val="24"/>
          <w:lang w:val="ms-MY"/>
        </w:rPr>
        <w:t>memahami</w:t>
      </w:r>
      <w:bookmarkStart w:id="0" w:name="_GoBack"/>
      <w:bookmarkEnd w:id="0"/>
      <w:r w:rsidR="000A795E" w:rsidRPr="002D4513">
        <w:rPr>
          <w:rFonts w:ascii="Times New Roman" w:hAnsi="Times New Roman" w:cs="Times New Roman"/>
          <w:noProof/>
          <w:sz w:val="24"/>
          <w:szCs w:val="24"/>
          <w:lang w:val="ms-MY"/>
        </w:rPr>
        <w:t xml:space="preserve"> </w:t>
      </w:r>
      <w:r w:rsidR="001C6E4F" w:rsidRPr="002D4513">
        <w:rPr>
          <w:rFonts w:ascii="Times New Roman" w:hAnsi="Times New Roman" w:cs="Times New Roman"/>
          <w:noProof/>
          <w:sz w:val="24"/>
          <w:szCs w:val="24"/>
          <w:lang w:val="ms-MY"/>
        </w:rPr>
        <w:t>cabaran Pekerja Sosial Dalam Mengendalikan Pengurusan Kes Kanak-Kanak Terbantut di Kabupaten Malang</w:t>
      </w:r>
      <w:r w:rsidR="000A795E" w:rsidRPr="002D4513">
        <w:rPr>
          <w:rFonts w:ascii="Times New Roman" w:hAnsi="Times New Roman" w:cs="Times New Roman"/>
          <w:noProof/>
          <w:sz w:val="24"/>
          <w:szCs w:val="24"/>
          <w:lang w:val="ms-MY"/>
        </w:rPr>
        <w:t xml:space="preserve">. Kajian ini menggunakan reka bentuk kualitatif dengan jenis kajian kes. Kajian ini telah dilaksanakan di daerah Kabupaten Malang, Indonesia. Teknik persampelan dalam penyelidikan ini akan menggunakan tujuan atau penentuan informan berdasarkan sejumlah kriteria yang relevan dengan bentuk penyelidikan. </w:t>
      </w:r>
      <w:r w:rsidR="000A795E" w:rsidRPr="002D4513">
        <w:rPr>
          <w:rFonts w:ascii="Times New Roman" w:hAnsi="Times New Roman" w:cs="Times New Roman"/>
          <w:sz w:val="24"/>
          <w:szCs w:val="24"/>
          <w:lang w:val="ms-MY"/>
        </w:rPr>
        <w:t xml:space="preserve">Kajian ini melibatkan 7 orang informan dari Pekerja Sosial yang terdiri dari Pendampingan Rehabilitasi Sosial dan PKH di </w:t>
      </w:r>
      <w:r w:rsidR="00E645DF" w:rsidRPr="002D4513">
        <w:rPr>
          <w:rFonts w:ascii="Times New Roman" w:hAnsi="Times New Roman" w:cs="Times New Roman"/>
          <w:sz w:val="24"/>
          <w:szCs w:val="24"/>
          <w:lang w:val="ms-MY"/>
        </w:rPr>
        <w:t>wilayah</w:t>
      </w:r>
      <w:r w:rsidR="000A795E" w:rsidRPr="002D4513">
        <w:rPr>
          <w:rFonts w:ascii="Times New Roman" w:hAnsi="Times New Roman" w:cs="Times New Roman"/>
          <w:sz w:val="24"/>
          <w:szCs w:val="24"/>
          <w:lang w:val="ms-MY"/>
        </w:rPr>
        <w:t xml:space="preserve"> Kabupaten Malang. </w:t>
      </w:r>
      <w:r w:rsidR="000A795E" w:rsidRPr="002D4513">
        <w:rPr>
          <w:rFonts w:ascii="Times New Roman" w:hAnsi="Times New Roman" w:cs="Times New Roman"/>
          <w:noProof/>
          <w:color w:val="000000"/>
          <w:sz w:val="24"/>
          <w:szCs w:val="24"/>
          <w:lang w:val="ms-MY"/>
        </w:rPr>
        <w:t xml:space="preserve">Teknik analisis kajian kes dengan membina penjelasan tentang kes yang berlaku dalam naratif dan dilakukan secara manual. </w:t>
      </w:r>
      <w:r w:rsidR="000A795E" w:rsidRPr="002D4513">
        <w:rPr>
          <w:rFonts w:ascii="Times New Roman" w:hAnsi="Times New Roman" w:cs="Times New Roman"/>
          <w:sz w:val="24"/>
          <w:szCs w:val="24"/>
          <w:lang w:val="ms-MY"/>
        </w:rPr>
        <w:t xml:space="preserve">Hasil kajian menunjukkan bahawa informan yang terlibat dalam penyelidikan ini bersifat homogen dalam latar belakang bidang kerjanya. Hal itu memberikan penyelidik mendapati bahawa cabaran yang timbul daripada masyarakat termasuk anggapan bahawa kurangnya partisipasi masyarakat dalam aktiviti program pencegahan kanak-kanak terbantut kondisi persekitaran yang dinamik, serta adanya budaya negatif dalam masyarakat yang dapat mempengaruhi kanak-kanak terbantut, keterbatasan infrastruktur termasuk kesulitan aksesibilitas terhadap fasiliti kesihatan, belum optimalnya koordinasi dalam pelaksanaan intervensi program, kekurangan bajet operasional. Implikasi penting kajian ini adalah memberikan saranan dalam intervensi praktik pekerja sosial untuk membantu keluarga kanak-kanak terbantut atau keluarga berisiko mengalami kanak-kanak terbantut dengan menghubungkan atau mengakses perkhidmatan dan sumber daya yang diperlukan. </w:t>
      </w:r>
    </w:p>
    <w:p w14:paraId="122FB612" w14:textId="77777777" w:rsidR="00D7505C" w:rsidRPr="002D4513" w:rsidRDefault="00D7505C" w:rsidP="00FE19D4">
      <w:pPr>
        <w:spacing w:after="0" w:line="240" w:lineRule="auto"/>
        <w:contextualSpacing/>
        <w:jc w:val="both"/>
        <w:rPr>
          <w:rFonts w:ascii="Times New Roman" w:hAnsi="Times New Roman" w:cs="Times New Roman"/>
          <w:noProof/>
          <w:sz w:val="24"/>
          <w:szCs w:val="24"/>
          <w:lang w:val="ms-MY"/>
        </w:rPr>
      </w:pPr>
    </w:p>
    <w:p w14:paraId="521B1C71" w14:textId="62B3B7CD" w:rsidR="00B62EE7" w:rsidRPr="002D4513" w:rsidRDefault="00A03C11" w:rsidP="00FE19D4">
      <w:pPr>
        <w:spacing w:after="0" w:line="240" w:lineRule="auto"/>
        <w:jc w:val="both"/>
        <w:rPr>
          <w:rFonts w:ascii="Times New Roman" w:hAnsi="Times New Roman" w:cs="Times New Roman"/>
          <w:sz w:val="24"/>
          <w:szCs w:val="24"/>
          <w:lang w:val="ms-MY"/>
        </w:rPr>
      </w:pPr>
      <w:r w:rsidRPr="002D4513">
        <w:rPr>
          <w:rFonts w:ascii="Times New Roman" w:hAnsi="Times New Roman" w:cs="Times New Roman"/>
          <w:b/>
          <w:sz w:val="24"/>
          <w:szCs w:val="24"/>
          <w:lang w:val="ms-MY"/>
        </w:rPr>
        <w:t>Kata kunci:</w:t>
      </w:r>
      <w:r w:rsidRPr="002D4513">
        <w:rPr>
          <w:rFonts w:ascii="Times New Roman" w:hAnsi="Times New Roman" w:cs="Times New Roman"/>
          <w:sz w:val="24"/>
          <w:szCs w:val="24"/>
          <w:lang w:val="ms-MY"/>
        </w:rPr>
        <w:t xml:space="preserve"> cabaran pekerja sosial, pengurusan kes, kanak-kanak terbantut</w:t>
      </w:r>
    </w:p>
    <w:p w14:paraId="239F2EA8" w14:textId="2CCDAE30" w:rsidR="00731049" w:rsidRPr="002D4513" w:rsidRDefault="00731049" w:rsidP="00FE19D4">
      <w:pPr>
        <w:spacing w:after="0" w:line="240" w:lineRule="auto"/>
        <w:jc w:val="both"/>
        <w:rPr>
          <w:rFonts w:ascii="Times New Roman" w:hAnsi="Times New Roman" w:cs="Times New Roman"/>
          <w:sz w:val="24"/>
          <w:szCs w:val="24"/>
          <w:lang w:val="ms-MY"/>
        </w:rPr>
      </w:pPr>
    </w:p>
    <w:p w14:paraId="69677E4B" w14:textId="6DE389CC" w:rsidR="000972B5" w:rsidRPr="002D4513" w:rsidRDefault="0003331C" w:rsidP="00FE19D4">
      <w:pPr>
        <w:spacing w:after="0" w:line="240" w:lineRule="auto"/>
        <w:jc w:val="both"/>
        <w:rPr>
          <w:rFonts w:ascii="Times New Roman" w:hAnsi="Times New Roman" w:cs="Times New Roman"/>
          <w:i/>
          <w:iCs/>
          <w:sz w:val="24"/>
          <w:szCs w:val="24"/>
          <w:lang w:val="ms-MY"/>
        </w:rPr>
      </w:pPr>
      <w:r w:rsidRPr="002D4513">
        <w:rPr>
          <w:rFonts w:ascii="Times New Roman" w:hAnsi="Times New Roman" w:cs="Times New Roman"/>
          <w:b/>
          <w:i/>
          <w:iCs/>
          <w:sz w:val="24"/>
          <w:szCs w:val="24"/>
          <w:lang w:val="ms-MY"/>
        </w:rPr>
        <w:t>Abstract:</w:t>
      </w:r>
      <w:r w:rsidR="00ED5FC0" w:rsidRPr="002D4513">
        <w:rPr>
          <w:rFonts w:ascii="Times New Roman" w:hAnsi="Times New Roman" w:cs="Times New Roman"/>
          <w:b/>
          <w:i/>
          <w:iCs/>
          <w:sz w:val="24"/>
          <w:szCs w:val="24"/>
          <w:lang w:val="ms-MY"/>
        </w:rPr>
        <w:t xml:space="preserve"> </w:t>
      </w:r>
      <w:r w:rsidR="001C6E4F" w:rsidRPr="002D4513">
        <w:rPr>
          <w:rFonts w:ascii="Times New Roman" w:hAnsi="Times New Roman" w:cs="Times New Roman"/>
          <w:i/>
          <w:iCs/>
          <w:sz w:val="24"/>
          <w:szCs w:val="24"/>
          <w:lang w:val="ms-MY"/>
        </w:rPr>
        <w:t xml:space="preserve">Stunted children are one of the major issues in the Sustainable Development Goals (SDGs) and are defined as growth that is stunted or dwarfed compared to the average of their peers. The WHO has set a threshold of malnutrition issues not exceeding 20 percent. Therefore, Indonesia is among the countries facing this issue. The purpose of this study is to identify the challenges of social workers in managing stunted children cases in Malang Regency. This research uses a qualitative design with a case study approach. The study was conducted in the Malang Regency, Indonesia. The sampling technique in this research uses purposive sampling, where informants are selected based on criteria relevant to the research. The study involved seven informants, social workers from the Social Rehabilitation and PKH (Family Hope Program) assistance in the Malang Regency area. The case study analysis technique involves constructing explanations of the case in a narrative form and was conducted manually. The results show that the informants involved in this research were homogeneous in terms of their work background. This provided the researcher with insights into challenges arising from the community, including the perception of low community participation in stunting prevention </w:t>
      </w:r>
      <w:r w:rsidR="001C6E4F" w:rsidRPr="002D4513">
        <w:rPr>
          <w:rFonts w:ascii="Times New Roman" w:hAnsi="Times New Roman" w:cs="Times New Roman"/>
          <w:i/>
          <w:iCs/>
          <w:sz w:val="24"/>
          <w:szCs w:val="24"/>
          <w:lang w:val="ms-MY"/>
        </w:rPr>
        <w:lastRenderedPageBreak/>
        <w:t>programs, a dynamic environment, and negative cultural influences that affect stunted children. Other challenges include infrastructure limitations, difficulties in accessing health facilities, suboptimal coordination in program intervention implementation, and budgetary constraints. The key implication of this study is providing recommendations for social workers to intervene by helping families of stunted children or families at risk of stunting by connecting them with or accessing the necessary services and resources.</w:t>
      </w:r>
    </w:p>
    <w:p w14:paraId="4D2A4A93" w14:textId="77777777" w:rsidR="00ED5FC0" w:rsidRPr="002D4513" w:rsidRDefault="00ED5FC0" w:rsidP="00FE19D4">
      <w:pPr>
        <w:spacing w:after="0" w:line="240" w:lineRule="auto"/>
        <w:jc w:val="both"/>
        <w:rPr>
          <w:rFonts w:ascii="Times New Roman" w:hAnsi="Times New Roman" w:cs="Times New Roman"/>
          <w:i/>
          <w:iCs/>
          <w:sz w:val="24"/>
          <w:szCs w:val="24"/>
          <w:lang w:val="ms-MY"/>
        </w:rPr>
      </w:pPr>
    </w:p>
    <w:p w14:paraId="6EED85C8" w14:textId="78EBEA5E" w:rsidR="0037423B" w:rsidRPr="002D4513" w:rsidRDefault="00A03C11" w:rsidP="00FE19D4">
      <w:pPr>
        <w:pBdr>
          <w:bottom w:val="single" w:sz="4" w:space="1" w:color="auto"/>
        </w:pBdr>
        <w:spacing w:after="0" w:line="240" w:lineRule="auto"/>
        <w:jc w:val="both"/>
        <w:rPr>
          <w:rFonts w:ascii="Times New Roman" w:hAnsi="Times New Roman" w:cs="Times New Roman"/>
          <w:i/>
          <w:iCs/>
          <w:sz w:val="24"/>
          <w:szCs w:val="24"/>
          <w:lang w:val="ms-MY"/>
        </w:rPr>
      </w:pPr>
      <w:r w:rsidRPr="002D4513">
        <w:rPr>
          <w:rFonts w:ascii="Times New Roman" w:hAnsi="Times New Roman" w:cs="Times New Roman"/>
          <w:b/>
          <w:i/>
          <w:iCs/>
          <w:sz w:val="24"/>
          <w:szCs w:val="24"/>
          <w:lang w:val="ms-MY"/>
        </w:rPr>
        <w:t>Keywords</w:t>
      </w:r>
      <w:r w:rsidRPr="002D4513">
        <w:rPr>
          <w:rFonts w:ascii="Times New Roman" w:hAnsi="Times New Roman" w:cs="Times New Roman"/>
          <w:i/>
          <w:iCs/>
          <w:sz w:val="24"/>
          <w:szCs w:val="24"/>
          <w:lang w:val="ms-MY"/>
        </w:rPr>
        <w:t>:  Challenges of Social Worker; case management; stunting children</w:t>
      </w:r>
    </w:p>
    <w:p w14:paraId="2BA24CE9" w14:textId="77777777" w:rsidR="0094506F" w:rsidRPr="002D4513" w:rsidRDefault="0094506F" w:rsidP="00FE19D4">
      <w:pPr>
        <w:pBdr>
          <w:bottom w:val="single" w:sz="4" w:space="1" w:color="auto"/>
        </w:pBdr>
        <w:spacing w:after="0" w:line="240" w:lineRule="auto"/>
        <w:jc w:val="both"/>
        <w:rPr>
          <w:rFonts w:ascii="Times New Roman" w:hAnsi="Times New Roman" w:cs="Times New Roman"/>
          <w:i/>
          <w:iCs/>
          <w:sz w:val="24"/>
          <w:szCs w:val="24"/>
          <w:lang w:val="ms-MY"/>
        </w:rPr>
      </w:pPr>
    </w:p>
    <w:p w14:paraId="2879B925" w14:textId="77777777" w:rsidR="00ED5FC0" w:rsidRPr="002D4513" w:rsidRDefault="00ED5FC0" w:rsidP="00FE19D4">
      <w:pPr>
        <w:spacing w:after="0" w:line="240" w:lineRule="auto"/>
        <w:jc w:val="both"/>
        <w:rPr>
          <w:rFonts w:ascii="Times New Roman" w:hAnsi="Times New Roman" w:cs="Times New Roman"/>
          <w:b/>
          <w:sz w:val="24"/>
          <w:szCs w:val="24"/>
          <w:lang w:val="ms-MY"/>
        </w:rPr>
      </w:pPr>
    </w:p>
    <w:p w14:paraId="0936C10A" w14:textId="263C4450" w:rsidR="00CC1C5C" w:rsidRPr="002D4513" w:rsidRDefault="00CC1C5C" w:rsidP="00123FC1">
      <w:pPr>
        <w:spacing w:after="0" w:line="240" w:lineRule="auto"/>
        <w:jc w:val="both"/>
        <w:rPr>
          <w:rFonts w:ascii="Times New Roman" w:hAnsi="Times New Roman" w:cs="Times New Roman"/>
          <w:b/>
          <w:sz w:val="24"/>
          <w:szCs w:val="24"/>
          <w:lang w:val="ms-MY"/>
        </w:rPr>
      </w:pPr>
      <w:bookmarkStart w:id="1" w:name="_Hlk180695637"/>
      <w:r w:rsidRPr="002D4513">
        <w:rPr>
          <w:rFonts w:ascii="Times New Roman" w:hAnsi="Times New Roman" w:cs="Times New Roman"/>
          <w:b/>
          <w:sz w:val="24"/>
          <w:szCs w:val="24"/>
          <w:lang w:val="ms-MY"/>
        </w:rPr>
        <w:t xml:space="preserve">Pengenalan </w:t>
      </w:r>
    </w:p>
    <w:p w14:paraId="32BECE6A" w14:textId="005EBDD8" w:rsidR="00CC1C5C" w:rsidRPr="002D4513" w:rsidRDefault="00CC1C5C" w:rsidP="00123FC1">
      <w:pPr>
        <w:spacing w:after="0" w:line="240" w:lineRule="auto"/>
        <w:jc w:val="both"/>
        <w:rPr>
          <w:rFonts w:ascii="Times New Roman" w:hAnsi="Times New Roman" w:cs="Times New Roman"/>
          <w:noProof/>
          <w:sz w:val="24"/>
          <w:szCs w:val="24"/>
          <w:lang w:val="ms-MY" w:eastAsia="en-ID"/>
        </w:rPr>
      </w:pPr>
      <w:r w:rsidRPr="002D4513">
        <w:rPr>
          <w:rFonts w:ascii="Times New Roman" w:hAnsi="Times New Roman" w:cs="Times New Roman"/>
          <w:noProof/>
          <w:color w:val="000000"/>
          <w:sz w:val="24"/>
          <w:szCs w:val="24"/>
          <w:lang w:val="ms-MY" w:eastAsia="en-ID"/>
        </w:rPr>
        <w:t xml:space="preserve">Pelbagai program Matlamat Pembangunan Mampan </w:t>
      </w:r>
      <w:r w:rsidRPr="002D4513">
        <w:rPr>
          <w:rFonts w:ascii="Times New Roman" w:hAnsi="Times New Roman" w:cs="Times New Roman"/>
          <w:i/>
          <w:iCs/>
          <w:noProof/>
          <w:color w:val="000000"/>
          <w:sz w:val="24"/>
          <w:szCs w:val="24"/>
          <w:lang w:val="ms-MY" w:eastAsia="en-ID"/>
        </w:rPr>
        <w:t xml:space="preserve">(Sustainable Development Goals /SDGs) </w:t>
      </w:r>
      <w:r w:rsidRPr="002D4513">
        <w:rPr>
          <w:rFonts w:ascii="Times New Roman" w:hAnsi="Times New Roman" w:cs="Times New Roman"/>
          <w:noProof/>
          <w:color w:val="000000"/>
          <w:sz w:val="24"/>
          <w:szCs w:val="24"/>
          <w:lang w:val="ms-MY" w:eastAsia="en-ID"/>
        </w:rPr>
        <w:t xml:space="preserve">lazimnya menjadi kepentingan utama kerana perkara tersebut sering dikaitkan dengan kelangsungan hidup manusia (Komarulzaman et al. 2023). Pada tahun 2015, semua negara anggota Pertubuhan Bangsa-Bangsa Bersatu (PBB) mengimplementasikan Matlamat Pembangunan Mampan (SDGs), yang menetapkan satu set sasaran berkaitan dengan kesihatan yang harus dimajukan agar dapat dicapai menjelang tahun 2030. Matlamat Pembangunan Mampan Pertubuhan Bangsa-Bangsa Bersatu adalah terdiri daripada 17 matlamat yang mempunyai kaitan di antara satu sama lain yang direka sebagai panduan untuk negara-negara di seluruh dunia bagi mencapai masa depan yang lebih baik dan lebih mampan </w:t>
      </w:r>
      <w:r w:rsidR="00123FC1" w:rsidRPr="002D4513">
        <w:rPr>
          <w:rFonts w:ascii="Times New Roman" w:hAnsi="Times New Roman" w:cs="Times New Roman"/>
          <w:noProof/>
          <w:sz w:val="24"/>
          <w:szCs w:val="24"/>
          <w:lang w:val="ms-MY"/>
        </w:rPr>
        <w:fldChar w:fldCharType="begin" w:fldLock="1"/>
      </w:r>
      <w:r w:rsidR="00123FC1" w:rsidRPr="002D4513">
        <w:rPr>
          <w:rFonts w:ascii="Times New Roman" w:hAnsi="Times New Roman" w:cs="Times New Roman"/>
          <w:noProof/>
          <w:sz w:val="24"/>
          <w:szCs w:val="24"/>
          <w:lang w:val="ms-MY"/>
        </w:rPr>
        <w:instrText>ADDIN CSL_CITATION {"citationItems":[{"id":"ITEM-1","itemData":{"DOI":"10.3390/ijerph20043250","ISSN":"16604601","PMID":"36833952","abstract":"Introduction: Understanding the specific geospatial variations in childhood stunting is essential for aligning appropriate health services to where new and/or additional nutritional interventions are required to achieve the Sustainable Development Goals (SDGs) and national targets. Objectives: We described local variations in the prevalence of childhood stunting at the second administrative level and its determinants in Nigeria after accounting for the influence of geospatial dependencies. Methods: This study used the 2018 national Nigeria Demographic and Health Survey datasets (NDHS; N = 12,627). We used a Bayesian geostatistical modelling approach to investigate the prevalence of stunting at the second administrative level and its proximal and contextual determinants among children under five years of age in Nigeria. Results: In 2018, the overall prevalence of childhood stunting in Nigeria was 41.5% (95% credible interval (CrI) from 26.4% to 55.7%). There were striking variations in the prevalence of stunting that ranged from 2.0% in Shomolu in Lagos State, Southern Nigeria to 66.4% in Biriniwa in Jigawa State, Northern Nigeria. Factors positively associated with stunting included being perceived as small at the time of birth and experience of three or more episodes of diarrhoea in the two weeks before the survey. Children whose mothers received a formal education and/or were overweight or obese were less likely to be stunted compared to their counterparts. Children who were from rich households, resided in households with improved cooking fuel, resided in urban centres, and lived in medium-rainfall geographic locations were also less likely to be stunted. Conclusion: The study findings showed wide variations in childhood stunting in Nigeria, suggesting the need for a realignment of health services to the poorest regions of Northern Nigeria.","author":[{"dropping-particle":"","family":"Ahmed","given":"Kedir Y.","non-dropping-particle":"","parse-names":false,"suffix":""},{"dropping-particle":"","family":"Ross","given":"Allen G.","non-dropping-particle":"","parse-names":false,"suffix":""},{"dropping-particle":"","family":"Hussien","given":"Seada M.","non-dropping-particle":"","parse-names":false,"suffix":""},{"dropping-particle":"","family":"Agho","given":"Kingsley E.","non-dropping-particle":"","parse-names":false,"suffix":""},{"dropping-particle":"","family":"Olusanya","given":"Bolajoko O.","non-dropping-particle":"","parse-names":false,"suffix":""},{"dropping-particle":"","family":"Ogbo","given":"Felix Akpojene","non-dropping-particle":"","parse-names":false,"suffix":""}],"container-title":"International Journal of Environmental Research and Public Health","id":"ITEM-1","issue":"4","issued":{"date-parts":[["2023"]]},"title":"Mapping Local Variations and the Determinants of Childhood Stunting in Nigeria","type":"article-journal","volume":"20"},"uris":["http://www.mendeley.com/documents/?uuid=bd4a1780-706a-4bb0-a44c-d4aea590297e"]}],"mendeley":{"formattedCitation":"(Ahmed et al. 2023)","plainTextFormattedCitation":"(Ahmed et al. 2023)","previouslyFormattedCitation":"(Ahmed et al. 2023)"},"properties":{"noteIndex":0},"schema":"https://github.com/citation-style-language/schema/raw/master/csl-citation.json"}</w:instrText>
      </w:r>
      <w:r w:rsidR="00123FC1" w:rsidRPr="002D4513">
        <w:rPr>
          <w:rFonts w:ascii="Times New Roman" w:hAnsi="Times New Roman" w:cs="Times New Roman"/>
          <w:noProof/>
          <w:sz w:val="24"/>
          <w:szCs w:val="24"/>
          <w:lang w:val="ms-MY"/>
        </w:rPr>
        <w:fldChar w:fldCharType="separate"/>
      </w:r>
      <w:r w:rsidR="00123FC1" w:rsidRPr="002D4513">
        <w:rPr>
          <w:rFonts w:ascii="Times New Roman" w:hAnsi="Times New Roman" w:cs="Times New Roman"/>
          <w:noProof/>
          <w:sz w:val="24"/>
          <w:szCs w:val="24"/>
          <w:lang w:val="ms-MY"/>
        </w:rPr>
        <w:t>(Ahmed et al. 2023)</w:t>
      </w:r>
      <w:r w:rsidR="00123FC1" w:rsidRPr="002D4513">
        <w:rPr>
          <w:rFonts w:ascii="Times New Roman" w:hAnsi="Times New Roman" w:cs="Times New Roman"/>
          <w:noProof/>
          <w:sz w:val="24"/>
          <w:szCs w:val="24"/>
          <w:lang w:val="ms-MY"/>
        </w:rPr>
        <w:fldChar w:fldCharType="end"/>
      </w:r>
      <w:r w:rsidR="00123FC1" w:rsidRPr="002D4513">
        <w:rPr>
          <w:rFonts w:ascii="Times New Roman" w:hAnsi="Times New Roman" w:cs="Times New Roman"/>
          <w:noProof/>
          <w:sz w:val="24"/>
          <w:szCs w:val="24"/>
          <w:lang w:val="ms-MY"/>
        </w:rPr>
        <w:t xml:space="preserve">. </w:t>
      </w:r>
      <w:r w:rsidRPr="002D4513">
        <w:rPr>
          <w:rFonts w:ascii="Times New Roman" w:hAnsi="Times New Roman" w:cs="Times New Roman"/>
          <w:noProof/>
          <w:color w:val="000000"/>
          <w:sz w:val="24"/>
          <w:szCs w:val="24"/>
          <w:lang w:val="ms-MY" w:eastAsia="en-ID"/>
        </w:rPr>
        <w:t xml:space="preserve">Justeru, keadaan sosio-ekonomi yang miskin, kelaparan, sengsara dan penuh dengan keterbatasan akan membawa kepada rendahnya tahap kualiti hidup seseorang dan perkara ini menyebabkan terdapatnya soalan tentang kanak-kanak yang terbantut. Berdasarkan kepada definisi daripada Badan Kependudukan dan Keluarga Berancangan Nasional (BKKBN), terbantut ini dapat diidentifikasikan sebagai kekurangan nutrisi pada bayi di satu ribu (1000) hari pertama kehidupan (HPK) secara berterusan  sehingga menyebabkan berlakunya kemerosotan pada tahap perkembangan otak dan tumbesaran anak </w:t>
      </w:r>
      <w:r w:rsidR="00123FC1" w:rsidRPr="002D4513">
        <w:rPr>
          <w:rFonts w:ascii="Times New Roman" w:hAnsi="Times New Roman" w:cs="Times New Roman"/>
          <w:noProof/>
          <w:color w:val="202124"/>
          <w:sz w:val="24"/>
          <w:szCs w:val="24"/>
          <w:shd w:val="clear" w:color="auto" w:fill="FFFFFF"/>
          <w:lang w:val="ms-MY"/>
        </w:rPr>
        <w:t xml:space="preserve">(Yuda et al. 2023). </w:t>
      </w:r>
      <w:r w:rsidRPr="002D4513">
        <w:rPr>
          <w:rFonts w:ascii="Times New Roman" w:hAnsi="Times New Roman" w:cs="Times New Roman"/>
          <w:noProof/>
          <w:color w:val="000000"/>
          <w:sz w:val="24"/>
          <w:szCs w:val="24"/>
          <w:lang w:val="ms-MY" w:eastAsia="en-ID"/>
        </w:rPr>
        <w:t xml:space="preserve">Oleh itu, Kanak-kanak terbantut  lazimnya disebabkan oleh beberapa faktor lain seperti sanitasi, pengelolaan air di suatu persekitaran, dan juga kekurangan nutrisi pada anak tersebut </w:t>
      </w:r>
      <w:r w:rsidR="00AF46C1" w:rsidRPr="002D4513">
        <w:rPr>
          <w:rFonts w:ascii="Times New Roman" w:hAnsi="Times New Roman" w:cs="Times New Roman"/>
          <w:noProof/>
          <w:color w:val="000000"/>
          <w:sz w:val="24"/>
          <w:szCs w:val="24"/>
          <w:lang w:val="ms-MY" w:eastAsia="en-ID"/>
        </w:rPr>
        <w:t>(Komarulzaman et al. 2023).</w:t>
      </w:r>
    </w:p>
    <w:p w14:paraId="1D55D4AA" w14:textId="502EEE75" w:rsidR="00CC1C5C" w:rsidRPr="002D4513" w:rsidRDefault="00CC1C5C" w:rsidP="00123FC1">
      <w:pPr>
        <w:spacing w:after="0" w:line="240" w:lineRule="auto"/>
        <w:ind w:firstLine="720"/>
        <w:jc w:val="both"/>
        <w:rPr>
          <w:rFonts w:ascii="Times New Roman" w:hAnsi="Times New Roman" w:cs="Times New Roman"/>
          <w:noProof/>
          <w:sz w:val="24"/>
          <w:szCs w:val="24"/>
          <w:lang w:val="ms-MY" w:eastAsia="en-ID"/>
        </w:rPr>
      </w:pPr>
      <w:r w:rsidRPr="002D4513">
        <w:rPr>
          <w:rFonts w:ascii="Times New Roman" w:hAnsi="Times New Roman" w:cs="Times New Roman"/>
          <w:noProof/>
          <w:color w:val="000000"/>
          <w:sz w:val="24"/>
          <w:szCs w:val="24"/>
          <w:lang w:val="ms-MY" w:eastAsia="en-ID"/>
        </w:rPr>
        <w:t>Kanak-kanak yang terselamat daripada kekurangan zat makanan pada usia awal pula mempunyai risiko tinggi untuk mengalami pelbagai keadaan kesihatan pada masa dewasa kelak. Tamsilnya, seperti diabetes dan penyakit kardiovaskular</w:t>
      </w:r>
      <w:r w:rsidR="00AF46C1" w:rsidRPr="002D4513">
        <w:rPr>
          <w:rFonts w:ascii="Times New Roman" w:hAnsi="Times New Roman" w:cs="Times New Roman"/>
          <w:noProof/>
          <w:color w:val="000000"/>
          <w:sz w:val="24"/>
          <w:szCs w:val="24"/>
          <w:lang w:val="ms-MY" w:eastAsia="en-ID"/>
        </w:rPr>
        <w:t xml:space="preserve"> </w:t>
      </w:r>
      <w:r w:rsidR="00AF46C1" w:rsidRPr="002D4513">
        <w:rPr>
          <w:rFonts w:ascii="Times New Roman" w:hAnsi="Times New Roman" w:cs="Times New Roman"/>
          <w:noProof/>
          <w:sz w:val="24"/>
          <w:szCs w:val="24"/>
          <w:lang w:val="ms-MY"/>
        </w:rPr>
        <w:fldChar w:fldCharType="begin" w:fldLock="1"/>
      </w:r>
      <w:r w:rsidR="00AF46C1" w:rsidRPr="002D4513">
        <w:rPr>
          <w:rFonts w:ascii="Times New Roman" w:hAnsi="Times New Roman" w:cs="Times New Roman"/>
          <w:noProof/>
          <w:sz w:val="24"/>
          <w:szCs w:val="24"/>
          <w:lang w:val="ms-MY"/>
        </w:rPr>
        <w:instrText>ADDIN CSL_CITATION {"citationItems":[{"id":"ITEM-1","itemData":{"DOI":"10.1080/17441692.2020.1849348","ISSN":"17441706","PMID":"33307997","abstract":"Empowering women is presented as a key strategy to achieve several goals of the sustainable development (SDG) agenda, including child health. However, the literature on the subject shows mixed results and is limited regarding political empowerment. Responding to this gap, we explore whether women’s political empowerment is associated with positive health outcomes for children under 5 years of age. We use the V-Dem project’s ‘Women’s Political Empowerment Index’ (WPEI) in combination with selected SDG indicators of child health from the Institute for Health Metrics and Evaluation’s 2017 Global Burden of Disease, for 161 countries, between 1990 and 2016. We estimate fixed-effects regressions for the WPEI against child mortality, stunting and immunisation coverage, controlling for structural and socio-economic indicators from the SDGs and potential lagged effects. The WPEI is associated with improved nutrition and immunisation but its substantive effect is small. High-, low-income and least developed countries benefit more from the effect of women’s political empowerment on child mortality. The effect of women’s political empowerment on stunting is stronger in middle-income countries while its effect on immunisation is more relevant to low-income and least developed countries. Our study demonstrates the complexity of the relations between women’s political empowerment and child health.","author":[{"dropping-particle":"","family":"Besnier","given":"Elodie","non-dropping-particle":"","parse-names":false,"suffix":""}],"container-title":"Global Public Health","id":"ITEM-1","issue":"1","issued":{"date-parts":[["2023"]]},"title":"Women’s political empowerment and child health in the sustainable development era: A global empirical analysis (1990–2016)","type":"article-journal","volume":"18"},"uris":["http://www.mendeley.com/documents/?uuid=325f206c-5fb7-45d3-b46d-f23d09ec356c"]}],"mendeley":{"formattedCitation":"(Besnier 2023)","plainTextFormattedCitation":"(Besnier 2023)","previouslyFormattedCitation":"(Besnier 2023)"},"properties":{"noteIndex":0},"schema":"https://github.com/citation-style-language/schema/raw/master/csl-citation.json"}</w:instrText>
      </w:r>
      <w:r w:rsidR="00AF46C1" w:rsidRPr="002D4513">
        <w:rPr>
          <w:rFonts w:ascii="Times New Roman" w:hAnsi="Times New Roman" w:cs="Times New Roman"/>
          <w:noProof/>
          <w:sz w:val="24"/>
          <w:szCs w:val="24"/>
          <w:lang w:val="ms-MY"/>
        </w:rPr>
        <w:fldChar w:fldCharType="separate"/>
      </w:r>
      <w:r w:rsidR="00AF46C1" w:rsidRPr="002D4513">
        <w:rPr>
          <w:rFonts w:ascii="Times New Roman" w:hAnsi="Times New Roman" w:cs="Times New Roman"/>
          <w:noProof/>
          <w:sz w:val="24"/>
          <w:szCs w:val="24"/>
          <w:lang w:val="ms-MY"/>
        </w:rPr>
        <w:t>(Besnier 2023)</w:t>
      </w:r>
      <w:r w:rsidR="00AF46C1" w:rsidRPr="002D4513">
        <w:rPr>
          <w:rFonts w:ascii="Times New Roman" w:hAnsi="Times New Roman" w:cs="Times New Roman"/>
          <w:noProof/>
          <w:sz w:val="24"/>
          <w:szCs w:val="24"/>
          <w:lang w:val="ms-MY"/>
        </w:rPr>
        <w:fldChar w:fldCharType="end"/>
      </w:r>
      <w:r w:rsidR="00AF46C1" w:rsidRPr="002D4513">
        <w:rPr>
          <w:rFonts w:ascii="Times New Roman" w:hAnsi="Times New Roman" w:cs="Times New Roman"/>
          <w:noProof/>
          <w:sz w:val="24"/>
          <w:szCs w:val="24"/>
          <w:lang w:val="ms-MY"/>
        </w:rPr>
        <w:t>.</w:t>
      </w:r>
      <w:r w:rsidR="00AF46C1" w:rsidRPr="002D4513">
        <w:rPr>
          <w:rFonts w:ascii="Times New Roman" w:hAnsi="Times New Roman" w:cs="Times New Roman"/>
          <w:noProof/>
          <w:color w:val="000000"/>
          <w:sz w:val="24"/>
          <w:szCs w:val="24"/>
          <w:lang w:val="ms-MY" w:eastAsia="en-ID"/>
        </w:rPr>
        <w:t xml:space="preserve"> </w:t>
      </w:r>
      <w:r w:rsidRPr="002D4513">
        <w:rPr>
          <w:rFonts w:ascii="Times New Roman" w:hAnsi="Times New Roman" w:cs="Times New Roman"/>
          <w:noProof/>
          <w:color w:val="000000"/>
          <w:sz w:val="24"/>
          <w:szCs w:val="24"/>
          <w:lang w:val="ms-MY" w:eastAsia="en-ID"/>
        </w:rPr>
        <w:t xml:space="preserve">Selain itu, lebih separuh daripada kematian kanak-kanak adalah disebabkan oleh kekurangan zat makanan, yang dikaitkan dengan kadar penglibatan sekolah yang lebih rendah dan fungsi kognitif yang lemah pada kanak-kanak itu tersendiri (Mugarura et al. 2021). Bertitik tolak daripada itu, kanak-kanak adalah lebih terjejas disebabkan oleh faktor kemiskinan (bahan makanan), namun berbeza dengan orang dewasa, di mana hampir satu daripada lima daripada mereka hidup dalam keadaan kemiskinan yang melampau </w:t>
      </w:r>
      <w:r w:rsidR="00AF46C1" w:rsidRPr="002D4513">
        <w:rPr>
          <w:rFonts w:ascii="Times New Roman" w:hAnsi="Times New Roman" w:cs="Times New Roman"/>
          <w:noProof/>
          <w:sz w:val="24"/>
          <w:szCs w:val="24"/>
          <w:lang w:val="ms-MY"/>
        </w:rPr>
        <w:fldChar w:fldCharType="begin" w:fldLock="1"/>
      </w:r>
      <w:r w:rsidR="00AF46C1" w:rsidRPr="002D4513">
        <w:rPr>
          <w:rFonts w:ascii="Times New Roman" w:hAnsi="Times New Roman" w:cs="Times New Roman"/>
          <w:noProof/>
          <w:sz w:val="24"/>
          <w:szCs w:val="24"/>
          <w:lang w:val="ms-MY"/>
        </w:rPr>
        <w:instrText>ADDIN CSL_CITATION {"citationItems":[{"id":"ITEM-1","itemData":{"DOI":"10.1186/s12992-021-00723-2","ISSN":"17448603","PMID":"34193203","abstract":"Background: Access to improved water and sanitation infrastructures are key determinants of health. The sub-Saharan African region in particular is lagging behind the ambitious goal of the 2030 Agenda for Sustainable Development to ensure universal access to improved and reliable water and sanitation for all (Sustainable Development Goal (SDG) 6). Large mining projects can promote economic growth and hence investments in water and sanitation infrastructures, but at the same time lead to rapid population growth and environmental degradation. In turn, these changes can pose risks and opportunities for child health (SDG 3). In this study we aim to quantify the impacts of mining projects on access to water and sanitation infrastructure as well as diarrhea and malnutrition among children using data from 131 Demographic and Health Surveys from sub-Saharan Africa. Results: From a sample of around 1.2 million households, data within the proximity of 52 mine-panels were selected for longitudinal analyses, resulting in 41,896 households and 32,112 children. Improvements in access to modern water and sanitation infrastructures after mine opening were much larger in households near mining sites than in comparison areas located further away (adjusted relative risk ratio (aRRR) water: 18.60, 95 % confidence interval (CI): 13.08–26.46 and aRRR sanitation: 2.56, 95 % CI: 1.32–4.99). However, these associations were weaker among poorer households. In areas close to the mining sites, stunting and underweight prevalence decreased more strongly upon mine opening (adjusted odds ratio (aOR) stunting: 0.62, 95 % CI: 0.43–0.90; aOR underweight: 0.55, 95 % CI: 0.36–0.84). No differential changes were seen for wasting and diarrhea. Large impact heterogeneity was observed both within and across countries. Conclusions: Our results suggest that the opening of mines is associated with improvements in access to modern water and sanitation infrastructures (SDG 6) as well as in some health outcomes (SDG 3). However, the large impact heterogeneity suggests that the assessment and management of mining-related impacts on communities should have an increased equity-focus, in order to “leave no one behind” in the work towards the 2030 Agenda for Sustainable Development. Overall, the findings of this study underscore that the resource extraction sector has the potential to make positive and substantial contributions towards achieving the SDGs.","author":[{"dropping-particle":"","family":"Dietler","given":"Dominik","non-dropping-particle":"","parse-names":false,"suffix":""},{"dropping-particle":"","family":"Farnham","given":"Andrea","non-dropping-particle":"","parse-names":false,"suffix":""},{"dropping-particle":"","family":"Loss","given":"Georg","non-dropping-particle":"","parse-names":false,"suffix":""},{"dropping-particle":"","family":"Fink","given":"Günther","non-dropping-particle":"","parse-names":false,"suffix":""},{"dropping-particle":"","family":"Winkler","given":"Mirko S.","non-dropping-particle":"","parse-names":false,"suffix":""}],"container-title":"Globalization and Health","id":"ITEM-1","issue":"1","issued":{"date-parts":[["2021"]]},"page":"1-16","publisher":"Globalization and Health","title":"Impact of mining projects on water and sanitation infrastructures and associated child health outcomes: a multi-country analysis of Demographic and Health Surveys (DHS) in sub-Saharan Africa","type":"article-journal","volume":"17"},"uris":["http://www.mendeley.com/documents/?uuid=979fcb26-1a0b-4c45-a51c-5d9bd90e8aee"]}],"mendeley":{"formattedCitation":"(Dietler et al. 2021)","plainTextFormattedCitation":"(Dietler et al. 2021)","previouslyFormattedCitation":"(Dietler et al. 2021)"},"properties":{"noteIndex":0},"schema":"https://github.com/citation-style-language/schema/raw/master/csl-citation.json"}</w:instrText>
      </w:r>
      <w:r w:rsidR="00AF46C1" w:rsidRPr="002D4513">
        <w:rPr>
          <w:rFonts w:ascii="Times New Roman" w:hAnsi="Times New Roman" w:cs="Times New Roman"/>
          <w:noProof/>
          <w:sz w:val="24"/>
          <w:szCs w:val="24"/>
          <w:lang w:val="ms-MY"/>
        </w:rPr>
        <w:fldChar w:fldCharType="separate"/>
      </w:r>
      <w:r w:rsidR="00AF46C1" w:rsidRPr="002D4513">
        <w:rPr>
          <w:rFonts w:ascii="Times New Roman" w:hAnsi="Times New Roman" w:cs="Times New Roman"/>
          <w:noProof/>
          <w:sz w:val="24"/>
          <w:szCs w:val="24"/>
          <w:lang w:val="ms-MY"/>
        </w:rPr>
        <w:t>(Dietler et al. 2021)</w:t>
      </w:r>
      <w:r w:rsidR="00AF46C1" w:rsidRPr="002D4513">
        <w:rPr>
          <w:rFonts w:ascii="Times New Roman" w:hAnsi="Times New Roman" w:cs="Times New Roman"/>
          <w:noProof/>
          <w:sz w:val="24"/>
          <w:szCs w:val="24"/>
          <w:lang w:val="ms-MY"/>
        </w:rPr>
        <w:fldChar w:fldCharType="end"/>
      </w:r>
      <w:r w:rsidR="00AF46C1" w:rsidRPr="002D4513">
        <w:rPr>
          <w:rFonts w:ascii="Times New Roman" w:hAnsi="Times New Roman" w:cs="Times New Roman"/>
          <w:noProof/>
          <w:sz w:val="24"/>
          <w:szCs w:val="24"/>
          <w:lang w:val="ms-MY"/>
        </w:rPr>
        <w:t xml:space="preserve">. </w:t>
      </w:r>
      <w:r w:rsidRPr="002D4513">
        <w:rPr>
          <w:rFonts w:ascii="Times New Roman" w:hAnsi="Times New Roman" w:cs="Times New Roman"/>
          <w:noProof/>
          <w:color w:val="000000"/>
          <w:sz w:val="24"/>
          <w:szCs w:val="24"/>
          <w:lang w:val="ms-MY" w:eastAsia="en-ID"/>
        </w:rPr>
        <w:t xml:space="preserve">Maka, masih terdapat 159 juta kanak-kanak di seluruh dunia dalam persekitaran umur bawah lima tahun yang mengalami pertumbuhan terbantut, dan daripada bayi berumur 0-5 bulan sebanyak 61 peratus tidak mendapat penyusuan susu ibu secara eksklusif </w:t>
      </w:r>
      <w:r w:rsidR="00AF46C1" w:rsidRPr="002D4513">
        <w:rPr>
          <w:rFonts w:ascii="Times New Roman" w:hAnsi="Times New Roman" w:cs="Times New Roman"/>
          <w:noProof/>
          <w:sz w:val="24"/>
          <w:szCs w:val="24"/>
          <w:lang w:val="ms-MY"/>
        </w:rPr>
        <w:fldChar w:fldCharType="begin" w:fldLock="1"/>
      </w:r>
      <w:r w:rsidR="00AF46C1" w:rsidRPr="002D4513">
        <w:rPr>
          <w:rFonts w:ascii="Times New Roman" w:hAnsi="Times New Roman" w:cs="Times New Roman"/>
          <w:noProof/>
          <w:sz w:val="24"/>
          <w:szCs w:val="24"/>
          <w:lang w:val="ms-MY"/>
        </w:rPr>
        <w:instrText>ADDIN CSL_CITATION {"citationItems":[{"id":"ITEM-1","itemData":{"DOI":"10.3390/ijerph19116684","ISSN":"16604601","abstract":"Young children in low-and middle-income countries (LMICs) are vulnerable to adverse effects of household microenvironments. The UN Sustainable Development Goals (SDGs)—specifically SDG 3 through 7—urge for a comprehensive multi-sector approach to achieve the 2030 goals. This study addresses gaps in understanding the health effects of household microenvironments in resourcepoor settings. It studies associations of household microenvironment variables with episodes of acute respiratory infection (ARI) and diarrhoea as well as with stunting among under-fives using logistic regression. Comprehensive data from a nationally representative, cross-sectional demographic and health survey (DHS) in Uganda were analysed. We constructed and applied the multidimensional energy poverty index (MEPI) and the three-dimensional women empowerment index in multivariate regressions. The multidimensional energy poverty was associated with higher risk of ARI (OR = 1.32, 95% CI 1.10 to 1.58). Social independence of women was associated with lower risk of ARI (OR= 0.91, 95% CI 0.84 to 0.98), diarrhoea (OR = 0.93, 95% CI 0.88 to 0.99), and stunting (OR = 0.83, 95% CI 0.75 to 0.92). Women’s attitude against domestic violence was also significantly associated with episodes of ARI (OR = 0.88, 95% CI 0.82 to 0.93) and diarrhoea (OR = 0.89, 95% CI 0.84 to 0.93) in children. Access to sanitation facilities was associated with lower risk of ARI (OR = 0.55, 95% CI 0.45 to 0.68), diarrhoea (OR = 0.83, 95% CI 0.71 to 0.96), and stunting (OR = 0.64, 95% CI 0.49 to 0.86). Investments targeting synergies in integrated energy and water, sanitation and hygiene, and women empowerment programmes are likely to contribute to the reduction of the burden from early childhood illnesses. Research and development actions in LMICs should address and include multi-sector synergies.","author":[{"dropping-particle":"","family":"Terfa","given":"Zelalem G.","non-dropping-particle":"","parse-names":false,"suffix":""},{"dropping-particle":"","family":"Ahmed","given":"Sayem","non-dropping-particle":"","parse-names":false,"suffix":""},{"dropping-particle":"","family":"Khan","given":"Jahangir","non-dropping-particle":"","parse-names":false,"suffix":""},{"dropping-particle":"","family":"Niessen","given":"Louis W.","non-dropping-particle":"","parse-names":false,"suffix":""}],"container-title":"International Journal of Environmental Research and Public Health","id":"ITEM-1","issue":"11","issued":{"date-parts":[["2022"]]},"page":"1-17","title":"Household Microenvironment and Under-Fives Health Outcomes in Uganda: Focusing on Multidimensional Energy Poverty and Women Empowerment Indices","type":"article-journal","volume":"19"},"uris":["http://www.mendeley.com/documents/?uuid=2850f359-9e54-4252-934a-8a39cb1a4822"]}],"mendeley":{"formattedCitation":"(Terfa et al. 2022)","plainTextFormattedCitation":"(Terfa et al. 2022)","previouslyFormattedCitation":"(Terfa et al. 2022)"},"properties":{"noteIndex":0},"schema":"https://github.com/citation-style-language/schema/raw/master/csl-citation.json"}</w:instrText>
      </w:r>
      <w:r w:rsidR="00AF46C1" w:rsidRPr="002D4513">
        <w:rPr>
          <w:rFonts w:ascii="Times New Roman" w:hAnsi="Times New Roman" w:cs="Times New Roman"/>
          <w:noProof/>
          <w:sz w:val="24"/>
          <w:szCs w:val="24"/>
          <w:lang w:val="ms-MY"/>
        </w:rPr>
        <w:fldChar w:fldCharType="separate"/>
      </w:r>
      <w:r w:rsidR="00AF46C1" w:rsidRPr="002D4513">
        <w:rPr>
          <w:rFonts w:ascii="Times New Roman" w:hAnsi="Times New Roman" w:cs="Times New Roman"/>
          <w:noProof/>
          <w:sz w:val="24"/>
          <w:szCs w:val="24"/>
          <w:lang w:val="ms-MY"/>
        </w:rPr>
        <w:t>(Terfa et al. 2022)</w:t>
      </w:r>
      <w:r w:rsidR="00AF46C1" w:rsidRPr="002D4513">
        <w:rPr>
          <w:rFonts w:ascii="Times New Roman" w:hAnsi="Times New Roman" w:cs="Times New Roman"/>
          <w:noProof/>
          <w:sz w:val="24"/>
          <w:szCs w:val="24"/>
          <w:lang w:val="ms-MY"/>
        </w:rPr>
        <w:fldChar w:fldCharType="end"/>
      </w:r>
      <w:r w:rsidR="00AF46C1" w:rsidRPr="002D4513">
        <w:rPr>
          <w:rFonts w:ascii="Times New Roman" w:hAnsi="Times New Roman" w:cs="Times New Roman"/>
          <w:noProof/>
          <w:sz w:val="24"/>
          <w:szCs w:val="24"/>
          <w:lang w:val="ms-MY"/>
        </w:rPr>
        <w:t>.</w:t>
      </w:r>
    </w:p>
    <w:p w14:paraId="3901A8FF" w14:textId="0531FB4B" w:rsidR="00CC1C5C" w:rsidRPr="002D4513" w:rsidRDefault="00CC1C5C" w:rsidP="00123FC1">
      <w:pPr>
        <w:pStyle w:val="ListParagraph"/>
        <w:spacing w:after="0" w:line="240" w:lineRule="auto"/>
        <w:ind w:left="0" w:firstLine="720"/>
        <w:jc w:val="both"/>
        <w:rPr>
          <w:rFonts w:ascii="Times New Roman" w:hAnsi="Times New Roman"/>
          <w:noProof/>
          <w:sz w:val="24"/>
          <w:szCs w:val="24"/>
          <w:lang w:val="ms-MY"/>
        </w:rPr>
      </w:pPr>
      <w:r w:rsidRPr="002D4513">
        <w:rPr>
          <w:rFonts w:ascii="Times New Roman" w:hAnsi="Times New Roman"/>
          <w:noProof/>
          <w:sz w:val="24"/>
          <w:szCs w:val="24"/>
          <w:lang w:val="ms-MY"/>
        </w:rPr>
        <w:t xml:space="preserve">Kajian lain menunjukkan bahawa kanak-kanak yang lebih tua, antara umur satu hingga lima tahun, mempunyai risiko 154 peratus hingga 265 peratus lebih tinggi untuk terbantut berbanding kanak-kanak di bawah umur satu tahun </w:t>
      </w:r>
      <w:r w:rsidRPr="002D4513">
        <w:rPr>
          <w:rFonts w:ascii="Times New Roman" w:hAnsi="Times New Roman"/>
          <w:noProof/>
          <w:sz w:val="24"/>
          <w:szCs w:val="24"/>
          <w:lang w:val="ms-MY"/>
        </w:rPr>
        <w:fldChar w:fldCharType="begin" w:fldLock="1"/>
      </w:r>
      <w:r w:rsidRPr="002D4513">
        <w:rPr>
          <w:rFonts w:ascii="Times New Roman" w:hAnsi="Times New Roman"/>
          <w:noProof/>
          <w:sz w:val="24"/>
          <w:szCs w:val="24"/>
          <w:lang w:val="ms-MY"/>
        </w:rPr>
        <w:instrText>ADDIN CSL_CITATION {"citationItems":[{"id":"ITEM-1","itemData":{"DOI":"10.3390/ijerph19116684","ISSN":"16604601","abstract":"Young children in low-and middle-income countries (LMICs) are vulnerable to adverse effects of household microenvironments. The UN Sustainable Development Goals (SDGs)—specifically SDG 3 through 7—urge for a comprehensive multi-sector approach to achieve the 2030 goals. This study addresses gaps in understanding the health effects of household microenvironments in resourcepoor settings. It studies associations of household microenvironment variables with episodes of acute respiratory infection (ARI) and diarrhoea as well as with stunting among under-fives using logistic regression. Comprehensive data from a nationally representative, cross-sectional demographic and health survey (DHS) in Uganda were analysed. We constructed and applied the multidimensional energy poverty index (MEPI) and the three-dimensional women empowerment index in multivariate regressions. The multidimensional energy poverty was associated with higher risk of ARI (OR = 1.32, 95% CI 1.10 to 1.58). Social independence of women was associated with lower risk of ARI (OR= 0.91, 95% CI 0.84 to 0.98), diarrhoea (OR = 0.93, 95% CI 0.88 to 0.99), and stunting (OR = 0.83, 95% CI 0.75 to 0.92). Women’s attitude against domestic violence was also significantly associated with episodes of ARI (OR = 0.88, 95% CI 0.82 to 0.93) and diarrhoea (OR = 0.89, 95% CI 0.84 to 0.93) in children. Access to sanitation facilities was associated with lower risk of ARI (OR = 0.55, 95% CI 0.45 to 0.68), diarrhoea (OR = 0.83, 95% CI 0.71 to 0.96), and stunting (OR = 0.64, 95% CI 0.49 to 0.86). Investments targeting synergies in integrated energy and water, sanitation and hygiene, and women empowerment programmes are likely to contribute to the reduction of the burden from early childhood illnesses. Research and development actions in LMICs should address and include multi-sector synergies.","author":[{"dropping-particle":"","family":"Terfa","given":"Zelalem G.","non-dropping-particle":"","parse-names":false,"suffix":""},{"dropping-particle":"","family":"Ahmed","given":"Sayem","non-dropping-particle":"","parse-names":false,"suffix":""},{"dropping-particle":"","family":"Khan","given":"Jahangir","non-dropping-particle":"","parse-names":false,"suffix":""},{"dropping-particle":"","family":"Niessen","given":"Louis W.","non-dropping-particle":"","parse-names":false,"suffix":""}],"container-title":"International Journal of Environmental Research and Public Health","id":"ITEM-1","issue":"11","issued":{"date-parts":[["2022"]]},"page":"1-17","title":"Household Microenvironment and Under-Fives Health Outcomes in Uganda: Focusing on Multidimensional Energy Poverty and Women Empowerment Indices","type":"article-journal","volume":"19"},"uris":["http://www.mendeley.com/documents/?uuid=2850f359-9e54-4252-934a-8a39cb1a4822"]}],"mendeley":{"formattedCitation":"(Terfa et al. 2022)","plainTextFormattedCitation":"(Terfa et al. 2022)","previouslyFormattedCitation":"(Terfa et al. 2022)"},"properties":{"noteIndex":0},"schema":"https://github.com/citation-style-language/schema/raw/master/csl-citation.json"}</w:instrText>
      </w:r>
      <w:r w:rsidRPr="002D4513">
        <w:rPr>
          <w:rFonts w:ascii="Times New Roman" w:hAnsi="Times New Roman"/>
          <w:noProof/>
          <w:sz w:val="24"/>
          <w:szCs w:val="24"/>
          <w:lang w:val="ms-MY"/>
        </w:rPr>
        <w:fldChar w:fldCharType="separate"/>
      </w:r>
      <w:r w:rsidRPr="002D4513">
        <w:rPr>
          <w:rFonts w:ascii="Times New Roman" w:hAnsi="Times New Roman"/>
          <w:noProof/>
          <w:sz w:val="24"/>
          <w:szCs w:val="24"/>
          <w:lang w:val="ms-MY"/>
        </w:rPr>
        <w:t>(Terfa et al. 2022)</w:t>
      </w:r>
      <w:r w:rsidRPr="002D4513">
        <w:rPr>
          <w:rFonts w:ascii="Times New Roman" w:hAnsi="Times New Roman"/>
          <w:noProof/>
          <w:sz w:val="24"/>
          <w:szCs w:val="24"/>
          <w:lang w:val="ms-MY"/>
        </w:rPr>
        <w:fldChar w:fldCharType="end"/>
      </w:r>
      <w:r w:rsidRPr="002D4513">
        <w:rPr>
          <w:rFonts w:ascii="Times New Roman" w:hAnsi="Times New Roman"/>
          <w:noProof/>
          <w:sz w:val="24"/>
          <w:szCs w:val="24"/>
          <w:lang w:val="ms-MY"/>
        </w:rPr>
        <w:t xml:space="preserve">. Maka, ketinggian dan berat kanak-kanak telah diselaraskan menggunakan piawaian rujukan pertumbuhan Pertubuhan Kesihatan Sedunia (WHO) 2006 </w:t>
      </w:r>
      <w:r w:rsidRPr="002D4513">
        <w:rPr>
          <w:rFonts w:ascii="Times New Roman" w:hAnsi="Times New Roman"/>
          <w:noProof/>
          <w:sz w:val="24"/>
          <w:szCs w:val="24"/>
          <w:lang w:val="ms-MY"/>
        </w:rPr>
        <w:fldChar w:fldCharType="begin" w:fldLock="1"/>
      </w:r>
      <w:r w:rsidRPr="002D4513">
        <w:rPr>
          <w:rFonts w:ascii="Times New Roman" w:hAnsi="Times New Roman"/>
          <w:noProof/>
          <w:sz w:val="24"/>
          <w:szCs w:val="24"/>
          <w:lang w:val="ms-MY"/>
        </w:rPr>
        <w:instrText>ADDIN CSL_CITATION {"citationItems":[{"id":"ITEM-1","itemData":{"DOI":"10.1186/s12992-021-00723-2","ISSN":"17448603","PMID":"34193203","abstract":"Background: Access to improved water and sanitation infrastructures are key determinants of health. The sub-Saharan African region in particular is lagging behind the ambitious goal of the 2030 Agenda for Sustainable Development to ensure universal access to improved and reliable water and sanitation for all (Sustainable Development Goal (SDG) 6). Large mining projects can promote economic growth and hence investments in water and sanitation infrastructures, but at the same time lead to rapid population growth and environmental degradation. In turn, these changes can pose risks and opportunities for child health (SDG 3). In this study we aim to quantify the impacts of mining projects on access to water and sanitation infrastructure as well as diarrhea and malnutrition among children using data from 131 Demographic and Health Surveys from sub-Saharan Africa. Results: From a sample of around 1.2 million households, data within the proximity of 52 mine-panels were selected for longitudinal analyses, resulting in 41,896 households and 32,112 children. Improvements in access to modern water and sanitation infrastructures after mine opening were much larger in households near mining sites than in comparison areas located further away (adjusted relative risk ratio (aRRR) water: 18.60, 95 % confidence interval (CI): 13.08–26.46 and aRRR sanitation: 2.56, 95 % CI: 1.32–4.99). However, these associations were weaker among poorer households. In areas close to the mining sites, stunting and underweight prevalence decreased more strongly upon mine opening (adjusted odds ratio (aOR) stunting: 0.62, 95 % CI: 0.43–0.90; aOR underweight: 0.55, 95 % CI: 0.36–0.84). No differential changes were seen for wasting and diarrhea. Large impact heterogeneity was observed both within and across countries. Conclusions: Our results suggest that the opening of mines is associated with improvements in access to modern water and sanitation infrastructures (SDG 6) as well as in some health outcomes (SDG 3). However, the large impact heterogeneity suggests that the assessment and management of mining-related impacts on communities should have an increased equity-focus, in order to “leave no one behind” in the work towards the 2030 Agenda for Sustainable Development. Overall, the findings of this study underscore that the resource extraction sector has the potential to make positive and substantial contributions towards achieving the SDGs.","author":[{"dropping-particle":"","family":"Dietler","given":"Dominik","non-dropping-particle":"","parse-names":false,"suffix":""},{"dropping-particle":"","family":"Farnham","given":"Andrea","non-dropping-particle":"","parse-names":false,"suffix":""},{"dropping-particle":"","family":"Loss","given":"Georg","non-dropping-particle":"","parse-names":false,"suffix":""},{"dropping-particle":"","family":"Fink","given":"Günther","non-dropping-particle":"","parse-names":false,"suffix":""},{"dropping-particle":"","family":"Winkler","given":"Mirko S.","non-dropping-particle":"","parse-names":false,"suffix":""}],"container-title":"Globalization and Health","id":"ITEM-1","issue":"1","issued":{"date-parts":[["2021"]]},"page":"1-16","publisher":"Globalization and Health","title":"Impact of mining projects on water and sanitation infrastructures and associated child health outcomes: a multi-country analysis of Demographic and Health Surveys (DHS) in sub-Saharan Africa","type":"article-journal","volume":"17"},"uris":["http://www.mendeley.com/documents/?uuid=979fcb26-1a0b-4c45-a51c-5d9bd90e8aee"]}],"mendeley":{"formattedCitation":"(Dietler et al. 2021)","plainTextFormattedCitation":"(Dietler et al. 2021)","previouslyFormattedCitation":"(Dietler et al. 2021)"},"properties":{"noteIndex":0},"schema":"https://github.com/citation-style-language/schema/raw/master/csl-citation.json"}</w:instrText>
      </w:r>
      <w:r w:rsidRPr="002D4513">
        <w:rPr>
          <w:rFonts w:ascii="Times New Roman" w:hAnsi="Times New Roman"/>
          <w:noProof/>
          <w:sz w:val="24"/>
          <w:szCs w:val="24"/>
          <w:lang w:val="ms-MY"/>
        </w:rPr>
        <w:fldChar w:fldCharType="separate"/>
      </w:r>
      <w:r w:rsidRPr="002D4513">
        <w:rPr>
          <w:rFonts w:ascii="Times New Roman" w:hAnsi="Times New Roman"/>
          <w:noProof/>
          <w:sz w:val="24"/>
          <w:szCs w:val="24"/>
          <w:lang w:val="ms-MY"/>
        </w:rPr>
        <w:t>(Dietler et al. 2021)</w:t>
      </w:r>
      <w:r w:rsidRPr="002D4513">
        <w:rPr>
          <w:rFonts w:ascii="Times New Roman" w:hAnsi="Times New Roman"/>
          <w:noProof/>
          <w:sz w:val="24"/>
          <w:szCs w:val="24"/>
          <w:lang w:val="ms-MY"/>
        </w:rPr>
        <w:fldChar w:fldCharType="end"/>
      </w:r>
      <w:r w:rsidRPr="002D4513">
        <w:rPr>
          <w:rFonts w:ascii="Times New Roman" w:hAnsi="Times New Roman"/>
          <w:noProof/>
          <w:sz w:val="24"/>
          <w:szCs w:val="24"/>
          <w:lang w:val="ms-MY"/>
        </w:rPr>
        <w:t xml:space="preserve">. Lantaran itu, usaha untuk menangani soalan kekurangan zat makanan mempunyai Peranan penting dalam meningkatkan hasil kesihatan dan menamatkan kitaran kemiskinan di peringkat global </w:t>
      </w:r>
      <w:r w:rsidRPr="002D4513">
        <w:rPr>
          <w:rFonts w:ascii="Times New Roman" w:hAnsi="Times New Roman"/>
          <w:noProof/>
          <w:sz w:val="24"/>
          <w:szCs w:val="24"/>
          <w:lang w:val="ms-MY"/>
        </w:rPr>
        <w:fldChar w:fldCharType="begin" w:fldLock="1"/>
      </w:r>
      <w:r w:rsidRPr="002D4513">
        <w:rPr>
          <w:rFonts w:ascii="Times New Roman" w:hAnsi="Times New Roman"/>
          <w:noProof/>
          <w:sz w:val="24"/>
          <w:szCs w:val="24"/>
          <w:lang w:val="ms-MY"/>
        </w:rPr>
        <w:instrText>ADDIN CSL_CITATION {"citationItems":[{"id":"ITEM-1","itemData":{"DOI":"10.3390/ijerph20043250","ISSN":"16604601","PMID":"36833952","abstract":"Introduction: Understanding the specific geospatial variations in childhood stunting is essential for aligning appropriate health services to where new and/or additional nutritional interventions are required to achieve the Sustainable Development Goals (SDGs) and national targets. Objectives: We described local variations in the prevalence of childhood stunting at the second administrative level and its determinants in Nigeria after accounting for the influence of geospatial dependencies. Methods: This study used the 2018 national Nigeria Demographic and Health Survey datasets (NDHS; N = 12,627). We used a Bayesian geostatistical modelling approach to investigate the prevalence of stunting at the second administrative level and its proximal and contextual determinants among children under five years of age in Nigeria. Results: In 2018, the overall prevalence of childhood stunting in Nigeria was 41.5% (95% credible interval (CrI) from 26.4% to 55.7%). There were striking variations in the prevalence of stunting that ranged from 2.0% in Shomolu in Lagos State, Southern Nigeria to 66.4% in Biriniwa in Jigawa State, Northern Nigeria. Factors positively associated with stunting included being perceived as small at the time of birth and experience of three or more episodes of diarrhoea in the two weeks before the survey. Children whose mothers received a formal education and/or were overweight or obese were less likely to be stunted compared to their counterparts. Children who were from rich households, resided in households with improved cooking fuel, resided in urban centres, and lived in medium-rainfall geographic locations were also less likely to be stunted. Conclusion: The study findings showed wide variations in childhood stunting in Nigeria, suggesting the need for a realignment of health services to the poorest regions of Northern Nigeria.","author":[{"dropping-particle":"","family":"Ahmed","given":"Kedir Y.","non-dropping-particle":"","parse-names":false,"suffix":""},{"dropping-particle":"","family":"Ross","given":"Allen G.","non-dropping-particle":"","parse-names":false,"suffix":""},{"dropping-particle":"","family":"Hussien","given":"Seada M.","non-dropping-particle":"","parse-names":false,"suffix":""},{"dropping-particle":"","family":"Agho","given":"Kingsley E.","non-dropping-particle":"","parse-names":false,"suffix":""},{"dropping-particle":"","family":"Olusanya","given":"Bolajoko O.","non-dropping-particle":"","parse-names":false,"suffix":""},{"dropping-particle":"","family":"Ogbo","given":"Felix Akpojene","non-dropping-particle":"","parse-names":false,"suffix":""}],"container-title":"International Journal of Environmental Research and Public Health","id":"ITEM-1","issue":"4","issued":{"date-parts":[["2023"]]},"title":"Mapping Local Variations and the Determinants of Childhood Stunting in Nigeria","type":"article-journal","volume":"20"},"uris":["http://www.mendeley.com/documents/?uuid=bd4a1780-706a-4bb0-a44c-d4aea590297e"]}],"mendeley":{"formattedCitation":"(Ahmed et al. 2023)","plainTextFormattedCitation":"(Ahmed et al. 2023)","previouslyFormattedCitation":"(Ahmed et al. 2023)"},"properties":{"noteIndex":0},"schema":"https://github.com/citation-style-language/schema/raw/master/csl-citation.json"}</w:instrText>
      </w:r>
      <w:r w:rsidRPr="002D4513">
        <w:rPr>
          <w:rFonts w:ascii="Times New Roman" w:hAnsi="Times New Roman"/>
          <w:noProof/>
          <w:sz w:val="24"/>
          <w:szCs w:val="24"/>
          <w:lang w:val="ms-MY"/>
        </w:rPr>
        <w:fldChar w:fldCharType="separate"/>
      </w:r>
      <w:r w:rsidRPr="002D4513">
        <w:rPr>
          <w:rFonts w:ascii="Times New Roman" w:hAnsi="Times New Roman"/>
          <w:noProof/>
          <w:sz w:val="24"/>
          <w:szCs w:val="24"/>
          <w:lang w:val="ms-MY"/>
        </w:rPr>
        <w:t>(Ahmed et al. 2023)</w:t>
      </w:r>
      <w:r w:rsidRPr="002D4513">
        <w:rPr>
          <w:rFonts w:ascii="Times New Roman" w:hAnsi="Times New Roman"/>
          <w:noProof/>
          <w:sz w:val="24"/>
          <w:szCs w:val="24"/>
          <w:lang w:val="ms-MY"/>
        </w:rPr>
        <w:fldChar w:fldCharType="end"/>
      </w:r>
      <w:r w:rsidRPr="002D4513">
        <w:rPr>
          <w:rFonts w:ascii="Times New Roman" w:hAnsi="Times New Roman"/>
          <w:noProof/>
          <w:sz w:val="24"/>
          <w:szCs w:val="24"/>
          <w:lang w:val="ms-MY"/>
        </w:rPr>
        <w:t xml:space="preserve">. Hubungan kompleks di antara konteks sosial, ekonomi, dan politik dalam soalan kekurangan gizi menyebabkan wujudnya keadaan di mana terdapat perbezaan yang signifikan di antara sub-kelompok populasi </w:t>
      </w:r>
      <w:r w:rsidRPr="002D4513">
        <w:rPr>
          <w:rFonts w:ascii="Times New Roman" w:hAnsi="Times New Roman"/>
          <w:noProof/>
          <w:sz w:val="24"/>
          <w:szCs w:val="24"/>
          <w:lang w:val="ms-MY"/>
        </w:rPr>
        <w:fldChar w:fldCharType="begin" w:fldLock="1"/>
      </w:r>
      <w:r w:rsidRPr="002D4513">
        <w:rPr>
          <w:rFonts w:ascii="Times New Roman" w:hAnsi="Times New Roman"/>
          <w:noProof/>
          <w:sz w:val="24"/>
          <w:szCs w:val="24"/>
          <w:lang w:val="ms-MY"/>
        </w:rPr>
        <w:instrText>ADDIN CSL_CITATION {"citationItems":[{"id":"ITEM-1","itemData":{"DOI":"10.1186/s12939-019-1046-7","ISSN":"14759276","PMID":"31615530","abstract":"Background: With the adoption of the Sustainable Development Goals (SDGs), there is a renewed commitment of tackling the varied challenges of undernutrition, particularly stunting (SDG 2.2). Health equity is also a priority in the SDG agenda and there is an urgent need for disaggregated analyses to identify disadvantaged subgroups. We compared time trends in socioeconomic inequalities obtained through stratification by wealth quintiles and deciles for stunting prevalence. Methods: We used 37 representative Demographic and Health Surveys and Multiple Indicator Cluster surveys from nine Latin American and Caribbean (LAC) countries conducted between 1996 and 2016. Stunting in children under-5 years was assessed according to the 2006 WHO Child Growth Standards and stratified by wealth quintiles and deciles. Within-country socioeconomic inequalities were measured through concentration index (CIX) and slope index of inequality (SII). We used variance-weighted least squares regression to estimate annual changes. Results: Eight out of nine countries showed a statistical evidence of reduction in stunting prevalence over time. Differences between extreme deciles were larger than between quintiles in most of countries and at every point in time. However, when using summary measures of inequality, there were no differences in the estimates of SII with the use of deciles and quintiles. In absolute terms, there was a reduction in socioeconomic inequalities in Peru, Honduras, Dominican Republic, Belize, Suriname and Colombia. In relative terms, there was an increase in socioeconomic inequalities in Peru, Bolivia, Haiti, Honduras and Guatemala. Conclusions: LAC countries have made substantial progress in terms of reducing stunting,. Nevertheless, renewed actions are needed to improve equity. Particularly in those countries were absolute and relative inequalities did not change over time such Bolivia and Guatemala. Finer breakdowns in wealth distribution are expected to elucidate more differences between subgroups; however, this approach is relevant to cast light on those subgroups that are still lagging behind within populations and inform equity-oriented health programs and practices.","author":[{"dropping-particle":"","family":"Flores-Quispe","given":"Maria Del Pilar","non-dropping-particle":"","parse-names":false,"suffix":""},{"dropping-particle":"","family":"Restrepo-Méndez","given":"María Clara","non-dropping-particle":"","parse-names":false,"suffix":""},{"dropping-particle":"","family":"Maia","given":"Maria Fátima S.","non-dropping-particle":"","parse-names":false,"suffix":""},{"dropping-particle":"","family":"Ferreira","given":"Leonardo Z.","non-dropping-particle":"","parse-names":false,"suffix":""},{"dropping-particle":"","family":"Wehrmeister","given":"Fernando C.","non-dropping-particle":"","parse-names":false,"suffix":""}],"container-title":"International Journal for Equity in Health","id":"ITEM-1","issue":"1","issued":{"date-parts":[["2019"]]},"page":"1-10","publisher":"International Journal for Equity in Health","title":"Trends in socioeconomic inequalities in stunting prevalence in Latin America and the Caribbean countries: Differences between quintiles and deciles","type":"article-journal","volume":"18"},"uris":["http://www.mendeley.com/documents/?uuid=d00e06e7-f037-412f-8e3e-c3627255c0f8"]}],"mendeley":{"formattedCitation":"(Flores-Quispe et al. 2019)","plainTextFormattedCitation":"(Flores-Quispe et al. 2019)","previouslyFormattedCitation":"(Flores-Quispe et al. 2019)"},"properties":{"noteIndex":0},"schema":"https://github.com/citation-style-language/schema/raw/master/csl-citation.json"}</w:instrText>
      </w:r>
      <w:r w:rsidRPr="002D4513">
        <w:rPr>
          <w:rFonts w:ascii="Times New Roman" w:hAnsi="Times New Roman"/>
          <w:noProof/>
          <w:sz w:val="24"/>
          <w:szCs w:val="24"/>
          <w:lang w:val="ms-MY"/>
        </w:rPr>
        <w:fldChar w:fldCharType="separate"/>
      </w:r>
      <w:r w:rsidRPr="002D4513">
        <w:rPr>
          <w:rFonts w:ascii="Times New Roman" w:hAnsi="Times New Roman"/>
          <w:noProof/>
          <w:sz w:val="24"/>
          <w:szCs w:val="24"/>
          <w:lang w:val="ms-MY"/>
        </w:rPr>
        <w:t>(Flores-Quispe et al. 2019)</w:t>
      </w:r>
      <w:r w:rsidRPr="002D4513">
        <w:rPr>
          <w:rFonts w:ascii="Times New Roman" w:hAnsi="Times New Roman"/>
          <w:noProof/>
          <w:sz w:val="24"/>
          <w:szCs w:val="24"/>
          <w:lang w:val="ms-MY"/>
        </w:rPr>
        <w:fldChar w:fldCharType="end"/>
      </w:r>
      <w:r w:rsidRPr="002D4513">
        <w:rPr>
          <w:rFonts w:ascii="Times New Roman" w:hAnsi="Times New Roman"/>
          <w:noProof/>
          <w:sz w:val="24"/>
          <w:szCs w:val="24"/>
          <w:lang w:val="ms-MY"/>
        </w:rPr>
        <w:t xml:space="preserve">. Justeru, kita perlu memastikan agar kehidupan awal kanak-kanak adalah lebih positif bagi menggalakkan kesihatan mereka agar lebih memberangsangkan. Perkara ini disebabkan oleh, mereka berperan dominan dalam mengekalkan tahap kesihatan dan kesejahteraan orang dewasa dan generasi yang akan datang </w:t>
      </w:r>
      <w:r w:rsidRPr="002D4513">
        <w:rPr>
          <w:rFonts w:ascii="Times New Roman" w:hAnsi="Times New Roman"/>
          <w:noProof/>
          <w:sz w:val="24"/>
          <w:szCs w:val="24"/>
          <w:lang w:val="ms-MY"/>
        </w:rPr>
        <w:fldChar w:fldCharType="begin" w:fldLock="1"/>
      </w:r>
      <w:r w:rsidRPr="002D4513">
        <w:rPr>
          <w:rFonts w:ascii="Times New Roman" w:hAnsi="Times New Roman"/>
          <w:noProof/>
          <w:sz w:val="24"/>
          <w:szCs w:val="24"/>
          <w:lang w:val="ms-MY"/>
        </w:rPr>
        <w:instrText>ADDIN CSL_CITATION {"citationItems":[{"id":"ITEM-1","itemData":{"DOI":"10.1080/17441692.2020.1849348","ISSN":"17441706","PMID":"33307997","abstract":"Empowering women is presented as a key strategy to achieve several goals of the sustainable development (SDG) agenda, including child health. However, the literature on the subject shows mixed results and is limited regarding political empowerment. Responding to this gap, we explore whether women’s political empowerment is associated with positive health outcomes for children under 5 years of age. We use the V-Dem project’s ‘Women’s Political Empowerment Index’ (WPEI) in combination with selected SDG indicators of child health from the Institute for Health Metrics and Evaluation’s 2017 Global Burden of Disease, for 161 countries, between 1990 and 2016. We estimate fixed-effects regressions for the WPEI against child mortality, stunting and immunisation coverage, controlling for structural and socio-economic indicators from the SDGs and potential lagged effects. The WPEI is associated with improved nutrition and immunisation but its substantive effect is small. High-, low-income and least developed countries benefit more from the effect of women’s political empowerment on child mortality. The effect of women’s political empowerment on stunting is stronger in middle-income countries while its effect on immunisation is more relevant to low-income and least developed countries. Our study demonstrates the complexity of the relations between women’s political empowerment and child health.","author":[{"dropping-particle":"","family":"Besnier","given":"Elodie","non-dropping-particle":"","parse-names":false,"suffix":""}],"container-title":"Global Public Health","id":"ITEM-1","issue":"1","issued":{"date-parts":[["2023"]]},"title":"Women’s political empowerment and child health in the sustainable development era: A global empirical analysis (1990–2016)","type":"article-journal","volume":"18"},"uris":["http://www.mendeley.com/documents/?uuid=325f206c-5fb7-45d3-b46d-f23d09ec356c"]}],"mendeley":{"formattedCitation":"(Besnier 2023)","plainTextFormattedCitation":"(Besnier 2023)","previouslyFormattedCitation":"(Besnier 2023)"},"properties":{"noteIndex":0},"schema":"https://github.com/citation-style-language/schema/raw/master/csl-citation.json"}</w:instrText>
      </w:r>
      <w:r w:rsidRPr="002D4513">
        <w:rPr>
          <w:rFonts w:ascii="Times New Roman" w:hAnsi="Times New Roman"/>
          <w:noProof/>
          <w:sz w:val="24"/>
          <w:szCs w:val="24"/>
          <w:lang w:val="ms-MY"/>
        </w:rPr>
        <w:fldChar w:fldCharType="separate"/>
      </w:r>
      <w:r w:rsidRPr="002D4513">
        <w:rPr>
          <w:rFonts w:ascii="Times New Roman" w:hAnsi="Times New Roman"/>
          <w:noProof/>
          <w:sz w:val="24"/>
          <w:szCs w:val="24"/>
          <w:lang w:val="ms-MY"/>
        </w:rPr>
        <w:t>(Besnier 2023)</w:t>
      </w:r>
      <w:r w:rsidRPr="002D4513">
        <w:rPr>
          <w:rFonts w:ascii="Times New Roman" w:hAnsi="Times New Roman"/>
          <w:noProof/>
          <w:sz w:val="24"/>
          <w:szCs w:val="24"/>
          <w:lang w:val="ms-MY"/>
        </w:rPr>
        <w:fldChar w:fldCharType="end"/>
      </w:r>
      <w:r w:rsidRPr="002D4513">
        <w:rPr>
          <w:rFonts w:ascii="Times New Roman" w:hAnsi="Times New Roman"/>
          <w:noProof/>
          <w:sz w:val="24"/>
          <w:szCs w:val="24"/>
          <w:lang w:val="ms-MY"/>
        </w:rPr>
        <w:t>.</w:t>
      </w:r>
    </w:p>
    <w:p w14:paraId="65B9CDEF" w14:textId="6982124F" w:rsidR="00CC1C5C" w:rsidRPr="002D4513" w:rsidRDefault="00CC1C5C" w:rsidP="00123FC1">
      <w:pPr>
        <w:widowControl w:val="0"/>
        <w:autoSpaceDE w:val="0"/>
        <w:autoSpaceDN w:val="0"/>
        <w:adjustRightInd w:val="0"/>
        <w:spacing w:after="0" w:line="240" w:lineRule="auto"/>
        <w:ind w:firstLine="72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Selanjutnya, pemilihan fokus kajian ini adalah berdasarkan kepada beberapa hal utama, di antaranya adalah: (a) Program keutamaan global yang tertulis dalam </w:t>
      </w:r>
      <w:r w:rsidRPr="002D4513">
        <w:rPr>
          <w:rFonts w:ascii="Times New Roman" w:hAnsi="Times New Roman" w:cs="Times New Roman"/>
          <w:i/>
          <w:iCs/>
          <w:noProof/>
          <w:sz w:val="24"/>
          <w:szCs w:val="24"/>
          <w:lang w:val="ms-MY"/>
        </w:rPr>
        <w:t>Sustainable Development Goals</w:t>
      </w:r>
      <w:r w:rsidRPr="002D4513">
        <w:rPr>
          <w:rFonts w:ascii="Times New Roman" w:hAnsi="Times New Roman" w:cs="Times New Roman"/>
          <w:noProof/>
          <w:sz w:val="24"/>
          <w:szCs w:val="24"/>
          <w:lang w:val="ms-MY"/>
        </w:rPr>
        <w:t xml:space="preserve"> (SDGs)</w:t>
      </w:r>
      <w:r w:rsidRPr="002D4513">
        <w:rPr>
          <w:rFonts w:ascii="Times New Roman" w:hAnsi="Times New Roman" w:cs="Times New Roman"/>
          <w:i/>
          <w:iCs/>
          <w:noProof/>
          <w:sz w:val="24"/>
          <w:szCs w:val="24"/>
          <w:lang w:val="ms-MY"/>
        </w:rPr>
        <w:t>,</w:t>
      </w:r>
      <w:r w:rsidRPr="002D4513">
        <w:rPr>
          <w:rFonts w:ascii="Times New Roman" w:hAnsi="Times New Roman" w:cs="Times New Roman"/>
          <w:noProof/>
          <w:sz w:val="24"/>
          <w:szCs w:val="24"/>
          <w:lang w:val="ms-MY"/>
        </w:rPr>
        <w:t xml:space="preserve"> bahawa program pencegahan Kanak-kanak terbantut  menjadi salah satu isu penting dalam </w:t>
      </w:r>
      <w:r w:rsidRPr="002D4513">
        <w:rPr>
          <w:rFonts w:ascii="Times New Roman" w:hAnsi="Times New Roman" w:cs="Times New Roman"/>
          <w:i/>
          <w:iCs/>
          <w:noProof/>
          <w:sz w:val="24"/>
          <w:szCs w:val="24"/>
          <w:lang w:val="ms-MY"/>
        </w:rPr>
        <w:t>Sustainable Development Goals</w:t>
      </w:r>
      <w:r w:rsidRPr="002D4513">
        <w:rPr>
          <w:rFonts w:ascii="Times New Roman" w:hAnsi="Times New Roman" w:cs="Times New Roman"/>
          <w:noProof/>
          <w:sz w:val="24"/>
          <w:szCs w:val="24"/>
          <w:lang w:val="ms-MY"/>
        </w:rPr>
        <w:t xml:space="preserve"> (SDGs)</w:t>
      </w:r>
      <w:r w:rsidRPr="002D4513">
        <w:rPr>
          <w:rFonts w:ascii="Times New Roman" w:hAnsi="Times New Roman" w:cs="Times New Roman"/>
          <w:i/>
          <w:iCs/>
          <w:noProof/>
          <w:sz w:val="24"/>
          <w:szCs w:val="24"/>
          <w:lang w:val="ms-MY"/>
        </w:rPr>
        <w:t xml:space="preserve"> </w:t>
      </w:r>
      <w:r w:rsidRPr="002D4513">
        <w:rPr>
          <w:rFonts w:ascii="Times New Roman" w:hAnsi="Times New Roman" w:cs="Times New Roman"/>
          <w:noProof/>
          <w:sz w:val="24"/>
          <w:szCs w:val="24"/>
          <w:lang w:val="ms-MY"/>
        </w:rPr>
        <w:t xml:space="preserve">sebagai lanjutan daripada program </w:t>
      </w:r>
      <w:r w:rsidRPr="002D4513">
        <w:rPr>
          <w:rFonts w:ascii="Times New Roman" w:hAnsi="Times New Roman" w:cs="Times New Roman"/>
          <w:i/>
          <w:iCs/>
          <w:noProof/>
          <w:sz w:val="24"/>
          <w:szCs w:val="24"/>
          <w:lang w:val="ms-MY"/>
        </w:rPr>
        <w:t xml:space="preserve">Millennium Development Goals </w:t>
      </w:r>
      <w:r w:rsidRPr="002D4513">
        <w:rPr>
          <w:rFonts w:ascii="Times New Roman" w:hAnsi="Times New Roman" w:cs="Times New Roman"/>
          <w:noProof/>
          <w:sz w:val="24"/>
          <w:szCs w:val="24"/>
          <w:lang w:val="ms-MY"/>
        </w:rPr>
        <w:t xml:space="preserve">(MDGs) yang berakhir pada tahun 2015 </w:t>
      </w:r>
      <w:r w:rsidRPr="002D4513">
        <w:rPr>
          <w:rFonts w:ascii="Times New Roman" w:hAnsi="Times New Roman" w:cs="Times New Roman"/>
          <w:noProof/>
          <w:sz w:val="24"/>
          <w:szCs w:val="24"/>
          <w:lang w:val="ms-MY"/>
        </w:rPr>
        <w:fldChar w:fldCharType="begin" w:fldLock="1"/>
      </w:r>
      <w:r w:rsidRPr="002D4513">
        <w:rPr>
          <w:rFonts w:ascii="Times New Roman" w:hAnsi="Times New Roman" w:cs="Times New Roman"/>
          <w:noProof/>
          <w:sz w:val="24"/>
          <w:szCs w:val="24"/>
          <w:lang w:val="ms-MY"/>
        </w:rPr>
        <w:instrText>ADDIN CSL_CITATION {"citationItems":[{"id":"ITEM-1","itemData":{"DOI":"10.3390/su15118890","ISSN":"20711050","abstract":"The sustainable development goals (SDGs) provide an integrated framework of targets and indicators, including the elimination of stunting, to support better development planning. Indonesia faces a significant challenge as it ranks fourth globally in terms of stunting prevalence, exacerbated by disparities across regions, gender, and socioeconomic status, further compounded by the ongoing COVID-19 pandemic. Given the interlinked nature of SDGs, this study provides empirical support for the prioritization of SDG indicators, primarily in the context of stunting elimination at the district level in Indonesia. This study employed a combination of economic complexity and network theory, utilizing data from a comprehensive set of 54 indicators spanning 28 targets within 13 SDG goals in 514 districts. The analysis is based on network metrics, including revealed comparative advantage (RCA), proximity, centrality, and density to establish the SDG interlinkage network and identify key priority indicators. The findings highlight the importance of prioritizing indicators such as civil registration, health facilities and services, access to basic facilities and housing, and access to ICT in efforts to reduce stunting, particularly among disadvantaged households. Given the unique resources and capacities of each region, our analysis offers district-specific prioritization strategies for stunting elimination.","author":[{"dropping-particle":"","family":"Komarulzaman","given":"Ahmad","non-dropping-particle":"","parse-names":false,"suffix":""},{"dropping-particle":"","family":"Andoyo","given":"Robi","non-dropping-particle":"","parse-names":false,"suffix":""},{"dropping-particle":"","family":"Anna","given":"Zuzy","non-dropping-particle":"","parse-names":false,"suffix":""},{"dropping-particle":"","family":"Ghina","given":"Aisyah Amatul","non-dropping-particle":"","parse-names":false,"suffix":""},{"dropping-particle":"","family":"Halim","given":"Putri Riswani","non-dropping-particle":"","parse-names":false,"suffix":""},{"dropping-particle":"","family":"Napitupulu","given":"Herlina","non-dropping-particle":"","parse-names":false,"suffix":""},{"dropping-particle":"","family":"Karunia","given":"Monica Ruth","non-dropping-particle":"","parse-names":false,"suffix":""},{"dropping-particle":"","family":"Andriani","given":"Annisa","non-dropping-particle":"","parse-names":false,"suffix":""}],"container-title":"Sustainability (Switzerland)","id":"ITEM-1","issue":"11","issued":{"date-parts":[["2023"]]},"title":"Achieving Zero Stunting: A Sustainable Development Goal Interlinkage Approach at District Level","type":"article-journal","volume":"15"},"uris":["http://www.mendeley.com/documents/?uuid=7e3e4776-f431-4cf8-88fe-4bba45074ff6"]}],"mendeley":{"formattedCitation":"(Komarulzaman et al. 2023)","plainTextFormattedCitation":"(Komarulzaman et al. 2023)","previouslyFormattedCitation":"(Komarulzaman et al. 2023)"},"properties":{"noteIndex":0},"schema":"https://github.com/citation-style-language/schema/raw/master/csl-citation.json"}</w:instrText>
      </w:r>
      <w:r w:rsidRPr="002D4513">
        <w:rPr>
          <w:rFonts w:ascii="Times New Roman" w:hAnsi="Times New Roman" w:cs="Times New Roman"/>
          <w:noProof/>
          <w:sz w:val="24"/>
          <w:szCs w:val="24"/>
          <w:lang w:val="ms-MY"/>
        </w:rPr>
        <w:fldChar w:fldCharType="separate"/>
      </w:r>
      <w:r w:rsidRPr="002D4513">
        <w:rPr>
          <w:rFonts w:ascii="Times New Roman" w:hAnsi="Times New Roman" w:cs="Times New Roman"/>
          <w:noProof/>
          <w:sz w:val="24"/>
          <w:szCs w:val="24"/>
          <w:lang w:val="ms-MY"/>
        </w:rPr>
        <w:t>(Komarulzaman et al. 2023)</w:t>
      </w:r>
      <w:r w:rsidRPr="002D4513">
        <w:rPr>
          <w:rFonts w:ascii="Times New Roman" w:hAnsi="Times New Roman" w:cs="Times New Roman"/>
          <w:noProof/>
          <w:sz w:val="24"/>
          <w:szCs w:val="24"/>
          <w:lang w:val="ms-MY"/>
        </w:rPr>
        <w:fldChar w:fldCharType="end"/>
      </w:r>
      <w:r w:rsidRPr="002D4513">
        <w:rPr>
          <w:rFonts w:ascii="Times New Roman" w:hAnsi="Times New Roman" w:cs="Times New Roman"/>
          <w:noProof/>
          <w:sz w:val="24"/>
          <w:szCs w:val="24"/>
          <w:lang w:val="ms-MY"/>
        </w:rPr>
        <w:t xml:space="preserve">. Seterusnya, perlu diingati bahawa data kekerapan terbantut secara global masih berada pada angka 21.3 peratus pada tahun 2020 </w:t>
      </w:r>
      <w:r w:rsidRPr="002D4513">
        <w:rPr>
          <w:rFonts w:ascii="Times New Roman" w:hAnsi="Times New Roman" w:cs="Times New Roman"/>
          <w:noProof/>
          <w:sz w:val="24"/>
          <w:szCs w:val="24"/>
          <w:lang w:val="ms-MY"/>
        </w:rPr>
        <w:fldChar w:fldCharType="begin" w:fldLock="1"/>
      </w:r>
      <w:r w:rsidRPr="002D4513">
        <w:rPr>
          <w:rFonts w:ascii="Times New Roman" w:hAnsi="Times New Roman" w:cs="Times New Roman"/>
          <w:noProof/>
          <w:sz w:val="24"/>
          <w:szCs w:val="24"/>
          <w:lang w:val="ms-MY"/>
        </w:rPr>
        <w:instrText>ADDIN CSL_CITATION {"citationItems":[{"id":"ITEM-1","itemData":{"ISSN":"0259238X","abstract":"The study investigates the levels and trends in malnutrition for Bangladeshi children in terms of three anthropometric indices-height-for-age, weight-forheight and weight-for-age Z-scores. Complete anthropometric information were available for 6005 children under five years of age from the Bangladesh Demographic and Health Survey 2004. The analysis shows that about 57 per cent of children have been suffering from one of the three forms of malnutrition-stunting, wasting and underweight. The prevalence of stunting (43 per cent) and underweight (48 per cent) was found to be still above the threshold of \"very high\" prevalence which is a great concern for the entire country. Median height and weight of Bangladeshi children were found far from the NCHS reference median and stayed along the path of-2 standard deviations (SD) level. The trends in child malnutrition confirm a slow but progressive reduction in the level of stunting, wasting, and underweight during 1985-2004. Prevalence of stunting, wasting and underweight decreased by about 35 per cent, 12 per cent and 29 per cent, respectively during 1990-2004. However, the prevalence of stunting and underweight lay above the threshold of \"very high\" prevalence over the entire period. Even though the trends show a steady decline, there were considerable differences in the rates of decline across residence, region, age of child and mother's education.","author":[{"dropping-particle":"","family":"UNICEF","given":"","non-dropping-particle":"","parse-names":false,"suffix":""},{"dropping-particle":"","family":"WHO","given":"","non-dropping-particle":"","parse-names":false,"suffix":""},{"dropping-particle":"","family":"World Bank","given":"","non-dropping-particle":"","parse-names":false,"suffix":""}],"container-title":"Geneva: WHO","id":"ITEM-1","issue":"2","issued":{"date-parts":[["2020"]]},"page":"1-16","title":"Levels And Trends Child Malnutrition: Key Findings Of The 2020 Edition of the Joint Child Malnutrition Estimate","type":"article-journal","volume":"24"},"uris":["http://www.mendeley.com/documents/?uuid=8d40b8ff-f8ac-4a26-aeb5-703a55475fb7"]}],"mendeley":{"formattedCitation":"(UNICEF, WHO &amp; World Bank 2020)","plainTextFormattedCitation":"(UNICEF, WHO &amp; World Bank 2020)","previouslyFormattedCitation":"(UNICEF, WHO &amp; World Bank 2020)"},"properties":{"noteIndex":0},"schema":"https://github.com/citation-style-language/schema/raw/master/csl-citation.json"}</w:instrText>
      </w:r>
      <w:r w:rsidRPr="002D4513">
        <w:rPr>
          <w:rFonts w:ascii="Times New Roman" w:hAnsi="Times New Roman" w:cs="Times New Roman"/>
          <w:noProof/>
          <w:sz w:val="24"/>
          <w:szCs w:val="24"/>
          <w:lang w:val="ms-MY"/>
        </w:rPr>
        <w:fldChar w:fldCharType="separate"/>
      </w:r>
      <w:r w:rsidRPr="002D4513">
        <w:rPr>
          <w:rFonts w:ascii="Times New Roman" w:hAnsi="Times New Roman" w:cs="Times New Roman"/>
          <w:noProof/>
          <w:sz w:val="24"/>
          <w:szCs w:val="24"/>
          <w:lang w:val="ms-MY"/>
        </w:rPr>
        <w:t>(UNICEF, WHO &amp; World Bank 2020)</w:t>
      </w:r>
      <w:r w:rsidRPr="002D4513">
        <w:rPr>
          <w:rFonts w:ascii="Times New Roman" w:hAnsi="Times New Roman" w:cs="Times New Roman"/>
          <w:noProof/>
          <w:sz w:val="24"/>
          <w:szCs w:val="24"/>
          <w:lang w:val="ms-MY"/>
        </w:rPr>
        <w:fldChar w:fldCharType="end"/>
      </w:r>
      <w:r w:rsidRPr="002D4513">
        <w:rPr>
          <w:rFonts w:ascii="Times New Roman" w:hAnsi="Times New Roman" w:cs="Times New Roman"/>
          <w:noProof/>
          <w:sz w:val="24"/>
          <w:szCs w:val="24"/>
          <w:lang w:val="ms-MY"/>
        </w:rPr>
        <w:t xml:space="preserve">. Pertubuhan Kesihatan Sedunia (WHO) menyatakan bahawa tindakan menangani soalan kekurangan zat makanan dalam pelbagai bentuk adalah salah satu cabaran kesihatan global yang terbesar. Bagi mencapai matlamat ini, campur tangan pelbagai sektor yang bertujuan untuk mengubah tingkah laku individu perlu digabungkan dengan dasar, sistem dan perubahan alam sekitar yang dilaksanakan secara nasional untuk menangani soalan kekurangan zat makanan secara keseluruhan </w:t>
      </w:r>
      <w:r w:rsidRPr="002D4513">
        <w:rPr>
          <w:rFonts w:ascii="Times New Roman" w:hAnsi="Times New Roman" w:cs="Times New Roman"/>
          <w:noProof/>
          <w:sz w:val="24"/>
          <w:szCs w:val="24"/>
          <w:lang w:val="ms-MY"/>
        </w:rPr>
        <w:fldChar w:fldCharType="begin" w:fldLock="1"/>
      </w:r>
      <w:r w:rsidRPr="002D4513">
        <w:rPr>
          <w:rFonts w:ascii="Times New Roman" w:hAnsi="Times New Roman" w:cs="Times New Roman"/>
          <w:noProof/>
          <w:sz w:val="24"/>
          <w:szCs w:val="24"/>
          <w:lang w:val="ms-MY"/>
        </w:rPr>
        <w:instrText>ADDIN CSL_CITATION {"citationItems":[{"id":"ITEM-1","itemData":{"DOI":"10.1186/s41043-020-00221-y","ISSN":"20721315","PMID":"33267909","abstract":"Background: Although good progress was made in maternal and child nutrition during the Millennium Development Goals (MDGs) era, malnutrition remains one of the major threats on global health. Therefore, the United Nation set several nutrition-related goals in the Sustainable Development Goals (SDGs). There is much to be learned from individual countries in terms of efforts and actions taken to reduce malnutrition. China, as a developing country, launched a number of nutrition improvement policies and programs that resulted in dramatic progress in improving maternal and child nutrition during the MDGs era. This study explored the impact, experiences, and lessons learned from the nutrition policies and programs initiated in China during the MDGs era and implications to achieve the SDGs for China and other developing countries. Method: The CNKI database and official websites of Chinese government were searched for reviews on nutrition-related policies and intervention programs. A qualitative study was conducted among key informants from the Chinese government, non-governmental organizations (NGOs), and universities for two major national nutrition intervention programs. Results: The literature review documented that during the MDGs era, six nutrition policies and eight trans-province and nationwide nutrition intervention programs collectively made good progress in improving maternal and child nutrition in China. Nutrition policies tended to be targeted at infants and children, with less attention on reproductive and maternal nutrition. Nutrition intervention programs focused primarily on undernutrition and have achieved positive results, while for breastfeeding improvement and prevention and control on overweight and obesity were limited. Results from the qualitative study indicated that effective nutrition program implementation was facilitated through the cooperation of multiple sectors and by the government and NGO partnerships, however, still face challenges of insufficient operational funds from local governments and inadequacy of program monitoring and management. Conclusion: Nutrition policies and intervention programs promulgated in China during the MDGs era have made major contributions to the rapid decline of undernutrition and are in line to achieve the SDGs related to child wasting, stunting, low birth weight, and anemia in reproductive-age women. However, appropriate policies and program implementation are needed to improve exclusive breastfee…","author":[{"dropping-particle":"","family":"Huang","given":"Xin","non-dropping-particle":"","parse-names":false,"suffix":""},{"dropping-particle":"","family":"Yang","given":"Bo","non-dropping-particle":"","parse-names":false,"suffix":""},{"dropping-particle":"","family":"Liu","given":"Qin","non-dropping-particle":"","parse-names":false,"suffix":""},{"dropping-particle":"","family":"Zhang","given":"Ruilin","non-dropping-particle":"","parse-names":false,"suffix":""},{"dropping-particle":"","family":"Tang","given":"Shenglan","non-dropping-particle":"","parse-names":false,"suffix":""},{"dropping-particle":"","family":"Story","given":"Mary","non-dropping-particle":"","parse-names":false,"suffix":""}],"container-title":"Journal of Health, Population and Nutrition","id":"ITEM-1","issue":"1","issued":{"date-parts":[["2020"]]},"page":"1-13","publisher":"Journal of Health, Population and Nutrition","title":"Improving maternal and child nutrition in China: an analysis of nutrition policies and programs initiated during the 2000–2015 Millennium Development Goals era and implications for achieving the Sustainable Development Goals","type":"article-journal","volume":"39"},"uris":["http://www.mendeley.com/documents/?uuid=e4fafa6e-0b5e-4377-a0af-f0e2074c1108"]}],"mendeley":{"formattedCitation":"(Huang et al. 2020)","plainTextFormattedCitation":"(Huang et al. 2020)","previouslyFormattedCitation":"(Huang et al. 2020)"},"properties":{"noteIndex":0},"schema":"https://github.com/citation-style-language/schema/raw/master/csl-citation.json"}</w:instrText>
      </w:r>
      <w:r w:rsidRPr="002D4513">
        <w:rPr>
          <w:rFonts w:ascii="Times New Roman" w:hAnsi="Times New Roman" w:cs="Times New Roman"/>
          <w:noProof/>
          <w:sz w:val="24"/>
          <w:szCs w:val="24"/>
          <w:lang w:val="ms-MY"/>
        </w:rPr>
        <w:fldChar w:fldCharType="separate"/>
      </w:r>
      <w:r w:rsidRPr="002D4513">
        <w:rPr>
          <w:rFonts w:ascii="Times New Roman" w:hAnsi="Times New Roman" w:cs="Times New Roman"/>
          <w:noProof/>
          <w:sz w:val="24"/>
          <w:szCs w:val="24"/>
          <w:lang w:val="ms-MY"/>
        </w:rPr>
        <w:t>(Huang et al. 2020)</w:t>
      </w:r>
      <w:r w:rsidRPr="002D4513">
        <w:rPr>
          <w:rFonts w:ascii="Times New Roman" w:hAnsi="Times New Roman" w:cs="Times New Roman"/>
          <w:noProof/>
          <w:sz w:val="24"/>
          <w:szCs w:val="24"/>
          <w:lang w:val="ms-MY"/>
        </w:rPr>
        <w:fldChar w:fldCharType="end"/>
      </w:r>
      <w:r w:rsidRPr="002D4513">
        <w:rPr>
          <w:rFonts w:ascii="Times New Roman" w:hAnsi="Times New Roman" w:cs="Times New Roman"/>
          <w:noProof/>
          <w:sz w:val="24"/>
          <w:szCs w:val="24"/>
          <w:lang w:val="ms-MY"/>
        </w:rPr>
        <w:t>. (b) Program keutamaan nasional dengan mengimplementasikan peraturan Presiden.</w:t>
      </w:r>
      <w:r w:rsidRPr="002D4513">
        <w:rPr>
          <w:rFonts w:ascii="Times New Roman" w:hAnsi="Times New Roman" w:cs="Times New Roman"/>
          <w:i/>
          <w:iCs/>
          <w:noProof/>
          <w:sz w:val="24"/>
          <w:szCs w:val="24"/>
          <w:lang w:val="ms-MY"/>
        </w:rPr>
        <w:t xml:space="preserve"> </w:t>
      </w:r>
      <w:bookmarkStart w:id="2" w:name="_Hlk150279375"/>
      <w:r w:rsidRPr="002D4513">
        <w:rPr>
          <w:rFonts w:ascii="Times New Roman" w:hAnsi="Times New Roman" w:cs="Times New Roman"/>
          <w:noProof/>
          <w:sz w:val="24"/>
          <w:szCs w:val="24"/>
          <w:lang w:val="ms-MY"/>
        </w:rPr>
        <w:t xml:space="preserve">Program tersebut tidak hanya menjadi program utama secara global, namun kekerapan soalan terbantut juga telah menjadi perhatian utama bagi pemerintah Indonesia, yang ditandai memperkenalkan peraturan Presiden (PERPRES) No. 72 tahun 2021 tentang percepatan penurunan kecerdasan terbatas kanak-kanak yang holistik, integratif, dan berkualiti melalui kerjasama, sinergi, dan sinkronisasi di antara pelbagai pemegang tanggungjawab </w:t>
      </w:r>
      <w:r w:rsidRPr="002D4513">
        <w:rPr>
          <w:rFonts w:ascii="Times New Roman" w:hAnsi="Times New Roman" w:cs="Times New Roman"/>
          <w:i/>
          <w:iCs/>
          <w:noProof/>
          <w:color w:val="202124"/>
          <w:sz w:val="24"/>
          <w:szCs w:val="24"/>
          <w:shd w:val="clear" w:color="auto" w:fill="FFFFFF"/>
          <w:lang w:val="ms-MY"/>
        </w:rPr>
        <w:t>(multi stakeholders)</w:t>
      </w:r>
      <w:bookmarkEnd w:id="2"/>
      <w:r w:rsidRPr="002D4513">
        <w:rPr>
          <w:rFonts w:ascii="Times New Roman" w:hAnsi="Times New Roman" w:cs="Times New Roman"/>
          <w:noProof/>
          <w:color w:val="202124"/>
          <w:sz w:val="24"/>
          <w:szCs w:val="24"/>
          <w:shd w:val="clear" w:color="auto" w:fill="FFFFFF"/>
          <w:lang w:val="ms-MY"/>
        </w:rPr>
        <w:t xml:space="preserve"> </w:t>
      </w:r>
      <w:r w:rsidRPr="002D4513">
        <w:rPr>
          <w:rFonts w:ascii="Times New Roman" w:hAnsi="Times New Roman" w:cs="Times New Roman"/>
          <w:noProof/>
          <w:color w:val="202124"/>
          <w:sz w:val="24"/>
          <w:szCs w:val="24"/>
          <w:shd w:val="clear" w:color="auto" w:fill="FFFFFF"/>
          <w:lang w:val="ms-MY"/>
        </w:rPr>
        <w:fldChar w:fldCharType="begin" w:fldLock="1"/>
      </w:r>
      <w:r w:rsidRPr="002D4513">
        <w:rPr>
          <w:rFonts w:ascii="Times New Roman" w:hAnsi="Times New Roman" w:cs="Times New Roman"/>
          <w:noProof/>
          <w:color w:val="202124"/>
          <w:sz w:val="24"/>
          <w:szCs w:val="24"/>
          <w:shd w:val="clear" w:color="auto" w:fill="FFFFFF"/>
          <w:lang w:val="ms-MY"/>
        </w:rPr>
        <w:instrText>ADDIN CSL_CITATION {"citationItems":[{"id":"ITEM-1","itemData":{"DOI":"10.3390/su15118890","ISSN":"20711050","abstract":"The sustainable development goals (SDGs) provide an integrated framework of targets and indicators, including the elimination of stunting, to support better development planning. Indonesia faces a significant challenge as it ranks fourth globally in terms of stunting prevalence, exacerbated by disparities across regions, gender, and socioeconomic status, further compounded by the ongoing COVID-19 pandemic. Given the interlinked nature of SDGs, this study provides empirical support for the prioritization of SDG indicators, primarily in the context of stunting elimination at the district level in Indonesia. This study employed a combination of economic complexity and network theory, utilizing data from a comprehensive set of 54 indicators spanning 28 targets within 13 SDG goals in 514 districts. The analysis is based on network metrics, including revealed comparative advantage (RCA), proximity, centrality, and density to establish the SDG interlinkage network and identify key priority indicators. The findings highlight the importance of prioritizing indicators such as civil registration, health facilities and services, access to basic facilities and housing, and access to ICT in efforts to reduce stunting, particularly among disadvantaged households. Given the unique resources and capacities of each region, our analysis offers district-specific prioritization strategies for stunting elimination.","author":[{"dropping-particle":"","family":"Komarulzaman","given":"Ahmad","non-dropping-particle":"","parse-names":false,"suffix":""},{"dropping-particle":"","family":"Andoyo","given":"Robi","non-dropping-particle":"","parse-names":false,"suffix":""},{"dropping-particle":"","family":"Anna","given":"Zuzy","non-dropping-particle":"","parse-names":false,"suffix":""},{"dropping-particle":"","family":"Ghina","given":"Aisyah Amatul","non-dropping-particle":"","parse-names":false,"suffix":""},{"dropping-particle":"","family":"Halim","given":"Putri Riswani","non-dropping-particle":"","parse-names":false,"suffix":""},{"dropping-particle":"","family":"Napitupulu","given":"Herlina","non-dropping-particle":"","parse-names":false,"suffix":""},{"dropping-particle":"","family":"Karunia","given":"Monica Ruth","non-dropping-particle":"","parse-names":false,"suffix":""},{"dropping-particle":"","family":"Andriani","given":"Annisa","non-dropping-particle":"","parse-names":false,"suffix":""}],"container-title":"Sustainability (Switzerland)","id":"ITEM-1","issue":"11","issued":{"date-parts":[["2023"]]},"title":"Achieving Zero Stunting: A Sustainable Development Goal Interlinkage Approach at District Level","type":"article-journal","volume":"15"},"uris":["http://www.mendeley.com/documents/?uuid=7e3e4776-f431-4cf8-88fe-4bba45074ff6"]}],"mendeley":{"formattedCitation":"(Komarulzaman et al. 2023)","plainTextFormattedCitation":"(Komarulzaman et al. 2023)","previouslyFormattedCitation":"(Komarulzaman et al. 2023)"},"properties":{"noteIndex":0},"schema":"https://github.com/citation-style-language/schema/raw/master/csl-citation.json"}</w:instrText>
      </w:r>
      <w:r w:rsidRPr="002D4513">
        <w:rPr>
          <w:rFonts w:ascii="Times New Roman" w:hAnsi="Times New Roman" w:cs="Times New Roman"/>
          <w:noProof/>
          <w:color w:val="202124"/>
          <w:sz w:val="24"/>
          <w:szCs w:val="24"/>
          <w:shd w:val="clear" w:color="auto" w:fill="FFFFFF"/>
          <w:lang w:val="ms-MY"/>
        </w:rPr>
        <w:fldChar w:fldCharType="separate"/>
      </w:r>
      <w:r w:rsidRPr="002D4513">
        <w:rPr>
          <w:rFonts w:ascii="Times New Roman" w:hAnsi="Times New Roman" w:cs="Times New Roman"/>
          <w:noProof/>
          <w:color w:val="202124"/>
          <w:sz w:val="24"/>
          <w:szCs w:val="24"/>
          <w:shd w:val="clear" w:color="auto" w:fill="FFFFFF"/>
          <w:lang w:val="ms-MY"/>
        </w:rPr>
        <w:t>(Komarulzaman et al. 2023)</w:t>
      </w:r>
      <w:r w:rsidRPr="002D4513">
        <w:rPr>
          <w:rFonts w:ascii="Times New Roman" w:hAnsi="Times New Roman" w:cs="Times New Roman"/>
          <w:noProof/>
          <w:color w:val="202124"/>
          <w:sz w:val="24"/>
          <w:szCs w:val="24"/>
          <w:shd w:val="clear" w:color="auto" w:fill="FFFFFF"/>
          <w:lang w:val="ms-MY"/>
        </w:rPr>
        <w:fldChar w:fldCharType="end"/>
      </w:r>
      <w:r w:rsidRPr="002D4513">
        <w:rPr>
          <w:rFonts w:ascii="Times New Roman" w:hAnsi="Times New Roman" w:cs="Times New Roman"/>
          <w:noProof/>
          <w:color w:val="202124"/>
          <w:sz w:val="24"/>
          <w:szCs w:val="24"/>
          <w:shd w:val="clear" w:color="auto" w:fill="FFFFFF"/>
          <w:lang w:val="ms-MY"/>
        </w:rPr>
        <w:t xml:space="preserve">. </w:t>
      </w:r>
      <w:r w:rsidRPr="002D4513">
        <w:rPr>
          <w:rFonts w:ascii="Times New Roman" w:hAnsi="Times New Roman" w:cs="Times New Roman"/>
          <w:noProof/>
          <w:sz w:val="24"/>
          <w:szCs w:val="24"/>
          <w:lang w:val="ms-MY"/>
        </w:rPr>
        <w:t xml:space="preserve">Peraturan Presiden </w:t>
      </w:r>
      <w:r w:rsidRPr="002D4513">
        <w:rPr>
          <w:rFonts w:ascii="Times New Roman" w:hAnsi="Times New Roman" w:cs="Times New Roman"/>
          <w:noProof/>
          <w:color w:val="202124"/>
          <w:sz w:val="24"/>
          <w:szCs w:val="24"/>
          <w:shd w:val="clear" w:color="auto" w:fill="FFFFFF"/>
          <w:lang w:val="ms-MY"/>
        </w:rPr>
        <w:t xml:space="preserve">ini merupakan pengganti kepada peraturan Presiden No. 42 Tahun 2013 tentang gerakan nasional percepatan perbaikan nutrisi. Hal tersebut dilakukan bagi mengingati bahawa angka kekerapan terbantut pada tahun 2021 masih berada pada angka 24.4 peratus. Ini bermakna, hampir setiap satu daripada empat kanak-kanak berusia di bawah lima tahun di Indonesia mengalami isu terbantut </w:t>
      </w:r>
      <w:r w:rsidRPr="002D4513">
        <w:rPr>
          <w:rFonts w:ascii="Times New Roman" w:hAnsi="Times New Roman" w:cs="Times New Roman"/>
          <w:noProof/>
          <w:color w:val="202124"/>
          <w:sz w:val="24"/>
          <w:szCs w:val="24"/>
          <w:shd w:val="clear" w:color="auto" w:fill="FFFFFF"/>
          <w:lang w:val="ms-MY"/>
        </w:rPr>
        <w:fldChar w:fldCharType="begin" w:fldLock="1"/>
      </w:r>
      <w:r w:rsidRPr="002D4513">
        <w:rPr>
          <w:rFonts w:ascii="Times New Roman" w:hAnsi="Times New Roman" w:cs="Times New Roman"/>
          <w:noProof/>
          <w:color w:val="202124"/>
          <w:sz w:val="24"/>
          <w:szCs w:val="24"/>
          <w:shd w:val="clear" w:color="auto" w:fill="FFFFFF"/>
          <w:lang w:val="ms-MY"/>
        </w:rPr>
        <w:instrText>ADDIN CSL_CITATION {"citationItems":[{"id":"ITEM-1","itemData":{"author":[{"dropping-particle":"","family":"Kemenkes","given":"","non-dropping-particle":"","parse-names":false,"suffix":""}],"container-title":"Kemenkes","id":"ITEM-1","issued":{"date-parts":[["2023"]]},"page":"1-7","title":"Hasil Survei Status Gizi Indonesia (SSGI) 2022","type":"article-journal"},"uris":["http://www.mendeley.com/documents/?uuid=095b1a2a-5012-47ff-b632-a8b537a1f7a2"]}],"mendeley":{"formattedCitation":"(Kemenkes 2023)","plainTextFormattedCitation":"(Kemenkes 2023)","previouslyFormattedCitation":"(Kemenkes 2023)"},"properties":{"noteIndex":0},"schema":"https://github.com/citation-style-language/schema/raw/master/csl-citation.json"}</w:instrText>
      </w:r>
      <w:r w:rsidRPr="002D4513">
        <w:rPr>
          <w:rFonts w:ascii="Times New Roman" w:hAnsi="Times New Roman" w:cs="Times New Roman"/>
          <w:noProof/>
          <w:color w:val="202124"/>
          <w:sz w:val="24"/>
          <w:szCs w:val="24"/>
          <w:shd w:val="clear" w:color="auto" w:fill="FFFFFF"/>
          <w:lang w:val="ms-MY"/>
        </w:rPr>
        <w:fldChar w:fldCharType="separate"/>
      </w:r>
      <w:r w:rsidRPr="002D4513">
        <w:rPr>
          <w:rFonts w:ascii="Times New Roman" w:hAnsi="Times New Roman" w:cs="Times New Roman"/>
          <w:noProof/>
          <w:color w:val="202124"/>
          <w:sz w:val="24"/>
          <w:szCs w:val="24"/>
          <w:shd w:val="clear" w:color="auto" w:fill="FFFFFF"/>
          <w:lang w:val="ms-MY"/>
        </w:rPr>
        <w:t>(Kemenkes 2023)</w:t>
      </w:r>
      <w:r w:rsidRPr="002D4513">
        <w:rPr>
          <w:rFonts w:ascii="Times New Roman" w:hAnsi="Times New Roman" w:cs="Times New Roman"/>
          <w:noProof/>
          <w:color w:val="202124"/>
          <w:sz w:val="24"/>
          <w:szCs w:val="24"/>
          <w:shd w:val="clear" w:color="auto" w:fill="FFFFFF"/>
          <w:lang w:val="ms-MY"/>
        </w:rPr>
        <w:fldChar w:fldCharType="end"/>
      </w:r>
      <w:r w:rsidRPr="002D4513">
        <w:rPr>
          <w:rFonts w:ascii="Times New Roman" w:hAnsi="Times New Roman" w:cs="Times New Roman"/>
          <w:noProof/>
          <w:color w:val="202124"/>
          <w:sz w:val="24"/>
          <w:szCs w:val="24"/>
          <w:shd w:val="clear" w:color="auto" w:fill="FFFFFF"/>
          <w:lang w:val="ms-MY"/>
        </w:rPr>
        <w:t xml:space="preserve">. </w:t>
      </w:r>
    </w:p>
    <w:p w14:paraId="3866E796" w14:textId="3E054507" w:rsidR="00CC1C5C" w:rsidRPr="002D4513" w:rsidRDefault="00CC1C5C" w:rsidP="00123FC1">
      <w:pPr>
        <w:widowControl w:val="0"/>
        <w:autoSpaceDE w:val="0"/>
        <w:autoSpaceDN w:val="0"/>
        <w:adjustRightInd w:val="0"/>
        <w:spacing w:after="0" w:line="240" w:lineRule="auto"/>
        <w:ind w:firstLine="720"/>
        <w:jc w:val="both"/>
        <w:rPr>
          <w:rFonts w:ascii="Times New Roman" w:hAnsi="Times New Roman" w:cs="Times New Roman"/>
          <w:noProof/>
          <w:color w:val="202124"/>
          <w:sz w:val="24"/>
          <w:szCs w:val="24"/>
          <w:shd w:val="clear" w:color="auto" w:fill="FFFFFF"/>
          <w:lang w:val="ms-MY"/>
        </w:rPr>
      </w:pPr>
      <w:r w:rsidRPr="002D4513">
        <w:rPr>
          <w:rFonts w:ascii="Times New Roman" w:hAnsi="Times New Roman" w:cs="Times New Roman"/>
          <w:noProof/>
          <w:color w:val="202124"/>
          <w:sz w:val="24"/>
          <w:szCs w:val="24"/>
          <w:shd w:val="clear" w:color="auto" w:fill="FFFFFF"/>
          <w:lang w:val="ms-MY"/>
        </w:rPr>
        <w:t>Peraturan Presiden tersebut diharapkan agar berlakunya penurunan yang signifikan hingga tahun 2024, iaitu sebanyak 19 peratus dan berada di bawah had maksimum WHO iaitu sebanyak 20 peratus (Lukman et al. 2022). Selaras dengan dasar strategik di peringkat global dan kebangsaan, pihak berkuasa di peringkat daerah juga melaksanakan langkah yang sama juga (United Nations 2015). (c) Program keutamaan di daerah dilaksanakan melalui penerbitan Peraturan Bupati (Komarulzaman et al. 2023). Maka, jika Presiden telah mengeluarkan Perpres, justeru di peringkat daerah juga telah dikeluarkan Peraturan Bupati (PERBUP). Dalam konteks penyelidikan ini, seperti yang dilakukan oleh Pemerintah Kabupaten Malang dengan menerbitkan Perbup No. 33 tahun 2018 telah menekankan tentang usaha untuk mencegah soalan Kanak-kanak terbantut . Menurut Bakorwil, di wilayah Kabupaten Malang, terdapat sebanyak 3,580 Ketua Keluarga (KK) yang berisiko mengalami keadaan terbantut yang tersebar di empat wilayah (Sampurno 2022).</w:t>
      </w:r>
    </w:p>
    <w:p w14:paraId="5ECF439A" w14:textId="77777777" w:rsidR="00CC1C5C" w:rsidRPr="002D4513" w:rsidRDefault="00CC1C5C" w:rsidP="00123FC1">
      <w:pPr>
        <w:widowControl w:val="0"/>
        <w:autoSpaceDE w:val="0"/>
        <w:autoSpaceDN w:val="0"/>
        <w:adjustRightInd w:val="0"/>
        <w:spacing w:after="0" w:line="240" w:lineRule="auto"/>
        <w:ind w:firstLine="720"/>
        <w:jc w:val="both"/>
        <w:rPr>
          <w:rFonts w:ascii="Times New Roman" w:hAnsi="Times New Roman" w:cs="Times New Roman"/>
          <w:noProof/>
          <w:color w:val="202124"/>
          <w:sz w:val="24"/>
          <w:szCs w:val="24"/>
          <w:shd w:val="clear" w:color="auto" w:fill="FFFFFF"/>
          <w:lang w:val="ms-MY"/>
        </w:rPr>
      </w:pPr>
      <w:r w:rsidRPr="002D4513">
        <w:rPr>
          <w:rFonts w:ascii="Times New Roman" w:hAnsi="Times New Roman" w:cs="Times New Roman"/>
          <w:noProof/>
          <w:color w:val="202124"/>
          <w:sz w:val="24"/>
          <w:szCs w:val="24"/>
          <w:shd w:val="clear" w:color="auto" w:fill="FFFFFF"/>
          <w:lang w:val="ms-MY"/>
        </w:rPr>
        <w:t>Kejayaan sesuatu dasar sosial bergantung kepada usaha menyesuaikan diri dengan perubahan dasar global, model pentadbiran, kerjasama perkhidmatan kebajikan pelbagai pemegang tanggungjawab, dan respons politik dalam usaha bersama bagi mencapai pembentukan dasar sosial. Dalam konteks ini, Indonesia masih jauh dari mencapai matlamat mencegah kekerapan Kanak-kanak terbantut  di peringkat daerah (Yuda et al. 2023). Isu utama kegagalan dalam dasar sosial untuk mencegah Kanak-kanak terbantut  di Indonesia adalah disebabkan oleh soalan pendidikan, kesihatan, kemiskinan, dan kurang pentadbiran oleh pelbagai pemegang tanggungjawab dalam proses pembentukan dasar (Raper 2008, dalam Yuda, Pratiyudha &amp; Kafaa 2023). Oleh itu, kajian ini akan menyelidiki keterlibatan meluas pelbagai pemegang tanggungjawab, menilai cabaran serta halangan dalam pembangunan dasar sosial. Kajian ini juga akan menganalisis Peranan pekerja sosial sebagai Peranantara (antara kerjasama pelbagai agensi dan keluarga-komuniti setempat) dalam mencegah Kanak-kanak terbantut  di peringkat Daerah Kabupaten Malang, Indonesia.</w:t>
      </w:r>
    </w:p>
    <w:p w14:paraId="50614A2E" w14:textId="77777777" w:rsidR="00CC1C5C" w:rsidRPr="002D4513" w:rsidRDefault="00CC1C5C" w:rsidP="00123FC1">
      <w:pPr>
        <w:spacing w:after="0" w:line="240" w:lineRule="auto"/>
        <w:jc w:val="both"/>
        <w:rPr>
          <w:rFonts w:ascii="Times New Roman" w:hAnsi="Times New Roman" w:cs="Times New Roman"/>
          <w:bCs/>
          <w:sz w:val="24"/>
          <w:szCs w:val="24"/>
          <w:lang w:val="ms-MY"/>
        </w:rPr>
      </w:pPr>
    </w:p>
    <w:p w14:paraId="04C0BBD2" w14:textId="6B35FFB2" w:rsidR="00CC1C5C" w:rsidRPr="002D4513" w:rsidRDefault="00CC1C5C" w:rsidP="00123FC1">
      <w:pPr>
        <w:spacing w:after="0" w:line="240" w:lineRule="auto"/>
        <w:jc w:val="both"/>
        <w:rPr>
          <w:rFonts w:ascii="Times New Roman" w:hAnsi="Times New Roman" w:cs="Times New Roman"/>
          <w:b/>
          <w:sz w:val="24"/>
          <w:szCs w:val="24"/>
          <w:lang w:val="ms-MY"/>
        </w:rPr>
      </w:pPr>
      <w:r w:rsidRPr="002D4513">
        <w:rPr>
          <w:rFonts w:ascii="Times New Roman" w:hAnsi="Times New Roman" w:cs="Times New Roman"/>
          <w:b/>
          <w:sz w:val="24"/>
          <w:szCs w:val="24"/>
          <w:lang w:val="ms-MY"/>
        </w:rPr>
        <w:t>Sorotan Literatur</w:t>
      </w:r>
    </w:p>
    <w:p w14:paraId="70F22A1F" w14:textId="4FE6B3CC" w:rsidR="00CC1C5C" w:rsidRPr="002D4513" w:rsidRDefault="00CC1C5C" w:rsidP="00123FC1">
      <w:pPr>
        <w:pStyle w:val="ListParagraph"/>
        <w:spacing w:after="0" w:line="240" w:lineRule="auto"/>
        <w:ind w:left="0"/>
        <w:jc w:val="both"/>
        <w:rPr>
          <w:rFonts w:ascii="Times New Roman" w:hAnsi="Times New Roman"/>
          <w:noProof/>
          <w:color w:val="000000"/>
          <w:sz w:val="24"/>
          <w:szCs w:val="24"/>
          <w:lang w:val="ms-MY" w:eastAsia="en-ID"/>
        </w:rPr>
      </w:pPr>
      <w:r w:rsidRPr="002D4513">
        <w:rPr>
          <w:rFonts w:ascii="Times New Roman" w:hAnsi="Times New Roman"/>
          <w:noProof/>
          <w:sz w:val="24"/>
          <w:szCs w:val="24"/>
          <w:lang w:val="ms-MY"/>
        </w:rPr>
        <w:t xml:space="preserve">Berdasarkan kepada data yang diuar-uarkan di antara UNICEF, WHO dan </w:t>
      </w:r>
      <w:r w:rsidRPr="002D4513">
        <w:rPr>
          <w:rFonts w:ascii="Times New Roman" w:hAnsi="Times New Roman"/>
          <w:i/>
          <w:iCs/>
          <w:noProof/>
          <w:sz w:val="24"/>
          <w:szCs w:val="24"/>
          <w:lang w:val="ms-MY"/>
        </w:rPr>
        <w:t>World Bank</w:t>
      </w:r>
      <w:r w:rsidRPr="002D4513">
        <w:rPr>
          <w:rFonts w:ascii="Times New Roman" w:hAnsi="Times New Roman"/>
          <w:noProof/>
          <w:sz w:val="24"/>
          <w:szCs w:val="24"/>
          <w:lang w:val="ms-MY"/>
        </w:rPr>
        <w:t xml:space="preserve"> yang bertajuk </w:t>
      </w:r>
      <w:r w:rsidRPr="002D4513">
        <w:rPr>
          <w:rFonts w:ascii="Times New Roman" w:hAnsi="Times New Roman"/>
          <w:i/>
          <w:iCs/>
          <w:noProof/>
          <w:sz w:val="24"/>
          <w:szCs w:val="24"/>
          <w:lang w:val="ms-MY"/>
        </w:rPr>
        <w:t xml:space="preserve">Levels and Trends in Child Malnutrition </w:t>
      </w:r>
      <w:r w:rsidRPr="002D4513">
        <w:rPr>
          <w:rFonts w:ascii="Times New Roman" w:hAnsi="Times New Roman"/>
          <w:noProof/>
          <w:sz w:val="24"/>
          <w:szCs w:val="24"/>
          <w:lang w:val="ms-MY"/>
        </w:rPr>
        <w:t xml:space="preserve">pada tahun 2018 bahawa angka kekerapan terbantut di Asia Tenggara </w:t>
      </w:r>
      <w:r w:rsidRPr="002D4513">
        <w:rPr>
          <w:rFonts w:ascii="Times New Roman" w:hAnsi="Times New Roman"/>
          <w:i/>
          <w:iCs/>
          <w:noProof/>
          <w:sz w:val="24"/>
          <w:szCs w:val="24"/>
          <w:lang w:val="ms-MY"/>
        </w:rPr>
        <w:t xml:space="preserve">(South-eastern Asia/ASEAN) </w:t>
      </w:r>
      <w:r w:rsidRPr="002D4513">
        <w:rPr>
          <w:rFonts w:ascii="Times New Roman" w:hAnsi="Times New Roman"/>
          <w:noProof/>
          <w:sz w:val="24"/>
          <w:szCs w:val="24"/>
          <w:lang w:val="ms-MY"/>
        </w:rPr>
        <w:t xml:space="preserve">termasuk di Indonesia masih dalam kategori cukup tinggi iaitu berada pada julat di atas 20 peratus sehingga 29 peratus di atas had toleransi WHO dibawah 20 peratus dengan peratusan rata-rata secara global sebesar 22.2 peratus. Dua tahun berikutnya menyaksikan penurunan dalam jumlah, baik di peringkat Asia Tenggara dan purata global, tetapi ia tidak begitu ketara kerana dari awal 25.7 peratus kepada 24.7 peratus, bermakna di rantau Asia Tenggara hanya turun 1.0 peratus. Sementara itu, peratusan purata global malah menurun kurang daripada 1 peratus daripada 22.2 peratus kepada 21.3 peratus (0.9 peratus). </w:t>
      </w:r>
      <w:r w:rsidRPr="002D4513">
        <w:rPr>
          <w:rFonts w:ascii="Times New Roman" w:hAnsi="Times New Roman"/>
          <w:noProof/>
          <w:color w:val="000000"/>
          <w:sz w:val="24"/>
          <w:szCs w:val="24"/>
          <w:lang w:val="ms-MY" w:eastAsia="en-ID"/>
        </w:rPr>
        <w:t xml:space="preserve">Dalam artikel negara-negara ASEAN (Asia Tenggara) merujuk kepada </w:t>
      </w:r>
      <w:r w:rsidRPr="002D4513">
        <w:rPr>
          <w:rFonts w:ascii="Times New Roman" w:hAnsi="Times New Roman"/>
          <w:i/>
          <w:iCs/>
          <w:noProof/>
          <w:color w:val="000000"/>
          <w:sz w:val="24"/>
          <w:szCs w:val="24"/>
          <w:lang w:val="ms-MY" w:eastAsia="en-ID"/>
        </w:rPr>
        <w:t xml:space="preserve">Asian Development Bank </w:t>
      </w:r>
      <w:r w:rsidRPr="002D4513">
        <w:rPr>
          <w:rFonts w:ascii="Times New Roman" w:hAnsi="Times New Roman"/>
          <w:noProof/>
          <w:color w:val="000000"/>
          <w:sz w:val="24"/>
          <w:szCs w:val="24"/>
          <w:lang w:val="ms-MY" w:eastAsia="en-ID"/>
        </w:rPr>
        <w:t>(ADB), Indonesia merupakan negara kedua tertinggi di Asia Tenggara selepas Timor Leste. Timor Leste berada di kedudukan pertama dengan kadar kekerapan mencapai 48.8 peratus pada tahun 2020, Indonesia dengan kekerapan 31.8 peratus dan diikuti oleh Kemboja 29.9 peratus, Filipina 28.7 peratus, Myanmar 25.2 peratus, Vietnam 22.3 peratus, Malaysia 20.9 peratus, Brunei Darussalam 12.7 peratus, Thailand 12.3 peratus dan Singapura 2.8 peratus. Singapura merupakan negara yang mempunyai nilai kelaziman terbantut terendah di Asia Tenggara</w:t>
      </w:r>
      <w:r w:rsidR="00D4024A" w:rsidRPr="002D4513">
        <w:rPr>
          <w:rFonts w:ascii="Times New Roman" w:hAnsi="Times New Roman"/>
          <w:noProof/>
          <w:color w:val="000000"/>
          <w:sz w:val="24"/>
          <w:szCs w:val="24"/>
          <w:lang w:val="ms-MY" w:eastAsia="en-ID"/>
        </w:rPr>
        <w:t xml:space="preserve"> </w:t>
      </w:r>
      <w:r w:rsidR="00D4024A" w:rsidRPr="002D4513">
        <w:rPr>
          <w:rFonts w:ascii="Times New Roman" w:hAnsi="Times New Roman"/>
          <w:noProof/>
          <w:sz w:val="24"/>
          <w:szCs w:val="24"/>
          <w:lang w:val="ms-MY"/>
        </w:rPr>
        <w:t>(Roediger, Taylor Hendrixson &amp; Manary 2020)</w:t>
      </w:r>
      <w:r w:rsidRPr="002D4513">
        <w:rPr>
          <w:rFonts w:ascii="Times New Roman" w:hAnsi="Times New Roman"/>
          <w:noProof/>
          <w:color w:val="000000"/>
          <w:sz w:val="24"/>
          <w:szCs w:val="24"/>
          <w:lang w:val="ms-MY" w:eastAsia="en-ID"/>
        </w:rPr>
        <w:t>.</w:t>
      </w:r>
    </w:p>
    <w:p w14:paraId="1546E85E" w14:textId="77777777" w:rsidR="00CC1C5C" w:rsidRPr="002D4513" w:rsidRDefault="00CC1C5C" w:rsidP="00123FC1">
      <w:pPr>
        <w:pStyle w:val="ListParagraph"/>
        <w:spacing w:after="0" w:line="240" w:lineRule="auto"/>
        <w:ind w:left="0" w:firstLine="720"/>
        <w:jc w:val="both"/>
        <w:rPr>
          <w:rFonts w:ascii="Times New Roman" w:hAnsi="Times New Roman"/>
          <w:noProof/>
          <w:sz w:val="24"/>
          <w:szCs w:val="24"/>
          <w:lang w:val="ms-MY"/>
        </w:rPr>
      </w:pPr>
      <w:r w:rsidRPr="002D4513">
        <w:rPr>
          <w:rFonts w:ascii="Times New Roman" w:hAnsi="Times New Roman"/>
          <w:noProof/>
          <w:sz w:val="24"/>
          <w:szCs w:val="24"/>
          <w:lang w:val="ms-MY"/>
        </w:rPr>
        <w:t>Pengkategorian di rantau Asia Tenggara termasuk Indonesia itu selaras dengan laporan Timbalan Kerjasama Peningkatan Kesihatan Kementerian Koordinator Pembangunan Manusia dan Kebudayaan 2018 bahawa soalan kekurangan zat makanan dalam kalangan bayi dan kanak-kanak di Indonesia masih tinggi kerana sebanyak 10.2 peratus bayi dilahirkan dengan berat badan rendah (&lt; 2500 gram), 19.6 peratus kanak-kanak kecil (bawah lima tahun) mempunyai berat badan yang tidak sesuai dengan umur mereka (kurang zat makanan) dan akhirnya 37.2 peratus kanak-kanak kecil mempunyai ketinggian yang tidak sesuai untuk umur mereka (kurang zat makanan). Sementara itu, Kementerian Kesihatan pada tahun yang sama turut mengeluarkan berita bahawa satu daripada tiga kanak-kanak kecil di Indonesia mengalami soalan terbantut.</w:t>
      </w:r>
    </w:p>
    <w:p w14:paraId="5C4D106D" w14:textId="77777777" w:rsidR="00CC1C5C" w:rsidRPr="002D4513" w:rsidRDefault="00CC1C5C" w:rsidP="00123FC1">
      <w:pPr>
        <w:pStyle w:val="ListParagraph"/>
        <w:spacing w:after="0" w:line="240" w:lineRule="auto"/>
        <w:ind w:left="0" w:firstLine="720"/>
        <w:jc w:val="both"/>
        <w:rPr>
          <w:rFonts w:ascii="Times New Roman" w:hAnsi="Times New Roman"/>
          <w:noProof/>
          <w:sz w:val="24"/>
          <w:szCs w:val="24"/>
          <w:lang w:val="ms-MY"/>
        </w:rPr>
      </w:pPr>
      <w:r w:rsidRPr="002D4513">
        <w:rPr>
          <w:rFonts w:ascii="Times New Roman" w:hAnsi="Times New Roman"/>
          <w:noProof/>
          <w:sz w:val="24"/>
          <w:szCs w:val="24"/>
          <w:lang w:val="ms-MY"/>
        </w:rPr>
        <w:t>Terbantut adalah keadaan kegagalan tumbesaran kanak-kanak (tumbesaran badan dan otak) akibat daripada kekurangan zat makanan dalam tempoh yang lama. Kanak-kanak yang terbantut juga boleh ditakrifkan sebagai Z-Score (HAZ) ketinggian rendah yang bermula dalam persekitaran pranatal sehingga menyebabkan berat badan menjadi rendah secara berterusan sehingga berlakunya pertumbuhan yang terjejas dalam 2 tahun pertama kehidupan (Roediger, Taylor Hendrixson &amp; Manary 2020). Oleh itu, Kanak-kanak terbantut  adalah lebih pendek daripada kanak-kanak normal yang seusia dengan mereka dan soalan terbantut ini juga menyebabkan kanak-kanak mengalami isu lembab dalam berfikir. Secara amnya, kanak-kanak yang terjejas mencerminkan beberapa etiologi, terutamanya diet yang tidak betul, corak pemakanan yang tidak seimbang dan pengambilan vitamin dan mikronutrien yang tidak mencukupi (Kundan et al. 2021). Jadi kandungan dalam makanan yang dimakan oleh kanak-kanak boleh mempengaruhi tumbesaran dan perkembangan kanak-kanak. Kebiasaannya, kes terbantut mula berlaku semasa kanak-kanak masih dalam kandungan dan muncul apabila mereka berumur dua tahun. Keadaan yang terbantut mempunyai simptom yang boleh dikenalpasti. Contohnya, muka kelihatan lebih muda daripada kanak-kanak seusianya, pertumbuhan badan dan gigi lambat, usaha untuk fokus dan ingatan belajar lemah dan akil baligh agak lambat. Justeru, apabila mereka mencapai tahap umur 8-10 tahun, kanak-kanak cenderung untuk menjadi lebih pendiam dan tidak banyak bertentang mata dengan orang sekeliling dan berat badannya lebih ringan untuk kanak-kanak seusianya.</w:t>
      </w:r>
    </w:p>
    <w:p w14:paraId="137BFADE" w14:textId="77777777" w:rsidR="00CC1C5C" w:rsidRPr="002D4513" w:rsidRDefault="00CC1C5C" w:rsidP="00123FC1">
      <w:pPr>
        <w:spacing w:after="0" w:line="240" w:lineRule="auto"/>
        <w:ind w:firstLine="720"/>
        <w:jc w:val="both"/>
        <w:rPr>
          <w:rFonts w:ascii="Times New Roman" w:hAnsi="Times New Roman" w:cs="Times New Roman"/>
          <w:noProof/>
          <w:color w:val="000000"/>
          <w:sz w:val="24"/>
          <w:szCs w:val="24"/>
          <w:lang w:val="ms-MY"/>
        </w:rPr>
      </w:pPr>
      <w:r w:rsidRPr="002D4513">
        <w:rPr>
          <w:rFonts w:ascii="Times New Roman" w:hAnsi="Times New Roman" w:cs="Times New Roman"/>
          <w:noProof/>
          <w:color w:val="000000"/>
          <w:sz w:val="24"/>
          <w:szCs w:val="24"/>
          <w:lang w:val="ms-MY"/>
        </w:rPr>
        <w:t xml:space="preserve">Kementerian Kesihatan menekankan bahawa keadaan hidup yang terbantut adalah ancaman utama kepada kualiti masyarakat Indonesia. Bukan sahaja mengganggu pertumbuhan fizikal, kanak-kanak juga mengalami gangguan perkembangan otak yang akan menjejaskan kebolehan dan pencapaian mereka sehingga dapat menjejaskan produktiviti dan ekonomi kanak-kanak apabila mereka dewasa (Githanga et al. 2019). Selain itu, kanak-kanak dalam keadaan terjejas akan mempunyai sejarah kesihatan yang lemah kerana sistem imun mereka juga lemah. Menurut Roediger et al. (2020), Kanak-kanak terbantut  juga dipengaruhi oleh beberapa faktor antaranya: (1) indeks aset pendapatan isi rumah; (2) kelambu; (3) perlindungan vaksinasi; (4) kehadiran lawatan klinik antenatal; (5) amalan penyusuan yang optimum; (6) keselamatan makanan isi rumah; (7) kesuburan berkurangan; (8) selang kelahiran; (9) ketinggian ibu; (10) berat lahir bayi; (11) berlakunya cirit-birit. </w:t>
      </w:r>
    </w:p>
    <w:p w14:paraId="1653E540" w14:textId="77777777" w:rsidR="00CC1C5C" w:rsidRPr="002D4513" w:rsidRDefault="00CC1C5C" w:rsidP="00123FC1">
      <w:pPr>
        <w:spacing w:after="0" w:line="240" w:lineRule="auto"/>
        <w:ind w:firstLine="720"/>
        <w:jc w:val="both"/>
        <w:rPr>
          <w:rFonts w:ascii="Times New Roman" w:hAnsi="Times New Roman" w:cs="Times New Roman"/>
          <w:noProof/>
          <w:color w:val="000000"/>
          <w:sz w:val="24"/>
          <w:szCs w:val="24"/>
          <w:lang w:val="ms-MY"/>
        </w:rPr>
      </w:pPr>
      <w:r w:rsidRPr="002D4513">
        <w:rPr>
          <w:rFonts w:ascii="Times New Roman" w:hAnsi="Times New Roman" w:cs="Times New Roman"/>
          <w:noProof/>
          <w:sz w:val="24"/>
          <w:szCs w:val="24"/>
          <w:lang w:val="ms-MY"/>
        </w:rPr>
        <w:t>Kekerapan tinggi Kanak-kanak terbantut  dan kurang berat badan memerlukan perhatian segera daripada Kementerian Kesihatan dan pemegang tanggungjawab dalam pembangunan. Oleh itu, ia mencadangkan bahawa meningkatkan kepelbagaian tahap pencapaian boleh menjadi pendekatan yang berkesan untuk membetulkan pembaziran dan kekurangan berat badan semasa peringkat kehidupan apabila kanak-kanak paling bergantung kepada makanan dalam keluarga (Azupogo, Chipirah &amp; Halidu 2022). Indonesia mengutamakan penunjuk seperti pendaftaran awam, kemudahan dan perkhidmatan kesihatan, akses kepada kemudahan asas dan perumahan, dan akses berasaskan teknologi dalam usaha mengurangkan kanak-kanak yang kurang bernasib baik, terutamanya dalam kalangan isi rumah yang kurang bernasib baik. (Komarulzaman et al. 2023).</w:t>
      </w:r>
      <w:r w:rsidRPr="002D4513">
        <w:rPr>
          <w:rFonts w:ascii="Times New Roman" w:hAnsi="Times New Roman" w:cs="Times New Roman"/>
          <w:noProof/>
          <w:color w:val="000000"/>
          <w:sz w:val="24"/>
          <w:szCs w:val="24"/>
          <w:lang w:val="ms-MY"/>
        </w:rPr>
        <w:t xml:space="preserve"> </w:t>
      </w:r>
      <w:r w:rsidRPr="002D4513">
        <w:rPr>
          <w:rFonts w:ascii="Times New Roman" w:hAnsi="Times New Roman" w:cs="Times New Roman"/>
          <w:noProof/>
          <w:sz w:val="24"/>
          <w:szCs w:val="24"/>
          <w:lang w:val="ms-MY"/>
        </w:rPr>
        <w:t>Kesan berbeza pembolehubah ini dan penggunaan semasa dan masa hadapan oleh institusi menunjukkan bahawa pendekatan satu saiz untuk semua pelaksanaan adalah tidak sesuai. Walaupun banyak institusi menghadapi cabaran biasa, terdapat juga cabaran unik yang ditentukan oleh konteks khusus setiap institusi. Cabaran ini hanya boleh diatasi melalui pendekatan pelaksanaan adaptif atau evolusi (Long &amp; Franklin 2004). Kerajaan wilayah perlu memasyarakatkan dan menyebarkan hasil komitmen agar dapat mengurangkan kanak-kanak kurang bernasib baik bagi menggalakkan semua pihak menyumbang secara aktif kepada pengurangan bersepadu kanak-kanak kurang bernasib baik (Prasetyo et al. 2023).</w:t>
      </w:r>
    </w:p>
    <w:p w14:paraId="2B8E907C" w14:textId="77777777" w:rsidR="00CC1C5C" w:rsidRPr="002D4513" w:rsidRDefault="00CC1C5C" w:rsidP="00123FC1">
      <w:pPr>
        <w:spacing w:after="0" w:line="240" w:lineRule="auto"/>
        <w:ind w:firstLine="720"/>
        <w:jc w:val="both"/>
        <w:rPr>
          <w:rFonts w:ascii="Times New Roman" w:hAnsi="Times New Roman" w:cs="Times New Roman"/>
          <w:noProof/>
          <w:color w:val="000000"/>
          <w:sz w:val="24"/>
          <w:szCs w:val="24"/>
          <w:lang w:val="ms-MY"/>
        </w:rPr>
      </w:pPr>
      <w:r w:rsidRPr="002D4513">
        <w:rPr>
          <w:rFonts w:ascii="Times New Roman" w:hAnsi="Times New Roman" w:cs="Times New Roman"/>
          <w:noProof/>
          <w:sz w:val="24"/>
          <w:szCs w:val="24"/>
          <w:lang w:val="ms-MY"/>
        </w:rPr>
        <w:t>Negara Indonesia mendapati bahawa cabaran utama dalam pengaturcaraan pemakanan ialah ketiadaan pelan strategik pemakanan negara yang komprehensif dan kos efektif untuk menyokong dasar pemakanan negara (Aryeetey 2022). Di samping itu, tumpuan kepada soalan Kanak-kanak terbantut  adalah keutamaan yang tinggi dan usaha menyeluruh diperlukan untuk meningkatkan keseluruhan status pemakanan kanak-kanak bawah lima tahun di wilayah tersebut (Sen et al. 2020). Bukan itu sahaja, kekurangan bajet menyukarkan usaha kolaboratif untuk menangani soalan pemakanan kompleks yang dihadapi oleh masyarakat (Latin &amp; Workshop 2018). Kajian lain menyatakan bahawa julat umur secara signifikan dikaitkan dengan soalan pembaziran, terencat pertumbuhan dan berat badan yang rendah. Bukan itu sahaja, jantina, umur ibu, tahap pendidikan ibu, dan pendapatan keluarga berbeza adalah secara signifikan merupakan penyebab kepada soalan kekurangan zat makanan pada kanak-kanak di bawah umur lima tahun  (Elnadif 2020).</w:t>
      </w:r>
      <w:r w:rsidRPr="002D4513">
        <w:rPr>
          <w:rFonts w:ascii="Times New Roman" w:hAnsi="Times New Roman" w:cs="Times New Roman"/>
          <w:noProof/>
          <w:color w:val="000000"/>
          <w:sz w:val="24"/>
          <w:szCs w:val="24"/>
          <w:lang w:val="ms-MY"/>
        </w:rPr>
        <w:t xml:space="preserve"> </w:t>
      </w:r>
      <w:r w:rsidRPr="002D4513">
        <w:rPr>
          <w:rFonts w:ascii="Times New Roman" w:hAnsi="Times New Roman" w:cs="Times New Roman"/>
          <w:noProof/>
          <w:sz w:val="24"/>
          <w:szCs w:val="24"/>
          <w:lang w:val="ms-MY"/>
        </w:rPr>
        <w:t>Hasil penyelidikan lain menyatakan bahawa pertumbuhan terbantut dikaitkan dengan peningkatan risiko morbiditi dan kematian, penurunan kebolehan fizikal, gangguan perkembangan, serta fungsi motor dan mental pada kanak-kanak (Martha et al. 2020). Selaras dengan hasil pemodelan mengenai penggunaan makanan di Indonesia untuk tahun 2045 menggunakan pencapaian khusus pada tahun 2025, ia mengesahkan bahawa permintaan makanan di Indonesia ditentukan oleh pihak populasi dan komposisi penduduk di kawasan luar bandar dan bandar, serta pihak pendapatan dan komposisi masing-masing. Beberapa penemuan penting dalam penyelidikan ini adalah seperti berikut (a) kadar kecukupan pemakanan (AKG); (b) purata penggunaan protein; (c) penggunaan beberapa komoditi makanan; (d) purata penggunaan daging lembu sebagai sumber protein (Arini et al. 2022).</w:t>
      </w:r>
    </w:p>
    <w:p w14:paraId="17499C6C" w14:textId="77777777" w:rsidR="00CC1C5C" w:rsidRPr="002D4513" w:rsidRDefault="00CC1C5C" w:rsidP="00123FC1">
      <w:pPr>
        <w:pStyle w:val="ListParagraph"/>
        <w:spacing w:after="0" w:line="240" w:lineRule="auto"/>
        <w:ind w:left="0" w:firstLine="720"/>
        <w:jc w:val="both"/>
        <w:rPr>
          <w:rFonts w:ascii="Times New Roman" w:hAnsi="Times New Roman"/>
          <w:noProof/>
          <w:sz w:val="24"/>
          <w:szCs w:val="24"/>
          <w:lang w:val="ms-MY"/>
        </w:rPr>
      </w:pPr>
      <w:r w:rsidRPr="002D4513">
        <w:rPr>
          <w:rFonts w:ascii="Times New Roman" w:hAnsi="Times New Roman"/>
          <w:noProof/>
          <w:sz w:val="24"/>
          <w:szCs w:val="24"/>
          <w:lang w:val="ms-MY"/>
        </w:rPr>
        <w:t xml:space="preserve">Di bawah undang-undang negara ini, pekerja sosial sebagai pengurus penjagaan di peringkat perbandaran mengendalikan kes di mana ibu bapa dibekalkan dengan peruntukan praktikal seperti aktiviti sosial dan perindustrian, membeli-belah dan pengedaran makanan, serta membantu dengan penjagaan diri dan kerja komuniti (Thelin 2021). Dalam cabaran pekerja sosial untuk Kanak-kanak terbantut , ia dapat dilihat daripada Peranan model Kerja Sosial </w:t>
      </w:r>
      <w:r w:rsidRPr="002D4513">
        <w:rPr>
          <w:rFonts w:ascii="Times New Roman" w:hAnsi="Times New Roman"/>
          <w:i/>
          <w:iCs/>
          <w:noProof/>
          <w:sz w:val="24"/>
          <w:szCs w:val="24"/>
          <w:lang w:val="ms-MY"/>
        </w:rPr>
        <w:t>Reclaiming</w:t>
      </w:r>
      <w:r w:rsidRPr="002D4513">
        <w:rPr>
          <w:rFonts w:ascii="Times New Roman" w:hAnsi="Times New Roman"/>
          <w:noProof/>
          <w:sz w:val="24"/>
          <w:szCs w:val="24"/>
          <w:lang w:val="ms-MY"/>
        </w:rPr>
        <w:t>. Peranan ini mencerminkan amaran daripada birokrasi bahawa ia memberikan kurang sokongan dan beban birokrasi yang semakin meningkat kepada pekerja sosial untuk menguruskan diri dan laporan tidak dipantau dengan betul oleh pekerja sosial. Di sini, dapat dilihat bahawa terdapat jangkaan tersembunyi di sebalik piawaian rasmi. Oleh itu, kesannya terhadap kerja sosial kanak-kanak dan keluarga mudah difahami. Walaupun kemungkinan untuk mengumpulkan statistik daripada lawatan ke rumah setiap dua minggu atau secara mingguan adalah sukar, akan tetapi statistik itu mesti dipantau dan dipegang oleh pekerja sosial itu sendiri untuk disemak semula setiap hari (McGrath-Brookes, Hanley &amp; Higgins 2021).</w:t>
      </w:r>
    </w:p>
    <w:p w14:paraId="7E0297A0" w14:textId="77777777" w:rsidR="00CC1C5C" w:rsidRPr="002D4513" w:rsidRDefault="00CC1C5C" w:rsidP="00123FC1">
      <w:pPr>
        <w:spacing w:after="0" w:line="240" w:lineRule="auto"/>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             Pada masa yang sama, ramai pekerja sosial berasa agak bimbang untuk menghadapi era COVID-19. Ini kerana mereka membandingkan diri mereka dengan pekerja perubatan yang berdedikasi. Pekerja sosial telah memainkan Peranan penting dalam membantu perkhidmatan kesihatan awam, menjaga pesakit dan ahli keluarga mereka. Perkara ini disebabkan oleh, pekerja sosial mewakili kepentingan masyarakat, mereka juga mesti mempertimbangkan cara untuk membuat sumbangan yang besar kepada masyarakat. Sebagai contoh, beberapa pekerja sosial membantu kanak-kanak kurang upaya melalui program yang disediakan oleh kerajaan. Di samping itu, dengan menggunakan teknologi maklumat dan komunikasi, pekerja sosial juga boleh membangunkan program dalam talian yang memfokuskan kepada pendidikan, jangkauan latihan, dan aktiviti rekreasi (Park &amp; ​​​​Yang 2020).</w:t>
      </w:r>
    </w:p>
    <w:p w14:paraId="447FBE66" w14:textId="77777777" w:rsidR="00CC1C5C" w:rsidRPr="002D4513" w:rsidRDefault="00CC1C5C" w:rsidP="00123FC1">
      <w:pPr>
        <w:pStyle w:val="ListParagraph"/>
        <w:spacing w:after="0" w:line="240" w:lineRule="auto"/>
        <w:ind w:left="0" w:firstLine="720"/>
        <w:jc w:val="both"/>
        <w:rPr>
          <w:rFonts w:ascii="Times New Roman" w:hAnsi="Times New Roman"/>
          <w:noProof/>
          <w:sz w:val="24"/>
          <w:szCs w:val="24"/>
          <w:lang w:val="ms-MY"/>
        </w:rPr>
      </w:pPr>
      <w:r w:rsidRPr="002D4513">
        <w:rPr>
          <w:rFonts w:ascii="Times New Roman" w:hAnsi="Times New Roman"/>
          <w:noProof/>
          <w:sz w:val="24"/>
          <w:szCs w:val="24"/>
          <w:lang w:val="ms-MY"/>
        </w:rPr>
        <w:t>Terdapat banyak perubahan pada amalan dan sistem kerja sosial semasa pandemik COVID-19, di mana perkhidmatan perlindungan kanak-kanak melaporkan tekanan dan peralihan yang besar dalam amalan berkaitan kerja di peringkat antarabangsa dan kesan terhadap perkhidmatan perlindungan. Hal ini mengurangkan perkhidmatan awam untuk keperluan makanan bagi mereka yang terjejas. Berdasarkan kepada laporan peningkatan tekanan akibat kesunyian dan pengasingan sosial yang dialami oleh ramai warga emas semasa tempoh penjarakan sosial yang dikuatkuasakan, ini menyebabkan kebolehcapaian skop dan masa untuk pekerja sosial dapat memberikan pematuhan kepada dasar sosial sedia ada untuk mengelakkan Kanak-kanak terbantut  pada masa itu turut menjadi sebuah isu yang berkepentingan (Manthorpe et al. 2022).</w:t>
      </w:r>
    </w:p>
    <w:p w14:paraId="73B830D5" w14:textId="77777777" w:rsidR="00CC1C5C" w:rsidRPr="002D4513" w:rsidRDefault="00CC1C5C" w:rsidP="00123FC1">
      <w:pPr>
        <w:spacing w:after="0" w:line="240" w:lineRule="auto"/>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           Sokongan serta pemantauan soalan sosial, psikologi, dan ekonomi klien memerlukan penilaian emosi pekerja sosial, kecenderungan empati, dan pengurusan kesukaran interpersonal. Dasar itu tidak menjadikan mereka ahli terapi yang bekerja. Akan tetapi, ia menyatakan bahawa bimbingan mahupun bantuan serta sokongan adalah aspek yang sangat diperlukan dalam kerja sosial apabila menguruskan soalan berkaitan multidimensi klien dan ketidaksamaan sosial dalam negara kebajikan institusi serta prinsip pengurusan emosi preskriptif yang berkembang disertai dengan cita-cita dermawan. Akibatnya, pencegahan dan pengurusan soalan 'psikososial' rakyat menjadi matlamat yang mendalam dalam kerja sosial. Oleh itu, membantu manusia lain secara profesional memerlukan banyak bantuan. Satu-satunya cara untuk membantu adalah percubaan untuk membantu orang yang memerlukan bantuan atau orang yang dalam kesusahan (Turtiainen, Anttila &amp; Väänänen 2022).</w:t>
      </w:r>
    </w:p>
    <w:p w14:paraId="7C365D27" w14:textId="156AA4AE" w:rsidR="00CC1C5C" w:rsidRPr="002D4513" w:rsidRDefault="00CC1C5C" w:rsidP="00123FC1">
      <w:pPr>
        <w:pStyle w:val="ListParagraph"/>
        <w:spacing w:after="0" w:line="240" w:lineRule="auto"/>
        <w:ind w:left="0" w:firstLine="720"/>
        <w:jc w:val="both"/>
        <w:rPr>
          <w:rFonts w:ascii="Times New Roman" w:hAnsi="Times New Roman"/>
          <w:noProof/>
          <w:sz w:val="24"/>
          <w:szCs w:val="24"/>
          <w:lang w:val="ms-MY"/>
        </w:rPr>
      </w:pPr>
      <w:r w:rsidRPr="002D4513">
        <w:rPr>
          <w:rFonts w:ascii="Times New Roman" w:hAnsi="Times New Roman"/>
          <w:noProof/>
          <w:sz w:val="24"/>
          <w:szCs w:val="24"/>
          <w:lang w:val="ms-MY"/>
        </w:rPr>
        <w:t xml:space="preserve">Perlindungan dan kebajikan kanak-kanak berkait rapat dengan isu mobiliti sosial. Dalam masyarakat terbuka, peluang untuk mobiliti sosial tersedia untuk ahlinya terutamanya kepada kanak-kanak apabila pendekatan pencegahan terhadap perlindungan kanak-kanak diambil dengan betul mampu mengubah kehidupan keluarga dan anak-anak yang sedang bergelut dengan kesukaran. Ini menyebabkan halangan yang terdapat secara tidak langsung membawa kepada perubahan positif dengan matlamat asas dan pendekatan kekerapan perlindungan kanak-kanak adalah sangat penting dari sudut integrasi sosial dan juga mobiliti sosial </w:t>
      </w:r>
      <w:r w:rsidR="00A86E17" w:rsidRPr="002D4513">
        <w:rPr>
          <w:rFonts w:ascii="Times New Roman" w:hAnsi="Times New Roman"/>
          <w:noProof/>
          <w:sz w:val="24"/>
          <w:szCs w:val="24"/>
          <w:lang w:val="ms-MY"/>
        </w:rPr>
        <w:t xml:space="preserve">(Bruzelius &amp; Shutes 2022). </w:t>
      </w:r>
      <w:r w:rsidRPr="002D4513">
        <w:rPr>
          <w:rFonts w:ascii="Times New Roman" w:hAnsi="Times New Roman"/>
          <w:noProof/>
          <w:sz w:val="24"/>
          <w:szCs w:val="24"/>
          <w:lang w:val="ms-MY"/>
        </w:rPr>
        <w:t>Pengecualian dan sekatan peluang mobiliti sosial adalah hasil daripada isi rumah yang mewariskan kelemahan mereka kepada generasi akan datang. Soalan ini dapat ditakrifkan sebagai soalan pendidikan, keadaan pasaran buruh, keadaan perumahan, dan akses kepada budaya</w:t>
      </w:r>
      <w:r w:rsidR="00A86E17" w:rsidRPr="002D4513">
        <w:rPr>
          <w:rFonts w:ascii="Times New Roman" w:hAnsi="Times New Roman"/>
          <w:noProof/>
          <w:sz w:val="24"/>
          <w:szCs w:val="24"/>
          <w:lang w:val="ms-MY"/>
        </w:rPr>
        <w:t xml:space="preserve"> (Bruzelius &amp; Shutes 2022). </w:t>
      </w:r>
      <w:r w:rsidRPr="002D4513">
        <w:rPr>
          <w:rFonts w:ascii="Times New Roman" w:hAnsi="Times New Roman"/>
          <w:noProof/>
          <w:sz w:val="24"/>
          <w:szCs w:val="24"/>
          <w:lang w:val="ms-MY"/>
        </w:rPr>
        <w:t>Kemiskinan dan penyisihan boleh diimbangi oleh hubungan sosial yang menghubungkan komuniti tersisih yang merupakan jambatan di antara individu dan pelbagai organisasi sosial serta institusi negara. Maka tidak dapat dielakkan bahawa mobiliti sosial menjadi tidak dapat dicapai dan pengecualian komuniti yang sudah terpinggir menjadi semakin mendalam lagi</w:t>
      </w:r>
      <w:r w:rsidR="00A86E17" w:rsidRPr="002D4513">
        <w:rPr>
          <w:rFonts w:ascii="Times New Roman" w:hAnsi="Times New Roman"/>
          <w:noProof/>
          <w:sz w:val="24"/>
          <w:szCs w:val="24"/>
          <w:lang w:val="ms-MY"/>
        </w:rPr>
        <w:t xml:space="preserve"> (Bruzelius &amp; Shutes 2022)..</w:t>
      </w:r>
    </w:p>
    <w:p w14:paraId="4CA09216" w14:textId="77777777" w:rsidR="00CC1C5C" w:rsidRPr="002D4513" w:rsidRDefault="00CC1C5C" w:rsidP="00123FC1">
      <w:pPr>
        <w:spacing w:after="0" w:line="240" w:lineRule="auto"/>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            Menurut kajian penyelidikan OECD (OECD 2009), pihak yang berkaitan dengan pendidikan dan pasaran buruh menentukan kecekapan. Laporan OECD (2018) juga mengesahkan bahawa prospek kehidupan kanak-kanak serta mobiliti sosial keluarga berkait rapat dengan status sosioekonomi keluarga, kualiti perkhidmatan sosial dan kebajikan kanak-kanak tersedia (Bruzelius &amp; Shutes 2022). Terdapat juga sejarah panjang tentang kebimbangan yang disuarakan mengenai pengenalan eralisme neolib ke dalam pekerja sosial kanak-kanak dan keluarga di UK, dan kebanyakannya menyatakan tentang pembaharuan 13 tahun yang lalu sebagai mempercepatkan proses ini. Namun tidak ada percubaan utama untuk menggunakan idea dan karya Mark Fisher, terutamanya karyanya yang paling berpengaruh iaitu realisme kapitalis yang menekankan kuasa analisis untuk melihat teknik dan hasil pembaharuan neoliberal ini wajar untuk dilaksanakan. Terdapat juga protes atau krisis yang menghalang penilaian dan kritikan yang betul terhadap model ini kecuali hujah konseptual yang dikemukakan (McGrath-Brookes, Hanley &amp; Higgins 2021).</w:t>
      </w:r>
    </w:p>
    <w:p w14:paraId="471125A4" w14:textId="77777777" w:rsidR="00CC1C5C" w:rsidRPr="002D4513" w:rsidRDefault="00CC1C5C" w:rsidP="00123FC1">
      <w:pPr>
        <w:pStyle w:val="ListParagraph"/>
        <w:spacing w:after="0" w:line="240" w:lineRule="auto"/>
        <w:ind w:left="0" w:firstLine="720"/>
        <w:jc w:val="both"/>
        <w:rPr>
          <w:rFonts w:ascii="Times New Roman" w:hAnsi="Times New Roman"/>
          <w:noProof/>
          <w:sz w:val="24"/>
          <w:szCs w:val="24"/>
          <w:lang w:val="ms-MY"/>
        </w:rPr>
      </w:pPr>
      <w:r w:rsidRPr="002D4513">
        <w:rPr>
          <w:rFonts w:ascii="Times New Roman" w:hAnsi="Times New Roman"/>
          <w:noProof/>
          <w:sz w:val="24"/>
          <w:szCs w:val="24"/>
          <w:lang w:val="ms-MY"/>
        </w:rPr>
        <w:t>Bukan itu sahaja, terdapat kesan negatif terhadap pekerja sosial berikutan neoliberalisasi negara berkebajikan dengan menyatakan bahawa terdapat kekangan pada penetapan belanjawan, rundingan upah individu, model kontrak pihak klien dan penyeliaan pekerja sosial yang menunjukkan bahawa teknologi kawal selia ini boleh bersedia untuk bekerjasama dengan rakan sekerja dan klien mereka. Jadi mengenai empat teknologi di atas iaitu penetapan bajet, rundingan upah individu, model klien kontrak dan penyeliaan pekerja sosial, pengkaji berpendapat bahawa mereka boleh dilihat sebagai satu set kerajaan neoliberal dengan usaha untuk membentuk pekerja sosial menjadi berdaya saing. Sebagai bukti, orang yang ditemu bual Maude meringkaskan perkembangan yang dia saksikan (Lauri 2019).</w:t>
      </w:r>
    </w:p>
    <w:p w14:paraId="77DDE1A3" w14:textId="77777777" w:rsidR="00CC1C5C" w:rsidRPr="002D4513" w:rsidRDefault="00CC1C5C" w:rsidP="00123FC1">
      <w:pPr>
        <w:pStyle w:val="ListParagraph"/>
        <w:spacing w:after="0" w:line="240" w:lineRule="auto"/>
        <w:ind w:left="0" w:firstLine="720"/>
        <w:jc w:val="both"/>
        <w:rPr>
          <w:rFonts w:ascii="Times New Roman" w:hAnsi="Times New Roman"/>
          <w:noProof/>
          <w:sz w:val="24"/>
          <w:szCs w:val="24"/>
          <w:lang w:val="ms-MY"/>
        </w:rPr>
      </w:pPr>
      <w:r w:rsidRPr="002D4513">
        <w:rPr>
          <w:rFonts w:ascii="Times New Roman" w:hAnsi="Times New Roman"/>
          <w:noProof/>
          <w:sz w:val="24"/>
          <w:szCs w:val="24"/>
          <w:lang w:val="ms-MY"/>
        </w:rPr>
        <w:t>Pekerja sosial telah menjadi sebahagian daripada kebajikan negara. Ini mewujudkan ketidakpastian dan dilema untuk mengenalpasti ramai pekerja sosial yang masih melihat diri mereka sebagai penggalak kepada kebajikan rakyat. Oleh itu, mengenai transformasi neoliberal dan perubahan dalam identiti profesional, temu bual dilaksanakan dengan pekerja sosial. Hasil daripada itu menunjukkan terdapatnya kegelisahan yang semakin meningkat terhadap Peranan dan fungsi profesional baharu pekerja sosial iaitu sebagai birokrat dalam organisasi kerja sosial awam yang dineoliberalisasikan. Sesetengah pekerja sosial masih cuba mencari cara baru untuk bekerja dalam perpaduan, manakala yang lain, walaupun kritikal, melihat menyesuaikan diri dengan rangka kerja organisasi baharu sebagai cara untuk meneruskan pekerjaan mereka. Justeru, sikap identiti mereka sendiri berperan dalam mengekalkan perpaduan pekerja sosial (Jönsson 2019).</w:t>
      </w:r>
    </w:p>
    <w:p w14:paraId="16261AFC" w14:textId="77777777" w:rsidR="00CC1C5C" w:rsidRPr="002D4513" w:rsidRDefault="00CC1C5C" w:rsidP="00123FC1">
      <w:pPr>
        <w:spacing w:after="0" w:line="240" w:lineRule="auto"/>
        <w:ind w:firstLine="720"/>
        <w:jc w:val="both"/>
        <w:rPr>
          <w:rFonts w:ascii="Times New Roman" w:hAnsi="Times New Roman" w:cs="Times New Roman"/>
          <w:noProof/>
          <w:sz w:val="24"/>
          <w:szCs w:val="24"/>
          <w:lang w:val="ms-MY"/>
        </w:rPr>
      </w:pPr>
    </w:p>
    <w:p w14:paraId="674B8447" w14:textId="119F4DEC" w:rsidR="00CC1C5C" w:rsidRPr="002D4513" w:rsidRDefault="00CC1C5C" w:rsidP="00123FC1">
      <w:pPr>
        <w:spacing w:after="0" w:line="240" w:lineRule="auto"/>
        <w:jc w:val="both"/>
        <w:rPr>
          <w:rFonts w:ascii="Times New Roman" w:hAnsi="Times New Roman" w:cs="Times New Roman"/>
          <w:b/>
          <w:sz w:val="24"/>
          <w:szCs w:val="24"/>
          <w:lang w:val="ms-MY"/>
        </w:rPr>
      </w:pPr>
      <w:r w:rsidRPr="002D4513">
        <w:rPr>
          <w:rFonts w:ascii="Times New Roman" w:hAnsi="Times New Roman" w:cs="Times New Roman"/>
          <w:b/>
          <w:sz w:val="24"/>
          <w:szCs w:val="24"/>
          <w:lang w:val="ms-MY"/>
        </w:rPr>
        <w:t>Metodologi</w:t>
      </w:r>
    </w:p>
    <w:p w14:paraId="571E87CF" w14:textId="77777777" w:rsidR="00CC1C5C" w:rsidRPr="002D4513" w:rsidRDefault="00CC1C5C" w:rsidP="00123FC1">
      <w:pPr>
        <w:spacing w:after="0" w:line="240" w:lineRule="auto"/>
        <w:jc w:val="both"/>
        <w:rPr>
          <w:rFonts w:ascii="Times New Roman" w:hAnsi="Times New Roman" w:cs="Times New Roman"/>
          <w:sz w:val="24"/>
          <w:szCs w:val="24"/>
          <w:lang w:val="ms-MY"/>
        </w:rPr>
      </w:pPr>
      <w:r w:rsidRPr="002D4513">
        <w:rPr>
          <w:rFonts w:ascii="Times New Roman" w:hAnsi="Times New Roman" w:cs="Times New Roman"/>
          <w:sz w:val="24"/>
          <w:szCs w:val="24"/>
          <w:lang w:val="ms-MY"/>
        </w:rPr>
        <w:t xml:space="preserve">Pendekatan kajian mengenai kanak-kanak terbantut di wilayah Kabupaten Malang, Indonesia ialah berbentuk kualitatif iaitu berpandukan kajian fenomenologi yang menghuraikan pengalaman manusia melalui dengan objek dan peristiwa yang berada dalam diri mereka dan tidak dapat dilihat dalam gejala yang kita dapat menangkap dengan deria. Kajian ini dijalankan di Indonesia iaitu di wilayah Kabupaten Malang, Propinsi Jawa Timur. Pemilihan lokasi tersebut disebabkan pada tahun 2022 terdapat banyak keluarga berisiko Kanak-kanak terbantut. Pekerja sosial taska terlibat dalam kajian ini. Temu bual mendalam </w:t>
      </w:r>
      <w:r w:rsidRPr="002D4513">
        <w:rPr>
          <w:rFonts w:ascii="Times New Roman" w:hAnsi="Times New Roman" w:cs="Times New Roman"/>
          <w:i/>
          <w:iCs/>
          <w:sz w:val="24"/>
          <w:szCs w:val="24"/>
          <w:lang w:val="ms-MY"/>
        </w:rPr>
        <w:t>(in-depth interview)</w:t>
      </w:r>
      <w:r w:rsidRPr="002D4513">
        <w:rPr>
          <w:rFonts w:ascii="Times New Roman" w:hAnsi="Times New Roman" w:cs="Times New Roman"/>
          <w:sz w:val="24"/>
          <w:szCs w:val="24"/>
          <w:lang w:val="ms-MY"/>
        </w:rPr>
        <w:t xml:space="preserve"> di dalam kajian kualitatif ini dilaksanakan secara terbuka dan separa berstruktur. Teknik persampelan yang digunakan ialah persampelan secara bertujuan </w:t>
      </w:r>
      <w:r w:rsidRPr="002D4513">
        <w:rPr>
          <w:rFonts w:ascii="Times New Roman" w:hAnsi="Times New Roman" w:cs="Times New Roman"/>
          <w:i/>
          <w:iCs/>
          <w:sz w:val="24"/>
          <w:szCs w:val="24"/>
          <w:lang w:val="ms-MY"/>
        </w:rPr>
        <w:t>(purposive)</w:t>
      </w:r>
      <w:r w:rsidRPr="002D4513">
        <w:rPr>
          <w:rFonts w:ascii="Times New Roman" w:hAnsi="Times New Roman" w:cs="Times New Roman"/>
          <w:sz w:val="24"/>
          <w:szCs w:val="24"/>
          <w:lang w:val="ms-MY"/>
        </w:rPr>
        <w:t xml:space="preserve"> iaitu sudah ditetapkan matlamat pemilihan informan tersebut yang melibatkan justifikasi tertentu dalam memilih informan kajian. Persampelan kajian terdiri daripada tiga kumpulan informan yang telah dipilih. Seramai 7 orang pekerja sosial dipilih oleh pengkaji untuk ditemu bual secara lebih mendalam dan tidak berstruktur. Pengkaji menemubual 7 informan untuk mendapatkan maklumat tentang cabaran pekerja sosial dalam mengendalikan kes kanak-kanak terbantut di wilayah Kabupaten Malang, Indonesia. Mereka juga telah ditemubual tentang faktor berlaku terbantut di wilayah Kabupaten Malang dan bagaimana mereka melaporkan kes kanak-kanak terbantut di wilayah Kabupaten Malang, Indonesia. Sesi temubual dijalankan dalam masa 45 minit hingga 90 minit. Traskripsi verbatim dilakukan dalam tempoh 24 jam sebelum dianalisis. Sesi temu bual dengan informan akan berlangsung lagi sehingga data mencapai tahap tepu. Analisis secara manual digunakan dalam kajian ini. Data telah dianalisis secara tematik dan hasil temubual bertulis informan membantu pengkaji meneroka isu atau masalah yang dihadapi oleh mereka ketika pekerja sosial menghadapi cabaran dalam mengendalikan kes kanak-kanak terbantut di wilayah Kabupaten Malang, Indonesia. Matlamat analisis tematik adalah untuk mengenal pasti setiap objektif dan menganalisis data yang penting dan bermakna serta mengunakan tema tersebut sebagai suatu yang mampu menjelaskan isu yang ingin dikaji. Data yang telah dikoding disusun ke dalam </w:t>
      </w:r>
      <w:r w:rsidRPr="002D4513">
        <w:rPr>
          <w:rFonts w:ascii="Times New Roman" w:hAnsi="Times New Roman" w:cs="Times New Roman"/>
          <w:i/>
          <w:iCs/>
          <w:sz w:val="24"/>
          <w:szCs w:val="24"/>
          <w:lang w:val="ms-MY"/>
        </w:rPr>
        <w:t>open coding, selective coding dan axial coding yang lebih specifik</w:t>
      </w:r>
      <w:r w:rsidRPr="002D4513">
        <w:rPr>
          <w:rFonts w:ascii="Times New Roman" w:hAnsi="Times New Roman" w:cs="Times New Roman"/>
          <w:sz w:val="24"/>
          <w:szCs w:val="24"/>
          <w:lang w:val="ms-MY"/>
        </w:rPr>
        <w:t xml:space="preserve"> yang seolah-olah menunjukkan sesuatu yang spesifik. Lazimnya kebanyakan tema adalah deskriptif dan menggambarkan corak tema yang muncul penting dan menarik disajikan sebagai hasil kajian. Lazimnya kebanyakan tema adalah deskriptif dan menggambarkan corak data yang relevan dengan tema kajian.</w:t>
      </w:r>
    </w:p>
    <w:p w14:paraId="494CFF3E" w14:textId="77777777" w:rsidR="00CC1C5C" w:rsidRPr="002D4513" w:rsidRDefault="00CC1C5C" w:rsidP="00123FC1">
      <w:pPr>
        <w:spacing w:after="0" w:line="240" w:lineRule="auto"/>
        <w:jc w:val="both"/>
        <w:rPr>
          <w:rFonts w:ascii="Times New Roman" w:hAnsi="Times New Roman" w:cs="Times New Roman"/>
          <w:sz w:val="24"/>
          <w:szCs w:val="24"/>
          <w:lang w:val="ms-MY"/>
        </w:rPr>
      </w:pPr>
    </w:p>
    <w:p w14:paraId="634EBFC8" w14:textId="277D0CC2" w:rsidR="00CC1C5C" w:rsidRPr="002D4513" w:rsidRDefault="00CC1C5C" w:rsidP="00123FC1">
      <w:pPr>
        <w:spacing w:after="0" w:line="240" w:lineRule="auto"/>
        <w:jc w:val="both"/>
        <w:rPr>
          <w:rFonts w:ascii="Times New Roman" w:hAnsi="Times New Roman" w:cs="Times New Roman"/>
          <w:b/>
          <w:sz w:val="24"/>
          <w:szCs w:val="24"/>
          <w:lang w:val="ms-MY"/>
        </w:rPr>
      </w:pPr>
      <w:r w:rsidRPr="002D4513">
        <w:rPr>
          <w:rFonts w:ascii="Times New Roman" w:hAnsi="Times New Roman" w:cs="Times New Roman"/>
          <w:b/>
          <w:sz w:val="24"/>
          <w:szCs w:val="24"/>
          <w:lang w:val="ms-MY"/>
        </w:rPr>
        <w:t>Hasil Kajian</w:t>
      </w:r>
    </w:p>
    <w:p w14:paraId="5F20472D" w14:textId="77777777" w:rsidR="00CC1C5C" w:rsidRPr="002D4513" w:rsidRDefault="00CC1C5C" w:rsidP="00123FC1">
      <w:pPr>
        <w:spacing w:after="0" w:line="240" w:lineRule="auto"/>
        <w:jc w:val="both"/>
        <w:rPr>
          <w:rFonts w:ascii="Times New Roman" w:hAnsi="Times New Roman" w:cs="Times New Roman"/>
          <w:bCs/>
          <w:sz w:val="24"/>
          <w:szCs w:val="24"/>
          <w:lang w:val="ms-MY"/>
        </w:rPr>
      </w:pPr>
      <w:r w:rsidRPr="002D4513">
        <w:rPr>
          <w:rFonts w:ascii="Times New Roman" w:hAnsi="Times New Roman" w:cs="Times New Roman"/>
          <w:bCs/>
          <w:sz w:val="24"/>
          <w:szCs w:val="24"/>
          <w:lang w:val="ms-MY"/>
        </w:rPr>
        <w:t>Dalam kajian ini, profil informan memainkan peranan penting dalam memberikan konteks terhadap data yang diperoleh. Profil informan merangkumi pelbagai aspek yang berkaitan dengan latar belakang mereka, seperti jenis kelamin, tahap pendidikan, jawatan, serta masa berkhidmat. Ini memberikan pemahaman yang lebih lengkap tentang siapa para informan ini dan bagaimana latar belakang mereka mungkin mempengaruhi perspektif dan pengalaman mereka dalam melaksanakan tugas-tugas mereka.</w:t>
      </w:r>
    </w:p>
    <w:p w14:paraId="74577C49" w14:textId="77777777" w:rsidR="00CC1C5C" w:rsidRPr="002D4513" w:rsidRDefault="00CC1C5C" w:rsidP="00123FC1">
      <w:pPr>
        <w:spacing w:after="0" w:line="240" w:lineRule="auto"/>
        <w:ind w:firstLine="720"/>
        <w:jc w:val="both"/>
        <w:rPr>
          <w:rFonts w:ascii="Times New Roman" w:hAnsi="Times New Roman" w:cs="Times New Roman"/>
          <w:bCs/>
          <w:sz w:val="24"/>
          <w:szCs w:val="24"/>
          <w:lang w:val="ms-MY"/>
        </w:rPr>
      </w:pPr>
      <w:r w:rsidRPr="002D4513">
        <w:rPr>
          <w:rFonts w:ascii="Times New Roman" w:hAnsi="Times New Roman" w:cs="Times New Roman"/>
          <w:bCs/>
          <w:sz w:val="24"/>
          <w:szCs w:val="24"/>
          <w:lang w:val="ms-MY"/>
        </w:rPr>
        <w:t>Dari segi jenis kelamin, berdasarkan data yang dikumpulkan, semua informan yang mengambil bahagian dalam kajian ini adalah perempuan. Fakta ini dapat memberikan wawasan tambahan tentang dinamika pekerjaan sosial di persekitaran ini, memandangkan peranan gender sering kali mempengaruhi cara individu bekerja dan berinteraksi dalam masyarakat. Dengan majoriti informan perempuan, hal ini mungkin mencerminkan peratusan pekerja sosial perempuan yang lebih tinggi dalam bidang pekerjaan sosial tertentu di kawasan tersebut.</w:t>
      </w:r>
    </w:p>
    <w:p w14:paraId="5B47EEC9" w14:textId="77777777" w:rsidR="00CC1C5C" w:rsidRPr="002D4513" w:rsidRDefault="00CC1C5C" w:rsidP="00123FC1">
      <w:pPr>
        <w:spacing w:after="0" w:line="240" w:lineRule="auto"/>
        <w:jc w:val="both"/>
        <w:rPr>
          <w:rFonts w:ascii="Times New Roman" w:hAnsi="Times New Roman" w:cs="Times New Roman"/>
          <w:bCs/>
          <w:sz w:val="24"/>
          <w:szCs w:val="24"/>
          <w:lang w:val="ms-MY"/>
        </w:rPr>
      </w:pPr>
    </w:p>
    <w:p w14:paraId="71A06F01" w14:textId="77777777" w:rsidR="00CC1C5C" w:rsidRPr="002D4513" w:rsidRDefault="00CC1C5C" w:rsidP="00123FC1">
      <w:pPr>
        <w:spacing w:after="0" w:line="240" w:lineRule="auto"/>
        <w:jc w:val="center"/>
        <w:rPr>
          <w:rFonts w:ascii="Times New Roman" w:hAnsi="Times New Roman" w:cs="Times New Roman"/>
          <w:b/>
          <w:bCs/>
          <w:sz w:val="24"/>
          <w:szCs w:val="24"/>
          <w:lang w:val="ms-MY"/>
        </w:rPr>
      </w:pPr>
      <w:bookmarkStart w:id="3" w:name="_Toc179407950"/>
      <w:r w:rsidRPr="002D4513">
        <w:rPr>
          <w:rFonts w:ascii="Times New Roman" w:hAnsi="Times New Roman" w:cs="Times New Roman"/>
          <w:b/>
          <w:bCs/>
          <w:sz w:val="24"/>
          <w:szCs w:val="24"/>
          <w:lang w:val="ms-MY"/>
        </w:rPr>
        <w:t xml:space="preserve">Jadual </w:t>
      </w:r>
      <w:r w:rsidRPr="002D4513">
        <w:rPr>
          <w:rFonts w:ascii="Times New Roman" w:hAnsi="Times New Roman" w:cs="Times New Roman"/>
          <w:b/>
          <w:bCs/>
          <w:i/>
          <w:iCs/>
          <w:sz w:val="24"/>
          <w:szCs w:val="24"/>
          <w:lang w:val="ms-MY"/>
        </w:rPr>
        <w:fldChar w:fldCharType="begin"/>
      </w:r>
      <w:r w:rsidRPr="002D4513">
        <w:rPr>
          <w:rFonts w:ascii="Times New Roman" w:hAnsi="Times New Roman" w:cs="Times New Roman"/>
          <w:b/>
          <w:bCs/>
          <w:sz w:val="24"/>
          <w:szCs w:val="24"/>
          <w:lang w:val="ms-MY"/>
        </w:rPr>
        <w:instrText xml:space="preserve"> SEQ Jadual_4._ \* ARABIC </w:instrText>
      </w:r>
      <w:r w:rsidRPr="002D4513">
        <w:rPr>
          <w:rFonts w:ascii="Times New Roman" w:hAnsi="Times New Roman" w:cs="Times New Roman"/>
          <w:b/>
          <w:bCs/>
          <w:i/>
          <w:iCs/>
          <w:sz w:val="24"/>
          <w:szCs w:val="24"/>
          <w:lang w:val="ms-MY"/>
        </w:rPr>
        <w:fldChar w:fldCharType="separate"/>
      </w:r>
      <w:r w:rsidRPr="002D4513">
        <w:rPr>
          <w:rFonts w:ascii="Times New Roman" w:hAnsi="Times New Roman" w:cs="Times New Roman"/>
          <w:b/>
          <w:bCs/>
          <w:noProof/>
          <w:sz w:val="24"/>
          <w:szCs w:val="24"/>
          <w:lang w:val="ms-MY"/>
        </w:rPr>
        <w:t>1</w:t>
      </w:r>
      <w:r w:rsidRPr="002D4513">
        <w:rPr>
          <w:rFonts w:ascii="Times New Roman" w:hAnsi="Times New Roman" w:cs="Times New Roman"/>
          <w:b/>
          <w:bCs/>
          <w:i/>
          <w:iCs/>
          <w:sz w:val="24"/>
          <w:szCs w:val="24"/>
          <w:lang w:val="ms-MY"/>
        </w:rPr>
        <w:fldChar w:fldCharType="end"/>
      </w:r>
      <w:r w:rsidRPr="002D4513">
        <w:rPr>
          <w:rFonts w:ascii="Times New Roman" w:hAnsi="Times New Roman" w:cs="Times New Roman"/>
          <w:b/>
          <w:bCs/>
          <w:sz w:val="24"/>
          <w:szCs w:val="24"/>
          <w:lang w:val="ms-MY"/>
        </w:rPr>
        <w:t xml:space="preserve"> Profil Informan di Kabupaten Malang</w:t>
      </w:r>
      <w:bookmarkEnd w:id="3"/>
    </w:p>
    <w:p w14:paraId="32CF7F56" w14:textId="77777777" w:rsidR="00CC1C5C" w:rsidRPr="002D4513" w:rsidRDefault="00CC1C5C" w:rsidP="00123FC1">
      <w:pPr>
        <w:spacing w:after="0" w:line="240" w:lineRule="auto"/>
        <w:jc w:val="both"/>
        <w:rPr>
          <w:rFonts w:ascii="Times New Roman" w:hAnsi="Times New Roman" w:cs="Times New Roman"/>
          <w:b/>
          <w:bCs/>
          <w:sz w:val="24"/>
          <w:szCs w:val="24"/>
          <w:lang w:val="ms-MY"/>
        </w:rPr>
      </w:pPr>
    </w:p>
    <w:tbl>
      <w:tblPr>
        <w:tblStyle w:val="TableGrid"/>
        <w:tblW w:w="9067" w:type="dxa"/>
        <w:jc w:val="center"/>
        <w:tblLook w:val="04A0" w:firstRow="1" w:lastRow="0" w:firstColumn="1" w:lastColumn="0" w:noHBand="0" w:noVBand="1"/>
      </w:tblPr>
      <w:tblGrid>
        <w:gridCol w:w="1203"/>
        <w:gridCol w:w="1296"/>
        <w:gridCol w:w="1390"/>
        <w:gridCol w:w="3721"/>
        <w:gridCol w:w="1457"/>
      </w:tblGrid>
      <w:tr w:rsidR="00CC1C5C" w:rsidRPr="002D4513" w14:paraId="6E6E834C" w14:textId="77777777" w:rsidTr="008F50E9">
        <w:trPr>
          <w:trHeight w:val="20"/>
          <w:jc w:val="center"/>
        </w:trPr>
        <w:tc>
          <w:tcPr>
            <w:tcW w:w="1203" w:type="dxa"/>
            <w:vAlign w:val="center"/>
          </w:tcPr>
          <w:p w14:paraId="5D54D763" w14:textId="77777777" w:rsidR="00CC1C5C" w:rsidRPr="002D4513" w:rsidRDefault="00CC1C5C" w:rsidP="00123FC1">
            <w:pPr>
              <w:jc w:val="center"/>
              <w:rPr>
                <w:rFonts w:ascii="Times New Roman" w:hAnsi="Times New Roman"/>
                <w:b/>
                <w:bCs/>
                <w:sz w:val="24"/>
                <w:szCs w:val="24"/>
                <w:lang w:val="ms-MY"/>
              </w:rPr>
            </w:pPr>
            <w:r w:rsidRPr="002D4513">
              <w:rPr>
                <w:rFonts w:ascii="Times New Roman" w:hAnsi="Times New Roman"/>
                <w:b/>
                <w:bCs/>
                <w:sz w:val="24"/>
                <w:szCs w:val="24"/>
                <w:lang w:val="ms-MY"/>
              </w:rPr>
              <w:t>Informan</w:t>
            </w:r>
          </w:p>
        </w:tc>
        <w:tc>
          <w:tcPr>
            <w:tcW w:w="1296" w:type="dxa"/>
            <w:vAlign w:val="center"/>
          </w:tcPr>
          <w:p w14:paraId="1AD7E64E" w14:textId="77777777" w:rsidR="00CC1C5C" w:rsidRPr="002D4513" w:rsidRDefault="00CC1C5C" w:rsidP="00123FC1">
            <w:pPr>
              <w:jc w:val="center"/>
              <w:rPr>
                <w:rFonts w:ascii="Times New Roman" w:hAnsi="Times New Roman"/>
                <w:b/>
                <w:bCs/>
                <w:sz w:val="24"/>
                <w:szCs w:val="24"/>
                <w:lang w:val="ms-MY"/>
              </w:rPr>
            </w:pPr>
            <w:r w:rsidRPr="002D4513">
              <w:rPr>
                <w:rFonts w:ascii="Times New Roman" w:hAnsi="Times New Roman"/>
                <w:b/>
                <w:bCs/>
                <w:sz w:val="24"/>
                <w:szCs w:val="24"/>
                <w:lang w:val="ms-MY"/>
              </w:rPr>
              <w:t>Jenis Kelamin</w:t>
            </w:r>
          </w:p>
        </w:tc>
        <w:tc>
          <w:tcPr>
            <w:tcW w:w="1182" w:type="dxa"/>
            <w:vAlign w:val="center"/>
          </w:tcPr>
          <w:p w14:paraId="67AB030B" w14:textId="77777777" w:rsidR="00CC1C5C" w:rsidRPr="002D4513" w:rsidRDefault="00CC1C5C" w:rsidP="00123FC1">
            <w:pPr>
              <w:jc w:val="center"/>
              <w:rPr>
                <w:rFonts w:ascii="Times New Roman" w:hAnsi="Times New Roman"/>
                <w:b/>
                <w:bCs/>
                <w:sz w:val="24"/>
                <w:szCs w:val="24"/>
                <w:lang w:val="ms-MY"/>
              </w:rPr>
            </w:pPr>
            <w:r w:rsidRPr="002D4513">
              <w:rPr>
                <w:rFonts w:ascii="Times New Roman" w:hAnsi="Times New Roman"/>
                <w:b/>
                <w:bCs/>
                <w:sz w:val="24"/>
                <w:szCs w:val="24"/>
                <w:lang w:val="ms-MY"/>
              </w:rPr>
              <w:t>Tahap Pendidikan</w:t>
            </w:r>
          </w:p>
        </w:tc>
        <w:tc>
          <w:tcPr>
            <w:tcW w:w="3929" w:type="dxa"/>
            <w:vAlign w:val="center"/>
          </w:tcPr>
          <w:p w14:paraId="26A0AC7E" w14:textId="77777777" w:rsidR="00CC1C5C" w:rsidRPr="002D4513" w:rsidRDefault="00CC1C5C" w:rsidP="00123FC1">
            <w:pPr>
              <w:jc w:val="center"/>
              <w:rPr>
                <w:rFonts w:ascii="Times New Roman" w:hAnsi="Times New Roman"/>
                <w:b/>
                <w:bCs/>
                <w:sz w:val="24"/>
                <w:szCs w:val="24"/>
                <w:lang w:val="ms-MY"/>
              </w:rPr>
            </w:pPr>
            <w:r w:rsidRPr="002D4513">
              <w:rPr>
                <w:rFonts w:ascii="Times New Roman" w:hAnsi="Times New Roman"/>
                <w:b/>
                <w:bCs/>
                <w:sz w:val="24"/>
                <w:szCs w:val="24"/>
                <w:lang w:val="ms-MY"/>
              </w:rPr>
              <w:t>Jawatan</w:t>
            </w:r>
          </w:p>
        </w:tc>
        <w:tc>
          <w:tcPr>
            <w:tcW w:w="1457" w:type="dxa"/>
            <w:vAlign w:val="center"/>
          </w:tcPr>
          <w:p w14:paraId="7D061C09" w14:textId="77777777" w:rsidR="00CC1C5C" w:rsidRPr="002D4513" w:rsidRDefault="00CC1C5C" w:rsidP="00123FC1">
            <w:pPr>
              <w:jc w:val="center"/>
              <w:rPr>
                <w:rFonts w:ascii="Times New Roman" w:hAnsi="Times New Roman"/>
                <w:b/>
                <w:bCs/>
                <w:sz w:val="24"/>
                <w:szCs w:val="24"/>
                <w:lang w:val="ms-MY"/>
              </w:rPr>
            </w:pPr>
            <w:r w:rsidRPr="002D4513">
              <w:rPr>
                <w:rFonts w:ascii="Times New Roman" w:hAnsi="Times New Roman"/>
                <w:b/>
                <w:bCs/>
                <w:sz w:val="24"/>
                <w:szCs w:val="24"/>
                <w:lang w:val="ms-MY"/>
              </w:rPr>
              <w:t>Masa Berkhidmat</w:t>
            </w:r>
          </w:p>
        </w:tc>
      </w:tr>
      <w:tr w:rsidR="00CC1C5C" w:rsidRPr="002D4513" w14:paraId="2B0110C5" w14:textId="77777777" w:rsidTr="008F50E9">
        <w:trPr>
          <w:trHeight w:val="20"/>
          <w:jc w:val="center"/>
        </w:trPr>
        <w:tc>
          <w:tcPr>
            <w:tcW w:w="1203" w:type="dxa"/>
            <w:vAlign w:val="center"/>
          </w:tcPr>
          <w:p w14:paraId="20AFE888"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1</w:t>
            </w:r>
          </w:p>
        </w:tc>
        <w:tc>
          <w:tcPr>
            <w:tcW w:w="1296" w:type="dxa"/>
            <w:vAlign w:val="center"/>
          </w:tcPr>
          <w:p w14:paraId="17786EDE"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Perempuan</w:t>
            </w:r>
          </w:p>
        </w:tc>
        <w:tc>
          <w:tcPr>
            <w:tcW w:w="1182" w:type="dxa"/>
            <w:vAlign w:val="center"/>
          </w:tcPr>
          <w:p w14:paraId="0241FCBD"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Ijazah S-1 Sosial</w:t>
            </w:r>
          </w:p>
        </w:tc>
        <w:tc>
          <w:tcPr>
            <w:tcW w:w="3929" w:type="dxa"/>
            <w:vAlign w:val="center"/>
          </w:tcPr>
          <w:p w14:paraId="38899A14"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Pekerja Sosial Rehabilitasi di wilayah Kabupaten Malang</w:t>
            </w:r>
          </w:p>
        </w:tc>
        <w:tc>
          <w:tcPr>
            <w:tcW w:w="1457" w:type="dxa"/>
            <w:vAlign w:val="center"/>
          </w:tcPr>
          <w:p w14:paraId="11E8CCAF"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6 Tahun</w:t>
            </w:r>
          </w:p>
        </w:tc>
      </w:tr>
      <w:tr w:rsidR="00CC1C5C" w:rsidRPr="002D4513" w14:paraId="4B61CA6C" w14:textId="77777777" w:rsidTr="008F50E9">
        <w:trPr>
          <w:trHeight w:val="20"/>
          <w:jc w:val="center"/>
        </w:trPr>
        <w:tc>
          <w:tcPr>
            <w:tcW w:w="1203" w:type="dxa"/>
            <w:vAlign w:val="center"/>
          </w:tcPr>
          <w:p w14:paraId="62ED1C12"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2</w:t>
            </w:r>
          </w:p>
        </w:tc>
        <w:tc>
          <w:tcPr>
            <w:tcW w:w="1296" w:type="dxa"/>
            <w:vAlign w:val="center"/>
          </w:tcPr>
          <w:p w14:paraId="3D5ADBD2"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Perempuan</w:t>
            </w:r>
          </w:p>
        </w:tc>
        <w:tc>
          <w:tcPr>
            <w:tcW w:w="1182" w:type="dxa"/>
            <w:vAlign w:val="center"/>
          </w:tcPr>
          <w:p w14:paraId="61AFD5BD"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Ijazah S-1 Sosial</w:t>
            </w:r>
          </w:p>
        </w:tc>
        <w:tc>
          <w:tcPr>
            <w:tcW w:w="3929" w:type="dxa"/>
            <w:vAlign w:val="center"/>
          </w:tcPr>
          <w:p w14:paraId="31A79452"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Pekerja Sosial Rehabilitasi di wilayah Kabupaten Malang</w:t>
            </w:r>
          </w:p>
        </w:tc>
        <w:tc>
          <w:tcPr>
            <w:tcW w:w="1457" w:type="dxa"/>
            <w:vAlign w:val="center"/>
          </w:tcPr>
          <w:p w14:paraId="04F1CD68"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7 Tahun</w:t>
            </w:r>
          </w:p>
        </w:tc>
      </w:tr>
      <w:tr w:rsidR="00CC1C5C" w:rsidRPr="002D4513" w14:paraId="4A69BACC" w14:textId="77777777" w:rsidTr="008F50E9">
        <w:trPr>
          <w:trHeight w:val="20"/>
          <w:jc w:val="center"/>
        </w:trPr>
        <w:tc>
          <w:tcPr>
            <w:tcW w:w="1203" w:type="dxa"/>
            <w:vAlign w:val="center"/>
          </w:tcPr>
          <w:p w14:paraId="019F818E"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3</w:t>
            </w:r>
          </w:p>
        </w:tc>
        <w:tc>
          <w:tcPr>
            <w:tcW w:w="1296" w:type="dxa"/>
            <w:vAlign w:val="center"/>
          </w:tcPr>
          <w:p w14:paraId="5F39E2C6"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Perempuan</w:t>
            </w:r>
          </w:p>
        </w:tc>
        <w:tc>
          <w:tcPr>
            <w:tcW w:w="1182" w:type="dxa"/>
            <w:vAlign w:val="center"/>
          </w:tcPr>
          <w:p w14:paraId="4ABDBCFE"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Ijazah S-1 Sosial</w:t>
            </w:r>
          </w:p>
        </w:tc>
        <w:tc>
          <w:tcPr>
            <w:tcW w:w="3929" w:type="dxa"/>
            <w:vAlign w:val="center"/>
          </w:tcPr>
          <w:p w14:paraId="6C083343"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Pekerja Sosial Pendamping PKH di wilayah Kecamatan Sumberpucung</w:t>
            </w:r>
          </w:p>
        </w:tc>
        <w:tc>
          <w:tcPr>
            <w:tcW w:w="1457" w:type="dxa"/>
            <w:vAlign w:val="center"/>
          </w:tcPr>
          <w:p w14:paraId="11A38D20"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8 Tahun</w:t>
            </w:r>
          </w:p>
        </w:tc>
      </w:tr>
      <w:tr w:rsidR="00CC1C5C" w:rsidRPr="002D4513" w14:paraId="02282859" w14:textId="77777777" w:rsidTr="008F50E9">
        <w:trPr>
          <w:trHeight w:val="20"/>
          <w:jc w:val="center"/>
        </w:trPr>
        <w:tc>
          <w:tcPr>
            <w:tcW w:w="1203" w:type="dxa"/>
            <w:vAlign w:val="center"/>
          </w:tcPr>
          <w:p w14:paraId="55300A76"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4</w:t>
            </w:r>
          </w:p>
        </w:tc>
        <w:tc>
          <w:tcPr>
            <w:tcW w:w="1296" w:type="dxa"/>
            <w:vAlign w:val="center"/>
          </w:tcPr>
          <w:p w14:paraId="2F0E2F5A"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Perempuan</w:t>
            </w:r>
          </w:p>
        </w:tc>
        <w:tc>
          <w:tcPr>
            <w:tcW w:w="1182" w:type="dxa"/>
            <w:vAlign w:val="center"/>
          </w:tcPr>
          <w:p w14:paraId="4E3B6B68"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Ijazah S-1 Sosial</w:t>
            </w:r>
          </w:p>
        </w:tc>
        <w:tc>
          <w:tcPr>
            <w:tcW w:w="3929" w:type="dxa"/>
            <w:vAlign w:val="center"/>
          </w:tcPr>
          <w:p w14:paraId="58945B35"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Pekerja Sosial Pendamping PKH di wilayah Kecamatan Kromengan</w:t>
            </w:r>
          </w:p>
        </w:tc>
        <w:tc>
          <w:tcPr>
            <w:tcW w:w="1457" w:type="dxa"/>
            <w:vAlign w:val="center"/>
          </w:tcPr>
          <w:p w14:paraId="4E7BE5B5"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9 Tahun</w:t>
            </w:r>
          </w:p>
        </w:tc>
      </w:tr>
      <w:tr w:rsidR="00CC1C5C" w:rsidRPr="002D4513" w14:paraId="50DAD300" w14:textId="77777777" w:rsidTr="008F50E9">
        <w:trPr>
          <w:trHeight w:val="20"/>
          <w:jc w:val="center"/>
        </w:trPr>
        <w:tc>
          <w:tcPr>
            <w:tcW w:w="1203" w:type="dxa"/>
            <w:vAlign w:val="center"/>
          </w:tcPr>
          <w:p w14:paraId="59A09EC5"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5</w:t>
            </w:r>
          </w:p>
        </w:tc>
        <w:tc>
          <w:tcPr>
            <w:tcW w:w="1296" w:type="dxa"/>
            <w:vAlign w:val="center"/>
          </w:tcPr>
          <w:p w14:paraId="01F7CD81"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Perempuan</w:t>
            </w:r>
          </w:p>
        </w:tc>
        <w:tc>
          <w:tcPr>
            <w:tcW w:w="1182" w:type="dxa"/>
            <w:vAlign w:val="center"/>
          </w:tcPr>
          <w:p w14:paraId="1A93817E"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Ijazah S-1 Sosial</w:t>
            </w:r>
          </w:p>
        </w:tc>
        <w:tc>
          <w:tcPr>
            <w:tcW w:w="3929" w:type="dxa"/>
            <w:vAlign w:val="center"/>
          </w:tcPr>
          <w:p w14:paraId="27DB7806"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Pekerja Sosial Pendamping PKH di wilayah Kecamatan Wonosari</w:t>
            </w:r>
          </w:p>
        </w:tc>
        <w:tc>
          <w:tcPr>
            <w:tcW w:w="1457" w:type="dxa"/>
            <w:vAlign w:val="center"/>
          </w:tcPr>
          <w:p w14:paraId="29983FF8"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7 Tahun</w:t>
            </w:r>
          </w:p>
        </w:tc>
      </w:tr>
      <w:tr w:rsidR="00CC1C5C" w:rsidRPr="002D4513" w14:paraId="7ABD6CB3" w14:textId="77777777" w:rsidTr="008F50E9">
        <w:trPr>
          <w:trHeight w:val="20"/>
          <w:jc w:val="center"/>
        </w:trPr>
        <w:tc>
          <w:tcPr>
            <w:tcW w:w="1203" w:type="dxa"/>
            <w:vAlign w:val="center"/>
          </w:tcPr>
          <w:p w14:paraId="75DD92E5"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6</w:t>
            </w:r>
          </w:p>
        </w:tc>
        <w:tc>
          <w:tcPr>
            <w:tcW w:w="1296" w:type="dxa"/>
            <w:vAlign w:val="center"/>
          </w:tcPr>
          <w:p w14:paraId="50594A9C"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Perempuan</w:t>
            </w:r>
          </w:p>
        </w:tc>
        <w:tc>
          <w:tcPr>
            <w:tcW w:w="1182" w:type="dxa"/>
            <w:vAlign w:val="center"/>
          </w:tcPr>
          <w:p w14:paraId="0C902069"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Ijazah S-1 Sosial</w:t>
            </w:r>
          </w:p>
        </w:tc>
        <w:tc>
          <w:tcPr>
            <w:tcW w:w="3929" w:type="dxa"/>
            <w:vAlign w:val="center"/>
          </w:tcPr>
          <w:p w14:paraId="1038188A"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Pekerja Sosial Pendamping PKH di wilayah Kecamatan Ngajum</w:t>
            </w:r>
          </w:p>
        </w:tc>
        <w:tc>
          <w:tcPr>
            <w:tcW w:w="1457" w:type="dxa"/>
            <w:vAlign w:val="center"/>
          </w:tcPr>
          <w:p w14:paraId="5312290B"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8 Tahun</w:t>
            </w:r>
          </w:p>
        </w:tc>
      </w:tr>
      <w:tr w:rsidR="00CC1C5C" w:rsidRPr="002D4513" w14:paraId="779168BA" w14:textId="77777777" w:rsidTr="008F50E9">
        <w:trPr>
          <w:trHeight w:val="20"/>
          <w:jc w:val="center"/>
        </w:trPr>
        <w:tc>
          <w:tcPr>
            <w:tcW w:w="1203" w:type="dxa"/>
            <w:vAlign w:val="center"/>
          </w:tcPr>
          <w:p w14:paraId="500009D6"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7</w:t>
            </w:r>
          </w:p>
        </w:tc>
        <w:tc>
          <w:tcPr>
            <w:tcW w:w="1296" w:type="dxa"/>
            <w:vAlign w:val="center"/>
          </w:tcPr>
          <w:p w14:paraId="2C86257E"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Perempuan</w:t>
            </w:r>
          </w:p>
        </w:tc>
        <w:tc>
          <w:tcPr>
            <w:tcW w:w="1182" w:type="dxa"/>
            <w:vAlign w:val="center"/>
          </w:tcPr>
          <w:p w14:paraId="315928F1"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Ijazah S-1 Sosial</w:t>
            </w:r>
          </w:p>
        </w:tc>
        <w:tc>
          <w:tcPr>
            <w:tcW w:w="3929" w:type="dxa"/>
            <w:vAlign w:val="center"/>
          </w:tcPr>
          <w:p w14:paraId="44847B0B"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 xml:space="preserve">Koordinator Pekerja Sosial Pendamping PKH di wilayah Kabupaten Malang </w:t>
            </w:r>
          </w:p>
        </w:tc>
        <w:tc>
          <w:tcPr>
            <w:tcW w:w="1457" w:type="dxa"/>
            <w:vAlign w:val="center"/>
          </w:tcPr>
          <w:p w14:paraId="29713881" w14:textId="77777777" w:rsidR="00CC1C5C" w:rsidRPr="002D4513" w:rsidRDefault="00CC1C5C" w:rsidP="00123FC1">
            <w:pPr>
              <w:jc w:val="both"/>
              <w:rPr>
                <w:rFonts w:ascii="Times New Roman" w:hAnsi="Times New Roman"/>
                <w:sz w:val="24"/>
                <w:szCs w:val="24"/>
                <w:lang w:val="ms-MY"/>
              </w:rPr>
            </w:pPr>
            <w:r w:rsidRPr="002D4513">
              <w:rPr>
                <w:rFonts w:ascii="Times New Roman" w:hAnsi="Times New Roman"/>
                <w:sz w:val="24"/>
                <w:szCs w:val="24"/>
                <w:lang w:val="ms-MY"/>
              </w:rPr>
              <w:t>10 Tahun</w:t>
            </w:r>
          </w:p>
        </w:tc>
      </w:tr>
    </w:tbl>
    <w:p w14:paraId="206BACCC" w14:textId="77777777" w:rsidR="00CC1C5C" w:rsidRPr="002D4513" w:rsidRDefault="00CC1C5C" w:rsidP="00123FC1">
      <w:pPr>
        <w:pStyle w:val="Heading2"/>
        <w:spacing w:line="240" w:lineRule="auto"/>
        <w:rPr>
          <w:lang w:val="ms-MY" w:eastAsia="en-MY"/>
        </w:rPr>
      </w:pPr>
    </w:p>
    <w:p w14:paraId="2C65EBC1" w14:textId="6EE8B8C9" w:rsidR="00CC1C5C" w:rsidRPr="002D4513" w:rsidRDefault="00CC1C5C" w:rsidP="00123FC1">
      <w:pPr>
        <w:pStyle w:val="Heading2"/>
        <w:spacing w:line="240" w:lineRule="auto"/>
        <w:rPr>
          <w:lang w:val="ms-MY" w:eastAsia="en-MY"/>
        </w:rPr>
      </w:pPr>
      <w:r w:rsidRPr="002D4513">
        <w:rPr>
          <w:lang w:val="ms-MY" w:eastAsia="en-MY"/>
        </w:rPr>
        <w:t xml:space="preserve">Cabaran dalam Pencegahan Kanak-kanak terbantut </w:t>
      </w:r>
    </w:p>
    <w:p w14:paraId="5D1203D5" w14:textId="77777777" w:rsidR="00CC1C5C" w:rsidRPr="002D4513" w:rsidRDefault="00CC1C5C" w:rsidP="00123FC1">
      <w:pPr>
        <w:spacing w:after="0" w:line="240" w:lineRule="auto"/>
        <w:jc w:val="both"/>
        <w:rPr>
          <w:rFonts w:ascii="Times New Roman" w:hAnsi="Times New Roman" w:cs="Times New Roman"/>
          <w:sz w:val="24"/>
          <w:szCs w:val="24"/>
          <w:lang w:val="ms-MY" w:eastAsia="en-MY"/>
        </w:rPr>
      </w:pPr>
      <w:r w:rsidRPr="002D4513">
        <w:rPr>
          <w:rFonts w:ascii="Times New Roman" w:hAnsi="Times New Roman" w:cs="Times New Roman"/>
          <w:sz w:val="24"/>
          <w:szCs w:val="24"/>
          <w:lang w:val="ms-MY" w:eastAsia="en-MY"/>
        </w:rPr>
        <w:t>Analisis tematik yang dijalankan dalam kajian ini bertujuan untuk menggali dan memahami cabaran yang dihadapi oleh pekerja sosial dalam menangani isu pencegahan kanak-kanak terbantut di wilayah Kabupaten Malang. Proses analisis tematik ini melibatkan pengumpulan data yang kaya dari wawancara, pemerhatian, dan dokumen berkaitan, yang kemudian dianalisis untuk mengenal pasti tema-tema utama yang muncul. Tema-tema ini merangkumi cabaran yang sering dihadapi oleh para pekerja sosial dalam menjalankan intervensi dan pencegahan stunting (terbantut) di kalangan kanak-kanak, serta faktor-faktor yang mempengaruhi keberhasilan program tersebut.</w:t>
      </w:r>
    </w:p>
    <w:p w14:paraId="0A801330" w14:textId="6E6CCF35" w:rsidR="00CC1C5C" w:rsidRPr="002D4513" w:rsidRDefault="00CC1C5C" w:rsidP="00123FC1">
      <w:pPr>
        <w:spacing w:after="0" w:line="240" w:lineRule="auto"/>
        <w:ind w:firstLine="360"/>
        <w:jc w:val="both"/>
        <w:rPr>
          <w:rFonts w:ascii="Times New Roman" w:hAnsi="Times New Roman" w:cs="Times New Roman"/>
          <w:sz w:val="24"/>
          <w:szCs w:val="24"/>
          <w:lang w:val="ms-MY" w:eastAsia="en-MY"/>
        </w:rPr>
      </w:pPr>
      <w:r w:rsidRPr="002D4513">
        <w:rPr>
          <w:rFonts w:ascii="Times New Roman" w:hAnsi="Times New Roman" w:cs="Times New Roman"/>
          <w:sz w:val="24"/>
          <w:szCs w:val="24"/>
          <w:lang w:val="ms-MY" w:eastAsia="en-MY"/>
        </w:rPr>
        <w:t>Dalam konteks ini, penting untuk difahami bahawa pencegahan kanak-kanak terbantut bukanlah isu yang sederhana. Ia melibatkan pelbagai dimensi, termasuk kesihatan, pemakanan, pendidikan, dan sokongan sosial. Oleh itu, para pekerja sosial yang terlibat di lapangan harus berhadapan dengan pelbagai rintangan yang merangkumi aspek-aspek peribadi, institusi, serta persekitaran masyarakat. Kajian ini menggunakan analisis tematik untuk mendalami pengalaman pekerja sosial dalam menangani isu-isu tersebut, serta menggali bagaimana cabaran ini mempengaruhi efektivitas mereka dalam menjalankan tugas mereka. Hal tersebut akan dijelaskan secara lebih detail sebagai berikut.</w:t>
      </w:r>
    </w:p>
    <w:p w14:paraId="07C01ABF" w14:textId="77777777" w:rsidR="00CC1C5C" w:rsidRPr="002D4513" w:rsidRDefault="00CC1C5C" w:rsidP="00123FC1">
      <w:pPr>
        <w:pStyle w:val="ListParagraph"/>
        <w:numPr>
          <w:ilvl w:val="0"/>
          <w:numId w:val="4"/>
        </w:numPr>
        <w:spacing w:after="0" w:line="240" w:lineRule="auto"/>
        <w:jc w:val="both"/>
        <w:rPr>
          <w:rFonts w:ascii="Times New Roman" w:hAnsi="Times New Roman"/>
          <w:sz w:val="24"/>
          <w:szCs w:val="24"/>
          <w:lang w:val="ms-MY" w:eastAsia="en-MY"/>
        </w:rPr>
      </w:pPr>
      <w:r w:rsidRPr="002D4513">
        <w:rPr>
          <w:rFonts w:ascii="Times New Roman" w:hAnsi="Times New Roman"/>
          <w:b/>
          <w:bCs/>
          <w:sz w:val="24"/>
          <w:szCs w:val="24"/>
          <w:lang w:val="ms-MY" w:eastAsia="en-MY"/>
        </w:rPr>
        <w:t>Kurangnya Aksesibilitas</w:t>
      </w:r>
    </w:p>
    <w:p w14:paraId="6FCECCCD" w14:textId="77777777" w:rsidR="00CC1C5C" w:rsidRPr="002D4513" w:rsidRDefault="00CC1C5C" w:rsidP="00123FC1">
      <w:pPr>
        <w:pStyle w:val="ListParagraph"/>
        <w:spacing w:after="0" w:line="240" w:lineRule="auto"/>
        <w:jc w:val="both"/>
        <w:rPr>
          <w:rFonts w:ascii="Times New Roman" w:hAnsi="Times New Roman"/>
          <w:sz w:val="24"/>
          <w:szCs w:val="24"/>
          <w:lang w:val="ms-MY" w:eastAsia="en-MY"/>
        </w:rPr>
      </w:pPr>
      <w:r w:rsidRPr="002D4513">
        <w:rPr>
          <w:rFonts w:ascii="Times New Roman" w:hAnsi="Times New Roman"/>
          <w:sz w:val="24"/>
          <w:szCs w:val="24"/>
          <w:lang w:val="ms-MY" w:eastAsia="en-MY"/>
        </w:rPr>
        <w:t>Masalah yang sering muncul adalah keterjangkauan kemudahan bagi masyarakat serta penyertaan dalam program pendampingan untuk menangani kanak-kanak terbantut. Keterbatasan akses kepada kemudahan kesihatan dan kurangnya penyertaan masyarakat boleh menghambat pelaksanaan program secara efektif. Untuk mengatasi halangan ini, penting untuk meningkatkan akses ke kemudahan dan mengembangkan strategi yang mendorong penglibatan aktif masyarakat dalam menangani masalah kanak-kanak terbantut. Salah seorang informan menyatakan sebagai berikut.</w:t>
      </w:r>
    </w:p>
    <w:p w14:paraId="6B93D63F" w14:textId="77777777" w:rsidR="00CC1C5C" w:rsidRPr="002D4513" w:rsidRDefault="00CC1C5C" w:rsidP="00123FC1">
      <w:pPr>
        <w:pStyle w:val="ListParagraph"/>
        <w:spacing w:after="0" w:line="240" w:lineRule="auto"/>
        <w:ind w:left="993"/>
        <w:jc w:val="both"/>
        <w:rPr>
          <w:rFonts w:ascii="Times New Roman" w:hAnsi="Times New Roman"/>
          <w:sz w:val="24"/>
          <w:szCs w:val="24"/>
          <w:lang w:val="ms-MY" w:eastAsia="en-MY"/>
        </w:rPr>
      </w:pPr>
      <w:r w:rsidRPr="002D4513">
        <w:rPr>
          <w:rFonts w:ascii="Times New Roman" w:hAnsi="Times New Roman"/>
          <w:sz w:val="24"/>
          <w:szCs w:val="24"/>
          <w:lang w:val="ms-MY" w:eastAsia="en-MY"/>
        </w:rPr>
        <w:t>"Masalah yang sering terjadi ialah keterjangkauan kemudahan masyarakat serta penyertaan dalam program pendampingan menangani kanak-kanak terbantut" (Informan 2).</w:t>
      </w:r>
    </w:p>
    <w:p w14:paraId="218F1FCE" w14:textId="77777777" w:rsidR="00CC1C5C" w:rsidRPr="002D4513" w:rsidRDefault="00CC1C5C" w:rsidP="00123FC1">
      <w:pPr>
        <w:spacing w:after="0" w:line="240" w:lineRule="auto"/>
        <w:jc w:val="both"/>
        <w:rPr>
          <w:rFonts w:ascii="Times New Roman" w:hAnsi="Times New Roman" w:cs="Times New Roman"/>
          <w:sz w:val="24"/>
          <w:szCs w:val="24"/>
          <w:lang w:val="ms-MY" w:eastAsia="en-MY"/>
        </w:rPr>
      </w:pPr>
    </w:p>
    <w:p w14:paraId="0AC3F17D" w14:textId="77777777" w:rsidR="00CC1C5C" w:rsidRPr="002D4513" w:rsidRDefault="00CC1C5C" w:rsidP="00123FC1">
      <w:pPr>
        <w:pStyle w:val="ListParagraph"/>
        <w:spacing w:after="0" w:line="240" w:lineRule="auto"/>
        <w:ind w:left="709" w:firstLine="284"/>
        <w:jc w:val="both"/>
        <w:rPr>
          <w:rFonts w:ascii="Times New Roman" w:hAnsi="Times New Roman"/>
          <w:sz w:val="24"/>
          <w:szCs w:val="24"/>
          <w:lang w:val="ms-MY" w:eastAsia="en-MY"/>
        </w:rPr>
      </w:pPr>
      <w:r w:rsidRPr="002D4513">
        <w:rPr>
          <w:rFonts w:ascii="Times New Roman" w:hAnsi="Times New Roman"/>
          <w:sz w:val="24"/>
          <w:szCs w:val="24"/>
          <w:lang w:val="ms-MY" w:eastAsia="en-MY"/>
        </w:rPr>
        <w:t>Selain itu, hambatan lain yang dihadapi semasa bertugas adalah kekurangan kemudahan sokongan bagi program yang akan dilaksanakan. Keterbatasan kemudahan ini boleh menghambat pelaksanaan program dengan efektif, mengurangkan kualiti perkhidmatan, dan membatasi kemampuan untuk mencapai hasil yang diinginkan. Hal ini disampaikan oleh salah seorang informan sebagai berikut.</w:t>
      </w:r>
    </w:p>
    <w:p w14:paraId="1A13FF1C" w14:textId="77777777" w:rsidR="00CC1C5C" w:rsidRPr="002D4513" w:rsidRDefault="00CC1C5C" w:rsidP="00123FC1">
      <w:pPr>
        <w:pStyle w:val="ListParagraph"/>
        <w:spacing w:after="0" w:line="240" w:lineRule="auto"/>
        <w:ind w:left="993"/>
        <w:jc w:val="both"/>
        <w:rPr>
          <w:rFonts w:ascii="Times New Roman" w:hAnsi="Times New Roman"/>
          <w:sz w:val="24"/>
          <w:szCs w:val="24"/>
          <w:lang w:val="ms-MY" w:eastAsia="en-MY"/>
        </w:rPr>
      </w:pPr>
      <w:r w:rsidRPr="002D4513">
        <w:rPr>
          <w:rFonts w:ascii="Times New Roman" w:hAnsi="Times New Roman"/>
          <w:sz w:val="24"/>
          <w:szCs w:val="24"/>
          <w:lang w:val="ms-MY" w:eastAsia="en-MY"/>
        </w:rPr>
        <w:t>"Cabaran yang dihadapi semasa bertugas ialah kekurangan akses kepada kemudahan sokongan bagi program yang akan dilaksanakan" (Informan 6).</w:t>
      </w:r>
    </w:p>
    <w:p w14:paraId="0C2E9F94" w14:textId="77777777" w:rsidR="00CC1C5C" w:rsidRPr="002D4513" w:rsidRDefault="00CC1C5C" w:rsidP="00123FC1">
      <w:pPr>
        <w:pStyle w:val="ListParagraph"/>
        <w:spacing w:after="0" w:line="240" w:lineRule="auto"/>
        <w:ind w:left="993"/>
        <w:jc w:val="both"/>
        <w:rPr>
          <w:rFonts w:ascii="Times New Roman" w:hAnsi="Times New Roman"/>
          <w:sz w:val="24"/>
          <w:szCs w:val="24"/>
          <w:lang w:val="ms-MY" w:eastAsia="en-MY"/>
        </w:rPr>
      </w:pPr>
    </w:p>
    <w:p w14:paraId="4344F7C1" w14:textId="62E47F4F" w:rsidR="00CC1C5C" w:rsidRPr="002D4513" w:rsidRDefault="00CC1C5C" w:rsidP="00123FC1">
      <w:pPr>
        <w:pStyle w:val="ListParagraph"/>
        <w:numPr>
          <w:ilvl w:val="0"/>
          <w:numId w:val="4"/>
        </w:numPr>
        <w:spacing w:after="0" w:line="240" w:lineRule="auto"/>
        <w:jc w:val="both"/>
        <w:rPr>
          <w:rFonts w:ascii="Times New Roman" w:hAnsi="Times New Roman"/>
          <w:sz w:val="24"/>
          <w:szCs w:val="24"/>
          <w:lang w:val="ms-MY" w:eastAsia="en-MY"/>
        </w:rPr>
      </w:pPr>
      <w:r w:rsidRPr="002D4513">
        <w:rPr>
          <w:rFonts w:ascii="Times New Roman" w:hAnsi="Times New Roman"/>
          <w:b/>
          <w:bCs/>
          <w:sz w:val="24"/>
          <w:szCs w:val="24"/>
          <w:lang w:val="ms-MY" w:eastAsia="en-MY"/>
        </w:rPr>
        <w:t>Ketidakstabilan Lingkungan</w:t>
      </w:r>
    </w:p>
    <w:p w14:paraId="47E174F7" w14:textId="77777777" w:rsidR="00CC1C5C" w:rsidRPr="002D4513" w:rsidRDefault="00CC1C5C" w:rsidP="00123FC1">
      <w:pPr>
        <w:pStyle w:val="ListParagraph"/>
        <w:spacing w:after="0" w:line="240" w:lineRule="auto"/>
        <w:jc w:val="both"/>
        <w:rPr>
          <w:rFonts w:ascii="Times New Roman" w:hAnsi="Times New Roman"/>
          <w:sz w:val="24"/>
          <w:szCs w:val="24"/>
          <w:lang w:val="ms-MY" w:eastAsia="en-MY"/>
        </w:rPr>
      </w:pPr>
      <w:r w:rsidRPr="002D4513">
        <w:rPr>
          <w:rFonts w:ascii="Times New Roman" w:hAnsi="Times New Roman"/>
          <w:sz w:val="24"/>
          <w:szCs w:val="24"/>
          <w:lang w:val="ms-MY" w:eastAsia="en-MY"/>
        </w:rPr>
        <w:t>Penanganan masalah kanak-kanak terbantut tidak hanya perlu fokus pada individu, tetapi juga mempertimbangkan keadaan persekitaran sekitarnya. Keadaan persekitaran yang tidak stabil boleh mempengaruhi kesihatan dan kesejahteraan masyarakat. Oleh kerana itu, pendekatan holistik yang melibatkan aspek persekitaran adalah sangat penting untuk menangani masalah ini secara efektif. Salah seorang informan menyampaikan sebagai berikut.</w:t>
      </w:r>
    </w:p>
    <w:p w14:paraId="2F50F702" w14:textId="77777777" w:rsidR="00CC1C5C" w:rsidRPr="002D4513" w:rsidRDefault="00CC1C5C" w:rsidP="00123FC1">
      <w:pPr>
        <w:pStyle w:val="ListParagraph"/>
        <w:spacing w:after="0" w:line="240" w:lineRule="auto"/>
        <w:ind w:left="993"/>
        <w:jc w:val="both"/>
        <w:rPr>
          <w:rFonts w:ascii="Times New Roman" w:hAnsi="Times New Roman"/>
          <w:sz w:val="24"/>
          <w:szCs w:val="24"/>
          <w:lang w:val="ms-MY" w:eastAsia="en-MY"/>
        </w:rPr>
      </w:pPr>
      <w:r w:rsidRPr="002D4513">
        <w:rPr>
          <w:rFonts w:ascii="Times New Roman" w:hAnsi="Times New Roman"/>
          <w:sz w:val="24"/>
          <w:szCs w:val="24"/>
          <w:lang w:val="ms-MY" w:eastAsia="en-MY"/>
        </w:rPr>
        <w:t>"Tidak hanya perlu melihat dari segi individu atau orangnya, tetapi juga harus mempertimbangkan keadaan persekitaran kerana, keadaan persekitaran turut memberi kesan yang besar terhadap masalah yang berlaku dalam masyarakat" (Informan 4).</w:t>
      </w:r>
    </w:p>
    <w:p w14:paraId="5020C1F2" w14:textId="77777777" w:rsidR="00CC1C5C" w:rsidRPr="002D4513" w:rsidRDefault="00CC1C5C" w:rsidP="00123FC1">
      <w:pPr>
        <w:pStyle w:val="ListParagraph"/>
        <w:spacing w:after="0" w:line="240" w:lineRule="auto"/>
        <w:ind w:left="993"/>
        <w:jc w:val="both"/>
        <w:rPr>
          <w:rFonts w:ascii="Times New Roman" w:hAnsi="Times New Roman"/>
          <w:sz w:val="24"/>
          <w:szCs w:val="24"/>
          <w:lang w:val="ms-MY" w:eastAsia="en-MY"/>
        </w:rPr>
      </w:pPr>
    </w:p>
    <w:p w14:paraId="13BD3FED" w14:textId="77777777" w:rsidR="00CC1C5C" w:rsidRPr="002D4513" w:rsidRDefault="00CC1C5C" w:rsidP="00123FC1">
      <w:pPr>
        <w:pStyle w:val="ListParagraph"/>
        <w:spacing w:after="0" w:line="240" w:lineRule="auto"/>
        <w:ind w:firstLine="273"/>
        <w:jc w:val="both"/>
        <w:rPr>
          <w:rFonts w:ascii="Times New Roman" w:hAnsi="Times New Roman"/>
          <w:sz w:val="24"/>
          <w:szCs w:val="24"/>
          <w:lang w:val="ms-MY" w:eastAsia="en-MY"/>
        </w:rPr>
      </w:pPr>
      <w:r w:rsidRPr="002D4513">
        <w:rPr>
          <w:rFonts w:ascii="Times New Roman" w:hAnsi="Times New Roman"/>
          <w:sz w:val="24"/>
          <w:szCs w:val="24"/>
          <w:lang w:val="ms-MY" w:eastAsia="en-MY"/>
        </w:rPr>
        <w:t>Ketidakstabilan persekitaran dapat memberi kesan signifikan terhadap pelbagai aspek kehidupan masyarakat, seperti cuaca ekstrem, pencemaran udara dan air, serta kerosakan ekosistem. Salah seorang informan menyatakan sebagai berikut.</w:t>
      </w:r>
    </w:p>
    <w:p w14:paraId="5E4A26DC" w14:textId="77777777" w:rsidR="00CC1C5C" w:rsidRPr="002D4513" w:rsidRDefault="00CC1C5C" w:rsidP="00123FC1">
      <w:pPr>
        <w:pStyle w:val="ListParagraph"/>
        <w:spacing w:after="0" w:line="240" w:lineRule="auto"/>
        <w:ind w:left="993"/>
        <w:jc w:val="both"/>
        <w:rPr>
          <w:rFonts w:ascii="Times New Roman" w:hAnsi="Times New Roman"/>
          <w:sz w:val="24"/>
          <w:szCs w:val="24"/>
          <w:lang w:val="ms-MY" w:eastAsia="en-MY"/>
        </w:rPr>
      </w:pPr>
      <w:r w:rsidRPr="002D4513">
        <w:rPr>
          <w:rFonts w:ascii="Times New Roman" w:hAnsi="Times New Roman"/>
          <w:sz w:val="24"/>
          <w:szCs w:val="24"/>
          <w:lang w:val="ms-MY" w:eastAsia="en-MY"/>
        </w:rPr>
        <w:t>"Belum stabilnya keadaan persekitaran menyebabkan ia mempengaruhi masalah yang berlaku dalam masyarakat" (Informan 7).</w:t>
      </w:r>
    </w:p>
    <w:p w14:paraId="5DC1B5DD" w14:textId="77777777" w:rsidR="00CC1C5C" w:rsidRPr="002D4513" w:rsidRDefault="00CC1C5C" w:rsidP="00123FC1">
      <w:pPr>
        <w:pStyle w:val="ListParagraph"/>
        <w:spacing w:after="0" w:line="240" w:lineRule="auto"/>
        <w:ind w:left="993"/>
        <w:jc w:val="both"/>
        <w:rPr>
          <w:rFonts w:ascii="Times New Roman" w:hAnsi="Times New Roman"/>
          <w:sz w:val="24"/>
          <w:szCs w:val="24"/>
          <w:lang w:val="ms-MY" w:eastAsia="en-MY"/>
        </w:rPr>
      </w:pPr>
    </w:p>
    <w:p w14:paraId="6B6AC75C" w14:textId="77777777" w:rsidR="00CC1C5C" w:rsidRPr="002D4513" w:rsidRDefault="00CC1C5C" w:rsidP="00123FC1">
      <w:pPr>
        <w:pStyle w:val="ListParagraph"/>
        <w:numPr>
          <w:ilvl w:val="0"/>
          <w:numId w:val="4"/>
        </w:numPr>
        <w:spacing w:after="0" w:line="240" w:lineRule="auto"/>
        <w:jc w:val="both"/>
        <w:rPr>
          <w:rFonts w:ascii="Times New Roman" w:hAnsi="Times New Roman"/>
          <w:sz w:val="24"/>
          <w:szCs w:val="24"/>
          <w:lang w:val="ms-MY" w:eastAsia="en-MY"/>
        </w:rPr>
      </w:pPr>
      <w:r w:rsidRPr="002D4513">
        <w:rPr>
          <w:rFonts w:ascii="Times New Roman" w:hAnsi="Times New Roman"/>
          <w:b/>
          <w:bCs/>
          <w:sz w:val="24"/>
          <w:szCs w:val="24"/>
          <w:lang w:val="ms-MY" w:eastAsia="en-MY"/>
        </w:rPr>
        <w:t>Rendahnya Partisipasi</w:t>
      </w:r>
    </w:p>
    <w:p w14:paraId="7A6EF9B9" w14:textId="77777777" w:rsidR="00CC1C5C" w:rsidRPr="002D4513" w:rsidRDefault="00CC1C5C" w:rsidP="00123FC1">
      <w:pPr>
        <w:pStyle w:val="ListParagraph"/>
        <w:spacing w:after="0" w:line="240" w:lineRule="auto"/>
        <w:jc w:val="both"/>
        <w:rPr>
          <w:rFonts w:ascii="Times New Roman" w:hAnsi="Times New Roman"/>
          <w:sz w:val="24"/>
          <w:szCs w:val="24"/>
          <w:lang w:val="ms-MY" w:eastAsia="en-MY"/>
        </w:rPr>
      </w:pPr>
      <w:r w:rsidRPr="002D4513">
        <w:rPr>
          <w:rFonts w:ascii="Times New Roman" w:hAnsi="Times New Roman"/>
          <w:sz w:val="24"/>
          <w:szCs w:val="24"/>
          <w:lang w:val="ms-MY" w:eastAsia="en-MY"/>
        </w:rPr>
        <w:t>Masalah lain yang sering muncul adalah rendahnya penyertaan masyarakat dalam program pendampingan untuk menangani stunting. Keterlibatan masyarakat yang rendah dapat menghambat efektivitas program dan mengurangi dampak positif yang diharapkan. Diperlukan usaha untuk meningkatkan kesedaran masyarakat, memberikan edukasi yang lebih baik, serta memotivasi penyertaan aktif dalam program. Salah seorang informan menyampaikan sebagai berikut.</w:t>
      </w:r>
    </w:p>
    <w:p w14:paraId="0E6F1E3A" w14:textId="77777777" w:rsidR="00CC1C5C" w:rsidRPr="002D4513" w:rsidRDefault="00CC1C5C" w:rsidP="00123FC1">
      <w:pPr>
        <w:pStyle w:val="ListParagraph"/>
        <w:spacing w:after="0" w:line="240" w:lineRule="auto"/>
        <w:ind w:left="993"/>
        <w:jc w:val="both"/>
        <w:rPr>
          <w:rFonts w:ascii="Times New Roman" w:hAnsi="Times New Roman"/>
          <w:sz w:val="24"/>
          <w:szCs w:val="24"/>
          <w:lang w:val="ms-MY" w:eastAsia="en-MY"/>
        </w:rPr>
      </w:pPr>
      <w:r w:rsidRPr="002D4513">
        <w:rPr>
          <w:rFonts w:ascii="Times New Roman" w:hAnsi="Times New Roman"/>
          <w:sz w:val="24"/>
          <w:szCs w:val="24"/>
          <w:lang w:val="ms-MY" w:eastAsia="en-MY"/>
        </w:rPr>
        <w:t>"Masalah yang sering kali terjadi yaitu kurangnya partisipasi dan penyertaan masyarakat dalam beberapa program pendampingan untuk penanganan kanak-kanak terbantut" (Informan 1).</w:t>
      </w:r>
    </w:p>
    <w:p w14:paraId="57E75FD3" w14:textId="77777777" w:rsidR="00CC1C5C" w:rsidRPr="002D4513" w:rsidRDefault="00CC1C5C" w:rsidP="00123FC1">
      <w:pPr>
        <w:pStyle w:val="ListParagraph"/>
        <w:spacing w:after="0" w:line="240" w:lineRule="auto"/>
        <w:ind w:left="993"/>
        <w:jc w:val="both"/>
        <w:rPr>
          <w:rFonts w:ascii="Times New Roman" w:hAnsi="Times New Roman"/>
          <w:sz w:val="24"/>
          <w:szCs w:val="24"/>
          <w:lang w:val="ms-MY" w:eastAsia="en-MY"/>
        </w:rPr>
      </w:pPr>
    </w:p>
    <w:p w14:paraId="625409CD" w14:textId="77777777" w:rsidR="00CC1C5C" w:rsidRPr="002D4513" w:rsidRDefault="00CC1C5C" w:rsidP="00123FC1">
      <w:pPr>
        <w:pStyle w:val="ListParagraph"/>
        <w:numPr>
          <w:ilvl w:val="0"/>
          <w:numId w:val="4"/>
        </w:numPr>
        <w:spacing w:after="0" w:line="240" w:lineRule="auto"/>
        <w:jc w:val="both"/>
        <w:rPr>
          <w:rFonts w:ascii="Times New Roman" w:hAnsi="Times New Roman"/>
          <w:sz w:val="24"/>
          <w:szCs w:val="24"/>
          <w:lang w:val="ms-MY" w:eastAsia="en-MY"/>
        </w:rPr>
      </w:pPr>
      <w:r w:rsidRPr="002D4513">
        <w:rPr>
          <w:rFonts w:ascii="Times New Roman" w:hAnsi="Times New Roman"/>
          <w:b/>
          <w:bCs/>
          <w:sz w:val="24"/>
          <w:szCs w:val="24"/>
          <w:lang w:val="ms-MY" w:eastAsia="en-MY"/>
        </w:rPr>
        <w:t>Minimnya Efektivitas Program Penanganan Stunting</w:t>
      </w:r>
    </w:p>
    <w:p w14:paraId="4D08E9BE" w14:textId="77777777" w:rsidR="00CC1C5C" w:rsidRPr="002D4513" w:rsidRDefault="00CC1C5C" w:rsidP="00123FC1">
      <w:pPr>
        <w:pStyle w:val="ListParagraph"/>
        <w:spacing w:after="0" w:line="240" w:lineRule="auto"/>
        <w:jc w:val="both"/>
        <w:rPr>
          <w:rFonts w:ascii="Times New Roman" w:hAnsi="Times New Roman"/>
          <w:sz w:val="24"/>
          <w:szCs w:val="24"/>
          <w:lang w:val="ms-MY" w:eastAsia="en-MY"/>
        </w:rPr>
      </w:pPr>
      <w:r w:rsidRPr="002D4513">
        <w:rPr>
          <w:rFonts w:ascii="Times New Roman" w:hAnsi="Times New Roman"/>
          <w:sz w:val="24"/>
          <w:szCs w:val="24"/>
          <w:lang w:val="ms-MY" w:eastAsia="en-MY"/>
        </w:rPr>
        <w:t>Cabaran dalam pencegahan kanak-kanak terbantut adalah keberkesanan program pencegahan yang ada masih belum optimum. Selain itu, koordinasi pelaksanaan intervensi pemakanan khusus dan sensitif juga belum berjalan baik di semua peringkat. Masalah ini melibatkan aspek perancangan, peruntukan bajet, pelaksanaan, serta pemantauan dan penilaian program. Salah seorang informan menyatakan:</w:t>
      </w:r>
    </w:p>
    <w:p w14:paraId="69FC09EB" w14:textId="77777777" w:rsidR="00CC1C5C" w:rsidRPr="002D4513" w:rsidRDefault="00CC1C5C" w:rsidP="00123FC1">
      <w:pPr>
        <w:pStyle w:val="ListParagraph"/>
        <w:spacing w:after="0" w:line="240" w:lineRule="auto"/>
        <w:ind w:left="993"/>
        <w:jc w:val="both"/>
        <w:rPr>
          <w:rFonts w:ascii="Times New Roman" w:hAnsi="Times New Roman"/>
          <w:sz w:val="24"/>
          <w:szCs w:val="24"/>
          <w:lang w:val="ms-MY" w:eastAsia="en-MY"/>
        </w:rPr>
      </w:pPr>
      <w:r w:rsidRPr="002D4513">
        <w:rPr>
          <w:rFonts w:ascii="Times New Roman" w:hAnsi="Times New Roman"/>
          <w:sz w:val="24"/>
          <w:szCs w:val="24"/>
          <w:lang w:val="ms-MY" w:eastAsia="en-MY"/>
        </w:rPr>
        <w:t>"Cabaran dalam pelaksanaan pencegahan ini adalah keberkesanan program pencegahan kanak-kanak terbantut yang masih belum optimum. Selain itu, koordinasi pelaksanaan intervensi pemakanan khusus dan sensitif juga belum berjalan dengan baik di semua peringkat" (Informan 3).</w:t>
      </w:r>
    </w:p>
    <w:p w14:paraId="05156BCB" w14:textId="77777777" w:rsidR="00CC1C5C" w:rsidRPr="002D4513" w:rsidRDefault="00CC1C5C" w:rsidP="00123FC1">
      <w:pPr>
        <w:pStyle w:val="ListParagraph"/>
        <w:spacing w:after="0" w:line="240" w:lineRule="auto"/>
        <w:ind w:left="993"/>
        <w:jc w:val="both"/>
        <w:rPr>
          <w:rFonts w:ascii="Times New Roman" w:hAnsi="Times New Roman"/>
          <w:sz w:val="24"/>
          <w:szCs w:val="24"/>
          <w:lang w:val="ms-MY" w:eastAsia="en-MY"/>
        </w:rPr>
      </w:pPr>
    </w:p>
    <w:p w14:paraId="21D5020C" w14:textId="77777777" w:rsidR="00CC1C5C" w:rsidRPr="002D4513" w:rsidRDefault="00CC1C5C" w:rsidP="00123FC1">
      <w:pPr>
        <w:pStyle w:val="ListParagraph"/>
        <w:spacing w:after="0" w:line="240" w:lineRule="auto"/>
        <w:jc w:val="both"/>
        <w:rPr>
          <w:rFonts w:ascii="Times New Roman" w:hAnsi="Times New Roman"/>
          <w:sz w:val="24"/>
          <w:szCs w:val="24"/>
          <w:lang w:val="ms-MY" w:eastAsia="en-MY"/>
        </w:rPr>
      </w:pPr>
      <w:r w:rsidRPr="002D4513">
        <w:rPr>
          <w:rFonts w:ascii="Times New Roman" w:hAnsi="Times New Roman"/>
          <w:sz w:val="24"/>
          <w:szCs w:val="24"/>
          <w:lang w:val="ms-MY" w:eastAsia="en-MY"/>
        </w:rPr>
        <w:t>Cabaran lain yang sering dihadapi adalah ketergantungan masyarakat terhadap bantuan subsidi sosial. Ketergantungan ini membuat masyarakat kurang termotivasi untuk terlibat aktif dalam pencegahan stunting, sehingga menghambat keberkesanan program. Salah seorang informan menyatakan sebagai berikut.</w:t>
      </w:r>
    </w:p>
    <w:p w14:paraId="03BC3BCA" w14:textId="77777777" w:rsidR="00CC1C5C" w:rsidRPr="002D4513" w:rsidRDefault="00CC1C5C" w:rsidP="00123FC1">
      <w:pPr>
        <w:pStyle w:val="ListParagraph"/>
        <w:spacing w:after="0" w:line="240" w:lineRule="auto"/>
        <w:ind w:left="993"/>
        <w:jc w:val="both"/>
        <w:rPr>
          <w:rFonts w:ascii="Times New Roman" w:hAnsi="Times New Roman"/>
          <w:sz w:val="24"/>
          <w:szCs w:val="24"/>
          <w:lang w:val="ms-MY" w:eastAsia="en-MY"/>
        </w:rPr>
      </w:pPr>
      <w:r w:rsidRPr="002D4513">
        <w:rPr>
          <w:rFonts w:ascii="Times New Roman" w:hAnsi="Times New Roman"/>
          <w:sz w:val="24"/>
          <w:szCs w:val="24"/>
          <w:lang w:val="ms-MY" w:eastAsia="en-MY"/>
        </w:rPr>
        <w:t>"Cabaran yang sering saya hadapi ialah ketergantungan masyarakat terhadap bantuan subsidi sosial, yang kadang-kadang membuat mereka berasa selesa dan tidak aktif untuk turut serta dalam aktiviti pencegahan yang ada" (Informan 5).</w:t>
      </w:r>
    </w:p>
    <w:p w14:paraId="674E550D" w14:textId="77777777" w:rsidR="00CC1C5C" w:rsidRPr="002D4513" w:rsidRDefault="00CC1C5C" w:rsidP="00123FC1">
      <w:pPr>
        <w:pStyle w:val="ListParagraph"/>
        <w:spacing w:after="0" w:line="240" w:lineRule="auto"/>
        <w:ind w:left="993"/>
        <w:jc w:val="both"/>
        <w:rPr>
          <w:rFonts w:ascii="Times New Roman" w:hAnsi="Times New Roman"/>
          <w:sz w:val="24"/>
          <w:szCs w:val="24"/>
          <w:lang w:val="ms-MY" w:eastAsia="en-MY"/>
        </w:rPr>
      </w:pPr>
    </w:p>
    <w:p w14:paraId="4321B50E" w14:textId="77777777" w:rsidR="00CC1C5C" w:rsidRPr="002D4513" w:rsidRDefault="00CC1C5C" w:rsidP="00123FC1">
      <w:pPr>
        <w:spacing w:after="0" w:line="240" w:lineRule="auto"/>
        <w:jc w:val="both"/>
        <w:rPr>
          <w:rFonts w:ascii="Times New Roman" w:hAnsi="Times New Roman" w:cs="Times New Roman"/>
          <w:b/>
          <w:sz w:val="24"/>
          <w:szCs w:val="24"/>
          <w:lang w:val="ms-MY"/>
        </w:rPr>
      </w:pPr>
      <w:r w:rsidRPr="002D4513">
        <w:rPr>
          <w:rFonts w:ascii="Times New Roman" w:hAnsi="Times New Roman" w:cs="Times New Roman"/>
          <w:b/>
          <w:sz w:val="24"/>
          <w:szCs w:val="24"/>
          <w:lang w:val="ms-MY"/>
        </w:rPr>
        <w:t>Perbincangan</w:t>
      </w:r>
    </w:p>
    <w:p w14:paraId="4A5A8001" w14:textId="77777777" w:rsidR="00CC1C5C" w:rsidRPr="002D4513" w:rsidRDefault="00CC1C5C" w:rsidP="00123FC1">
      <w:pPr>
        <w:spacing w:after="0" w:line="240" w:lineRule="auto"/>
        <w:jc w:val="both"/>
        <w:rPr>
          <w:rFonts w:ascii="Times New Roman" w:hAnsi="Times New Roman" w:cs="Times New Roman"/>
          <w:bCs/>
          <w:sz w:val="24"/>
          <w:szCs w:val="24"/>
          <w:lang w:val="ms-MY"/>
        </w:rPr>
      </w:pPr>
      <w:r w:rsidRPr="002D4513">
        <w:rPr>
          <w:rFonts w:ascii="Times New Roman" w:hAnsi="Times New Roman" w:cs="Times New Roman"/>
          <w:bCs/>
          <w:sz w:val="24"/>
          <w:szCs w:val="24"/>
          <w:lang w:val="ms-MY"/>
        </w:rPr>
        <w:t>Hasil kajian menunjukkan bahawa masalah kanak-kanak terbantut tidak boleh dilihat hanya dari satu perspektif tunggal, tetapi merupakan hasil daripada gabungan pelbagai faktor yang saling mempengaruhi. Salah satu faktor utama yang dikenal pasti adalah faktor ekonomi, di mana keadaan ekonomi yang lemah dapat membatasi akses keluarga terhadap makanan yang berkualiti serta perkhidmatan kesihatan yang mencukupi. Menurut kajian oleh Boulom et al. (2022), keluarga yang berada di bawah garis kemiskinan sering kali menghadapi kesulitan untuk menyediakan makanan yang cukup bernutrisi bagi anak-anak mereka. Kekurangan zat makanan ini berpotensi besar menyebabkan perkembangan fizikal dan kognitif kanak-kanak terbantut. Haq &amp; Abbas (2022) juga menekankan bahawa keluarga yang berpendapatan rendah sering menghadapi akses terhad kepada perkhidmatan kesihatan yang penting, yang menyebabkan kesulitan dalam mendapatkan rawatan yang diperlukan untuk mengatasi masalah kesihatan berkaitan dengan stunting.</w:t>
      </w:r>
    </w:p>
    <w:p w14:paraId="0CED73C5" w14:textId="77777777" w:rsidR="00CC1C5C" w:rsidRPr="002D4513" w:rsidRDefault="00CC1C5C" w:rsidP="00123FC1">
      <w:pPr>
        <w:spacing w:after="0" w:line="240" w:lineRule="auto"/>
        <w:ind w:firstLine="720"/>
        <w:jc w:val="both"/>
        <w:rPr>
          <w:rFonts w:ascii="Times New Roman" w:hAnsi="Times New Roman" w:cs="Times New Roman"/>
          <w:bCs/>
          <w:sz w:val="24"/>
          <w:szCs w:val="24"/>
          <w:lang w:val="ms-MY"/>
        </w:rPr>
      </w:pPr>
      <w:r w:rsidRPr="002D4513">
        <w:rPr>
          <w:rFonts w:ascii="Times New Roman" w:hAnsi="Times New Roman" w:cs="Times New Roman"/>
          <w:bCs/>
          <w:sz w:val="24"/>
          <w:szCs w:val="24"/>
          <w:lang w:val="ms-MY"/>
        </w:rPr>
        <w:t xml:space="preserve">Selain itu, faktor lain yang turut menyumbang kepada stunting adalah keadaan sanitasi yang buruk. Kajian oleh </w:t>
      </w:r>
      <w:bookmarkStart w:id="4" w:name="_Hlk180693439"/>
      <w:r w:rsidRPr="002D4513">
        <w:rPr>
          <w:rFonts w:ascii="Times New Roman" w:hAnsi="Times New Roman" w:cs="Times New Roman"/>
          <w:bCs/>
          <w:sz w:val="24"/>
          <w:szCs w:val="24"/>
          <w:lang w:val="ms-MY"/>
        </w:rPr>
        <w:t>Koyratty</w:t>
      </w:r>
      <w:bookmarkEnd w:id="4"/>
      <w:r w:rsidRPr="002D4513">
        <w:rPr>
          <w:rFonts w:ascii="Times New Roman" w:hAnsi="Times New Roman" w:cs="Times New Roman"/>
          <w:bCs/>
          <w:sz w:val="24"/>
          <w:szCs w:val="24"/>
          <w:lang w:val="ms-MY"/>
        </w:rPr>
        <w:t xml:space="preserve"> et al. (2022) menunjukkan bahawa sanitasi yang tidak memadai, seperti kurangnya akses kepada air bersih dan kemudahan tandas yang baik, turut menyumbang kepada penyebaran penyakit berjangkit. Penyakit seperti cirit-birit yang berulang-ulang, yang sering berlaku di kawasan dengan sanitasi buruk, boleh menghalang penyerapan zat makanan yang mencukupi oleh kanak-kanak dan seterusnya mengakibatkan stunting.</w:t>
      </w:r>
    </w:p>
    <w:p w14:paraId="0C7EF209" w14:textId="77777777" w:rsidR="00CC1C5C" w:rsidRPr="002D4513" w:rsidRDefault="00CC1C5C" w:rsidP="00123FC1">
      <w:pPr>
        <w:spacing w:after="0" w:line="240" w:lineRule="auto"/>
        <w:ind w:firstLine="720"/>
        <w:jc w:val="both"/>
        <w:rPr>
          <w:rFonts w:ascii="Times New Roman" w:hAnsi="Times New Roman" w:cs="Times New Roman"/>
          <w:bCs/>
          <w:sz w:val="24"/>
          <w:szCs w:val="24"/>
          <w:lang w:val="ms-MY"/>
        </w:rPr>
      </w:pPr>
      <w:r w:rsidRPr="002D4513">
        <w:rPr>
          <w:rFonts w:ascii="Times New Roman" w:hAnsi="Times New Roman" w:cs="Times New Roman"/>
          <w:bCs/>
          <w:sz w:val="24"/>
          <w:szCs w:val="24"/>
          <w:lang w:val="ms-MY"/>
        </w:rPr>
        <w:t>Satu lagi cabaran utama dalam program pencegahan stunting adalah kurangnya kesedaran dan keinginan ibu bapa, terutamanya ibu, untuk belajar tentang pemakanan yang sihat. Walaupun pelbagai program pendidikan telah dijalankan untuk meningkatkan kesedaran tentang pemakanan seimbang dan kepentingan kesihatan, kajian oleh Sufri et al. (2023) mendapati bahawa terdapat sebilangan ibu bapa yang masih kurang peka atau tidak mahu mengubah tabiat pemakanan keluarga mereka. Sikap ini boleh berpunca daripada beberapa faktor, termasuk pendidikan yang rendah, kebergantungan kepada amalan tradisional, serta kurangnya pemahaman tentang impak jangka panjang stunting terhadap anak-anak mereka. Hal ini menunjukkan bahawa usaha untuk mendidik masyarakat tentang pemakanan memerlukan pendekatan yang lebih strategik dan berterusan.</w:t>
      </w:r>
    </w:p>
    <w:p w14:paraId="7D17EFD9" w14:textId="249BE0FD" w:rsidR="00CC1C5C" w:rsidRPr="002D4513" w:rsidRDefault="00CC1C5C" w:rsidP="00123FC1">
      <w:pPr>
        <w:spacing w:after="0" w:line="240" w:lineRule="auto"/>
        <w:ind w:firstLine="720"/>
        <w:jc w:val="both"/>
        <w:rPr>
          <w:rFonts w:ascii="Times New Roman" w:hAnsi="Times New Roman" w:cs="Times New Roman"/>
          <w:bCs/>
          <w:sz w:val="24"/>
          <w:szCs w:val="24"/>
          <w:lang w:val="ms-MY"/>
        </w:rPr>
      </w:pPr>
      <w:r w:rsidRPr="002D4513">
        <w:rPr>
          <w:rFonts w:ascii="Times New Roman" w:hAnsi="Times New Roman" w:cs="Times New Roman"/>
          <w:bCs/>
          <w:sz w:val="24"/>
          <w:szCs w:val="24"/>
          <w:lang w:val="ms-MY"/>
        </w:rPr>
        <w:t xml:space="preserve">Dari segi pelaksanaan program bantuan sosial dan perkhidmatan kesihatan, kajian menunjukkan bahawa program-program ini masih belum dilaksanakan secara menyeluruh dan efektif. </w:t>
      </w:r>
      <w:r w:rsidR="00871585" w:rsidRPr="002D4513">
        <w:rPr>
          <w:rFonts w:ascii="Times New Roman" w:hAnsi="Times New Roman" w:cs="Times New Roman"/>
          <w:bCs/>
          <w:sz w:val="24"/>
          <w:szCs w:val="24"/>
          <w:lang w:val="ms-MY"/>
        </w:rPr>
        <w:t xml:space="preserve">Pendapat lain dari </w:t>
      </w:r>
      <w:r w:rsidRPr="002D4513">
        <w:rPr>
          <w:rFonts w:ascii="Times New Roman" w:hAnsi="Times New Roman" w:cs="Times New Roman"/>
          <w:bCs/>
          <w:sz w:val="24"/>
          <w:szCs w:val="24"/>
          <w:lang w:val="ms-MY"/>
        </w:rPr>
        <w:t xml:space="preserve">Kishore et al. (2022) menekankan bahawa meskipun terdapat pelbagai inisiatif bantuan sosial yang disediakan oleh pemerintah, seperti pemberian makanan tambahan dan bantuan kewangan, pelaksanaan yang tidak konsisten serta ketidakcukupan sumber daya telah menghalang keberkesanannya dalam menangani masalah terbantut. </w:t>
      </w:r>
      <w:r w:rsidR="00871585" w:rsidRPr="002D4513">
        <w:rPr>
          <w:rFonts w:ascii="Times New Roman" w:hAnsi="Times New Roman" w:cs="Times New Roman"/>
          <w:bCs/>
          <w:sz w:val="24"/>
          <w:szCs w:val="24"/>
          <w:lang w:val="ms-MY"/>
        </w:rPr>
        <w:t xml:space="preserve">Menurut </w:t>
      </w:r>
      <w:r w:rsidRPr="002D4513">
        <w:rPr>
          <w:rFonts w:ascii="Times New Roman" w:hAnsi="Times New Roman" w:cs="Times New Roman"/>
          <w:bCs/>
          <w:sz w:val="24"/>
          <w:szCs w:val="24"/>
          <w:lang w:val="ms-MY"/>
        </w:rPr>
        <w:t>Yu, Lo &amp; Chau (2023) turut menyokong pandangan ini dengan menunjukkan bahawa kebergantungan keluarga terhadap bantuan kewangan tanpa adanya strategi untuk memberdayakan mereka secara ekonomi hanya menghasilkan ketergantungan jangka panjang, tanpa mengatasi akar permasalahan stunting.</w:t>
      </w:r>
    </w:p>
    <w:p w14:paraId="1A595AF6" w14:textId="3BD6E57D" w:rsidR="00CC1C5C" w:rsidRPr="002D4513" w:rsidRDefault="00CC1C5C" w:rsidP="00123FC1">
      <w:pPr>
        <w:spacing w:after="0" w:line="240" w:lineRule="auto"/>
        <w:ind w:firstLine="720"/>
        <w:jc w:val="both"/>
        <w:rPr>
          <w:rFonts w:ascii="Times New Roman" w:hAnsi="Times New Roman" w:cs="Times New Roman"/>
          <w:bCs/>
          <w:sz w:val="24"/>
          <w:szCs w:val="24"/>
          <w:lang w:val="ms-MY"/>
        </w:rPr>
      </w:pPr>
      <w:r w:rsidRPr="002D4513">
        <w:rPr>
          <w:rFonts w:ascii="Times New Roman" w:hAnsi="Times New Roman" w:cs="Times New Roman"/>
          <w:bCs/>
          <w:sz w:val="24"/>
          <w:szCs w:val="24"/>
          <w:lang w:val="ms-MY"/>
        </w:rPr>
        <w:t>Untuk mengurangkan masalah kanak-kanak terbantut, dasar sosial yang lebih kukuh dan menyeluruh diperlukan. Program bantuan pemindahan tunai, seperti yang dicadangkan oleh, dapat membantu meningkatkan taraf hidup keluarga miskin. Namun, program-program ini perlu dilaksanakan dengan lebih teliti dan disesuaikan dengan keadaan setempat untuk memastikan bahawa bantuan yang diberikan dapat dimanfaatkan secara efektif. Selain itu, Prasetya (2024) menekankan pentingnya memperluas akses kepada perkhidmatan kesihatan berkualiti tinggi, terutamanya di kawasan pedalaman atau luar bandar, di mana kanak-kanak lebih terdedah kepada stunting akibat kurangnya perkhidmatan kesihatan yang memadai.</w:t>
      </w:r>
    </w:p>
    <w:p w14:paraId="71033E0B" w14:textId="77777777" w:rsidR="00CC1C5C" w:rsidRPr="002D4513" w:rsidRDefault="00CC1C5C" w:rsidP="00123FC1">
      <w:pPr>
        <w:spacing w:after="0" w:line="240" w:lineRule="auto"/>
        <w:ind w:firstLine="720"/>
        <w:jc w:val="both"/>
        <w:rPr>
          <w:rFonts w:ascii="Times New Roman" w:hAnsi="Times New Roman" w:cs="Times New Roman"/>
          <w:bCs/>
          <w:sz w:val="24"/>
          <w:szCs w:val="24"/>
          <w:lang w:val="ms-MY"/>
        </w:rPr>
      </w:pPr>
      <w:r w:rsidRPr="002D4513">
        <w:rPr>
          <w:rFonts w:ascii="Times New Roman" w:hAnsi="Times New Roman" w:cs="Times New Roman"/>
          <w:bCs/>
          <w:sz w:val="24"/>
          <w:szCs w:val="24"/>
          <w:lang w:val="ms-MY"/>
        </w:rPr>
        <w:t>Namun, untuk mengatasi masalah ini secara berkesan, usaha tidak boleh hanya terhad kepada bantuan kewangan dan kesihatan sahaja. Terdapat cabaran lain yang turut perlu ditangani, seperti masalah dalam amalan pemakanan yang tidak seimbang, infrastruktur yang terhad, serta kurangnya sokongan daripada masyarakat dan keluarga. Seperti yang dinyatakan oleh beberapa kajian, usaha untuk menangani stunting harus bersifat holistik, merangkumi aspek pendidikan, ekonomi, dan sosial, di samping memastikan bahawa setiap pihak yang terlibat – dari ibu bapa, komuniti, hingga pemerintah – memainkan peranan masing-masing dalam usaha pencegahan.</w:t>
      </w:r>
    </w:p>
    <w:p w14:paraId="2470326B" w14:textId="77777777" w:rsidR="00CC1C5C" w:rsidRPr="002D4513" w:rsidRDefault="00CC1C5C" w:rsidP="00123FC1">
      <w:pPr>
        <w:spacing w:after="0" w:line="240" w:lineRule="auto"/>
        <w:ind w:firstLine="720"/>
        <w:jc w:val="both"/>
        <w:rPr>
          <w:rFonts w:ascii="Times New Roman" w:hAnsi="Times New Roman" w:cs="Times New Roman"/>
          <w:bCs/>
          <w:sz w:val="24"/>
          <w:szCs w:val="24"/>
          <w:lang w:val="ms-MY"/>
        </w:rPr>
      </w:pPr>
    </w:p>
    <w:p w14:paraId="7C6FFC94" w14:textId="72F4E212" w:rsidR="00CC1C5C" w:rsidRPr="002D4513" w:rsidRDefault="00CC1C5C" w:rsidP="00123FC1">
      <w:pPr>
        <w:spacing w:after="0" w:line="240" w:lineRule="auto"/>
        <w:jc w:val="both"/>
        <w:rPr>
          <w:rFonts w:ascii="Times New Roman" w:hAnsi="Times New Roman" w:cs="Times New Roman"/>
          <w:b/>
          <w:sz w:val="24"/>
          <w:szCs w:val="24"/>
          <w:lang w:val="ms-MY"/>
        </w:rPr>
      </w:pPr>
      <w:r w:rsidRPr="002D4513">
        <w:rPr>
          <w:rFonts w:ascii="Times New Roman" w:hAnsi="Times New Roman" w:cs="Times New Roman"/>
          <w:b/>
          <w:sz w:val="24"/>
          <w:szCs w:val="24"/>
          <w:lang w:val="ms-MY"/>
        </w:rPr>
        <w:t>Kesimpulan</w:t>
      </w:r>
    </w:p>
    <w:p w14:paraId="6F39C55B" w14:textId="77777777" w:rsidR="00CC1C5C" w:rsidRPr="002D4513" w:rsidRDefault="00CC1C5C" w:rsidP="00123FC1">
      <w:pPr>
        <w:spacing w:after="0" w:line="240" w:lineRule="auto"/>
        <w:jc w:val="both"/>
        <w:rPr>
          <w:rFonts w:ascii="Times New Roman" w:hAnsi="Times New Roman" w:cs="Times New Roman"/>
          <w:sz w:val="24"/>
          <w:szCs w:val="24"/>
          <w:lang w:val="ms-MY"/>
        </w:rPr>
      </w:pPr>
      <w:r w:rsidRPr="002D4513">
        <w:rPr>
          <w:rFonts w:ascii="Times New Roman" w:hAnsi="Times New Roman" w:cs="Times New Roman"/>
          <w:sz w:val="24"/>
          <w:szCs w:val="24"/>
          <w:lang w:val="ms-MY"/>
        </w:rPr>
        <w:t xml:space="preserve">Cabaran yang dihadapi oleh pihak pemegang tanggungjawab berkaitan dengan pelaksanaan program. </w:t>
      </w:r>
      <w:bookmarkStart w:id="5" w:name="_Hlk179473855"/>
      <w:r w:rsidRPr="002D4513">
        <w:rPr>
          <w:rFonts w:ascii="Times New Roman" w:hAnsi="Times New Roman" w:cs="Times New Roman"/>
          <w:sz w:val="24"/>
          <w:szCs w:val="24"/>
          <w:lang w:val="ms-MY"/>
        </w:rPr>
        <w:t xml:space="preserve">Cabaran yang timbul daripada masyarakat termasuk anggapan bahawa kurangnya partisipasi masyarakat dalam aktiviti program penanganan kanak-kanak terbantut, kondisi persekitaran yang dinamik. Cabaran lain yang timbul akibat keterbatasan infrastruktur termasuk kesulitan aksesibilitas terhadap kemudahan masyarakat, kurangnya kemudahan penunjang, belum optimalnya koordinasi dalam pelaksanaan intervensi nutrisi spesifik dan sensitif, kekurangan bajet operasional program, </w:t>
      </w:r>
      <w:bookmarkEnd w:id="5"/>
      <w:r w:rsidRPr="002D4513">
        <w:rPr>
          <w:rFonts w:ascii="Times New Roman" w:hAnsi="Times New Roman" w:cs="Times New Roman"/>
          <w:sz w:val="24"/>
          <w:szCs w:val="24"/>
          <w:lang w:val="ms-MY"/>
        </w:rPr>
        <w:t>di samping program bantuan yang dilaksanakan berpotensi menyebabkan masyarakat menjadi bergantung. Penyelidik juga mendapati bahawa cabaran-cabaran ini dapat diantisipasi oleh pemegang tanggungjawab, sesuai dengan profil informan, dan pemegang tanggungjawab seharusnya berkolaborasi dengan pihak lain dalam memberikan respons terhadap cabaran tersebut.</w:t>
      </w:r>
    </w:p>
    <w:bookmarkEnd w:id="1"/>
    <w:p w14:paraId="4332A9C6" w14:textId="77777777" w:rsidR="00842A4F" w:rsidRPr="002D4513" w:rsidRDefault="00842A4F" w:rsidP="00123FC1">
      <w:pPr>
        <w:spacing w:after="0" w:line="240" w:lineRule="auto"/>
        <w:jc w:val="both"/>
        <w:rPr>
          <w:rFonts w:ascii="Times New Roman" w:hAnsi="Times New Roman" w:cs="Times New Roman"/>
          <w:sz w:val="24"/>
          <w:szCs w:val="24"/>
          <w:lang w:val="ms-MY"/>
        </w:rPr>
      </w:pPr>
    </w:p>
    <w:p w14:paraId="0C16E7E6" w14:textId="77777777" w:rsidR="00E800C0" w:rsidRPr="002D4513" w:rsidRDefault="00E800C0" w:rsidP="00123FC1">
      <w:pPr>
        <w:spacing w:after="0" w:line="240" w:lineRule="auto"/>
        <w:jc w:val="both"/>
        <w:rPr>
          <w:rFonts w:ascii="Times New Roman" w:hAnsi="Times New Roman" w:cs="Times New Roman"/>
          <w:b/>
          <w:sz w:val="24"/>
          <w:szCs w:val="24"/>
          <w:lang w:val="ms-MY"/>
        </w:rPr>
      </w:pPr>
      <w:r w:rsidRPr="002D4513">
        <w:rPr>
          <w:rFonts w:ascii="Times New Roman" w:hAnsi="Times New Roman" w:cs="Times New Roman"/>
          <w:b/>
          <w:sz w:val="24"/>
          <w:szCs w:val="24"/>
          <w:lang w:val="ms-MY"/>
        </w:rPr>
        <w:t>Penghargaan</w:t>
      </w:r>
    </w:p>
    <w:p w14:paraId="390DDA1E" w14:textId="6006221D" w:rsidR="00EB7871" w:rsidRPr="002D4513" w:rsidRDefault="00CE79CD" w:rsidP="00123FC1">
      <w:pPr>
        <w:spacing w:after="0" w:line="240" w:lineRule="auto"/>
        <w:jc w:val="both"/>
        <w:rPr>
          <w:rFonts w:ascii="Times New Roman" w:hAnsi="Times New Roman" w:cs="Times New Roman"/>
          <w:sz w:val="24"/>
          <w:szCs w:val="24"/>
          <w:lang w:val="ms-MY"/>
        </w:rPr>
      </w:pPr>
      <w:r w:rsidRPr="002D4513">
        <w:rPr>
          <w:rFonts w:ascii="Times New Roman" w:hAnsi="Times New Roman" w:cs="Times New Roman"/>
          <w:sz w:val="24"/>
          <w:szCs w:val="24"/>
          <w:lang w:val="ms-MY"/>
        </w:rPr>
        <w:t>Ucapan penghargaan ditujukan kepada informan yang telah membantu menjayakan kajian ini. Kajian ini juga mendapat Dana Suntikan Padanan Kolaborasi Penyelidikan (SK 2023-013). Fakulti Sains Sosial dan Kemanusiaan dengan kerjasama Fakultas Ilmu Sosial dan Ilmu Politik (FISIP), Universitas Muhammadiyah Malang, Indonesia.</w:t>
      </w:r>
    </w:p>
    <w:p w14:paraId="479FD153" w14:textId="77777777" w:rsidR="00F21B9A" w:rsidRPr="002D4513" w:rsidRDefault="00F21B9A" w:rsidP="00123FC1">
      <w:pPr>
        <w:spacing w:after="0" w:line="240" w:lineRule="auto"/>
        <w:jc w:val="both"/>
        <w:rPr>
          <w:rFonts w:ascii="Times New Roman" w:hAnsi="Times New Roman" w:cs="Times New Roman"/>
          <w:sz w:val="24"/>
          <w:szCs w:val="24"/>
          <w:lang w:val="ms-MY"/>
        </w:rPr>
      </w:pPr>
    </w:p>
    <w:p w14:paraId="3AAB6AA7" w14:textId="343B2C76" w:rsidR="00983FC2" w:rsidRPr="002D4513" w:rsidRDefault="00EB7871" w:rsidP="00123FC1">
      <w:pPr>
        <w:spacing w:after="0" w:line="240" w:lineRule="auto"/>
        <w:jc w:val="both"/>
        <w:rPr>
          <w:rFonts w:ascii="Times New Roman" w:hAnsi="Times New Roman" w:cs="Times New Roman"/>
          <w:b/>
          <w:sz w:val="24"/>
          <w:szCs w:val="24"/>
          <w:lang w:val="ms-MY"/>
        </w:rPr>
      </w:pPr>
      <w:r w:rsidRPr="002D4513">
        <w:rPr>
          <w:rFonts w:ascii="Times New Roman" w:hAnsi="Times New Roman" w:cs="Times New Roman"/>
          <w:b/>
          <w:sz w:val="24"/>
          <w:szCs w:val="24"/>
          <w:lang w:val="ms-MY"/>
        </w:rPr>
        <w:t>Rujukan</w:t>
      </w:r>
    </w:p>
    <w:p w14:paraId="561301C7"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Ahmed, K.Y., Ross, A.G., Hussien, S.M., Agho, K.E., Olusanya, B.O. &amp; Ogbo, F.A. 2023. Mapping Local Variations and the Determinants of Childhood Terbantut in Nigeria. </w:t>
      </w:r>
      <w:r w:rsidRPr="002D4513">
        <w:rPr>
          <w:rFonts w:ascii="Times New Roman" w:hAnsi="Times New Roman" w:cs="Times New Roman"/>
          <w:i/>
          <w:iCs/>
          <w:noProof/>
          <w:sz w:val="24"/>
          <w:szCs w:val="24"/>
          <w:lang w:val="ms-MY"/>
        </w:rPr>
        <w:t>International Journal of Environmental Research and Public Health</w:t>
      </w:r>
      <w:r w:rsidRPr="002D4513">
        <w:rPr>
          <w:rFonts w:ascii="Times New Roman" w:hAnsi="Times New Roman" w:cs="Times New Roman"/>
          <w:noProof/>
          <w:sz w:val="24"/>
          <w:szCs w:val="24"/>
          <w:lang w:val="ms-MY"/>
        </w:rPr>
        <w:t xml:space="preserve"> 20(4).</w:t>
      </w:r>
    </w:p>
    <w:p w14:paraId="32380EE7"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Arini, D., Ernawati, D., Hayudanti, D. &amp; Alristina, A.D. 2022. Impact of socioeconomic change and hygiene sanitation during pandemic COVID-19 towards terbantut. </w:t>
      </w:r>
      <w:r w:rsidRPr="002D4513">
        <w:rPr>
          <w:rFonts w:ascii="Times New Roman" w:hAnsi="Times New Roman" w:cs="Times New Roman"/>
          <w:i/>
          <w:iCs/>
          <w:noProof/>
          <w:sz w:val="24"/>
          <w:szCs w:val="24"/>
          <w:lang w:val="ms-MY"/>
        </w:rPr>
        <w:t>International Journal of Public Health Science</w:t>
      </w:r>
      <w:r w:rsidRPr="002D4513">
        <w:rPr>
          <w:rFonts w:ascii="Times New Roman" w:hAnsi="Times New Roman" w:cs="Times New Roman"/>
          <w:noProof/>
          <w:sz w:val="24"/>
          <w:szCs w:val="24"/>
          <w:lang w:val="ms-MY"/>
        </w:rPr>
        <w:t xml:space="preserve"> 11(4): 1382–1390.</w:t>
      </w:r>
    </w:p>
    <w:p w14:paraId="2BA08511"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Aryeetey, R., Atuobi-Yeboah, A., Billings, L., Nisbett, N., van den Bold, M. &amp; Toure, M. 2022. Stories of Change in Nutrition in Ghana: a focus on terbantut and anemia among children under-five years (2009 – 2018). </w:t>
      </w:r>
      <w:r w:rsidRPr="002D4513">
        <w:rPr>
          <w:rFonts w:ascii="Times New Roman" w:hAnsi="Times New Roman" w:cs="Times New Roman"/>
          <w:i/>
          <w:iCs/>
          <w:noProof/>
          <w:sz w:val="24"/>
          <w:szCs w:val="24"/>
          <w:lang w:val="ms-MY"/>
        </w:rPr>
        <w:t>Food Security</w:t>
      </w:r>
      <w:r w:rsidRPr="002D4513">
        <w:rPr>
          <w:rFonts w:ascii="Times New Roman" w:hAnsi="Times New Roman" w:cs="Times New Roman"/>
          <w:noProof/>
          <w:sz w:val="24"/>
          <w:szCs w:val="24"/>
          <w:lang w:val="ms-MY"/>
        </w:rPr>
        <w:t xml:space="preserve"> 14(2): 355–379.</w:t>
      </w:r>
    </w:p>
    <w:p w14:paraId="481DAC26"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Azupogo, F., Chipirah, J. &amp; Halidu, R. 2022. the Association Between Dietary Diversity and Anthropometric Indices of Children Aged 24-59 Months: a Cross-Sectional Study in Northern Ghana.</w:t>
      </w:r>
    </w:p>
    <w:p w14:paraId="356218E1"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Besnier, E. 2023. Women’s political empowerment and child health in the sustainable development era: A global empirical analysis (1990–2016). </w:t>
      </w:r>
      <w:r w:rsidRPr="002D4513">
        <w:rPr>
          <w:rFonts w:ascii="Times New Roman" w:hAnsi="Times New Roman" w:cs="Times New Roman"/>
          <w:i/>
          <w:iCs/>
          <w:noProof/>
          <w:sz w:val="24"/>
          <w:szCs w:val="24"/>
          <w:lang w:val="ms-MY"/>
        </w:rPr>
        <w:t>Global Public Health</w:t>
      </w:r>
      <w:r w:rsidRPr="002D4513">
        <w:rPr>
          <w:rFonts w:ascii="Times New Roman" w:hAnsi="Times New Roman" w:cs="Times New Roman"/>
          <w:noProof/>
          <w:sz w:val="24"/>
          <w:szCs w:val="24"/>
          <w:lang w:val="ms-MY"/>
        </w:rPr>
        <w:t xml:space="preserve"> 18(1).</w:t>
      </w:r>
    </w:p>
    <w:p w14:paraId="0F6138DF"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Boulom, S., Bon, D.M., Essink, D., Kounnavong, S. &amp; Broerse, J.E.W. 2022. Understanding Discrepancies in Nutritional Outcomes Among Under-Fives in Laos: A Mixed-Methods Study Using the Positive Deviance Approach. </w:t>
      </w:r>
      <w:r w:rsidRPr="002D4513">
        <w:rPr>
          <w:rFonts w:ascii="Times New Roman" w:hAnsi="Times New Roman" w:cs="Times New Roman"/>
          <w:i/>
          <w:iCs/>
          <w:noProof/>
          <w:sz w:val="24"/>
          <w:szCs w:val="24"/>
          <w:lang w:val="ms-MY"/>
        </w:rPr>
        <w:t>Food and Nutrition Bulletin</w:t>
      </w:r>
      <w:r w:rsidRPr="002D4513">
        <w:rPr>
          <w:rFonts w:ascii="Times New Roman" w:hAnsi="Times New Roman" w:cs="Times New Roman"/>
          <w:noProof/>
          <w:sz w:val="24"/>
          <w:szCs w:val="24"/>
          <w:lang w:val="ms-MY"/>
        </w:rPr>
        <w:t xml:space="preserve"> 43(3): 303–322.</w:t>
      </w:r>
    </w:p>
    <w:p w14:paraId="1FCF8148"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Bruzelius, C. &amp; Shutes, I. 2022. Towards an understanding of mobility in social policy research. </w:t>
      </w:r>
      <w:r w:rsidRPr="002D4513">
        <w:rPr>
          <w:rFonts w:ascii="Times New Roman" w:hAnsi="Times New Roman" w:cs="Times New Roman"/>
          <w:i/>
          <w:iCs/>
          <w:noProof/>
          <w:sz w:val="24"/>
          <w:szCs w:val="24"/>
          <w:lang w:val="ms-MY"/>
        </w:rPr>
        <w:t>Global Social Policy</w:t>
      </w:r>
      <w:r w:rsidRPr="002D4513">
        <w:rPr>
          <w:rFonts w:ascii="Times New Roman" w:hAnsi="Times New Roman" w:cs="Times New Roman"/>
          <w:noProof/>
          <w:sz w:val="24"/>
          <w:szCs w:val="24"/>
          <w:lang w:val="ms-MY"/>
        </w:rPr>
        <w:t xml:space="preserve"> 22(3): 503–520.</w:t>
      </w:r>
    </w:p>
    <w:p w14:paraId="769F5875"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Bruzelius, C. &amp; Shutes, I. 2022. Towards an understanding of mobility in social policy research. </w:t>
      </w:r>
      <w:r w:rsidRPr="002D4513">
        <w:rPr>
          <w:rFonts w:ascii="Times New Roman" w:hAnsi="Times New Roman" w:cs="Times New Roman"/>
          <w:i/>
          <w:iCs/>
          <w:noProof/>
          <w:sz w:val="24"/>
          <w:szCs w:val="24"/>
          <w:lang w:val="ms-MY"/>
        </w:rPr>
        <w:t>Global Social Policy</w:t>
      </w:r>
      <w:r w:rsidRPr="002D4513">
        <w:rPr>
          <w:rFonts w:ascii="Times New Roman" w:hAnsi="Times New Roman" w:cs="Times New Roman"/>
          <w:noProof/>
          <w:sz w:val="24"/>
          <w:szCs w:val="24"/>
          <w:lang w:val="ms-MY"/>
        </w:rPr>
        <w:t xml:space="preserve"> 22(3): 503–520.</w:t>
      </w:r>
    </w:p>
    <w:p w14:paraId="5A116E46"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Dietler, D., Farnham, A., Loss, G., Fink, G. &amp; Winkler, M.S. 2021. Impact of mining projects on water and sanitation infrastructures and associated child health outcomes: a multi-country analysis of Demographic and Health Surveis (DHS) in sub-Saharan Africa. </w:t>
      </w:r>
      <w:r w:rsidRPr="002D4513">
        <w:rPr>
          <w:rFonts w:ascii="Times New Roman" w:hAnsi="Times New Roman" w:cs="Times New Roman"/>
          <w:i/>
          <w:iCs/>
          <w:noProof/>
          <w:sz w:val="24"/>
          <w:szCs w:val="24"/>
          <w:lang w:val="ms-MY"/>
        </w:rPr>
        <w:t>Globalization and Health</w:t>
      </w:r>
      <w:r w:rsidRPr="002D4513">
        <w:rPr>
          <w:rFonts w:ascii="Times New Roman" w:hAnsi="Times New Roman" w:cs="Times New Roman"/>
          <w:noProof/>
          <w:sz w:val="24"/>
          <w:szCs w:val="24"/>
          <w:lang w:val="ms-MY"/>
        </w:rPr>
        <w:t xml:space="preserve"> 17(1): 1–16.</w:t>
      </w:r>
    </w:p>
    <w:p w14:paraId="69C05150"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Elnadif, E.A. 2020. Prevalence of malnutrition among under-five children in al-nohoud province western kordufan, sudan. </w:t>
      </w:r>
      <w:r w:rsidRPr="002D4513">
        <w:rPr>
          <w:rFonts w:ascii="Times New Roman" w:hAnsi="Times New Roman" w:cs="Times New Roman"/>
          <w:i/>
          <w:iCs/>
          <w:noProof/>
          <w:sz w:val="24"/>
          <w:szCs w:val="24"/>
          <w:lang w:val="ms-MY"/>
        </w:rPr>
        <w:t>International Journal of Public Health Science</w:t>
      </w:r>
      <w:r w:rsidRPr="002D4513">
        <w:rPr>
          <w:rFonts w:ascii="Times New Roman" w:hAnsi="Times New Roman" w:cs="Times New Roman"/>
          <w:noProof/>
          <w:sz w:val="24"/>
          <w:szCs w:val="24"/>
          <w:lang w:val="ms-MY"/>
        </w:rPr>
        <w:t xml:space="preserve"> 9(4): 352–357.</w:t>
      </w:r>
    </w:p>
    <w:p w14:paraId="11FC5AC2"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Flores-Quispe, M.D.P., Restrepo-Méndez, M.C., Maia, M.F.S., Ferreira, L.Z. &amp; Wehrmeister, F.C. 2019. Trends in socioeconomic inequalities in terbantut prevalence in Latin America and the Caribbean countries: Differences between quintiles and deciles. </w:t>
      </w:r>
      <w:r w:rsidRPr="002D4513">
        <w:rPr>
          <w:rFonts w:ascii="Times New Roman" w:hAnsi="Times New Roman" w:cs="Times New Roman"/>
          <w:i/>
          <w:iCs/>
          <w:noProof/>
          <w:sz w:val="24"/>
          <w:szCs w:val="24"/>
          <w:lang w:val="ms-MY"/>
        </w:rPr>
        <w:t>International Journal for Equity in Health</w:t>
      </w:r>
      <w:r w:rsidRPr="002D4513">
        <w:rPr>
          <w:rFonts w:ascii="Times New Roman" w:hAnsi="Times New Roman" w:cs="Times New Roman"/>
          <w:noProof/>
          <w:sz w:val="24"/>
          <w:szCs w:val="24"/>
          <w:lang w:val="ms-MY"/>
        </w:rPr>
        <w:t xml:space="preserve"> 18(1): 1–10.</w:t>
      </w:r>
    </w:p>
    <w:p w14:paraId="19327F26"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Gelli, A., Kemp, C.G., Margolies, A., Twalibu, A., Katundu, M. &amp; Levin, C. 2022. Economic evaluation of an early childhood development center–based agriculture and nutrition intervention in Malawi. </w:t>
      </w:r>
      <w:r w:rsidRPr="002D4513">
        <w:rPr>
          <w:rFonts w:ascii="Times New Roman" w:hAnsi="Times New Roman" w:cs="Times New Roman"/>
          <w:i/>
          <w:iCs/>
          <w:noProof/>
          <w:sz w:val="24"/>
          <w:szCs w:val="24"/>
          <w:lang w:val="ms-MY"/>
        </w:rPr>
        <w:t>Food Security</w:t>
      </w:r>
      <w:r w:rsidRPr="002D4513">
        <w:rPr>
          <w:rFonts w:ascii="Times New Roman" w:hAnsi="Times New Roman" w:cs="Times New Roman"/>
          <w:noProof/>
          <w:sz w:val="24"/>
          <w:szCs w:val="24"/>
          <w:lang w:val="ms-MY"/>
        </w:rPr>
        <w:t xml:space="preserve"> 14(1): 67–80.</w:t>
      </w:r>
    </w:p>
    <w:p w14:paraId="414490E6"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Githanga, D., Awiti, A., Were, F., Ngwiri, T., Nyarko, M.Y. &amp; Shellack, N. 2019. A consensus on malnutrition in Africa: A report from the micronutrient deficiency awareness forum (Nairobi 2017). </w:t>
      </w:r>
      <w:r w:rsidRPr="002D4513">
        <w:rPr>
          <w:rFonts w:ascii="Times New Roman" w:hAnsi="Times New Roman" w:cs="Times New Roman"/>
          <w:i/>
          <w:iCs/>
          <w:noProof/>
          <w:sz w:val="24"/>
          <w:szCs w:val="24"/>
          <w:lang w:val="ms-MY"/>
        </w:rPr>
        <w:t>African Journal of Food, Agriculture, Nutrition and Development</w:t>
      </w:r>
      <w:r w:rsidRPr="002D4513">
        <w:rPr>
          <w:rFonts w:ascii="Times New Roman" w:hAnsi="Times New Roman" w:cs="Times New Roman"/>
          <w:noProof/>
          <w:sz w:val="24"/>
          <w:szCs w:val="24"/>
          <w:lang w:val="ms-MY"/>
        </w:rPr>
        <w:t xml:space="preserve"> 19(2): 14277–14290.</w:t>
      </w:r>
    </w:p>
    <w:p w14:paraId="7E7794F4"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Haq, W. &amp; Abbas, F. 2022. A Multilevel Analysis of Factors Associated With Terbantut in Children Less Than 2 years Using Multiple Indicator Cluster Survei (MICS) 2017–18 of Punjab, Pakistan. </w:t>
      </w:r>
      <w:r w:rsidRPr="002D4513">
        <w:rPr>
          <w:rFonts w:ascii="Times New Roman" w:hAnsi="Times New Roman" w:cs="Times New Roman"/>
          <w:i/>
          <w:iCs/>
          <w:noProof/>
          <w:sz w:val="24"/>
          <w:szCs w:val="24"/>
          <w:lang w:val="ms-MY"/>
        </w:rPr>
        <w:t>SAGE Open</w:t>
      </w:r>
      <w:r w:rsidRPr="002D4513">
        <w:rPr>
          <w:rFonts w:ascii="Times New Roman" w:hAnsi="Times New Roman" w:cs="Times New Roman"/>
          <w:noProof/>
          <w:sz w:val="24"/>
          <w:szCs w:val="24"/>
          <w:lang w:val="ms-MY"/>
        </w:rPr>
        <w:t xml:space="preserve"> 12(2).</w:t>
      </w:r>
    </w:p>
    <w:p w14:paraId="4C9A46D5"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Haynes, E., Augustus, E., Brown, C.R., Guell, C., Iese, V., Jia, L., Morrissey, K. &amp; Unwin, N. 2022. Interventions in Small Island Developing States to improve diet, with a focus on the consumption of local, nutritious foods: A systematic review. </w:t>
      </w:r>
      <w:r w:rsidRPr="002D4513">
        <w:rPr>
          <w:rFonts w:ascii="Times New Roman" w:hAnsi="Times New Roman" w:cs="Times New Roman"/>
          <w:i/>
          <w:iCs/>
          <w:noProof/>
          <w:sz w:val="24"/>
          <w:szCs w:val="24"/>
          <w:lang w:val="ms-MY"/>
        </w:rPr>
        <w:t>BMJ Nutrition, Prevention and Health</w:t>
      </w:r>
      <w:r w:rsidRPr="002D4513">
        <w:rPr>
          <w:rFonts w:ascii="Times New Roman" w:hAnsi="Times New Roman" w:cs="Times New Roman"/>
          <w:noProof/>
          <w:sz w:val="24"/>
          <w:szCs w:val="24"/>
          <w:lang w:val="ms-MY"/>
        </w:rPr>
        <w:t xml:space="preserve"> 5(2): 243–253.</w:t>
      </w:r>
    </w:p>
    <w:p w14:paraId="559C2C53"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Huang, X., Yang, B., Liu, Q., Zhang, R., Tang, S. &amp; Story, M. 2020. Improving maternal and child nutrition in China: an analysis of nutrition policies and programs initiated during the 2000–2015 Millennium Development Goals era and implications for achieving the Sustainable Development Goals. </w:t>
      </w:r>
      <w:r w:rsidRPr="002D4513">
        <w:rPr>
          <w:rFonts w:ascii="Times New Roman" w:hAnsi="Times New Roman" w:cs="Times New Roman"/>
          <w:i/>
          <w:iCs/>
          <w:noProof/>
          <w:sz w:val="24"/>
          <w:szCs w:val="24"/>
          <w:lang w:val="ms-MY"/>
        </w:rPr>
        <w:t>Journal of Health, Population and Nutrition</w:t>
      </w:r>
      <w:r w:rsidRPr="002D4513">
        <w:rPr>
          <w:rFonts w:ascii="Times New Roman" w:hAnsi="Times New Roman" w:cs="Times New Roman"/>
          <w:noProof/>
          <w:sz w:val="24"/>
          <w:szCs w:val="24"/>
          <w:lang w:val="ms-MY"/>
        </w:rPr>
        <w:t xml:space="preserve"> 39(1): 1–13.</w:t>
      </w:r>
    </w:p>
    <w:p w14:paraId="635D48E9"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Jönsson, J.H. 2019. Servants of a ‘sinking titanic’ or actors of change? Contested identities of social workers in Sweden. </w:t>
      </w:r>
      <w:r w:rsidRPr="002D4513">
        <w:rPr>
          <w:rFonts w:ascii="Times New Roman" w:hAnsi="Times New Roman" w:cs="Times New Roman"/>
          <w:i/>
          <w:iCs/>
          <w:noProof/>
          <w:sz w:val="24"/>
          <w:szCs w:val="24"/>
          <w:lang w:val="ms-MY"/>
        </w:rPr>
        <w:t>European Journal of Social Work</w:t>
      </w:r>
      <w:r w:rsidRPr="002D4513">
        <w:rPr>
          <w:rFonts w:ascii="Times New Roman" w:hAnsi="Times New Roman" w:cs="Times New Roman"/>
          <w:noProof/>
          <w:sz w:val="24"/>
          <w:szCs w:val="24"/>
          <w:lang w:val="ms-MY"/>
        </w:rPr>
        <w:t xml:space="preserve"> 22(2): 212–224.</w:t>
      </w:r>
    </w:p>
    <w:p w14:paraId="0CC30DE8"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Kemenkes. 2023. Hasil Tinjauan Status Gizi Indonesia (SSGI) 2022. </w:t>
      </w:r>
      <w:r w:rsidRPr="002D4513">
        <w:rPr>
          <w:rFonts w:ascii="Times New Roman" w:hAnsi="Times New Roman" w:cs="Times New Roman"/>
          <w:i/>
          <w:iCs/>
          <w:noProof/>
          <w:sz w:val="24"/>
          <w:szCs w:val="24"/>
          <w:lang w:val="ms-MY"/>
        </w:rPr>
        <w:t>Kemenkes</w:t>
      </w:r>
      <w:r w:rsidRPr="002D4513">
        <w:rPr>
          <w:rFonts w:ascii="Times New Roman" w:hAnsi="Times New Roman" w:cs="Times New Roman"/>
          <w:noProof/>
          <w:sz w:val="24"/>
          <w:szCs w:val="24"/>
          <w:lang w:val="ms-MY"/>
        </w:rPr>
        <w:t>: 1–7.</w:t>
      </w:r>
    </w:p>
    <w:p w14:paraId="31F9290A"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sz w:val="24"/>
          <w:szCs w:val="24"/>
          <w:lang w:val="ms-MY"/>
        </w:rPr>
      </w:pPr>
      <w:r w:rsidRPr="002D4513">
        <w:rPr>
          <w:rFonts w:ascii="Times New Roman" w:hAnsi="Times New Roman" w:cs="Times New Roman"/>
          <w:sz w:val="24"/>
          <w:szCs w:val="24"/>
          <w:lang w:val="ms-MY"/>
        </w:rPr>
        <w:t xml:space="preserve">Kishore, S., Thomas, T., Sachdev, H., Kurpad, A. V. &amp; Webb, P. 2022. Modeling the potential impacts of improved monthly income on child kanak-kanak terbantut in India: A subnational geospatial perspective. </w:t>
      </w:r>
      <w:r w:rsidRPr="002D4513">
        <w:rPr>
          <w:rFonts w:ascii="Times New Roman" w:hAnsi="Times New Roman" w:cs="Times New Roman"/>
          <w:i/>
          <w:iCs/>
          <w:sz w:val="24"/>
          <w:szCs w:val="24"/>
          <w:lang w:val="ms-MY"/>
        </w:rPr>
        <w:t>BMJ Open</w:t>
      </w:r>
      <w:r w:rsidRPr="002D4513">
        <w:rPr>
          <w:rFonts w:ascii="Times New Roman" w:hAnsi="Times New Roman" w:cs="Times New Roman"/>
          <w:sz w:val="24"/>
          <w:szCs w:val="24"/>
          <w:lang w:val="ms-MY"/>
        </w:rPr>
        <w:t xml:space="preserve"> 12(4): 1–9.</w:t>
      </w:r>
    </w:p>
    <w:p w14:paraId="3EA84178"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Komarulzaman, A., Andoyo, R., Anna, Z., Ghina, A.A., Halim, P.R., Napitupulu, H., Karunia, M.R. &amp; Andriani, A. 2023. Achieving Zero Terbantut: A Sustainable Development Goal Interlinkage Approach at District Level. </w:t>
      </w:r>
      <w:r w:rsidRPr="002D4513">
        <w:rPr>
          <w:rFonts w:ascii="Times New Roman" w:hAnsi="Times New Roman" w:cs="Times New Roman"/>
          <w:i/>
          <w:iCs/>
          <w:noProof/>
          <w:sz w:val="24"/>
          <w:szCs w:val="24"/>
          <w:lang w:val="ms-MY"/>
        </w:rPr>
        <w:t>Sustainability (Switzerland)</w:t>
      </w:r>
      <w:r w:rsidRPr="002D4513">
        <w:rPr>
          <w:rFonts w:ascii="Times New Roman" w:hAnsi="Times New Roman" w:cs="Times New Roman"/>
          <w:noProof/>
          <w:sz w:val="24"/>
          <w:szCs w:val="24"/>
          <w:lang w:val="ms-MY"/>
        </w:rPr>
        <w:t xml:space="preserve"> 15(11).</w:t>
      </w:r>
    </w:p>
    <w:p w14:paraId="57E47474"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Koyratty, N., Ntozini, R., Mbuya, M.N.N., Jones, A.D., Schuster, R.C., Kordas, K., Li, C.S., Tavengwa, N. V., Majo, F.D., Humphrey, J. &amp; Smith, L.E. 2022. Growth and growth trajectory among infants in early life: Contributions of food insecurity and water insecurity in rural Zimbabwe. </w:t>
      </w:r>
      <w:r w:rsidRPr="002D4513">
        <w:rPr>
          <w:rFonts w:ascii="Times New Roman" w:hAnsi="Times New Roman" w:cs="Times New Roman"/>
          <w:i/>
          <w:iCs/>
          <w:noProof/>
          <w:sz w:val="24"/>
          <w:szCs w:val="24"/>
          <w:lang w:val="ms-MY"/>
        </w:rPr>
        <w:t>BMJ Nutrition, Prevention and Health</w:t>
      </w:r>
      <w:r w:rsidRPr="002D4513">
        <w:rPr>
          <w:rFonts w:ascii="Times New Roman" w:hAnsi="Times New Roman" w:cs="Times New Roman"/>
          <w:noProof/>
          <w:sz w:val="24"/>
          <w:szCs w:val="24"/>
          <w:lang w:val="ms-MY"/>
        </w:rPr>
        <w:t xml:space="preserve"> 5(2): 332–343.</w:t>
      </w:r>
    </w:p>
    <w:p w14:paraId="72547A80"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Kundan, I., Nair, R., Kulkarni, S., Deshpande, A., Jotkar, R. &amp; Phadke, M. 2021. Assessment, outcomes and implications of multiple anthropometric deficits in children. </w:t>
      </w:r>
      <w:r w:rsidRPr="002D4513">
        <w:rPr>
          <w:rFonts w:ascii="Times New Roman" w:hAnsi="Times New Roman" w:cs="Times New Roman"/>
          <w:i/>
          <w:iCs/>
          <w:noProof/>
          <w:sz w:val="24"/>
          <w:szCs w:val="24"/>
          <w:lang w:val="ms-MY"/>
        </w:rPr>
        <w:t>BMJ Nutrition, Prevention and Health</w:t>
      </w:r>
      <w:r w:rsidRPr="002D4513">
        <w:rPr>
          <w:rFonts w:ascii="Times New Roman" w:hAnsi="Times New Roman" w:cs="Times New Roman"/>
          <w:noProof/>
          <w:sz w:val="24"/>
          <w:szCs w:val="24"/>
          <w:lang w:val="ms-MY"/>
        </w:rPr>
        <w:t xml:space="preserve"> 4(1): 267–274.</w:t>
      </w:r>
    </w:p>
    <w:p w14:paraId="2DEC8413"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Kundan, I., Nair, R., Kulkarni, S., Deshpande, A., Jotkar, R. &amp; Phadke, M. 2021. Assessment, outcomes and implications of multiple anthropometric deficits in children. </w:t>
      </w:r>
      <w:r w:rsidRPr="002D4513">
        <w:rPr>
          <w:rFonts w:ascii="Times New Roman" w:hAnsi="Times New Roman" w:cs="Times New Roman"/>
          <w:i/>
          <w:iCs/>
          <w:noProof/>
          <w:sz w:val="24"/>
          <w:szCs w:val="24"/>
          <w:lang w:val="ms-MY"/>
        </w:rPr>
        <w:t>BMJ Nutrition, Prevention and Health</w:t>
      </w:r>
      <w:r w:rsidRPr="002D4513">
        <w:rPr>
          <w:rFonts w:ascii="Times New Roman" w:hAnsi="Times New Roman" w:cs="Times New Roman"/>
          <w:noProof/>
          <w:sz w:val="24"/>
          <w:szCs w:val="24"/>
          <w:lang w:val="ms-MY"/>
        </w:rPr>
        <w:t xml:space="preserve"> 4(1): 267–274.</w:t>
      </w:r>
    </w:p>
    <w:p w14:paraId="6593A53E"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Latin, V.I.I. &amp; Workshop, A. 2018. Proposal and Actions to Decrease Malnutrition in Latin America and the Caribbean. </w:t>
      </w:r>
      <w:r w:rsidRPr="002D4513">
        <w:rPr>
          <w:rFonts w:ascii="Times New Roman" w:hAnsi="Times New Roman" w:cs="Times New Roman"/>
          <w:i/>
          <w:iCs/>
          <w:noProof/>
          <w:sz w:val="24"/>
          <w:szCs w:val="24"/>
          <w:lang w:val="ms-MY"/>
        </w:rPr>
        <w:t>Food and Nutrition Bulletin</w:t>
      </w:r>
      <w:r w:rsidRPr="002D4513">
        <w:rPr>
          <w:rFonts w:ascii="Times New Roman" w:hAnsi="Times New Roman" w:cs="Times New Roman"/>
          <w:noProof/>
          <w:sz w:val="24"/>
          <w:szCs w:val="24"/>
          <w:lang w:val="ms-MY"/>
        </w:rPr>
        <w:t xml:space="preserve"> 39(2): 290–295.</w:t>
      </w:r>
    </w:p>
    <w:p w14:paraId="6C371B48"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Lauri, M. 2019. Mind your own business: technologies for governing social worker subjects. </w:t>
      </w:r>
      <w:r w:rsidRPr="002D4513">
        <w:rPr>
          <w:rFonts w:ascii="Times New Roman" w:hAnsi="Times New Roman" w:cs="Times New Roman"/>
          <w:i/>
          <w:iCs/>
          <w:noProof/>
          <w:sz w:val="24"/>
          <w:szCs w:val="24"/>
          <w:lang w:val="ms-MY"/>
        </w:rPr>
        <w:t>European Journal of Social Work</w:t>
      </w:r>
      <w:r w:rsidRPr="002D4513">
        <w:rPr>
          <w:rFonts w:ascii="Times New Roman" w:hAnsi="Times New Roman" w:cs="Times New Roman"/>
          <w:noProof/>
          <w:sz w:val="24"/>
          <w:szCs w:val="24"/>
          <w:lang w:val="ms-MY"/>
        </w:rPr>
        <w:t xml:space="preserve"> 22(2): 338–349.</w:t>
      </w:r>
    </w:p>
    <w:p w14:paraId="191E783E"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Long, E. &amp; Franklin, A.L. 2004. The paradox of implementing the government performance and results act: Top-down direction for bottom-up implementation. </w:t>
      </w:r>
      <w:r w:rsidRPr="002D4513">
        <w:rPr>
          <w:rFonts w:ascii="Times New Roman" w:hAnsi="Times New Roman" w:cs="Times New Roman"/>
          <w:i/>
          <w:iCs/>
          <w:noProof/>
          <w:sz w:val="24"/>
          <w:szCs w:val="24"/>
          <w:lang w:val="ms-MY"/>
        </w:rPr>
        <w:t>Public Administration Review</w:t>
      </w:r>
      <w:r w:rsidRPr="002D4513">
        <w:rPr>
          <w:rFonts w:ascii="Times New Roman" w:hAnsi="Times New Roman" w:cs="Times New Roman"/>
          <w:noProof/>
          <w:sz w:val="24"/>
          <w:szCs w:val="24"/>
          <w:lang w:val="ms-MY"/>
        </w:rPr>
        <w:t xml:space="preserve"> 64(3): 309–319.</w:t>
      </w:r>
    </w:p>
    <w:p w14:paraId="40F7A955"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Lukman, T.N.E., Anwar, F., Riyadi, H., Harjomidjojo, H. &amp; Martianto, D. 2022. Responsive Prediction Model of Terbantut in Toddlers in Indonesia. </w:t>
      </w:r>
      <w:r w:rsidRPr="002D4513">
        <w:rPr>
          <w:rFonts w:ascii="Times New Roman" w:hAnsi="Times New Roman" w:cs="Times New Roman"/>
          <w:i/>
          <w:iCs/>
          <w:noProof/>
          <w:sz w:val="24"/>
          <w:szCs w:val="24"/>
          <w:lang w:val="ms-MY"/>
        </w:rPr>
        <w:t>Current Research in Nutrition and Food Science</w:t>
      </w:r>
      <w:r w:rsidRPr="002D4513">
        <w:rPr>
          <w:rFonts w:ascii="Times New Roman" w:hAnsi="Times New Roman" w:cs="Times New Roman"/>
          <w:noProof/>
          <w:sz w:val="24"/>
          <w:szCs w:val="24"/>
          <w:lang w:val="ms-MY"/>
        </w:rPr>
        <w:t xml:space="preserve"> 10(1): 302–310.</w:t>
      </w:r>
    </w:p>
    <w:p w14:paraId="7827EE4D"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Manthorpe, J., Woolham, J., Steils, N., Stevens, M., Martineau, S., Owen, J. &amp; Tinelli, M. 2022. Experiences of adult social work addressing self-neglect during the Covid-19 pandemic. </w:t>
      </w:r>
      <w:r w:rsidRPr="002D4513">
        <w:rPr>
          <w:rFonts w:ascii="Times New Roman" w:hAnsi="Times New Roman" w:cs="Times New Roman"/>
          <w:i/>
          <w:iCs/>
          <w:noProof/>
          <w:sz w:val="24"/>
          <w:szCs w:val="24"/>
          <w:lang w:val="ms-MY"/>
        </w:rPr>
        <w:t>Journal of Social Work</w:t>
      </w:r>
      <w:r w:rsidRPr="002D4513">
        <w:rPr>
          <w:rFonts w:ascii="Times New Roman" w:hAnsi="Times New Roman" w:cs="Times New Roman"/>
          <w:noProof/>
          <w:sz w:val="24"/>
          <w:szCs w:val="24"/>
          <w:lang w:val="ms-MY"/>
        </w:rPr>
        <w:t xml:space="preserve"> 22(5): 1227–1240.</w:t>
      </w:r>
    </w:p>
    <w:p w14:paraId="2EEE0AAB"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Marni, M., Zulkifli, A., Thaha, R.M., Hidayanty, H., Stang, S., Syafar, M., Razak, A., Liliweri, A., Sudarmin, R.R. &amp; Picauly, I. 2023. Awareness, Motivation, and Intentions in Preventing Terbantut in the Dry Land Area of Kupang Regency, East Nusa Tenggara Province. </w:t>
      </w:r>
      <w:r w:rsidRPr="002D4513">
        <w:rPr>
          <w:rFonts w:ascii="Times New Roman" w:hAnsi="Times New Roman" w:cs="Times New Roman"/>
          <w:i/>
          <w:iCs/>
          <w:noProof/>
          <w:sz w:val="24"/>
          <w:szCs w:val="24"/>
          <w:lang w:val="ms-MY"/>
        </w:rPr>
        <w:t>International Journal of Sustainable Development and Planning</w:t>
      </w:r>
      <w:r w:rsidRPr="002D4513">
        <w:rPr>
          <w:rFonts w:ascii="Times New Roman" w:hAnsi="Times New Roman" w:cs="Times New Roman"/>
          <w:noProof/>
          <w:sz w:val="24"/>
          <w:szCs w:val="24"/>
          <w:lang w:val="ms-MY"/>
        </w:rPr>
        <w:t xml:space="preserve"> 18(1): 201–207.</w:t>
      </w:r>
    </w:p>
    <w:p w14:paraId="7D1BFDFC"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Martha, E., Nadira, N.A., Sudiarti, T., Mayangsari, A.P., Enjaini, E.F., Ryanthi, T.P. &amp; Bangun, D.E. 2020. the Empowerment of Cadres and Medicasters in the Early Detection and Prevention of Terbantut. </w:t>
      </w:r>
      <w:r w:rsidRPr="002D4513">
        <w:rPr>
          <w:rFonts w:ascii="Times New Roman" w:hAnsi="Times New Roman" w:cs="Times New Roman"/>
          <w:i/>
          <w:iCs/>
          <w:noProof/>
          <w:sz w:val="24"/>
          <w:szCs w:val="24"/>
          <w:lang w:val="ms-MY"/>
        </w:rPr>
        <w:t>Indonesian Journal of Public Health</w:t>
      </w:r>
      <w:r w:rsidRPr="002D4513">
        <w:rPr>
          <w:rFonts w:ascii="Times New Roman" w:hAnsi="Times New Roman" w:cs="Times New Roman"/>
          <w:noProof/>
          <w:sz w:val="24"/>
          <w:szCs w:val="24"/>
          <w:lang w:val="ms-MY"/>
        </w:rPr>
        <w:t xml:space="preserve"> 15(2): 156–161.</w:t>
      </w:r>
    </w:p>
    <w:p w14:paraId="35EBB1C5"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McGrath-Brookes, M., Hanley, J. &amp; Higgins, M. 2021. A Fisher-eye lens on social work reform. </w:t>
      </w:r>
      <w:r w:rsidRPr="002D4513">
        <w:rPr>
          <w:rFonts w:ascii="Times New Roman" w:hAnsi="Times New Roman" w:cs="Times New Roman"/>
          <w:i/>
          <w:iCs/>
          <w:noProof/>
          <w:sz w:val="24"/>
          <w:szCs w:val="24"/>
          <w:lang w:val="ms-MY"/>
        </w:rPr>
        <w:t>Journal of Social Work</w:t>
      </w:r>
      <w:r w:rsidRPr="002D4513">
        <w:rPr>
          <w:rFonts w:ascii="Times New Roman" w:hAnsi="Times New Roman" w:cs="Times New Roman"/>
          <w:noProof/>
          <w:sz w:val="24"/>
          <w:szCs w:val="24"/>
          <w:lang w:val="ms-MY"/>
        </w:rPr>
        <w:t xml:space="preserve"> 21(5): 1261–1277.</w:t>
      </w:r>
    </w:p>
    <w:p w14:paraId="2E0FAAE9"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Muggaga, C., Ongeng, D., Mugonola, B., Okello-Uma, I., Kaaya, N.A. &amp; Taylor, D. 2021. Seasonal Variability in Food and Nutrition Security Among Children 0-3 Years in Karamoja Sub-Region of Uganda. </w:t>
      </w:r>
      <w:r w:rsidRPr="002D4513">
        <w:rPr>
          <w:rFonts w:ascii="Times New Roman" w:hAnsi="Times New Roman" w:cs="Times New Roman"/>
          <w:i/>
          <w:iCs/>
          <w:noProof/>
          <w:sz w:val="24"/>
          <w:szCs w:val="24"/>
          <w:lang w:val="ms-MY"/>
        </w:rPr>
        <w:t>African Journal of Food, Agriculture, Nutrition and Development</w:t>
      </w:r>
      <w:r w:rsidRPr="002D4513">
        <w:rPr>
          <w:rFonts w:ascii="Times New Roman" w:hAnsi="Times New Roman" w:cs="Times New Roman"/>
          <w:noProof/>
          <w:sz w:val="24"/>
          <w:szCs w:val="24"/>
          <w:lang w:val="ms-MY"/>
        </w:rPr>
        <w:t xml:space="preserve"> 21(8): 18474–18500.</w:t>
      </w:r>
    </w:p>
    <w:p w14:paraId="2A1C660B"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Panigoro. 2020. Usaha Pencegahan Dan Penanggulangan Terbantut Pada Balita Di Wilayah Kerja Puskesmas Tilongkabila. </w:t>
      </w:r>
      <w:r w:rsidRPr="002D4513">
        <w:rPr>
          <w:rFonts w:ascii="Times New Roman" w:hAnsi="Times New Roman" w:cs="Times New Roman"/>
          <w:i/>
          <w:iCs/>
          <w:noProof/>
          <w:sz w:val="24"/>
          <w:szCs w:val="24"/>
          <w:lang w:val="ms-MY"/>
        </w:rPr>
        <w:t>Jurnal Ilmu Kesihatan dan Gizi</w:t>
      </w:r>
      <w:r w:rsidRPr="002D4513">
        <w:rPr>
          <w:rFonts w:ascii="Times New Roman" w:hAnsi="Times New Roman" w:cs="Times New Roman"/>
          <w:noProof/>
          <w:sz w:val="24"/>
          <w:szCs w:val="24"/>
          <w:lang w:val="ms-MY"/>
        </w:rPr>
        <w:t xml:space="preserve"> 1(1): 79–91.</w:t>
      </w:r>
    </w:p>
    <w:p w14:paraId="1E836CB8"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Park, T.I. &amp; Yang, D.H. 2020. Social work in the social distancing era in Korea: A reflective essay. </w:t>
      </w:r>
      <w:r w:rsidRPr="002D4513">
        <w:rPr>
          <w:rFonts w:ascii="Times New Roman" w:hAnsi="Times New Roman" w:cs="Times New Roman"/>
          <w:i/>
          <w:iCs/>
          <w:noProof/>
          <w:sz w:val="24"/>
          <w:szCs w:val="24"/>
          <w:lang w:val="ms-MY"/>
        </w:rPr>
        <w:t>International Social Work</w:t>
      </w:r>
      <w:r w:rsidRPr="002D4513">
        <w:rPr>
          <w:rFonts w:ascii="Times New Roman" w:hAnsi="Times New Roman" w:cs="Times New Roman"/>
          <w:noProof/>
          <w:sz w:val="24"/>
          <w:szCs w:val="24"/>
          <w:lang w:val="ms-MY"/>
        </w:rPr>
        <w:t xml:space="preserve"> 63(6): 830–832.</w:t>
      </w:r>
    </w:p>
    <w:p w14:paraId="32EE9594"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sz w:val="24"/>
          <w:szCs w:val="24"/>
          <w:lang w:val="ms-MY"/>
        </w:rPr>
      </w:pPr>
      <w:bookmarkStart w:id="6" w:name="_Hlk180692957"/>
      <w:r w:rsidRPr="002D4513">
        <w:rPr>
          <w:rFonts w:ascii="Times New Roman" w:hAnsi="Times New Roman" w:cs="Times New Roman"/>
          <w:sz w:val="24"/>
          <w:szCs w:val="24"/>
          <w:lang w:val="ms-MY"/>
        </w:rPr>
        <w:t xml:space="preserve">Prasetya, L.K.B. 2024. Cabaran Menuju Prevelensi Kanak-kanak terbantut 14 peratus: Mengapa Penurunan Prevalensi Kanak-kanak terbantut Dalam 2 Tahun Terakhir (Tahun 2021 dan 2022) Sangat Kecil di Indonesia. </w:t>
      </w:r>
      <w:r w:rsidRPr="002D4513">
        <w:rPr>
          <w:rFonts w:ascii="Times New Roman" w:hAnsi="Times New Roman" w:cs="Times New Roman"/>
          <w:i/>
          <w:iCs/>
          <w:sz w:val="24"/>
          <w:szCs w:val="24"/>
          <w:lang w:val="ms-MY"/>
        </w:rPr>
        <w:t>Jurnal Keluarga Berencana</w:t>
      </w:r>
      <w:r w:rsidRPr="002D4513">
        <w:rPr>
          <w:rFonts w:ascii="Times New Roman" w:hAnsi="Times New Roman" w:cs="Times New Roman"/>
          <w:sz w:val="24"/>
          <w:szCs w:val="24"/>
          <w:lang w:val="ms-MY"/>
        </w:rPr>
        <w:t>.</w:t>
      </w:r>
    </w:p>
    <w:bookmarkEnd w:id="6"/>
    <w:p w14:paraId="05ED143A"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Prasetyo, A., Noviana, N., Rosdiana, W., Anwar, M.A., Hartiningsih, Hendrixon, Harwijayanti, B.P. &amp; Fahlevi, M. 2023. Terbantut Convergence Management Framework through System Integration Based on Regional Service Governance. </w:t>
      </w:r>
      <w:r w:rsidRPr="002D4513">
        <w:rPr>
          <w:rFonts w:ascii="Times New Roman" w:hAnsi="Times New Roman" w:cs="Times New Roman"/>
          <w:i/>
          <w:iCs/>
          <w:noProof/>
          <w:sz w:val="24"/>
          <w:szCs w:val="24"/>
          <w:lang w:val="ms-MY"/>
        </w:rPr>
        <w:t>Sustainability (Switzerland)</w:t>
      </w:r>
      <w:r w:rsidRPr="002D4513">
        <w:rPr>
          <w:rFonts w:ascii="Times New Roman" w:hAnsi="Times New Roman" w:cs="Times New Roman"/>
          <w:noProof/>
          <w:sz w:val="24"/>
          <w:szCs w:val="24"/>
          <w:lang w:val="ms-MY"/>
        </w:rPr>
        <w:t xml:space="preserve"> 15(3).</w:t>
      </w:r>
    </w:p>
    <w:p w14:paraId="732DB727"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Purwanti, R. &amp; Nurfita, D. 2019. Review Literatur: Analisis Determinan Sosio Demografi Kejadian Terbantut Pada Balita di Pelbagai Negara Berkembang. </w:t>
      </w:r>
      <w:r w:rsidRPr="002D4513">
        <w:rPr>
          <w:rFonts w:ascii="Times New Roman" w:hAnsi="Times New Roman" w:cs="Times New Roman"/>
          <w:i/>
          <w:iCs/>
          <w:noProof/>
          <w:sz w:val="24"/>
          <w:szCs w:val="24"/>
          <w:lang w:val="ms-MY"/>
        </w:rPr>
        <w:t>Buletin Penelitian Kesihatan</w:t>
      </w:r>
      <w:r w:rsidRPr="002D4513">
        <w:rPr>
          <w:rFonts w:ascii="Times New Roman" w:hAnsi="Times New Roman" w:cs="Times New Roman"/>
          <w:noProof/>
          <w:sz w:val="24"/>
          <w:szCs w:val="24"/>
          <w:lang w:val="ms-MY"/>
        </w:rPr>
        <w:t xml:space="preserve"> 47(3): 153–164.</w:t>
      </w:r>
    </w:p>
    <w:p w14:paraId="3BD85B50"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Roediger, R., Taylor Hendrixson, D. &amp; Manary, M.J. 2020. A roadmap to reduce terbantut. </w:t>
      </w:r>
      <w:r w:rsidRPr="002D4513">
        <w:rPr>
          <w:rFonts w:ascii="Times New Roman" w:hAnsi="Times New Roman" w:cs="Times New Roman"/>
          <w:i/>
          <w:iCs/>
          <w:noProof/>
          <w:sz w:val="24"/>
          <w:szCs w:val="24"/>
          <w:lang w:val="ms-MY"/>
        </w:rPr>
        <w:t>American Journal of Clinical Nutrition</w:t>
      </w:r>
      <w:r w:rsidRPr="002D4513">
        <w:rPr>
          <w:rFonts w:ascii="Times New Roman" w:hAnsi="Times New Roman" w:cs="Times New Roman"/>
          <w:noProof/>
          <w:sz w:val="24"/>
          <w:szCs w:val="24"/>
          <w:lang w:val="ms-MY"/>
        </w:rPr>
        <w:t xml:space="preserve"> 112: 773S-776S.</w:t>
      </w:r>
    </w:p>
    <w:p w14:paraId="7633E78C"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Sampurno, M. 2022. Tekan Kasus Terbantut Baru di 4 Kecamatan, Bayi dan Ibu Hamil Risiko Tinggi. </w:t>
      </w:r>
      <w:r w:rsidRPr="002D4513">
        <w:rPr>
          <w:rFonts w:ascii="Times New Roman" w:hAnsi="Times New Roman" w:cs="Times New Roman"/>
          <w:i/>
          <w:iCs/>
          <w:noProof/>
          <w:sz w:val="24"/>
          <w:szCs w:val="24"/>
          <w:lang w:val="ms-MY"/>
        </w:rPr>
        <w:t>Jawa Post Radar Malang</w:t>
      </w:r>
      <w:r w:rsidRPr="002D4513">
        <w:rPr>
          <w:rFonts w:ascii="Times New Roman" w:hAnsi="Times New Roman" w:cs="Times New Roman"/>
          <w:noProof/>
          <w:sz w:val="24"/>
          <w:szCs w:val="24"/>
          <w:lang w:val="ms-MY"/>
        </w:rPr>
        <w:t>. Kabupaten Malang.</w:t>
      </w:r>
    </w:p>
    <w:p w14:paraId="4046DDBF"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Sen, L.C., Ahmed, M.S., Touhiduzzaman, A.S.M., Mandal, S., Ahmed, A.H.T., Das, S.K. &amp; Saha, R. 2020. Nutritional status of under-five children in rural Bangladesh. </w:t>
      </w:r>
      <w:r w:rsidRPr="002D4513">
        <w:rPr>
          <w:rFonts w:ascii="Times New Roman" w:hAnsi="Times New Roman" w:cs="Times New Roman"/>
          <w:i/>
          <w:iCs/>
          <w:noProof/>
          <w:sz w:val="24"/>
          <w:szCs w:val="24"/>
          <w:lang w:val="ms-MY"/>
        </w:rPr>
        <w:t>International Journal of Public Health Science</w:t>
      </w:r>
      <w:r w:rsidRPr="002D4513">
        <w:rPr>
          <w:rFonts w:ascii="Times New Roman" w:hAnsi="Times New Roman" w:cs="Times New Roman"/>
          <w:noProof/>
          <w:sz w:val="24"/>
          <w:szCs w:val="24"/>
          <w:lang w:val="ms-MY"/>
        </w:rPr>
        <w:t xml:space="preserve"> 9(3): 205–210.</w:t>
      </w:r>
    </w:p>
    <w:p w14:paraId="79B5B3D6"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sz w:val="24"/>
          <w:szCs w:val="24"/>
          <w:lang w:val="ms-MY"/>
        </w:rPr>
      </w:pPr>
      <w:r w:rsidRPr="002D4513">
        <w:rPr>
          <w:rFonts w:ascii="Times New Roman" w:hAnsi="Times New Roman" w:cs="Times New Roman"/>
          <w:sz w:val="24"/>
          <w:szCs w:val="24"/>
          <w:lang w:val="ms-MY"/>
        </w:rPr>
        <w:t xml:space="preserve">Sufri, S., Nurhasanah, Jannah, M., Dewi, T.P., Sirasa, F. &amp; Bakri, S. 2023. Child Kanak-kanak terbantut Reduction in Aceh Province: Challenges and a Way Ahead. </w:t>
      </w:r>
      <w:r w:rsidRPr="002D4513">
        <w:rPr>
          <w:rFonts w:ascii="Times New Roman" w:hAnsi="Times New Roman" w:cs="Times New Roman"/>
          <w:i/>
          <w:iCs/>
          <w:sz w:val="24"/>
          <w:szCs w:val="24"/>
          <w:lang w:val="ms-MY"/>
        </w:rPr>
        <w:t>Maternal and Child Health Journal</w:t>
      </w:r>
      <w:r w:rsidRPr="002D4513">
        <w:rPr>
          <w:rFonts w:ascii="Times New Roman" w:hAnsi="Times New Roman" w:cs="Times New Roman"/>
          <w:sz w:val="24"/>
          <w:szCs w:val="24"/>
          <w:lang w:val="ms-MY"/>
        </w:rPr>
        <w:t xml:space="preserve"> 27(5): 888–901.</w:t>
      </w:r>
    </w:p>
    <w:p w14:paraId="4AC11593"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Sugianto, M.A., Suyasa, I.K., Weta, I.W., Lestari, A.A.W., Bakta, I.M., Wirjatmadi, B., Jawi, I.M., Wirawan, I.M.A. &amp; Januraga, P.P. 2022. Determinant Factors Related to Decreasing Terbantut Rates in Garbasari Village, Badung Regency, Bali Province. </w:t>
      </w:r>
      <w:r w:rsidRPr="002D4513">
        <w:rPr>
          <w:rFonts w:ascii="Times New Roman" w:hAnsi="Times New Roman" w:cs="Times New Roman"/>
          <w:i/>
          <w:iCs/>
          <w:noProof/>
          <w:sz w:val="24"/>
          <w:szCs w:val="24"/>
          <w:lang w:val="ms-MY"/>
        </w:rPr>
        <w:t>Universal Journal of Public Health</w:t>
      </w:r>
      <w:r w:rsidRPr="002D4513">
        <w:rPr>
          <w:rFonts w:ascii="Times New Roman" w:hAnsi="Times New Roman" w:cs="Times New Roman"/>
          <w:noProof/>
          <w:sz w:val="24"/>
          <w:szCs w:val="24"/>
          <w:lang w:val="ms-MY"/>
        </w:rPr>
        <w:t xml:space="preserve"> 10(6): 627–632.</w:t>
      </w:r>
    </w:p>
    <w:p w14:paraId="6C65738E"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Suryani, K., Rini, M.T., Hardika, B.D. &amp; Widiastari, N.K. 2023. Analisis Pihak Penyebab Kejadian Terbantut. </w:t>
      </w:r>
      <w:r w:rsidRPr="002D4513">
        <w:rPr>
          <w:rFonts w:ascii="Times New Roman" w:hAnsi="Times New Roman" w:cs="Times New Roman"/>
          <w:i/>
          <w:iCs/>
          <w:noProof/>
          <w:sz w:val="24"/>
          <w:szCs w:val="24"/>
          <w:lang w:val="ms-MY"/>
        </w:rPr>
        <w:t>Jurnal Keperawatan Florence Nightingale</w:t>
      </w:r>
      <w:r w:rsidRPr="002D4513">
        <w:rPr>
          <w:rFonts w:ascii="Times New Roman" w:hAnsi="Times New Roman" w:cs="Times New Roman"/>
          <w:noProof/>
          <w:sz w:val="24"/>
          <w:szCs w:val="24"/>
          <w:lang w:val="ms-MY"/>
        </w:rPr>
        <w:t xml:space="preserve"> 6(1): 8–12.</w:t>
      </w:r>
    </w:p>
    <w:p w14:paraId="0B0EEF8C"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Terfa, Z.G., Ahmed, S., Khan, J. &amp; Niessen, L.W. 2022. Household Microenvironment and Under-Fives Health Outcomes in Uganda: Focusing on Multidimensional Energy Poverty and Women Empowerment Indices. </w:t>
      </w:r>
      <w:r w:rsidRPr="002D4513">
        <w:rPr>
          <w:rFonts w:ascii="Times New Roman" w:hAnsi="Times New Roman" w:cs="Times New Roman"/>
          <w:i/>
          <w:iCs/>
          <w:noProof/>
          <w:sz w:val="24"/>
          <w:szCs w:val="24"/>
          <w:lang w:val="ms-MY"/>
        </w:rPr>
        <w:t>International Journal of Environmental Research and Public Health</w:t>
      </w:r>
      <w:r w:rsidRPr="002D4513">
        <w:rPr>
          <w:rFonts w:ascii="Times New Roman" w:hAnsi="Times New Roman" w:cs="Times New Roman"/>
          <w:noProof/>
          <w:sz w:val="24"/>
          <w:szCs w:val="24"/>
          <w:lang w:val="ms-MY"/>
        </w:rPr>
        <w:t xml:space="preserve"> 19(11): 1–17.</w:t>
      </w:r>
    </w:p>
    <w:p w14:paraId="57088322"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Thelin, A. 2021. Care Ethics for Supported Decision-making. A Narrative Policy Analysis Regarding Social Work in Cases of Dementia and Self-neglect. </w:t>
      </w:r>
      <w:r w:rsidRPr="002D4513">
        <w:rPr>
          <w:rFonts w:ascii="Times New Roman" w:hAnsi="Times New Roman" w:cs="Times New Roman"/>
          <w:i/>
          <w:iCs/>
          <w:noProof/>
          <w:sz w:val="24"/>
          <w:szCs w:val="24"/>
          <w:lang w:val="ms-MY"/>
        </w:rPr>
        <w:t>Ethics and Social Welfare</w:t>
      </w:r>
      <w:r w:rsidRPr="002D4513">
        <w:rPr>
          <w:rFonts w:ascii="Times New Roman" w:hAnsi="Times New Roman" w:cs="Times New Roman"/>
          <w:noProof/>
          <w:sz w:val="24"/>
          <w:szCs w:val="24"/>
          <w:lang w:val="ms-MY"/>
        </w:rPr>
        <w:t xml:space="preserve"> 15(2): 167–184.</w:t>
      </w:r>
    </w:p>
    <w:p w14:paraId="7C9B8ECF"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Turtiainen, J., Anttila, E. &amp; Väänänen, A. 2022. Social work, emotion management and the transformation of the welfare state. </w:t>
      </w:r>
      <w:r w:rsidRPr="002D4513">
        <w:rPr>
          <w:rFonts w:ascii="Times New Roman" w:hAnsi="Times New Roman" w:cs="Times New Roman"/>
          <w:i/>
          <w:iCs/>
          <w:noProof/>
          <w:sz w:val="24"/>
          <w:szCs w:val="24"/>
          <w:lang w:val="ms-MY"/>
        </w:rPr>
        <w:t>Journal of Social Work</w:t>
      </w:r>
      <w:r w:rsidRPr="002D4513">
        <w:rPr>
          <w:rFonts w:ascii="Times New Roman" w:hAnsi="Times New Roman" w:cs="Times New Roman"/>
          <w:noProof/>
          <w:sz w:val="24"/>
          <w:szCs w:val="24"/>
          <w:lang w:val="ms-MY"/>
        </w:rPr>
        <w:t xml:space="preserve"> 22(1): 68–86.</w:t>
      </w:r>
    </w:p>
    <w:p w14:paraId="76C284C5"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UNICEF, WHO &amp; World Bank. 2020. Levels And Trends Child Malnutrition: Key Findings Of The 2020 Edition of the Joint Child Malnutrition Estimate. </w:t>
      </w:r>
      <w:r w:rsidRPr="002D4513">
        <w:rPr>
          <w:rFonts w:ascii="Times New Roman" w:hAnsi="Times New Roman" w:cs="Times New Roman"/>
          <w:i/>
          <w:iCs/>
          <w:noProof/>
          <w:sz w:val="24"/>
          <w:szCs w:val="24"/>
          <w:lang w:val="ms-MY"/>
        </w:rPr>
        <w:t>Geneva: WHO</w:t>
      </w:r>
      <w:r w:rsidRPr="002D4513">
        <w:rPr>
          <w:rFonts w:ascii="Times New Roman" w:hAnsi="Times New Roman" w:cs="Times New Roman"/>
          <w:noProof/>
          <w:sz w:val="24"/>
          <w:szCs w:val="24"/>
          <w:lang w:val="ms-MY"/>
        </w:rPr>
        <w:t xml:space="preserve"> 24(2): 1–16.</w:t>
      </w:r>
    </w:p>
    <w:p w14:paraId="1F6C7739"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United Nations. 2015. General Assembly. </w:t>
      </w:r>
      <w:r w:rsidRPr="002D4513">
        <w:rPr>
          <w:rFonts w:ascii="Times New Roman" w:hAnsi="Times New Roman" w:cs="Times New Roman"/>
          <w:i/>
          <w:iCs/>
          <w:noProof/>
          <w:sz w:val="24"/>
          <w:szCs w:val="24"/>
          <w:lang w:val="ms-MY"/>
        </w:rPr>
        <w:t>General Assembly</w:t>
      </w:r>
      <w:r w:rsidRPr="002D4513">
        <w:rPr>
          <w:rFonts w:ascii="Times New Roman" w:hAnsi="Times New Roman" w:cs="Times New Roman"/>
          <w:noProof/>
          <w:sz w:val="24"/>
          <w:szCs w:val="24"/>
          <w:lang w:val="ms-MY"/>
        </w:rPr>
        <w:t xml:space="preserve"> 7.</w:t>
      </w:r>
    </w:p>
    <w:p w14:paraId="1F2690B6"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Valeriani, D., Prihardini Wibawa, D., Safitri, R. &amp; Apriyadi, R. 2022. Menuju Zero Terbantut Tahun 2023 Gerakan Pencegahan Dini Terbantut Melalui Edukasi pada Remaja di Kabupaten Bangka. </w:t>
      </w:r>
      <w:r w:rsidRPr="002D4513">
        <w:rPr>
          <w:rFonts w:ascii="Times New Roman" w:hAnsi="Times New Roman" w:cs="Times New Roman"/>
          <w:i/>
          <w:iCs/>
          <w:noProof/>
          <w:sz w:val="24"/>
          <w:szCs w:val="24"/>
          <w:lang w:val="ms-MY"/>
        </w:rPr>
        <w:t>Jurnal Pustaka Mitra (Pusat Akses Kajian Mengabdi Terhadap Masyarakat)</w:t>
      </w:r>
      <w:r w:rsidRPr="002D4513">
        <w:rPr>
          <w:rFonts w:ascii="Times New Roman" w:hAnsi="Times New Roman" w:cs="Times New Roman"/>
          <w:noProof/>
          <w:sz w:val="24"/>
          <w:szCs w:val="24"/>
          <w:lang w:val="ms-MY"/>
        </w:rPr>
        <w:t xml:space="preserve"> 2(2): 84–88.</w:t>
      </w:r>
    </w:p>
    <w:p w14:paraId="258A6924"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Yu, S.W.K., Lo, I.P.Y. &amp; Chau, R.C.M. 2023. Rethinking the residual policy response: Lessons from Hong Kong older women’s responses to the COVID-19 pandemic. </w:t>
      </w:r>
      <w:r w:rsidRPr="002D4513">
        <w:rPr>
          <w:rFonts w:ascii="Times New Roman" w:hAnsi="Times New Roman" w:cs="Times New Roman"/>
          <w:i/>
          <w:iCs/>
          <w:noProof/>
          <w:sz w:val="24"/>
          <w:szCs w:val="24"/>
          <w:lang w:val="ms-MY"/>
        </w:rPr>
        <w:t>International Social Work</w:t>
      </w:r>
      <w:r w:rsidRPr="002D4513">
        <w:rPr>
          <w:rFonts w:ascii="Times New Roman" w:hAnsi="Times New Roman" w:cs="Times New Roman"/>
          <w:noProof/>
          <w:sz w:val="24"/>
          <w:szCs w:val="24"/>
          <w:lang w:val="ms-MY"/>
        </w:rPr>
        <w:t xml:space="preserve"> 66(2): 534–546.</w:t>
      </w:r>
    </w:p>
    <w:p w14:paraId="49F04772"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r w:rsidRPr="002D4513">
        <w:rPr>
          <w:rFonts w:ascii="Times New Roman" w:hAnsi="Times New Roman" w:cs="Times New Roman"/>
          <w:noProof/>
          <w:sz w:val="24"/>
          <w:szCs w:val="24"/>
          <w:lang w:val="ms-MY"/>
        </w:rPr>
        <w:t xml:space="preserve">Yuda, T.K., Pratiyudha, P.P. &amp; Kafaa, K.A. 2023. Managing social policy in the emerging welfare regime of governance: What Indonesia can learn from South Korea’s experience. </w:t>
      </w:r>
      <w:r w:rsidRPr="002D4513">
        <w:rPr>
          <w:rFonts w:ascii="Times New Roman" w:hAnsi="Times New Roman" w:cs="Times New Roman"/>
          <w:i/>
          <w:iCs/>
          <w:noProof/>
          <w:sz w:val="24"/>
          <w:szCs w:val="24"/>
          <w:lang w:val="ms-MY"/>
        </w:rPr>
        <w:t>International Social Work</w:t>
      </w:r>
      <w:r w:rsidRPr="002D4513">
        <w:rPr>
          <w:rFonts w:ascii="Times New Roman" w:hAnsi="Times New Roman" w:cs="Times New Roman"/>
          <w:noProof/>
          <w:sz w:val="24"/>
          <w:szCs w:val="24"/>
          <w:lang w:val="ms-MY"/>
        </w:rPr>
        <w:t xml:space="preserve"> 66(2): 357–372.</w:t>
      </w:r>
    </w:p>
    <w:p w14:paraId="21F1B130" w14:textId="77777777" w:rsidR="00123FC1" w:rsidRPr="002D4513" w:rsidRDefault="00123FC1" w:rsidP="00123FC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p>
    <w:p w14:paraId="425D6191" w14:textId="77777777" w:rsidR="00871585" w:rsidRPr="002D4513" w:rsidRDefault="00871585" w:rsidP="00FE19D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ms-MY"/>
        </w:rPr>
      </w:pPr>
    </w:p>
    <w:sectPr w:rsidR="00871585" w:rsidRPr="002D4513" w:rsidSect="00BF642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0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E5A45" w14:textId="77777777" w:rsidR="000D2AF7" w:rsidRDefault="000D2AF7" w:rsidP="0003331C">
      <w:pPr>
        <w:spacing w:after="0" w:line="240" w:lineRule="auto"/>
      </w:pPr>
      <w:r>
        <w:separator/>
      </w:r>
    </w:p>
  </w:endnote>
  <w:endnote w:type="continuationSeparator" w:id="0">
    <w:p w14:paraId="004776F1" w14:textId="77777777" w:rsidR="000D2AF7" w:rsidRDefault="000D2AF7" w:rsidP="0003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9A1B1" w14:textId="77777777" w:rsidR="00CF50D1" w:rsidRDefault="00CF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8FA03" w14:textId="77777777" w:rsidR="00D7505C" w:rsidRDefault="00D7505C" w:rsidP="00D7505C">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p w14:paraId="3D7901E7" w14:textId="23E70BC6" w:rsidR="00D7505C" w:rsidRDefault="00D75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62D5" w14:textId="77777777" w:rsidR="00CF50D1" w:rsidRDefault="00CF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DC239" w14:textId="77777777" w:rsidR="000D2AF7" w:rsidRDefault="000D2AF7" w:rsidP="0003331C">
      <w:pPr>
        <w:spacing w:after="0" w:line="240" w:lineRule="auto"/>
      </w:pPr>
      <w:r>
        <w:separator/>
      </w:r>
    </w:p>
  </w:footnote>
  <w:footnote w:type="continuationSeparator" w:id="0">
    <w:p w14:paraId="25A40063" w14:textId="77777777" w:rsidR="000D2AF7" w:rsidRDefault="000D2AF7" w:rsidP="00033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A8967" w14:textId="627FC81B" w:rsidR="00D7505C" w:rsidRPr="00D7505C" w:rsidRDefault="00D7505C" w:rsidP="00D7505C">
    <w:pPr>
      <w:tabs>
        <w:tab w:val="right" w:pos="10466"/>
      </w:tabs>
      <w:rPr>
        <w:rFonts w:ascii="Times New Roman" w:hAnsi="Times New Roman" w:cs="Times New Roman"/>
        <w:sz w:val="16"/>
        <w:szCs w:val="16"/>
      </w:rPr>
    </w:pPr>
    <w:r w:rsidRPr="00D7505C">
      <w:rPr>
        <w:rFonts w:ascii="Times New Roman" w:hAnsi="Times New Roman" w:cs="Times New Roman"/>
        <w:i/>
        <w:sz w:val="16"/>
        <w:szCs w:val="16"/>
      </w:rPr>
      <w:t>e-Bangi: Journal of Social Sciences &amp; Humanities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2A4E" w14:textId="77777777" w:rsidR="00BF6429" w:rsidRPr="00D7505C" w:rsidRDefault="00BF6429" w:rsidP="00BF6429">
    <w:pPr>
      <w:tabs>
        <w:tab w:val="right" w:pos="10466"/>
      </w:tabs>
      <w:rPr>
        <w:rFonts w:ascii="Times New Roman" w:hAnsi="Times New Roman" w:cs="Times New Roman"/>
        <w:sz w:val="16"/>
        <w:szCs w:val="16"/>
      </w:rPr>
    </w:pPr>
    <w:r w:rsidRPr="00D7505C">
      <w:rPr>
        <w:rFonts w:ascii="Times New Roman" w:hAnsi="Times New Roman" w:cs="Times New Roman"/>
        <w:i/>
        <w:sz w:val="16"/>
        <w:szCs w:val="16"/>
      </w:rPr>
      <w:t>e-Bangi: Journal of Social Sciences &amp; Humanities</w:t>
    </w:r>
  </w:p>
  <w:p w14:paraId="00E6AA34" w14:textId="77777777" w:rsidR="0003331C" w:rsidRDefault="00033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23"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4668"/>
      <w:gridCol w:w="5755"/>
    </w:tblGrid>
    <w:tr w:rsidR="00172CC9" w14:paraId="139A09FB" w14:textId="77777777" w:rsidTr="00F518F8">
      <w:trPr>
        <w:trHeight w:val="536"/>
        <w:jc w:val="center"/>
      </w:trPr>
      <w:tc>
        <w:tcPr>
          <w:tcW w:w="4668" w:type="dxa"/>
          <w:shd w:val="clear" w:color="auto" w:fill="auto"/>
        </w:tcPr>
        <w:p w14:paraId="432A6FF6" w14:textId="77777777" w:rsidR="00172CC9" w:rsidRDefault="00172CC9" w:rsidP="00172CC9">
          <w:pPr>
            <w:pBdr>
              <w:top w:val="nil"/>
              <w:left w:val="nil"/>
              <w:bottom w:val="none" w:sz="0" w:space="0" w:color="000000"/>
              <w:right w:val="nil"/>
              <w:between w:val="nil"/>
            </w:pBdr>
            <w:tabs>
              <w:tab w:val="right" w:pos="4452"/>
            </w:tabs>
            <w:rPr>
              <w:b/>
            </w:rPr>
          </w:pPr>
          <w:r>
            <w:rPr>
              <w:noProof/>
            </w:rPr>
            <w:drawing>
              <wp:anchor distT="0" distB="0" distL="114300" distR="114300" simplePos="0" relativeHeight="251660288" behindDoc="0" locked="0" layoutInCell="1" hidden="0" allowOverlap="1" wp14:anchorId="177DA938" wp14:editId="4AD18450">
                <wp:simplePos x="0" y="0"/>
                <wp:positionH relativeFrom="column">
                  <wp:posOffset>-2207260</wp:posOffset>
                </wp:positionH>
                <wp:positionV relativeFrom="paragraph">
                  <wp:posOffset>87630</wp:posOffset>
                </wp:positionV>
                <wp:extent cx="4592158" cy="398145"/>
                <wp:effectExtent l="0" t="0" r="0" b="1905"/>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7" b="12644"/>
                        <a:stretch>
                          <a:fillRect/>
                        </a:stretch>
                      </pic:blipFill>
                      <pic:spPr>
                        <a:xfrm>
                          <a:off x="0" y="0"/>
                          <a:ext cx="4592158" cy="398145"/>
                        </a:xfrm>
                        <a:prstGeom prst="rect">
                          <a:avLst/>
                        </a:prstGeom>
                        <a:ln/>
                      </pic:spPr>
                    </pic:pic>
                  </a:graphicData>
                </a:graphic>
                <wp14:sizeRelH relativeFrom="margin">
                  <wp14:pctWidth>0</wp14:pctWidth>
                </wp14:sizeRelH>
              </wp:anchor>
            </w:drawing>
          </w:r>
          <w:r>
            <w:rPr>
              <w:b/>
            </w:rPr>
            <w:tab/>
          </w:r>
        </w:p>
      </w:tc>
      <w:tc>
        <w:tcPr>
          <w:tcW w:w="5755" w:type="dxa"/>
          <w:shd w:val="clear" w:color="auto" w:fill="auto"/>
        </w:tcPr>
        <w:p w14:paraId="4E15F96C" w14:textId="77777777" w:rsidR="00172CC9" w:rsidRDefault="00172CC9" w:rsidP="00172CC9">
          <w:pPr>
            <w:pBdr>
              <w:top w:val="nil"/>
              <w:left w:val="nil"/>
              <w:bottom w:val="none" w:sz="0" w:space="0" w:color="000000"/>
              <w:right w:val="nil"/>
              <w:between w:val="nil"/>
            </w:pBdr>
            <w:tabs>
              <w:tab w:val="left" w:pos="1236"/>
            </w:tabs>
            <w:rPr>
              <w:color w:val="FFFFFF"/>
              <w:sz w:val="20"/>
              <w:szCs w:val="20"/>
            </w:rPr>
          </w:pPr>
          <w:r>
            <w:rPr>
              <w:color w:val="FFFFFF"/>
              <w:sz w:val="20"/>
              <w:szCs w:val="20"/>
            </w:rPr>
            <w:tab/>
          </w:r>
        </w:p>
        <w:p w14:paraId="3C0E81E5" w14:textId="77777777" w:rsidR="00172CC9" w:rsidRDefault="00172CC9" w:rsidP="00172CC9">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23635D9C" w14:textId="77777777" w:rsidR="00CF50D1" w:rsidRDefault="00CF5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1033A"/>
    <w:multiLevelType w:val="hybridMultilevel"/>
    <w:tmpl w:val="AC7EF0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4DB2E80"/>
    <w:multiLevelType w:val="hybridMultilevel"/>
    <w:tmpl w:val="AC7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004025"/>
    <w:multiLevelType w:val="hybridMultilevel"/>
    <w:tmpl w:val="183AEE4E"/>
    <w:lvl w:ilvl="0" w:tplc="DD580D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544EBF"/>
    <w:multiLevelType w:val="hybridMultilevel"/>
    <w:tmpl w:val="AC7EF0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yNDMzszA2MzA2NLVQ0lEKTi0uzszPAykwrAUArjXzYCwAAAA="/>
  </w:docVars>
  <w:rsids>
    <w:rsidRoot w:val="0032520D"/>
    <w:rsid w:val="00006AEE"/>
    <w:rsid w:val="0003331C"/>
    <w:rsid w:val="00055682"/>
    <w:rsid w:val="00095024"/>
    <w:rsid w:val="000972B5"/>
    <w:rsid w:val="000A795E"/>
    <w:rsid w:val="000B5AF7"/>
    <w:rsid w:val="000D2AF7"/>
    <w:rsid w:val="000D78EB"/>
    <w:rsid w:val="00103246"/>
    <w:rsid w:val="00123FC1"/>
    <w:rsid w:val="00125F06"/>
    <w:rsid w:val="001421C6"/>
    <w:rsid w:val="00172CC9"/>
    <w:rsid w:val="001A4CC7"/>
    <w:rsid w:val="001A7901"/>
    <w:rsid w:val="001C6E4F"/>
    <w:rsid w:val="001D0016"/>
    <w:rsid w:val="001F15BF"/>
    <w:rsid w:val="00206ECD"/>
    <w:rsid w:val="00294419"/>
    <w:rsid w:val="002963A2"/>
    <w:rsid w:val="002D4513"/>
    <w:rsid w:val="002F5C3E"/>
    <w:rsid w:val="0032520D"/>
    <w:rsid w:val="00337BD2"/>
    <w:rsid w:val="0037423B"/>
    <w:rsid w:val="0038763B"/>
    <w:rsid w:val="003C0A62"/>
    <w:rsid w:val="003C70E0"/>
    <w:rsid w:val="003E74BA"/>
    <w:rsid w:val="00425526"/>
    <w:rsid w:val="004700AA"/>
    <w:rsid w:val="004C02A0"/>
    <w:rsid w:val="004C3026"/>
    <w:rsid w:val="004F6976"/>
    <w:rsid w:val="00542340"/>
    <w:rsid w:val="005943C0"/>
    <w:rsid w:val="005B7351"/>
    <w:rsid w:val="006001F6"/>
    <w:rsid w:val="00604B99"/>
    <w:rsid w:val="006769B7"/>
    <w:rsid w:val="006B644C"/>
    <w:rsid w:val="006D387D"/>
    <w:rsid w:val="006E5926"/>
    <w:rsid w:val="006F1291"/>
    <w:rsid w:val="00731049"/>
    <w:rsid w:val="00742C36"/>
    <w:rsid w:val="00742C94"/>
    <w:rsid w:val="00782915"/>
    <w:rsid w:val="007A1749"/>
    <w:rsid w:val="007B08FF"/>
    <w:rsid w:val="007B4E06"/>
    <w:rsid w:val="007E2835"/>
    <w:rsid w:val="007E5490"/>
    <w:rsid w:val="00842A4F"/>
    <w:rsid w:val="00871585"/>
    <w:rsid w:val="00891965"/>
    <w:rsid w:val="008D6EC5"/>
    <w:rsid w:val="00902783"/>
    <w:rsid w:val="009368C8"/>
    <w:rsid w:val="0094506F"/>
    <w:rsid w:val="00983FC2"/>
    <w:rsid w:val="009A08C8"/>
    <w:rsid w:val="009B2CA2"/>
    <w:rsid w:val="009E576B"/>
    <w:rsid w:val="00A03C11"/>
    <w:rsid w:val="00A16AA8"/>
    <w:rsid w:val="00A51EED"/>
    <w:rsid w:val="00A8440E"/>
    <w:rsid w:val="00A86E17"/>
    <w:rsid w:val="00AC372A"/>
    <w:rsid w:val="00AF46C1"/>
    <w:rsid w:val="00B02B9F"/>
    <w:rsid w:val="00B05543"/>
    <w:rsid w:val="00B17698"/>
    <w:rsid w:val="00B2300A"/>
    <w:rsid w:val="00B62EE7"/>
    <w:rsid w:val="00B85B2F"/>
    <w:rsid w:val="00B96E19"/>
    <w:rsid w:val="00BE2BCF"/>
    <w:rsid w:val="00BF6429"/>
    <w:rsid w:val="00BF7332"/>
    <w:rsid w:val="00C332DE"/>
    <w:rsid w:val="00C570EA"/>
    <w:rsid w:val="00C579A4"/>
    <w:rsid w:val="00C75CD7"/>
    <w:rsid w:val="00CC1C5C"/>
    <w:rsid w:val="00CE79CD"/>
    <w:rsid w:val="00CF50D1"/>
    <w:rsid w:val="00D040E0"/>
    <w:rsid w:val="00D17B6A"/>
    <w:rsid w:val="00D4024A"/>
    <w:rsid w:val="00D7505C"/>
    <w:rsid w:val="00D95BB0"/>
    <w:rsid w:val="00DC465C"/>
    <w:rsid w:val="00DD3694"/>
    <w:rsid w:val="00E065AB"/>
    <w:rsid w:val="00E645DF"/>
    <w:rsid w:val="00E800C0"/>
    <w:rsid w:val="00E940AA"/>
    <w:rsid w:val="00EB25F6"/>
    <w:rsid w:val="00EB4C9B"/>
    <w:rsid w:val="00EB7871"/>
    <w:rsid w:val="00ED5FC0"/>
    <w:rsid w:val="00EF2756"/>
    <w:rsid w:val="00EF3FB7"/>
    <w:rsid w:val="00F21B9A"/>
    <w:rsid w:val="00F6706F"/>
    <w:rsid w:val="00F9089A"/>
    <w:rsid w:val="00FA11A8"/>
    <w:rsid w:val="00FB1116"/>
    <w:rsid w:val="00FE19D4"/>
    <w:rsid w:val="00FF2CF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737CD"/>
  <w15:chartTrackingRefBased/>
  <w15:docId w15:val="{DC48A0D2-D9D0-44B5-B1EA-A02F0D36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3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542340"/>
    <w:pPr>
      <w:keepNext w:val="0"/>
      <w:keepLines w:val="0"/>
      <w:spacing w:before="0" w:line="360" w:lineRule="auto"/>
      <w:jc w:val="both"/>
      <w:outlineLvl w:val="1"/>
    </w:pPr>
    <w:rPr>
      <w:rFonts w:ascii="Times New Roman" w:eastAsia="Times New Roman" w:hAnsi="Times New Roman" w:cs="Times New Roman"/>
      <w:b/>
      <w:bCs/>
      <w:noProof/>
      <w:color w:val="auto"/>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EE7"/>
    <w:rPr>
      <w:color w:val="0563C1" w:themeColor="hyperlink"/>
      <w:u w:val="single"/>
    </w:rPr>
  </w:style>
  <w:style w:type="character" w:styleId="UnresolvedMention">
    <w:name w:val="Unresolved Mention"/>
    <w:basedOn w:val="DefaultParagraphFont"/>
    <w:uiPriority w:val="99"/>
    <w:semiHidden/>
    <w:unhideWhenUsed/>
    <w:rsid w:val="00B62EE7"/>
    <w:rPr>
      <w:color w:val="605E5C"/>
      <w:shd w:val="clear" w:color="auto" w:fill="E1DFDD"/>
    </w:rPr>
  </w:style>
  <w:style w:type="character" w:customStyle="1" w:styleId="Heading2Char">
    <w:name w:val="Heading 2 Char"/>
    <w:basedOn w:val="DefaultParagraphFont"/>
    <w:link w:val="Heading2"/>
    <w:uiPriority w:val="9"/>
    <w:rsid w:val="00542340"/>
    <w:rPr>
      <w:rFonts w:ascii="Times New Roman" w:eastAsia="Times New Roman" w:hAnsi="Times New Roman" w:cs="Times New Roman"/>
      <w:b/>
      <w:bCs/>
      <w:noProof/>
      <w:sz w:val="24"/>
      <w:szCs w:val="24"/>
      <w:lang w:val="en-US"/>
    </w:rPr>
  </w:style>
  <w:style w:type="paragraph" w:styleId="ListParagraph">
    <w:name w:val="List Paragraph"/>
    <w:aliases w:val="Body of text"/>
    <w:basedOn w:val="Normal"/>
    <w:link w:val="ListParagraphChar"/>
    <w:uiPriority w:val="34"/>
    <w:qFormat/>
    <w:rsid w:val="00542340"/>
    <w:pPr>
      <w:ind w:left="720"/>
      <w:contextualSpacing/>
    </w:pPr>
    <w:rPr>
      <w:rFonts w:eastAsia="Times New Roman" w:cs="Times New Roman"/>
      <w:lang w:val="en-ID"/>
    </w:rPr>
  </w:style>
  <w:style w:type="character" w:customStyle="1" w:styleId="ListParagraphChar">
    <w:name w:val="List Paragraph Char"/>
    <w:aliases w:val="Body of text Char"/>
    <w:basedOn w:val="DefaultParagraphFont"/>
    <w:link w:val="ListParagraph"/>
    <w:uiPriority w:val="34"/>
    <w:locked/>
    <w:rsid w:val="00542340"/>
    <w:rPr>
      <w:rFonts w:eastAsia="Times New Roman" w:cs="Times New Roman"/>
      <w:lang w:val="en-ID"/>
    </w:rPr>
  </w:style>
  <w:style w:type="character" w:customStyle="1" w:styleId="Heading1Char">
    <w:name w:val="Heading 1 Char"/>
    <w:basedOn w:val="DefaultParagraphFont"/>
    <w:link w:val="Heading1"/>
    <w:uiPriority w:val="9"/>
    <w:rsid w:val="0054234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065AB"/>
    <w:pPr>
      <w:spacing w:after="0" w:line="240" w:lineRule="auto"/>
    </w:pPr>
    <w:rPr>
      <w:rFonts w:eastAsia="Times New Roman" w:cs="Times New Roma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B4E06"/>
    <w:rPr>
      <w:b/>
      <w:bCs/>
    </w:rPr>
  </w:style>
  <w:style w:type="paragraph" w:styleId="Header">
    <w:name w:val="header"/>
    <w:basedOn w:val="Normal"/>
    <w:link w:val="HeaderChar"/>
    <w:uiPriority w:val="99"/>
    <w:unhideWhenUsed/>
    <w:rsid w:val="00033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31C"/>
  </w:style>
  <w:style w:type="paragraph" w:styleId="Footer">
    <w:name w:val="footer"/>
    <w:basedOn w:val="Normal"/>
    <w:link w:val="FooterChar"/>
    <w:uiPriority w:val="99"/>
    <w:unhideWhenUsed/>
    <w:rsid w:val="00033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92542">
      <w:bodyDiv w:val="1"/>
      <w:marLeft w:val="0"/>
      <w:marRight w:val="0"/>
      <w:marTop w:val="0"/>
      <w:marBottom w:val="0"/>
      <w:divBdr>
        <w:top w:val="none" w:sz="0" w:space="0" w:color="auto"/>
        <w:left w:val="none" w:sz="0" w:space="0" w:color="auto"/>
        <w:bottom w:val="none" w:sz="0" w:space="0" w:color="auto"/>
        <w:right w:val="none" w:sz="0" w:space="0" w:color="auto"/>
      </w:divBdr>
    </w:div>
    <w:div w:id="390273688">
      <w:bodyDiv w:val="1"/>
      <w:marLeft w:val="0"/>
      <w:marRight w:val="0"/>
      <w:marTop w:val="0"/>
      <w:marBottom w:val="0"/>
      <w:divBdr>
        <w:top w:val="none" w:sz="0" w:space="0" w:color="auto"/>
        <w:left w:val="none" w:sz="0" w:space="0" w:color="auto"/>
        <w:bottom w:val="none" w:sz="0" w:space="0" w:color="auto"/>
        <w:right w:val="none" w:sz="0" w:space="0" w:color="auto"/>
      </w:divBdr>
    </w:div>
    <w:div w:id="489835196">
      <w:bodyDiv w:val="1"/>
      <w:marLeft w:val="0"/>
      <w:marRight w:val="0"/>
      <w:marTop w:val="0"/>
      <w:marBottom w:val="0"/>
      <w:divBdr>
        <w:top w:val="none" w:sz="0" w:space="0" w:color="auto"/>
        <w:left w:val="none" w:sz="0" w:space="0" w:color="auto"/>
        <w:bottom w:val="none" w:sz="0" w:space="0" w:color="auto"/>
        <w:right w:val="none" w:sz="0" w:space="0" w:color="auto"/>
      </w:divBdr>
    </w:div>
    <w:div w:id="600602018">
      <w:bodyDiv w:val="1"/>
      <w:marLeft w:val="0"/>
      <w:marRight w:val="0"/>
      <w:marTop w:val="0"/>
      <w:marBottom w:val="0"/>
      <w:divBdr>
        <w:top w:val="none" w:sz="0" w:space="0" w:color="auto"/>
        <w:left w:val="none" w:sz="0" w:space="0" w:color="auto"/>
        <w:bottom w:val="none" w:sz="0" w:space="0" w:color="auto"/>
        <w:right w:val="none" w:sz="0" w:space="0" w:color="auto"/>
      </w:divBdr>
    </w:div>
    <w:div w:id="632978905">
      <w:bodyDiv w:val="1"/>
      <w:marLeft w:val="0"/>
      <w:marRight w:val="0"/>
      <w:marTop w:val="0"/>
      <w:marBottom w:val="0"/>
      <w:divBdr>
        <w:top w:val="none" w:sz="0" w:space="0" w:color="auto"/>
        <w:left w:val="none" w:sz="0" w:space="0" w:color="auto"/>
        <w:bottom w:val="none" w:sz="0" w:space="0" w:color="auto"/>
        <w:right w:val="none" w:sz="0" w:space="0" w:color="auto"/>
      </w:divBdr>
    </w:div>
    <w:div w:id="641233869">
      <w:bodyDiv w:val="1"/>
      <w:marLeft w:val="0"/>
      <w:marRight w:val="0"/>
      <w:marTop w:val="0"/>
      <w:marBottom w:val="0"/>
      <w:divBdr>
        <w:top w:val="none" w:sz="0" w:space="0" w:color="auto"/>
        <w:left w:val="none" w:sz="0" w:space="0" w:color="auto"/>
        <w:bottom w:val="none" w:sz="0" w:space="0" w:color="auto"/>
        <w:right w:val="none" w:sz="0" w:space="0" w:color="auto"/>
      </w:divBdr>
    </w:div>
    <w:div w:id="809899887">
      <w:bodyDiv w:val="1"/>
      <w:marLeft w:val="0"/>
      <w:marRight w:val="0"/>
      <w:marTop w:val="0"/>
      <w:marBottom w:val="0"/>
      <w:divBdr>
        <w:top w:val="none" w:sz="0" w:space="0" w:color="auto"/>
        <w:left w:val="none" w:sz="0" w:space="0" w:color="auto"/>
        <w:bottom w:val="none" w:sz="0" w:space="0" w:color="auto"/>
        <w:right w:val="none" w:sz="0" w:space="0" w:color="auto"/>
      </w:divBdr>
    </w:div>
    <w:div w:id="818575993">
      <w:bodyDiv w:val="1"/>
      <w:marLeft w:val="0"/>
      <w:marRight w:val="0"/>
      <w:marTop w:val="0"/>
      <w:marBottom w:val="0"/>
      <w:divBdr>
        <w:top w:val="none" w:sz="0" w:space="0" w:color="auto"/>
        <w:left w:val="none" w:sz="0" w:space="0" w:color="auto"/>
        <w:bottom w:val="none" w:sz="0" w:space="0" w:color="auto"/>
        <w:right w:val="none" w:sz="0" w:space="0" w:color="auto"/>
      </w:divBdr>
    </w:div>
    <w:div w:id="821971881">
      <w:bodyDiv w:val="1"/>
      <w:marLeft w:val="0"/>
      <w:marRight w:val="0"/>
      <w:marTop w:val="0"/>
      <w:marBottom w:val="0"/>
      <w:divBdr>
        <w:top w:val="none" w:sz="0" w:space="0" w:color="auto"/>
        <w:left w:val="none" w:sz="0" w:space="0" w:color="auto"/>
        <w:bottom w:val="none" w:sz="0" w:space="0" w:color="auto"/>
        <w:right w:val="none" w:sz="0" w:space="0" w:color="auto"/>
      </w:divBdr>
    </w:div>
    <w:div w:id="836382730">
      <w:bodyDiv w:val="1"/>
      <w:marLeft w:val="0"/>
      <w:marRight w:val="0"/>
      <w:marTop w:val="0"/>
      <w:marBottom w:val="0"/>
      <w:divBdr>
        <w:top w:val="none" w:sz="0" w:space="0" w:color="auto"/>
        <w:left w:val="none" w:sz="0" w:space="0" w:color="auto"/>
        <w:bottom w:val="none" w:sz="0" w:space="0" w:color="auto"/>
        <w:right w:val="none" w:sz="0" w:space="0" w:color="auto"/>
      </w:divBdr>
    </w:div>
    <w:div w:id="853108227">
      <w:bodyDiv w:val="1"/>
      <w:marLeft w:val="0"/>
      <w:marRight w:val="0"/>
      <w:marTop w:val="0"/>
      <w:marBottom w:val="0"/>
      <w:divBdr>
        <w:top w:val="none" w:sz="0" w:space="0" w:color="auto"/>
        <w:left w:val="none" w:sz="0" w:space="0" w:color="auto"/>
        <w:bottom w:val="none" w:sz="0" w:space="0" w:color="auto"/>
        <w:right w:val="none" w:sz="0" w:space="0" w:color="auto"/>
      </w:divBdr>
    </w:div>
    <w:div w:id="931939569">
      <w:bodyDiv w:val="1"/>
      <w:marLeft w:val="0"/>
      <w:marRight w:val="0"/>
      <w:marTop w:val="0"/>
      <w:marBottom w:val="0"/>
      <w:divBdr>
        <w:top w:val="none" w:sz="0" w:space="0" w:color="auto"/>
        <w:left w:val="none" w:sz="0" w:space="0" w:color="auto"/>
        <w:bottom w:val="none" w:sz="0" w:space="0" w:color="auto"/>
        <w:right w:val="none" w:sz="0" w:space="0" w:color="auto"/>
      </w:divBdr>
      <w:divsChild>
        <w:div w:id="973292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9862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175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5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42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872876">
      <w:bodyDiv w:val="1"/>
      <w:marLeft w:val="0"/>
      <w:marRight w:val="0"/>
      <w:marTop w:val="0"/>
      <w:marBottom w:val="0"/>
      <w:divBdr>
        <w:top w:val="none" w:sz="0" w:space="0" w:color="auto"/>
        <w:left w:val="none" w:sz="0" w:space="0" w:color="auto"/>
        <w:bottom w:val="none" w:sz="0" w:space="0" w:color="auto"/>
        <w:right w:val="none" w:sz="0" w:space="0" w:color="auto"/>
      </w:divBdr>
    </w:div>
    <w:div w:id="1005665086">
      <w:bodyDiv w:val="1"/>
      <w:marLeft w:val="0"/>
      <w:marRight w:val="0"/>
      <w:marTop w:val="0"/>
      <w:marBottom w:val="0"/>
      <w:divBdr>
        <w:top w:val="none" w:sz="0" w:space="0" w:color="auto"/>
        <w:left w:val="none" w:sz="0" w:space="0" w:color="auto"/>
        <w:bottom w:val="none" w:sz="0" w:space="0" w:color="auto"/>
        <w:right w:val="none" w:sz="0" w:space="0" w:color="auto"/>
      </w:divBdr>
    </w:div>
    <w:div w:id="1018779793">
      <w:bodyDiv w:val="1"/>
      <w:marLeft w:val="0"/>
      <w:marRight w:val="0"/>
      <w:marTop w:val="0"/>
      <w:marBottom w:val="0"/>
      <w:divBdr>
        <w:top w:val="none" w:sz="0" w:space="0" w:color="auto"/>
        <w:left w:val="none" w:sz="0" w:space="0" w:color="auto"/>
        <w:bottom w:val="none" w:sz="0" w:space="0" w:color="auto"/>
        <w:right w:val="none" w:sz="0" w:space="0" w:color="auto"/>
      </w:divBdr>
    </w:div>
    <w:div w:id="1044669573">
      <w:bodyDiv w:val="1"/>
      <w:marLeft w:val="0"/>
      <w:marRight w:val="0"/>
      <w:marTop w:val="0"/>
      <w:marBottom w:val="0"/>
      <w:divBdr>
        <w:top w:val="none" w:sz="0" w:space="0" w:color="auto"/>
        <w:left w:val="none" w:sz="0" w:space="0" w:color="auto"/>
        <w:bottom w:val="none" w:sz="0" w:space="0" w:color="auto"/>
        <w:right w:val="none" w:sz="0" w:space="0" w:color="auto"/>
      </w:divBdr>
    </w:div>
    <w:div w:id="1102191642">
      <w:bodyDiv w:val="1"/>
      <w:marLeft w:val="0"/>
      <w:marRight w:val="0"/>
      <w:marTop w:val="0"/>
      <w:marBottom w:val="0"/>
      <w:divBdr>
        <w:top w:val="none" w:sz="0" w:space="0" w:color="auto"/>
        <w:left w:val="none" w:sz="0" w:space="0" w:color="auto"/>
        <w:bottom w:val="none" w:sz="0" w:space="0" w:color="auto"/>
        <w:right w:val="none" w:sz="0" w:space="0" w:color="auto"/>
      </w:divBdr>
    </w:div>
    <w:div w:id="1171993262">
      <w:bodyDiv w:val="1"/>
      <w:marLeft w:val="0"/>
      <w:marRight w:val="0"/>
      <w:marTop w:val="0"/>
      <w:marBottom w:val="0"/>
      <w:divBdr>
        <w:top w:val="none" w:sz="0" w:space="0" w:color="auto"/>
        <w:left w:val="none" w:sz="0" w:space="0" w:color="auto"/>
        <w:bottom w:val="none" w:sz="0" w:space="0" w:color="auto"/>
        <w:right w:val="none" w:sz="0" w:space="0" w:color="auto"/>
      </w:divBdr>
    </w:div>
    <w:div w:id="1185899570">
      <w:bodyDiv w:val="1"/>
      <w:marLeft w:val="0"/>
      <w:marRight w:val="0"/>
      <w:marTop w:val="0"/>
      <w:marBottom w:val="0"/>
      <w:divBdr>
        <w:top w:val="none" w:sz="0" w:space="0" w:color="auto"/>
        <w:left w:val="none" w:sz="0" w:space="0" w:color="auto"/>
        <w:bottom w:val="none" w:sz="0" w:space="0" w:color="auto"/>
        <w:right w:val="none" w:sz="0" w:space="0" w:color="auto"/>
      </w:divBdr>
    </w:div>
    <w:div w:id="1208566114">
      <w:bodyDiv w:val="1"/>
      <w:marLeft w:val="0"/>
      <w:marRight w:val="0"/>
      <w:marTop w:val="0"/>
      <w:marBottom w:val="0"/>
      <w:divBdr>
        <w:top w:val="none" w:sz="0" w:space="0" w:color="auto"/>
        <w:left w:val="none" w:sz="0" w:space="0" w:color="auto"/>
        <w:bottom w:val="none" w:sz="0" w:space="0" w:color="auto"/>
        <w:right w:val="none" w:sz="0" w:space="0" w:color="auto"/>
      </w:divBdr>
      <w:divsChild>
        <w:div w:id="178568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5227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2460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982591">
          <w:blockQuote w:val="1"/>
          <w:marLeft w:val="720"/>
          <w:marRight w:val="720"/>
          <w:marTop w:val="100"/>
          <w:marBottom w:val="100"/>
          <w:divBdr>
            <w:top w:val="none" w:sz="0" w:space="0" w:color="auto"/>
            <w:left w:val="none" w:sz="0" w:space="0" w:color="auto"/>
            <w:bottom w:val="none" w:sz="0" w:space="0" w:color="auto"/>
            <w:right w:val="none" w:sz="0" w:space="0" w:color="auto"/>
          </w:divBdr>
        </w:div>
        <w:div w:id="52036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43344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17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480402">
      <w:bodyDiv w:val="1"/>
      <w:marLeft w:val="0"/>
      <w:marRight w:val="0"/>
      <w:marTop w:val="0"/>
      <w:marBottom w:val="0"/>
      <w:divBdr>
        <w:top w:val="none" w:sz="0" w:space="0" w:color="auto"/>
        <w:left w:val="none" w:sz="0" w:space="0" w:color="auto"/>
        <w:bottom w:val="none" w:sz="0" w:space="0" w:color="auto"/>
        <w:right w:val="none" w:sz="0" w:space="0" w:color="auto"/>
      </w:divBdr>
    </w:div>
    <w:div w:id="1584025454">
      <w:bodyDiv w:val="1"/>
      <w:marLeft w:val="0"/>
      <w:marRight w:val="0"/>
      <w:marTop w:val="0"/>
      <w:marBottom w:val="0"/>
      <w:divBdr>
        <w:top w:val="none" w:sz="0" w:space="0" w:color="auto"/>
        <w:left w:val="none" w:sz="0" w:space="0" w:color="auto"/>
        <w:bottom w:val="none" w:sz="0" w:space="0" w:color="auto"/>
        <w:right w:val="none" w:sz="0" w:space="0" w:color="auto"/>
      </w:divBdr>
    </w:div>
    <w:div w:id="1675911188">
      <w:bodyDiv w:val="1"/>
      <w:marLeft w:val="0"/>
      <w:marRight w:val="0"/>
      <w:marTop w:val="0"/>
      <w:marBottom w:val="0"/>
      <w:divBdr>
        <w:top w:val="none" w:sz="0" w:space="0" w:color="auto"/>
        <w:left w:val="none" w:sz="0" w:space="0" w:color="auto"/>
        <w:bottom w:val="none" w:sz="0" w:space="0" w:color="auto"/>
        <w:right w:val="none" w:sz="0" w:space="0" w:color="auto"/>
      </w:divBdr>
    </w:div>
    <w:div w:id="1744401862">
      <w:bodyDiv w:val="1"/>
      <w:marLeft w:val="0"/>
      <w:marRight w:val="0"/>
      <w:marTop w:val="0"/>
      <w:marBottom w:val="0"/>
      <w:divBdr>
        <w:top w:val="none" w:sz="0" w:space="0" w:color="auto"/>
        <w:left w:val="none" w:sz="0" w:space="0" w:color="auto"/>
        <w:bottom w:val="none" w:sz="0" w:space="0" w:color="auto"/>
        <w:right w:val="none" w:sz="0" w:space="0" w:color="auto"/>
      </w:divBdr>
    </w:div>
    <w:div w:id="1762948327">
      <w:bodyDiv w:val="1"/>
      <w:marLeft w:val="0"/>
      <w:marRight w:val="0"/>
      <w:marTop w:val="0"/>
      <w:marBottom w:val="0"/>
      <w:divBdr>
        <w:top w:val="none" w:sz="0" w:space="0" w:color="auto"/>
        <w:left w:val="none" w:sz="0" w:space="0" w:color="auto"/>
        <w:bottom w:val="none" w:sz="0" w:space="0" w:color="auto"/>
        <w:right w:val="none" w:sz="0" w:space="0" w:color="auto"/>
      </w:divBdr>
    </w:div>
    <w:div w:id="19597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D955F-F268-4214-9B64-95854987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14657</Words>
  <Characters>83546</Characters>
  <Application>Microsoft Office Word</Application>
  <DocSecurity>0</DocSecurity>
  <Lines>696</Lines>
  <Paragraphs>196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Cabaran dalam Pencegahan Kanak-kanak terbantut </vt:lpstr>
    </vt:vector>
  </TitlesOfParts>
  <Company/>
  <LinksUpToDate>false</LinksUpToDate>
  <CharactersWithSpaces>98007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KESOS UMM</dc:creator>
  <cp:keywords/>
  <dc:description/>
  <cp:lastModifiedBy>Arief Yusof</cp:lastModifiedBy>
  <cp:revision>4</cp:revision>
  <dcterms:created xsi:type="dcterms:W3CDTF">2024-10-25T00:04:00Z</dcterms:created>
  <dcterms:modified xsi:type="dcterms:W3CDTF">2024-10-25T00:07:00Z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15988ea548498597db19327dc735988804b5abd977d8115e43dd168394f71715</vt:lpwstr>
  </property>
</Properties>
</file>