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6D6858">
      <w:pPr>
        <w:rPr>
          <w:i/>
        </w:rPr>
      </w:pPr>
    </w:p>
    <w:p w14:paraId="1648BBB5">
      <w:pPr>
        <w:rPr>
          <w:i/>
        </w:rPr>
      </w:pPr>
      <w:r>
        <w:rPr>
          <w:i/>
        </w:rPr>
        <w:t>Article</w:t>
      </w:r>
    </w:p>
    <w:p w14:paraId="7F55CA05">
      <w:r>
        <w:t xml:space="preserve"> </w:t>
      </w:r>
    </w:p>
    <w:p w14:paraId="193415A9">
      <w:pPr>
        <w:jc w:val="center"/>
        <w:rPr>
          <w:b/>
          <w:sz w:val="32"/>
          <w:szCs w:val="32"/>
        </w:rPr>
      </w:pPr>
      <w:r>
        <w:rPr>
          <w:b/>
          <w:sz w:val="32"/>
          <w:szCs w:val="32"/>
        </w:rPr>
        <w:t>Caregiving Challenges Among Frail Elderly Who Have Lost Their Only Child: A Qualitative Study in Urban Chongqing</w:t>
      </w:r>
    </w:p>
    <w:p w14:paraId="7E2FA0F9">
      <w:pPr>
        <w:jc w:val="center"/>
      </w:pPr>
      <w:r>
        <w:t xml:space="preserve"> </w:t>
      </w:r>
    </w:p>
    <w:p w14:paraId="043F7396">
      <w:pPr>
        <w:jc w:val="center"/>
        <w:rPr>
          <w:rFonts w:hint="eastAsia" w:eastAsia="宋体"/>
          <w:lang w:val="en-US" w:eastAsia="zh-CN"/>
        </w:rPr>
      </w:pPr>
      <w:r>
        <w:rPr>
          <w:rFonts w:hint="eastAsia" w:eastAsiaTheme="minorEastAsia"/>
          <w:lang w:eastAsia="zh-CN"/>
        </w:rPr>
        <w:t>Jixiang</w:t>
      </w:r>
      <w:r>
        <w:t xml:space="preserve"> </w:t>
      </w:r>
      <w:r>
        <w:rPr>
          <w:rFonts w:hint="eastAsia" w:eastAsiaTheme="minorEastAsia"/>
          <w:lang w:eastAsia="zh-CN"/>
        </w:rPr>
        <w:t>Peng</w:t>
      </w:r>
      <w:r>
        <w:t xml:space="preserve"> </w:t>
      </w:r>
      <w:r>
        <w:rPr>
          <w:vertAlign w:val="superscript"/>
        </w:rPr>
        <w:t>1</w:t>
      </w:r>
      <w:r>
        <w:rPr>
          <w:rFonts w:hint="eastAsia" w:eastAsiaTheme="minorEastAsia"/>
          <w:vertAlign w:val="superscript"/>
          <w:lang w:eastAsia="zh-CN"/>
        </w:rPr>
        <w:t>,2</w:t>
      </w:r>
      <w:r>
        <w:t xml:space="preserve">, Khadijah Alavi </w:t>
      </w:r>
      <w:r>
        <w:rPr>
          <w:rFonts w:hint="eastAsia" w:eastAsiaTheme="minorEastAsia"/>
          <w:vertAlign w:val="superscript"/>
          <w:lang w:eastAsia="zh-CN"/>
        </w:rPr>
        <w:t>1</w:t>
      </w:r>
      <w:bookmarkStart w:id="4" w:name="_GoBack"/>
      <w:r>
        <w:rPr>
          <w:rFonts w:eastAsiaTheme="minorEastAsia"/>
          <w:vertAlign w:val="superscript"/>
          <w:lang w:eastAsia="zh-CN"/>
        </w:rPr>
        <w:t>*</w:t>
      </w:r>
      <w:bookmarkEnd w:id="4"/>
      <w:r>
        <w:rPr>
          <w:rFonts w:hint="eastAsia" w:eastAsia="宋体"/>
          <w:lang w:val="en-US" w:eastAsia="zh-CN"/>
        </w:rPr>
        <w:t xml:space="preserve">, </w:t>
      </w:r>
      <w:r>
        <w:rPr>
          <w:rStyle w:val="22"/>
          <w:rFonts w:ascii="Times New Roman" w:hAnsi="Times New Roman" w:eastAsia="Arial" w:cs="Times New Roman"/>
          <w:b w:val="0"/>
          <w:sz w:val="24"/>
          <w:szCs w:val="24"/>
          <w:shd w:val="clear" w:color="auto" w:fill="FFFFFF"/>
          <w:lang w:eastAsia="pt-BR"/>
        </w:rPr>
        <w:t>Azahah Abu Hassan Shaari</w:t>
      </w:r>
      <w:r>
        <w:rPr>
          <w:rStyle w:val="22"/>
          <w:rFonts w:hint="eastAsia" w:eastAsia="宋体" w:cs="Times New Roman"/>
          <w:b w:val="0"/>
          <w:sz w:val="24"/>
          <w:szCs w:val="24"/>
          <w:shd w:val="clear" w:color="auto" w:fill="FFFFFF"/>
          <w:lang w:val="en-US" w:eastAsia="zh-CN"/>
        </w:rPr>
        <w:t xml:space="preserve"> </w:t>
      </w:r>
      <w:r>
        <w:rPr>
          <w:rStyle w:val="22"/>
          <w:rFonts w:hint="eastAsia" w:eastAsia="宋体" w:cs="Times New Roman"/>
          <w:b w:val="0"/>
          <w:sz w:val="24"/>
          <w:szCs w:val="24"/>
          <w:shd w:val="clear" w:color="auto" w:fill="FFFFFF"/>
          <w:vertAlign w:val="superscript"/>
          <w:lang w:val="en-US" w:eastAsia="zh-CN"/>
        </w:rPr>
        <w:t>1</w:t>
      </w:r>
      <w:r>
        <w:rPr>
          <w:rStyle w:val="22"/>
          <w:rFonts w:hint="eastAsia" w:eastAsia="宋体" w:cs="Times New Roman"/>
          <w:b w:val="0"/>
          <w:sz w:val="24"/>
          <w:szCs w:val="24"/>
          <w:shd w:val="clear" w:color="auto" w:fill="FFFFFF"/>
          <w:lang w:val="en-US" w:eastAsia="zh-CN"/>
        </w:rPr>
        <w:t xml:space="preserve">, </w:t>
      </w:r>
      <w:r>
        <w:rPr>
          <w:rFonts w:hint="eastAsia" w:eastAsia="宋体"/>
          <w:lang w:val="en-US" w:eastAsia="zh-CN"/>
        </w:rPr>
        <w:t>Jing</w:t>
      </w:r>
      <w:r>
        <w:rPr>
          <w:rFonts w:hint="eastAsia"/>
        </w:rPr>
        <w:t xml:space="preserve"> </w:t>
      </w:r>
      <w:r>
        <w:rPr>
          <w:rFonts w:hint="eastAsia" w:eastAsia="宋体"/>
          <w:lang w:val="en-US" w:eastAsia="zh-CN"/>
        </w:rPr>
        <w:t>Li</w:t>
      </w:r>
      <w:r>
        <w:rPr>
          <w:rFonts w:hint="eastAsia" w:eastAsia="宋体"/>
          <w:vertAlign w:val="superscript"/>
          <w:lang w:val="en-US" w:eastAsia="zh-CN"/>
        </w:rPr>
        <w:t>1</w:t>
      </w:r>
      <w:r>
        <w:rPr>
          <w:rFonts w:hint="eastAsia" w:eastAsia="宋体"/>
          <w:lang w:val="en-US" w:eastAsia="zh-CN"/>
        </w:rPr>
        <w:t>,</w:t>
      </w:r>
      <w:r>
        <w:rPr>
          <w:rFonts w:hint="eastAsia"/>
        </w:rPr>
        <w:t>Yun Sun</w:t>
      </w:r>
      <w:r>
        <w:rPr>
          <w:rFonts w:hint="eastAsia" w:eastAsia="宋体"/>
          <w:vertAlign w:val="superscript"/>
          <w:lang w:val="en-US" w:eastAsia="zh-CN"/>
        </w:rPr>
        <w:t>1</w:t>
      </w:r>
      <w:r>
        <w:rPr>
          <w:rFonts w:hint="eastAsia" w:eastAsia="宋体"/>
          <w:lang w:val="en-US" w:eastAsia="zh-CN"/>
        </w:rPr>
        <w:t xml:space="preserve">, </w:t>
      </w:r>
      <w:r>
        <w:t xml:space="preserve">and </w:t>
      </w:r>
      <w:r>
        <w:rPr>
          <w:rFonts w:hint="eastAsia"/>
        </w:rPr>
        <w:t>Lulu Feng</w:t>
      </w:r>
      <w:r>
        <w:t xml:space="preserve"> </w:t>
      </w:r>
      <w:r>
        <w:rPr>
          <w:rFonts w:hint="eastAsia" w:eastAsia="宋体"/>
          <w:vertAlign w:val="superscript"/>
          <w:lang w:val="en-US" w:eastAsia="zh-CN"/>
        </w:rPr>
        <w:t>1</w:t>
      </w:r>
    </w:p>
    <w:p w14:paraId="1141F02D">
      <w:pPr>
        <w:jc w:val="center"/>
      </w:pPr>
      <w:r>
        <w:t xml:space="preserve"> </w:t>
      </w:r>
    </w:p>
    <w:p w14:paraId="29A7A80B">
      <w:pPr>
        <w:jc w:val="center"/>
      </w:pPr>
      <w:r>
        <w:rPr>
          <w:vertAlign w:val="superscript"/>
        </w:rPr>
        <w:t>1</w:t>
      </w:r>
      <w:r>
        <w:t>Fakulti Sains Sosial dan Kemanusiaan, Universiti Kebangsaan Malaysia, 43600 Bangi, Selangor, Malaysia</w:t>
      </w:r>
    </w:p>
    <w:p w14:paraId="1FE68298">
      <w:pPr>
        <w:jc w:val="center"/>
      </w:pPr>
      <w:r>
        <w:rPr>
          <w:vertAlign w:val="superscript"/>
        </w:rPr>
        <w:t>2</w:t>
      </w:r>
      <w:r>
        <w:t xml:space="preserve"> Chongqing Business Vocational College, Chongqing, China</w:t>
      </w:r>
    </w:p>
    <w:p w14:paraId="692CB777">
      <w:pPr>
        <w:jc w:val="center"/>
      </w:pPr>
      <w:r>
        <w:t xml:space="preserve"> </w:t>
      </w:r>
    </w:p>
    <w:p w14:paraId="73873D8C">
      <w:pPr>
        <w:jc w:val="center"/>
        <w:rPr>
          <w:rFonts w:hint="eastAsia" w:eastAsia="宋体"/>
          <w:lang w:val="en-US" w:eastAsia="zh-CN"/>
        </w:rPr>
      </w:pPr>
      <w:r>
        <w:rPr>
          <w:vertAlign w:val="superscript"/>
        </w:rPr>
        <w:t>*</w:t>
      </w:r>
      <w:r>
        <w:t xml:space="preserve">Corresponding author: </w:t>
      </w:r>
      <w:r>
        <w:rPr>
          <w:rFonts w:hint="eastAsia"/>
        </w:rPr>
        <w:t>khadijah@ukm.edu.my</w:t>
      </w:r>
    </w:p>
    <w:p w14:paraId="26512497">
      <w:r>
        <w:t xml:space="preserve"> </w:t>
      </w:r>
    </w:p>
    <w:p w14:paraId="0F0C526A">
      <w:pPr>
        <w:jc w:val="both"/>
      </w:pPr>
      <w:r>
        <w:rPr>
          <w:b/>
        </w:rPr>
        <w:t>Abstract:</w:t>
      </w:r>
      <w:r>
        <w:t xml:space="preserve"> This study explores the caregiving challenges faced by frail elderly individuals who have lost their only child in urban Chongqing, China—a uniquely vulnerable group shaped by the legacy of the One-Child Policy and rapid demographic aging. Drawing on in-depth interviews with 11 participants, the study identifies five key challenges: Economic stability with lingering risks, physical decline and chronic illness, emotional loss and psychological trauma, social withdrawal and shrinking life space, care deficits and future anxiety. These findings highlight the intersecting vulnerabilities of frail elderly who have lost their only child and underscore the urgent need for more inclusive and responsive community-based care models. The study contributes to a deeper understanding of eldercare in post-one-child China and offers insights for policy interventions tailored to the complex needs of this marginalized population.</w:t>
      </w:r>
    </w:p>
    <w:p w14:paraId="66C2751C">
      <w:pPr>
        <w:jc w:val="both"/>
      </w:pPr>
      <w:r>
        <w:rPr>
          <w:b/>
          <w:bCs/>
        </w:rPr>
        <w:t>Keywords</w:t>
      </w:r>
      <w:r>
        <w:t xml:space="preserve">: </w:t>
      </w:r>
      <w:r>
        <w:rPr>
          <w:rFonts w:hint="eastAsia" w:eastAsia="宋体"/>
          <w:lang w:val="en-US" w:eastAsia="zh-CN"/>
        </w:rPr>
        <w:t>F</w:t>
      </w:r>
      <w:r>
        <w:t xml:space="preserve">rail elderly who have lost their only child, caregiving challenges, </w:t>
      </w:r>
      <w:r>
        <w:rPr>
          <w:rFonts w:hint="eastAsia" w:eastAsiaTheme="minorEastAsia"/>
          <w:lang w:eastAsia="zh-CN"/>
        </w:rPr>
        <w:t>q</w:t>
      </w:r>
      <w:r>
        <w:t>ualitative</w:t>
      </w:r>
      <w:r>
        <w:rPr>
          <w:rFonts w:hint="eastAsia" w:eastAsiaTheme="minorEastAsia"/>
          <w:lang w:eastAsia="zh-CN"/>
        </w:rPr>
        <w:t xml:space="preserve">, </w:t>
      </w:r>
      <w:r>
        <w:t>urban aging, Chongqing China.</w:t>
      </w:r>
    </w:p>
    <w:p w14:paraId="4D13B3C0">
      <w:pPr>
        <w:jc w:val="both"/>
      </w:pPr>
      <w:r>
        <w:t xml:space="preserve"> </w:t>
      </w:r>
    </w:p>
    <w:p w14:paraId="07E39AE7">
      <w:pPr>
        <w:rPr>
          <w:b/>
        </w:rPr>
      </w:pPr>
      <w:r>
        <w:rPr>
          <w:b/>
        </w:rPr>
        <w:t>Introduction</w:t>
      </w:r>
    </w:p>
    <w:p w14:paraId="36717850">
      <w:pPr>
        <w:jc w:val="both"/>
        <w:rPr>
          <w:rFonts w:eastAsiaTheme="minorEastAsia"/>
          <w:lang w:eastAsia="zh-CN"/>
        </w:rPr>
      </w:pPr>
      <w:r>
        <w:t xml:space="preserve">In the late 1970s, China implemented the “One-Child Policy” as part of its national family planning strategy. In 1982, this policy was formally written into the Constitution, advocating that each couple should have only one child (Jiang et al., 2013). Although it contributed significantly to controlling population growth and promoting economic development, the policy also gave rise to a unique family structure — the “only-child family” (Blair et al., 2022; Wang &amp; Hu, 2020). The policy officially ended on January 1, 2016, with the nationwide implementation of the two-child policy. </w:t>
      </w:r>
    </w:p>
    <w:p w14:paraId="3AE5F509">
      <w:pPr>
        <w:keepNext w:val="0"/>
        <w:keepLines w:val="0"/>
        <w:pageBreakBefore w:val="0"/>
        <w:widowControl/>
        <w:kinsoku/>
        <w:wordWrap/>
        <w:overflowPunct/>
        <w:topLinePunct w:val="0"/>
        <w:autoSpaceDE/>
        <w:autoSpaceDN/>
        <w:bidi w:val="0"/>
        <w:adjustRightInd/>
        <w:snapToGrid/>
        <w:ind w:firstLine="720"/>
        <w:jc w:val="both"/>
        <w:textAlignment w:val="auto"/>
        <w:rPr>
          <w:rFonts w:eastAsiaTheme="minorEastAsia"/>
          <w:lang w:eastAsia="zh-CN"/>
        </w:rPr>
      </w:pPr>
      <w:r>
        <w:rPr>
          <w:rFonts w:eastAsiaTheme="minorEastAsia"/>
          <w:lang w:eastAsia="zh-CN"/>
        </w:rPr>
        <w:t>However, with rapid socioeconomic development and rising life uncertainties, mortality among only children has increased, resulting in a growing number of parents who have lost their only child. Influenced by traditional Chinese values such as “raising children for old age,” these individuals face not only profound and enduring grief from the loss of their child but also the harsh reality of lacking legal caregivers in old age (Ning et al., 2022).</w:t>
      </w:r>
    </w:p>
    <w:p w14:paraId="30400D48">
      <w:pPr>
        <w:keepNext w:val="0"/>
        <w:keepLines w:val="0"/>
        <w:pageBreakBefore w:val="0"/>
        <w:widowControl/>
        <w:kinsoku/>
        <w:wordWrap/>
        <w:overflowPunct/>
        <w:topLinePunct w:val="0"/>
        <w:autoSpaceDE/>
        <w:autoSpaceDN/>
        <w:bidi w:val="0"/>
        <w:adjustRightInd/>
        <w:snapToGrid/>
        <w:ind w:firstLine="720"/>
        <w:jc w:val="both"/>
        <w:textAlignment w:val="auto"/>
        <w:rPr>
          <w:rFonts w:eastAsiaTheme="minorEastAsia"/>
          <w:lang w:eastAsia="zh-CN"/>
        </w:rPr>
      </w:pPr>
      <w:r>
        <w:rPr>
          <w:rFonts w:eastAsiaTheme="minorEastAsia"/>
          <w:lang w:eastAsia="zh-CN"/>
        </w:rPr>
        <w:t>According to statistics, there are currently over one million Shidu families (</w:t>
      </w:r>
      <w:r>
        <w:rPr>
          <w:rFonts w:hint="eastAsia" w:eastAsiaTheme="minorEastAsia"/>
          <w:lang w:val="en-US" w:eastAsia="zh-CN"/>
        </w:rPr>
        <w:t xml:space="preserve">in </w:t>
      </w:r>
      <w:r>
        <w:rPr>
          <w:rFonts w:eastAsiaTheme="minorEastAsia"/>
          <w:lang w:eastAsia="zh-CN"/>
        </w:rPr>
        <w:t>Chinese) in China, with at least 76,000 new cases emerging each year (Zheng et al., 2016; Wang &amp; Hu, 2020). For many parents, children represent more than lineage continuity; they provide emotional support, identity, a sense of social belonging, and future security — including economic and caregiving support (Alavi et al., 2011;</w:t>
      </w:r>
      <w:r>
        <w:rPr>
          <w:rFonts w:hint="eastAsia" w:eastAsiaTheme="minorEastAsia"/>
          <w:lang w:eastAsia="zh-CN"/>
        </w:rPr>
        <w:t xml:space="preserve"> </w:t>
      </w:r>
      <w:r>
        <w:rPr>
          <w:rFonts w:eastAsiaTheme="minorEastAsia"/>
          <w:lang w:eastAsia="zh-CN"/>
        </w:rPr>
        <w:t>Li et al., 2025; Hoffman &amp; Hoffman, 1973; Wu &amp; Penning, 2018). The death of an only child is a life-altering and traumatic experience that severely impacts parents’ physical and mental health as well as overall quality of life.</w:t>
      </w:r>
    </w:p>
    <w:p w14:paraId="69FEFE37">
      <w:pPr>
        <w:keepNext w:val="0"/>
        <w:keepLines w:val="0"/>
        <w:pageBreakBefore w:val="0"/>
        <w:widowControl/>
        <w:kinsoku/>
        <w:wordWrap/>
        <w:overflowPunct/>
        <w:topLinePunct w:val="0"/>
        <w:autoSpaceDE/>
        <w:autoSpaceDN/>
        <w:bidi w:val="0"/>
        <w:adjustRightInd/>
        <w:snapToGrid/>
        <w:ind w:firstLine="720"/>
        <w:jc w:val="both"/>
        <w:textAlignment w:val="auto"/>
        <w:rPr>
          <w:rFonts w:eastAsiaTheme="minorEastAsia"/>
          <w:lang w:eastAsia="zh-CN"/>
        </w:rPr>
      </w:pPr>
      <w:r>
        <w:rPr>
          <w:rFonts w:hint="eastAsia"/>
        </w:rPr>
        <w:t xml:space="preserve">This vulnerable </w:t>
      </w:r>
      <w:r>
        <w:rPr>
          <w:rFonts w:hint="eastAsia"/>
          <w:lang w:val="en-US" w:eastAsia="zh-CN"/>
        </w:rPr>
        <w:t>group</w:t>
      </w:r>
      <w:r>
        <w:rPr>
          <w:rFonts w:hint="eastAsia"/>
        </w:rPr>
        <w:t xml:space="preserve"> not only suffers from deep psychological trauma but also faces multiple challenges due to the weakening of the traditional family-based elderly care system. In Chongqing — China’s youngest municipality — the care needs of </w:t>
      </w:r>
      <w:r>
        <w:rPr>
          <w:rFonts w:hint="eastAsia"/>
          <w:lang w:val="en-US" w:eastAsia="zh-CN"/>
        </w:rPr>
        <w:t>older persons who have lost their only child</w:t>
      </w:r>
      <w:r>
        <w:rPr>
          <w:rFonts w:hint="eastAsia"/>
        </w:rPr>
        <w:t xml:space="preserve"> are further complicated by the city’s mountainous geography, spatial isolation, and high population mobility, giving rise to unique regional caregiving </w:t>
      </w:r>
      <w:r>
        <w:rPr>
          <w:rFonts w:hint="eastAsia"/>
          <w:lang w:val="en-US" w:eastAsia="zh-CN"/>
        </w:rPr>
        <w:t>challenges</w:t>
      </w:r>
      <w:r>
        <w:rPr>
          <w:rFonts w:hint="eastAsia"/>
        </w:rPr>
        <w:t>.</w:t>
      </w:r>
      <w:r>
        <w:rPr>
          <w:rFonts w:hint="eastAsia"/>
          <w:lang w:val="en-US" w:eastAsia="zh-CN"/>
        </w:rPr>
        <w:t>Im</w:t>
      </w:r>
      <w:r>
        <w:rPr>
          <w:rFonts w:hint="eastAsia"/>
        </w:rPr>
        <w:t xml:space="preserve">portantly, as this population ages, a significant proportion of bereaved parents experience frailty, a clinical syndrome characterized by physical decline, reduced mobility, chronic illness, and diminished physiological </w:t>
      </w:r>
      <w:r>
        <w:t>resil</w:t>
      </w:r>
      <w:r>
        <w:rPr>
          <w:color w:val="auto"/>
        </w:rPr>
        <w:t>ience</w:t>
      </w:r>
      <w:r>
        <w:rPr>
          <w:color w:val="auto"/>
          <w:lang w:val="en-US" w:eastAsia="zh-CN"/>
        </w:rPr>
        <w:t xml:space="preserve"> (</w:t>
      </w:r>
      <w:r>
        <w:rPr>
          <w:rFonts w:hint="eastAsia"/>
          <w:color w:val="auto"/>
          <w:lang w:val="en-US" w:eastAsia="zh-CN"/>
        </w:rPr>
        <w:t>Sciacchitano et al., 2024；</w:t>
      </w:r>
      <w:r>
        <w:rPr>
          <w:rFonts w:eastAsiaTheme="minorEastAsia"/>
          <w:color w:val="auto"/>
          <w:lang w:val="en-US" w:eastAsia="zh-CN" w:bidi="ar"/>
        </w:rPr>
        <w:t>Lekan</w:t>
      </w:r>
      <w:r>
        <w:rPr>
          <w:rFonts w:hint="eastAsia"/>
          <w:color w:val="auto"/>
          <w:lang w:val="en-US" w:eastAsia="zh-CN" w:bidi="ar"/>
        </w:rPr>
        <w:t xml:space="preserve"> </w:t>
      </w:r>
      <w:r>
        <w:rPr>
          <w:rFonts w:hint="eastAsia"/>
          <w:color w:val="auto"/>
          <w:lang w:val="en-US" w:eastAsia="zh-CN"/>
        </w:rPr>
        <w:t>et al., 2024)</w:t>
      </w:r>
      <w:r>
        <w:rPr>
          <w:rFonts w:hint="eastAsia"/>
          <w:color w:val="auto"/>
        </w:rPr>
        <w:t>. Frail elderly who</w:t>
      </w:r>
      <w:r>
        <w:rPr>
          <w:rFonts w:hint="eastAsia"/>
        </w:rPr>
        <w:t xml:space="preserve"> have lost their only child represent a particularly high-risk subgroup, whose caregiving vulnerabilities are intensified by both physical limitations and the absence of familial support. While existing research has primarily focused on the psychological conditions and policy compensation for parents</w:t>
      </w:r>
      <w:r>
        <w:rPr>
          <w:rFonts w:hint="eastAsia" w:eastAsiaTheme="minorEastAsia"/>
          <w:lang w:eastAsia="zh-CN"/>
        </w:rPr>
        <w:t xml:space="preserve"> who have lost their only child</w:t>
      </w:r>
      <w:r>
        <w:rPr>
          <w:rFonts w:hint="eastAsia"/>
        </w:rPr>
        <w:t>, there remains a critical gap in understanding the multidimensional caregiving challenges faced by those who are also physically frail.</w:t>
      </w:r>
    </w:p>
    <w:p w14:paraId="121A5A85">
      <w:pPr>
        <w:keepNext w:val="0"/>
        <w:keepLines w:val="0"/>
        <w:pageBreakBefore w:val="0"/>
        <w:widowControl/>
        <w:kinsoku/>
        <w:wordWrap/>
        <w:overflowPunct/>
        <w:topLinePunct w:val="0"/>
        <w:autoSpaceDE/>
        <w:autoSpaceDN/>
        <w:bidi w:val="0"/>
        <w:adjustRightInd/>
        <w:snapToGrid/>
        <w:ind w:firstLine="720"/>
        <w:jc w:val="both"/>
        <w:textAlignment w:val="auto"/>
        <w:rPr>
          <w:rFonts w:hint="eastAsia" w:eastAsiaTheme="minorEastAsia"/>
          <w:lang w:eastAsia="zh-CN"/>
        </w:rPr>
      </w:pPr>
      <w:r>
        <w:rPr>
          <w:rFonts w:eastAsiaTheme="minorEastAsia"/>
          <w:lang w:eastAsia="zh-CN"/>
        </w:rPr>
        <w:t>This study employs a qualitative approach to explore the caregiving experiences of frail elderly who have lost their only child in urban Chongqing. It aims to uncover the multidimensional challenges they face — physically, psychologically, and socially. The findings are expected to inform evidence-based policy for elderly care in high-density, under-resourced urban regions and offer critical insights for advancing China’s aging governance strategies in the context of its unique sociocultural and demographic landscape.</w:t>
      </w:r>
    </w:p>
    <w:p w14:paraId="43EA3F34">
      <w:pPr>
        <w:rPr>
          <w:rFonts w:hint="eastAsia" w:eastAsiaTheme="minorEastAsia"/>
          <w:lang w:eastAsia="zh-CN"/>
        </w:rPr>
      </w:pPr>
    </w:p>
    <w:p w14:paraId="59868299">
      <w:pPr>
        <w:rPr>
          <w:b/>
        </w:rPr>
      </w:pPr>
      <w:r>
        <w:rPr>
          <w:b/>
        </w:rPr>
        <w:t>Literature Review</w:t>
      </w:r>
    </w:p>
    <w:p w14:paraId="255C0191">
      <w:pPr>
        <w:jc w:val="both"/>
      </w:pPr>
      <w:r>
        <w:t>In the early 1970s, the Chinese government began to recognize the adverse impact of rapid population growth on economic development and gradually introduced systematic birth control policies (Basten &amp; Jiang, 2014). The initial slogans emphasized “later, longer, fewer,” encouraging later marriages and childbirth, extended birth intervals, and reduced family size (Greenhalgh &amp; Bongaarts, 1987). In 1980, the government officially proposed that “each couple should have only one child,” marking the full-scale implementation of the One-Child Policy (Jiang et al., 2013). By 1982, family planning had been written into the Constitution, becoming a fundamental national policy.</w:t>
      </w:r>
    </w:p>
    <w:p w14:paraId="14470451">
      <w:pPr>
        <w:keepNext w:val="0"/>
        <w:keepLines w:val="0"/>
        <w:pageBreakBefore w:val="0"/>
        <w:widowControl/>
        <w:kinsoku/>
        <w:wordWrap/>
        <w:overflowPunct/>
        <w:topLinePunct w:val="0"/>
        <w:autoSpaceDE/>
        <w:autoSpaceDN/>
        <w:bidi w:val="0"/>
        <w:adjustRightInd/>
        <w:snapToGrid/>
        <w:ind w:firstLine="720"/>
        <w:jc w:val="both"/>
        <w:textAlignment w:val="auto"/>
      </w:pPr>
      <w:r>
        <w:t xml:space="preserve">The policy was enforced more strictly in urban areas, where over 90% of families complied with having only one child, incentivized by the issuance of an “Only-Child Certificate” and associated benefits in housing, education, and healthcare (Wang 2024)). In contrast, rural regions—driven by traditional preferences for larger families—exhibited more resistance, and implementation was relatively lenient </w:t>
      </w:r>
      <w:r>
        <w:rPr>
          <w:rFonts w:hint="eastAsia" w:ascii="宋体" w:hAnsi="宋体" w:eastAsia="宋体" w:cs="宋体"/>
        </w:rPr>
        <w:t>（</w:t>
      </w:r>
      <w:r>
        <w:t>O’Brien &amp; Li, 2017).</w:t>
      </w:r>
    </w:p>
    <w:p w14:paraId="39129174">
      <w:pPr>
        <w:keepNext w:val="0"/>
        <w:keepLines w:val="0"/>
        <w:pageBreakBefore w:val="0"/>
        <w:widowControl/>
        <w:kinsoku/>
        <w:wordWrap/>
        <w:overflowPunct/>
        <w:topLinePunct w:val="0"/>
        <w:autoSpaceDE/>
        <w:autoSpaceDN/>
        <w:bidi w:val="0"/>
        <w:adjustRightInd/>
        <w:snapToGrid/>
        <w:ind w:firstLine="720"/>
        <w:jc w:val="both"/>
        <w:textAlignment w:val="auto"/>
        <w:rPr>
          <w:rFonts w:eastAsiaTheme="minorEastAsia"/>
          <w:lang w:eastAsia="zh-CN"/>
        </w:rPr>
      </w:pPr>
      <w:r>
        <w:t xml:space="preserve">From 2013 to 2021, in response to increasing population aging and labor shortages, the Chinese government gradually relaxed the One-Child Policy. It introduced a series of reforms, including the “Selective Two-Child Policy,” the “Universal Two-Child Policy,” and eventually, the “Three-Child Policy,” reflecting a significant shift in the state’s demographic and social priorities. </w:t>
      </w:r>
    </w:p>
    <w:p w14:paraId="260C514C">
      <w:pPr>
        <w:keepNext w:val="0"/>
        <w:keepLines w:val="0"/>
        <w:pageBreakBefore w:val="0"/>
        <w:widowControl/>
        <w:kinsoku/>
        <w:wordWrap/>
        <w:overflowPunct/>
        <w:topLinePunct w:val="0"/>
        <w:autoSpaceDE/>
        <w:autoSpaceDN/>
        <w:bidi w:val="0"/>
        <w:adjustRightInd/>
        <w:snapToGrid/>
        <w:ind w:firstLine="720"/>
        <w:jc w:val="both"/>
        <w:textAlignment w:val="auto"/>
        <w:rPr>
          <w:rFonts w:hint="eastAsia" w:eastAsiaTheme="minorEastAsia"/>
          <w:lang w:eastAsia="zh-CN"/>
        </w:rPr>
      </w:pPr>
      <w:r>
        <w:rPr>
          <w:rFonts w:hint="eastAsia"/>
        </w:rPr>
        <w:t>While the One-Child Policy effectively curbed population growth, it also introduced new social challenges—most notably, the emergence of the “</w:t>
      </w:r>
      <w:r>
        <w:t>Shidu” phenomenon (</w:t>
      </w:r>
      <w:r>
        <w:rPr>
          <w:rFonts w:hint="eastAsia"/>
        </w:rPr>
        <w:t>Luo et al. 2021). This term refers to elderly individuals who have lost their only child, a group that has been steadily increasing in China. It is estimated that there are now over one million Shidu families in the country, with approximately 76,000 new cases each y</w:t>
      </w:r>
      <w:r>
        <w:rPr>
          <w:rFonts w:hint="eastAsia"/>
          <w:color w:val="auto"/>
        </w:rPr>
        <w:t>ear (Zheng et al., 2016; Wang &amp; Hu, 20</w:t>
      </w:r>
      <w:r>
        <w:rPr>
          <w:rFonts w:hint="eastAsia"/>
          <w:color w:val="auto"/>
          <w:lang w:val="en-US" w:eastAsia="zh-CN"/>
        </w:rPr>
        <w:t>20</w:t>
      </w:r>
      <w:r>
        <w:rPr>
          <w:rFonts w:hint="eastAsia"/>
          <w:color w:val="auto"/>
        </w:rPr>
        <w:t>). In Chinese society, children are not only expected to provide economic support for their parents in old age, but also serve as sources of emotional connection, self-worth, and social belonging (Wu &amp; Penning, 2018). The death of a child is not only an extremely painful emotional experience, but also a traumatic life event. Research has s</w:t>
      </w:r>
      <w:r>
        <w:rPr>
          <w:rFonts w:hint="eastAsia"/>
        </w:rPr>
        <w:t>hown that it significantly undermines the physical and mental health, as well as the overall quality of life, of bereaved elderly parents (Wang &amp; Hu, 2019). Therefore, elderly individuals who have lost their only child should not be viewed merely as childless seniors, but rather as a particularly vulnerable group under the dual burden of emotional trauma and loss of social roles.</w:t>
      </w:r>
    </w:p>
    <w:p w14:paraId="7A587D32">
      <w:pPr>
        <w:keepNext w:val="0"/>
        <w:keepLines w:val="0"/>
        <w:pageBreakBefore w:val="0"/>
        <w:widowControl/>
        <w:kinsoku/>
        <w:wordWrap/>
        <w:overflowPunct/>
        <w:topLinePunct w:val="0"/>
        <w:autoSpaceDE/>
        <w:autoSpaceDN/>
        <w:bidi w:val="0"/>
        <w:adjustRightInd/>
        <w:snapToGrid/>
        <w:ind w:firstLine="720"/>
        <w:jc w:val="both"/>
        <w:textAlignment w:val="auto"/>
        <w:rPr>
          <w:rFonts w:eastAsiaTheme="minorEastAsia"/>
          <w:lang w:eastAsia="zh-CN"/>
        </w:rPr>
      </w:pPr>
      <w:r>
        <w:rPr>
          <w:rFonts w:eastAsiaTheme="minorEastAsia"/>
          <w:lang w:eastAsia="zh-CN"/>
        </w:rPr>
        <w:t>As elderly who have lost their only child grow older, their care-related issues become increasingly prominent, posing a critical challenge in the context of China’s rapidly aging society. Although some local governments have introduced support schemes targeting childless seniors, the overall coverage remains limited—particularly in areas such as long-term care services (Li, 2013). Based on a case study of 12 media reports, Song (2014) identified elderly care security as one of the most pressing concerns for elderly who have lost their only child often face multiple barriers, including financial strain and difficulties in accessing medical care, and noted that without close relatives to sign medical consent forms, many elderly who have lost their only child are rejected by eldercare institutions, and some even worry about having no one to manage their affairs after death. Moreover, research suggests that compared to physical needs, elderly who have lost their only child are more likely to experience deficits in psychosocial domains such as love, belonging, respect, and self-actualization (Ning et al., 2022). Liang et al. (2018) found that at the end of life, elderly who have lost their only child are more inclined to choose professional hospice care facilities, in response to the absence of children and the resulting crisis in end-of-life support.</w:t>
      </w:r>
    </w:p>
    <w:p w14:paraId="69678DDE">
      <w:pPr>
        <w:keepNext w:val="0"/>
        <w:keepLines w:val="0"/>
        <w:pageBreakBefore w:val="0"/>
        <w:widowControl/>
        <w:kinsoku/>
        <w:wordWrap/>
        <w:overflowPunct/>
        <w:topLinePunct w:val="0"/>
        <w:autoSpaceDE/>
        <w:autoSpaceDN/>
        <w:bidi w:val="0"/>
        <w:adjustRightInd/>
        <w:snapToGrid/>
        <w:ind w:firstLine="720"/>
        <w:jc w:val="both"/>
        <w:textAlignment w:val="auto"/>
        <w:rPr>
          <w:rFonts w:eastAsiaTheme="minorEastAsia"/>
          <w:lang w:eastAsia="zh-CN"/>
        </w:rPr>
      </w:pPr>
      <w:r>
        <w:rPr>
          <w:rFonts w:eastAsiaTheme="minorEastAsia"/>
          <w:lang w:eastAsia="zh-CN"/>
        </w:rPr>
        <w:t>In response to the multifaceted caregiving challenges faced by elderly who have lost their only child, a number of scholars have proposed rebuilding social support networks through the combined efforts of social work, community-based services, and institutional policy reforms. Jiao and Pei (2019) recommend mobilizing social organizations and community resources to provide tailored eldercare services for Shidu families. Similarly, Zhang (2015) advocates for the establishment of a specialized community eldercare system for childless seniors, including dedicated service programs within care institutions and cross-sectoral collaboration mechanisms.</w:t>
      </w:r>
    </w:p>
    <w:p w14:paraId="3DB54D29">
      <w:pPr>
        <w:keepNext w:val="0"/>
        <w:keepLines w:val="0"/>
        <w:pageBreakBefore w:val="0"/>
        <w:widowControl/>
        <w:kinsoku/>
        <w:wordWrap/>
        <w:overflowPunct/>
        <w:topLinePunct w:val="0"/>
        <w:autoSpaceDE/>
        <w:autoSpaceDN/>
        <w:bidi w:val="0"/>
        <w:adjustRightInd/>
        <w:snapToGrid/>
        <w:ind w:firstLine="720"/>
        <w:jc w:val="both"/>
        <w:textAlignment w:val="auto"/>
        <w:rPr>
          <w:rFonts w:eastAsiaTheme="minorEastAsia"/>
          <w:lang w:eastAsia="zh-CN"/>
        </w:rPr>
      </w:pPr>
      <w:r>
        <w:rPr>
          <w:rFonts w:eastAsiaTheme="minorEastAsia"/>
          <w:lang w:eastAsia="zh-CN"/>
        </w:rPr>
        <w:t>On the policy front, some researchers have proposed strengthening adult adoption regulations, improving pension schemes for childless elderly, and assessing the fiscal sustainability of these programs (Yip et al., 2022; Zhang, 2015). These studies offer valuable directions for intervention, yet existing efforts remain fragmented and underdeveloped—particularly in urban settings where frail elderly who have lost their only child continue to face significant challenges in service accessibility, appropriateness of care, and social inclusion. These persistent gaps highlight the need for more integrated, equitable, and culturally sensitive eldercare models that address both physical vulnerability and psychosocial marginalization.</w:t>
      </w:r>
    </w:p>
    <w:p w14:paraId="01542940">
      <w:pPr>
        <w:keepNext w:val="0"/>
        <w:keepLines w:val="0"/>
        <w:pageBreakBefore w:val="0"/>
        <w:widowControl/>
        <w:kinsoku/>
        <w:wordWrap/>
        <w:overflowPunct/>
        <w:topLinePunct w:val="0"/>
        <w:autoSpaceDE/>
        <w:autoSpaceDN/>
        <w:bidi w:val="0"/>
        <w:adjustRightInd/>
        <w:snapToGrid/>
        <w:ind w:firstLine="720"/>
        <w:textAlignment w:val="auto"/>
        <w:rPr>
          <w:rFonts w:hint="eastAsia" w:eastAsiaTheme="minorEastAsia"/>
          <w:lang w:eastAsia="zh-CN"/>
        </w:rPr>
      </w:pPr>
    </w:p>
    <w:p w14:paraId="4836E4E5">
      <w:pPr>
        <w:rPr>
          <w:b/>
        </w:rPr>
      </w:pPr>
      <w:r>
        <w:rPr>
          <w:b/>
        </w:rPr>
        <w:t>Methodology</w:t>
      </w:r>
    </w:p>
    <w:p w14:paraId="3969C36B">
      <w:pPr>
        <w:rPr>
          <w:rFonts w:eastAsiaTheme="minorEastAsia"/>
          <w:lang w:eastAsia="zh-CN"/>
        </w:rPr>
      </w:pPr>
      <w:bookmarkStart w:id="0" w:name="_Hlk205379917"/>
      <w:r>
        <w:rPr>
          <w:rFonts w:eastAsiaTheme="minorEastAsia"/>
          <w:lang w:eastAsia="zh-CN"/>
        </w:rPr>
        <w:t>1       Research Design</w:t>
      </w:r>
    </w:p>
    <w:bookmarkEnd w:id="0"/>
    <w:p w14:paraId="3A2E0190">
      <w:pPr>
        <w:jc w:val="both"/>
        <w:rPr>
          <w:rFonts w:eastAsiaTheme="minorEastAsia"/>
          <w:lang w:eastAsia="zh-CN"/>
        </w:rPr>
      </w:pPr>
      <w:r>
        <w:t>This study conducted a qualitative research design to explore the caregiving challenges faced by frail elderly who have lost their only child in urban Chongqing. A phenomenological approach was adopted to gain an in-depth understanding of the lived experiences of this vulnerable group. This design enabled the researcher to capture participants’ subjective realities, emotional expressions, and social contexts related to caregiving and support.</w:t>
      </w:r>
    </w:p>
    <w:p w14:paraId="7423C719">
      <w:pPr>
        <w:rPr>
          <w:rFonts w:eastAsiaTheme="minorEastAsia"/>
          <w:lang w:eastAsia="zh-CN"/>
        </w:rPr>
      </w:pPr>
      <w:r>
        <w:rPr>
          <w:rFonts w:hint="eastAsia" w:eastAsiaTheme="minorEastAsia"/>
          <w:lang w:eastAsia="zh-CN"/>
        </w:rPr>
        <w:t>2</w:t>
      </w:r>
      <w:r>
        <w:rPr>
          <w:rFonts w:eastAsiaTheme="minorEastAsia"/>
          <w:lang w:eastAsia="zh-CN"/>
        </w:rPr>
        <w:t xml:space="preserve">       Study Location</w:t>
      </w:r>
    </w:p>
    <w:p w14:paraId="145C4981">
      <w:pPr>
        <w:jc w:val="both"/>
        <w:rPr>
          <w:rFonts w:eastAsiaTheme="minorEastAsia"/>
          <w:lang w:val="en-US" w:eastAsia="zh-CN"/>
        </w:rPr>
      </w:pPr>
      <w:r>
        <w:rPr>
          <w:lang w:val="en-US" w:eastAsia="zh-CN"/>
        </w:rPr>
        <w:t>Chongqing was selected as the study site due to its demographic diversity and complex urban environment, making it highly relevant for exploring the challenges of frail elderly who have lost their only child. The research focused on two communities: DCH Community in Shapingba District, an older urban area with traditional neighborhoods, and BH Community in Jiulongpo</w:t>
      </w:r>
      <w:r>
        <w:rPr>
          <w:rFonts w:hint="eastAsia"/>
          <w:lang w:val="en-US" w:eastAsia="zh-CN"/>
        </w:rPr>
        <w:t xml:space="preserve"> </w:t>
      </w:r>
      <w:r>
        <w:rPr>
          <w:lang w:val="en-US" w:eastAsia="zh-CN"/>
        </w:rPr>
        <w:t>District, part of the modern and economically active High-tech Zone. These locations allowed for a diverse sample across different socioeconomic backgrounds and living conditions, helping to reveal how urban environments impact quality of life and social support for this vulnerable group.</w:t>
      </w:r>
    </w:p>
    <w:p w14:paraId="3D448580">
      <w:pPr>
        <w:rPr>
          <w:rFonts w:hint="eastAsia" w:eastAsiaTheme="minorEastAsia"/>
          <w:lang w:val="en-US" w:eastAsia="zh-CN"/>
        </w:rPr>
      </w:pPr>
      <w:bookmarkStart w:id="1" w:name="_Hlk205380008"/>
      <w:r>
        <w:rPr>
          <w:rFonts w:hint="eastAsia" w:eastAsiaTheme="minorEastAsia"/>
          <w:lang w:val="en-US" w:eastAsia="zh-CN"/>
        </w:rPr>
        <w:t>3</w:t>
      </w:r>
      <w:r>
        <w:rPr>
          <w:rFonts w:eastAsiaTheme="minorEastAsia"/>
          <w:lang w:val="en-US" w:eastAsia="zh-CN"/>
        </w:rPr>
        <w:t xml:space="preserve">       Sampling Method</w:t>
      </w:r>
    </w:p>
    <w:bookmarkEnd w:id="1"/>
    <w:p w14:paraId="53A8E8ED">
      <w:pPr>
        <w:jc w:val="both"/>
        <w:rPr>
          <w:rFonts w:eastAsiaTheme="minorEastAsia"/>
          <w:lang w:eastAsia="zh-CN"/>
        </w:rPr>
      </w:pPr>
      <w:r>
        <w:rPr>
          <w:rFonts w:eastAsiaTheme="minorEastAsia"/>
        </w:rPr>
        <w:t>Purposive sampling was used to recruit participants who met specific inclusion criteria: (i) Must be 65 years of age or older. (ii) Must be classified as frail based on the Frailty Phenotype assessment tool (Fried et al. 2001) from the CGA Toolkit. (iii) Must have lost their only child. (iv) Must reside in either the High-tech Zone or Shapingba District communities.</w:t>
      </w:r>
    </w:p>
    <w:p w14:paraId="72999418">
      <w:pPr>
        <w:rPr>
          <w:rFonts w:hint="eastAsia" w:eastAsiaTheme="minorEastAsia"/>
          <w:lang w:eastAsia="zh-CN"/>
        </w:rPr>
      </w:pPr>
      <w:r>
        <w:rPr>
          <w:rFonts w:hint="eastAsia" w:eastAsiaTheme="minorEastAsia"/>
          <w:lang w:eastAsia="zh-CN"/>
        </w:rPr>
        <w:t>4</w:t>
      </w:r>
      <w:r>
        <w:rPr>
          <w:rFonts w:eastAsiaTheme="minorEastAsia"/>
          <w:lang w:eastAsia="zh-CN"/>
        </w:rPr>
        <w:t xml:space="preserve">       Data Collection Procedures</w:t>
      </w:r>
    </w:p>
    <w:p w14:paraId="08D349F8">
      <w:pPr>
        <w:jc w:val="both"/>
        <w:rPr>
          <w:rFonts w:eastAsiaTheme="minorEastAsia"/>
          <w:lang w:eastAsia="zh-CN"/>
        </w:rPr>
      </w:pPr>
      <w:r>
        <w:rPr>
          <w:rFonts w:eastAsiaTheme="minorEastAsia"/>
          <w:lang w:eastAsia="zh-CN"/>
        </w:rPr>
        <w:t>Data were collected through in-depth, semi-structured face-to-face interviews, an approach considered the gold standard for researching sensitive topics involving vulnerable populations (Braun &amp; Clarke, 2013). An interview guide was developed to explore participants’ caregiving challenges across physical, psychological, and social dimensions.</w:t>
      </w:r>
    </w:p>
    <w:p w14:paraId="01052ACF">
      <w:pPr>
        <w:keepNext w:val="0"/>
        <w:keepLines w:val="0"/>
        <w:pageBreakBefore w:val="0"/>
        <w:widowControl/>
        <w:kinsoku/>
        <w:wordWrap/>
        <w:overflowPunct/>
        <w:topLinePunct w:val="0"/>
        <w:autoSpaceDE/>
        <w:autoSpaceDN/>
        <w:bidi w:val="0"/>
        <w:adjustRightInd/>
        <w:snapToGrid/>
        <w:ind w:firstLine="720"/>
        <w:jc w:val="both"/>
        <w:textAlignment w:val="auto"/>
        <w:rPr>
          <w:rFonts w:eastAsiaTheme="minorEastAsia"/>
          <w:lang w:eastAsia="zh-CN"/>
        </w:rPr>
      </w:pPr>
      <w:r>
        <w:rPr>
          <w:rFonts w:eastAsiaTheme="minorEastAsia"/>
          <w:lang w:eastAsia="zh-CN"/>
        </w:rPr>
        <w:t>Interviews were conducted in participants’ homes or quiet community spaces, each lasting 60–90 minutes. All sessions were audio-recorded with informed consent and transcribed verbatim for analysis. Key interview questions included:</w:t>
      </w:r>
      <w:r>
        <w:rPr>
          <w:rFonts w:hint="eastAsia" w:eastAsiaTheme="minorEastAsia"/>
          <w:lang w:eastAsia="zh-CN"/>
        </w:rPr>
        <w:t>(</w:t>
      </w:r>
      <w:r>
        <w:rPr>
          <w:rFonts w:eastAsiaTheme="minorEastAsia"/>
          <w:lang w:eastAsia="zh-CN"/>
        </w:rPr>
        <w:t xml:space="preserve">i). What difficulties do you face in caring for yourself daily? (ii). How has your emotional state changed after losing your only child? (iii). Have you received support from the community, government, or others? Was it helpful? </w:t>
      </w:r>
      <w:r>
        <w:rPr>
          <w:rFonts w:hint="eastAsia" w:eastAsiaTheme="minorEastAsia"/>
          <w:lang w:eastAsia="zh-CN"/>
        </w:rPr>
        <w:t>(</w:t>
      </w:r>
      <w:r>
        <w:rPr>
          <w:rFonts w:eastAsiaTheme="minorEastAsia"/>
          <w:lang w:eastAsia="zh-CN"/>
        </w:rPr>
        <w:t>iv). What are your concerns or expectations for future care?</w:t>
      </w:r>
    </w:p>
    <w:p w14:paraId="2F161167">
      <w:pPr>
        <w:rPr>
          <w:rFonts w:eastAsiaTheme="minorEastAsia"/>
          <w:lang w:eastAsia="zh-CN"/>
        </w:rPr>
      </w:pPr>
      <w:r>
        <w:rPr>
          <w:rFonts w:hint="eastAsia" w:eastAsiaTheme="minorEastAsia"/>
          <w:lang w:eastAsia="zh-CN"/>
        </w:rPr>
        <w:t>5</w:t>
      </w:r>
      <w:r>
        <w:rPr>
          <w:rFonts w:eastAsiaTheme="minorEastAsia"/>
          <w:lang w:eastAsia="zh-CN"/>
        </w:rPr>
        <w:t xml:space="preserve">       Data Analysis</w:t>
      </w:r>
    </w:p>
    <w:p w14:paraId="4E6E201D">
      <w:pPr>
        <w:jc w:val="both"/>
      </w:pPr>
      <w:r>
        <w:rPr>
          <w:rFonts w:hint="eastAsia"/>
          <w:lang w:val="en-US" w:eastAsia="zh-CN"/>
        </w:rPr>
        <w:t xml:space="preserve">The data were analyzed using thematic analysis, following Braun and Clarke’s six-step </w:t>
      </w:r>
      <w:r>
        <w:rPr>
          <w:lang w:val="en-US" w:eastAsia="zh-CN"/>
        </w:rPr>
        <w:t>fram</w:t>
      </w:r>
      <w:r>
        <w:rPr>
          <w:highlight w:val="none"/>
          <w:lang w:val="en-US" w:eastAsia="zh-CN"/>
        </w:rPr>
        <w:t>ework (Braun &amp; Clarke 2006)</w:t>
      </w:r>
      <w:r>
        <w:rPr>
          <w:rFonts w:hint="eastAsia"/>
          <w:highlight w:val="none"/>
          <w:lang w:val="en-US" w:eastAsia="zh-CN"/>
        </w:rPr>
        <w:t>. Transcripts were coded iteratively, and emerging patterns were grouped into the</w:t>
      </w:r>
      <w:r>
        <w:rPr>
          <w:rFonts w:hint="eastAsia"/>
          <w:lang w:val="en-US" w:eastAsia="zh-CN"/>
        </w:rPr>
        <w:t>matic categories reflecting participants’ caregiving challenges. Constant comparative analysis was used to refine codes and identify similarities and differences across cases.</w:t>
      </w:r>
      <w:r>
        <w:rPr>
          <w:rFonts w:hint="eastAsia" w:eastAsiaTheme="minorEastAsia"/>
          <w:lang w:val="en-US" w:eastAsia="zh-CN"/>
        </w:rPr>
        <w:t xml:space="preserve"> </w:t>
      </w:r>
      <w:r>
        <w:rPr>
          <w:rFonts w:hint="eastAsia"/>
          <w:lang w:val="en-US" w:eastAsia="zh-CN"/>
        </w:rPr>
        <w:t>ATLAS.ti software was used to assist in data organization, coding, and theme development.</w:t>
      </w:r>
    </w:p>
    <w:p w14:paraId="3B2E3A44">
      <w:pPr>
        <w:jc w:val="both"/>
        <w:rPr>
          <w:b/>
        </w:rPr>
      </w:pPr>
    </w:p>
    <w:p w14:paraId="51ACCED6">
      <w:pPr>
        <w:rPr>
          <w:b/>
        </w:rPr>
      </w:pPr>
      <w:r>
        <w:rPr>
          <w:b/>
        </w:rPr>
        <w:t>The Findings</w:t>
      </w:r>
    </w:p>
    <w:p w14:paraId="0555132A">
      <w:bookmarkStart w:id="2" w:name="_Hlk205379889"/>
      <w:r>
        <w:t>1       Profile of Respondents</w:t>
      </w:r>
    </w:p>
    <w:bookmarkEnd w:id="2"/>
    <w:p w14:paraId="5AC6B392">
      <w:pPr>
        <w:jc w:val="both"/>
        <w:rPr>
          <w:rFonts w:eastAsiaTheme="minorEastAsia"/>
          <w:lang w:eastAsia="zh-CN"/>
        </w:rPr>
      </w:pPr>
      <w:r>
        <w:t>A total of 11 frail elderly individuals who had lost their only child were selected through purposive sampling from two urban communities in Chongqing. The socio-demographic characteristics and frailty status of the participants are presented in Table 1. Each participant is identified using a code in the format CQ-SD-[Community Code]-[Initials]. For example, CQ-SD-BH-ZHANG Y refers to an interviewee named “ZHANG Y” from Baihe (BH) Community.</w:t>
      </w:r>
    </w:p>
    <w:p w14:paraId="78C55BE3">
      <w:pPr>
        <w:rPr>
          <w:rFonts w:hint="eastAsia" w:eastAsiaTheme="minorEastAsia"/>
          <w:lang w:eastAsia="zh-CN"/>
        </w:rPr>
      </w:pPr>
    </w:p>
    <w:p w14:paraId="012E302F">
      <w:pPr>
        <w:rPr>
          <w:rFonts w:hint="default" w:ascii="Times New Roman" w:hAnsi="Times New Roman" w:cs="Times New Roman" w:eastAsiaTheme="minorEastAsia"/>
          <w:sz w:val="20"/>
          <w:szCs w:val="20"/>
          <w:lang w:eastAsia="zh-CN"/>
        </w:rPr>
      </w:pPr>
      <w:r>
        <w:rPr>
          <w:rFonts w:hint="default" w:ascii="Times New Roman" w:hAnsi="Times New Roman" w:cs="Times New Roman"/>
          <w:sz w:val="20"/>
          <w:szCs w:val="20"/>
        </w:rPr>
        <w:t>Table 2. Basic Profile and Frailty Status of Respondents</w:t>
      </w:r>
    </w:p>
    <w:tbl>
      <w:tblPr>
        <w:tblStyle w:val="19"/>
        <w:tblW w:w="4933" w:type="pct"/>
        <w:tblInd w:w="0" w:type="dxa"/>
        <w:tblLayout w:type="autofit"/>
        <w:tblCellMar>
          <w:top w:w="0" w:type="dxa"/>
          <w:left w:w="108" w:type="dxa"/>
          <w:bottom w:w="0" w:type="dxa"/>
          <w:right w:w="108" w:type="dxa"/>
        </w:tblCellMar>
      </w:tblPr>
      <w:tblGrid>
        <w:gridCol w:w="639"/>
        <w:gridCol w:w="3164"/>
        <w:gridCol w:w="1553"/>
        <w:gridCol w:w="1078"/>
        <w:gridCol w:w="1329"/>
        <w:gridCol w:w="772"/>
        <w:gridCol w:w="2004"/>
      </w:tblGrid>
      <w:tr w14:paraId="1E65A428">
        <w:tblPrEx>
          <w:tblCellMar>
            <w:top w:w="0" w:type="dxa"/>
            <w:left w:w="108" w:type="dxa"/>
            <w:bottom w:w="0" w:type="dxa"/>
            <w:right w:w="108" w:type="dxa"/>
          </w:tblCellMar>
        </w:tblPrEx>
        <w:trPr>
          <w:trHeight w:val="543" w:hRule="atLeast"/>
        </w:trPr>
        <w:tc>
          <w:tcPr>
            <w:tcW w:w="303" w:type="pct"/>
            <w:tcBorders>
              <w:top w:val="single" w:color="auto" w:sz="4" w:space="0"/>
              <w:left w:val="nil"/>
              <w:bottom w:val="single" w:color="000000" w:sz="4" w:space="0"/>
              <w:right w:val="nil"/>
            </w:tcBorders>
            <w:shd w:val="clear" w:color="auto" w:fill="auto"/>
            <w:vAlign w:val="center"/>
          </w:tcPr>
          <w:p w14:paraId="47CC42AD">
            <w:pPr>
              <w:spacing w:after="160" w:line="276" w:lineRule="auto"/>
              <w:jc w:val="center"/>
              <w:rPr>
                <w:rFonts w:hint="default" w:ascii="Times New Roman" w:hAnsi="Times New Roman" w:eastAsia="宋体" w:cs="Times New Roman"/>
                <w:b w:val="0"/>
                <w:bCs w:val="0"/>
                <w:color w:val="000000"/>
                <w:sz w:val="20"/>
                <w:szCs w:val="20"/>
                <w:lang w:val="en-US" w:eastAsia="zh-CN"/>
              </w:rPr>
            </w:pPr>
            <w:r>
              <w:rPr>
                <w:rFonts w:hint="default" w:ascii="Times New Roman" w:hAnsi="Times New Roman" w:eastAsia="宋体" w:cs="Times New Roman"/>
                <w:b w:val="0"/>
                <w:bCs w:val="0"/>
                <w:color w:val="000000"/>
                <w:sz w:val="20"/>
                <w:szCs w:val="20"/>
                <w:lang w:val="en-US" w:eastAsia="zh-CN" w:bidi="ar"/>
              </w:rPr>
              <w:t>No.</w:t>
            </w:r>
          </w:p>
        </w:tc>
        <w:tc>
          <w:tcPr>
            <w:tcW w:w="1500" w:type="pct"/>
            <w:tcBorders>
              <w:top w:val="single" w:color="auto" w:sz="4" w:space="0"/>
              <w:left w:val="nil"/>
              <w:bottom w:val="single" w:color="000000" w:sz="4" w:space="0"/>
              <w:right w:val="nil"/>
            </w:tcBorders>
            <w:shd w:val="clear" w:color="auto" w:fill="auto"/>
            <w:vAlign w:val="center"/>
          </w:tcPr>
          <w:p w14:paraId="0226AF62">
            <w:pPr>
              <w:spacing w:after="160" w:line="276" w:lineRule="auto"/>
              <w:jc w:val="center"/>
              <w:rPr>
                <w:rFonts w:hint="default" w:ascii="Times New Roman" w:hAnsi="Times New Roman" w:eastAsia="宋体" w:cs="Times New Roman"/>
                <w:b w:val="0"/>
                <w:bCs w:val="0"/>
                <w:color w:val="000000"/>
                <w:sz w:val="20"/>
                <w:szCs w:val="20"/>
                <w:lang w:val="en-US" w:eastAsia="zh-CN"/>
              </w:rPr>
            </w:pPr>
            <w:r>
              <w:rPr>
                <w:rFonts w:hint="default" w:ascii="Times New Roman" w:hAnsi="Times New Roman" w:eastAsia="宋体" w:cs="Times New Roman"/>
                <w:b w:val="0"/>
                <w:bCs w:val="0"/>
                <w:color w:val="000000"/>
                <w:sz w:val="20"/>
                <w:szCs w:val="20"/>
                <w:lang w:val="en-US" w:eastAsia="zh-CN" w:bidi="ar"/>
              </w:rPr>
              <w:t>Participant ID</w:t>
            </w:r>
          </w:p>
        </w:tc>
        <w:tc>
          <w:tcPr>
            <w:tcW w:w="736" w:type="pct"/>
            <w:tcBorders>
              <w:top w:val="single" w:color="auto" w:sz="4" w:space="0"/>
              <w:left w:val="nil"/>
              <w:bottom w:val="single" w:color="000000" w:sz="4" w:space="0"/>
              <w:right w:val="nil"/>
            </w:tcBorders>
            <w:shd w:val="clear" w:color="auto" w:fill="auto"/>
            <w:vAlign w:val="center"/>
          </w:tcPr>
          <w:p w14:paraId="2122EF7C">
            <w:pPr>
              <w:spacing w:after="160" w:line="276" w:lineRule="auto"/>
              <w:jc w:val="center"/>
              <w:rPr>
                <w:rFonts w:hint="default" w:ascii="Times New Roman" w:hAnsi="Times New Roman" w:eastAsia="宋体" w:cs="Times New Roman"/>
                <w:b w:val="0"/>
                <w:bCs w:val="0"/>
                <w:color w:val="000000"/>
                <w:sz w:val="20"/>
                <w:szCs w:val="20"/>
                <w:lang w:val="en-US" w:eastAsia="zh-CN"/>
              </w:rPr>
            </w:pPr>
            <w:r>
              <w:rPr>
                <w:rFonts w:hint="default" w:ascii="Times New Roman" w:hAnsi="Times New Roman" w:eastAsia="宋体" w:cs="Times New Roman"/>
                <w:b w:val="0"/>
                <w:bCs w:val="0"/>
                <w:color w:val="000000"/>
                <w:sz w:val="20"/>
                <w:szCs w:val="20"/>
                <w:lang w:val="en-US" w:eastAsia="zh-CN" w:bidi="ar"/>
              </w:rPr>
              <w:t>Community</w:t>
            </w:r>
          </w:p>
        </w:tc>
        <w:tc>
          <w:tcPr>
            <w:tcW w:w="511" w:type="pct"/>
            <w:tcBorders>
              <w:top w:val="single" w:color="auto" w:sz="4" w:space="0"/>
              <w:left w:val="nil"/>
              <w:bottom w:val="single" w:color="000000" w:sz="4" w:space="0"/>
              <w:right w:val="nil"/>
            </w:tcBorders>
            <w:shd w:val="clear" w:color="auto" w:fill="auto"/>
            <w:vAlign w:val="center"/>
          </w:tcPr>
          <w:p w14:paraId="544A3A52">
            <w:pPr>
              <w:spacing w:after="160" w:line="276" w:lineRule="auto"/>
              <w:jc w:val="center"/>
              <w:rPr>
                <w:rFonts w:hint="default" w:ascii="Times New Roman" w:hAnsi="Times New Roman" w:eastAsia="宋体" w:cs="Times New Roman"/>
                <w:b w:val="0"/>
                <w:bCs w:val="0"/>
                <w:color w:val="000000"/>
                <w:sz w:val="20"/>
                <w:szCs w:val="20"/>
                <w:lang w:val="en-US" w:eastAsia="zh-CN"/>
              </w:rPr>
            </w:pPr>
            <w:r>
              <w:rPr>
                <w:rFonts w:hint="default" w:ascii="Times New Roman" w:hAnsi="Times New Roman" w:eastAsia="宋体" w:cs="Times New Roman"/>
                <w:b w:val="0"/>
                <w:bCs w:val="0"/>
                <w:color w:val="000000"/>
                <w:sz w:val="20"/>
                <w:szCs w:val="20"/>
                <w:lang w:val="en-US" w:eastAsia="zh-CN" w:bidi="ar"/>
              </w:rPr>
              <w:t>Gender</w:t>
            </w:r>
          </w:p>
        </w:tc>
        <w:tc>
          <w:tcPr>
            <w:tcW w:w="630" w:type="pct"/>
            <w:tcBorders>
              <w:top w:val="single" w:color="auto" w:sz="4" w:space="0"/>
              <w:left w:val="nil"/>
              <w:bottom w:val="single" w:color="000000" w:sz="4" w:space="0"/>
              <w:right w:val="nil"/>
            </w:tcBorders>
            <w:shd w:val="clear" w:color="auto" w:fill="auto"/>
            <w:vAlign w:val="center"/>
          </w:tcPr>
          <w:p w14:paraId="3EAC3734">
            <w:pPr>
              <w:spacing w:after="160" w:line="276" w:lineRule="auto"/>
              <w:jc w:val="center"/>
              <w:rPr>
                <w:rFonts w:hint="default" w:ascii="Times New Roman" w:hAnsi="Times New Roman" w:eastAsia="宋体" w:cs="Times New Roman"/>
                <w:b w:val="0"/>
                <w:bCs w:val="0"/>
                <w:color w:val="000000"/>
                <w:sz w:val="20"/>
                <w:szCs w:val="20"/>
                <w:lang w:val="en-US" w:eastAsia="zh-CN"/>
              </w:rPr>
            </w:pPr>
            <w:r>
              <w:rPr>
                <w:rFonts w:hint="default" w:ascii="Times New Roman" w:hAnsi="Times New Roman" w:eastAsia="宋体" w:cs="Times New Roman"/>
                <w:b w:val="0"/>
                <w:bCs w:val="0"/>
                <w:color w:val="000000"/>
                <w:sz w:val="20"/>
                <w:szCs w:val="20"/>
                <w:lang w:val="en-US" w:eastAsia="zh-CN" w:bidi="ar"/>
              </w:rPr>
              <w:t>Marital Status</w:t>
            </w:r>
          </w:p>
        </w:tc>
        <w:tc>
          <w:tcPr>
            <w:tcW w:w="366" w:type="pct"/>
            <w:tcBorders>
              <w:top w:val="single" w:color="auto" w:sz="4" w:space="0"/>
              <w:left w:val="nil"/>
              <w:bottom w:val="single" w:color="000000" w:sz="4" w:space="0"/>
              <w:right w:val="nil"/>
            </w:tcBorders>
            <w:shd w:val="clear" w:color="auto" w:fill="auto"/>
            <w:vAlign w:val="center"/>
          </w:tcPr>
          <w:p w14:paraId="6FCE9071">
            <w:pPr>
              <w:spacing w:after="160" w:line="276" w:lineRule="auto"/>
              <w:jc w:val="center"/>
              <w:rPr>
                <w:rFonts w:hint="default" w:ascii="Times New Roman" w:hAnsi="Times New Roman" w:eastAsia="宋体" w:cs="Times New Roman"/>
                <w:b w:val="0"/>
                <w:bCs w:val="0"/>
                <w:color w:val="000000"/>
                <w:sz w:val="20"/>
                <w:szCs w:val="20"/>
                <w:lang w:val="en-US" w:eastAsia="zh-CN"/>
              </w:rPr>
            </w:pPr>
            <w:r>
              <w:rPr>
                <w:rFonts w:hint="default" w:ascii="Times New Roman" w:hAnsi="Times New Roman" w:eastAsia="宋体" w:cs="Times New Roman"/>
                <w:b w:val="0"/>
                <w:bCs w:val="0"/>
                <w:color w:val="000000"/>
                <w:sz w:val="20"/>
                <w:szCs w:val="20"/>
                <w:lang w:val="en-US" w:eastAsia="zh-CN" w:bidi="ar"/>
              </w:rPr>
              <w:t>Age (y</w:t>
            </w:r>
            <w:r>
              <w:rPr>
                <w:rFonts w:hint="eastAsia" w:eastAsia="宋体" w:cs="Times New Roman"/>
                <w:b w:val="0"/>
                <w:bCs w:val="0"/>
                <w:color w:val="000000"/>
                <w:sz w:val="20"/>
                <w:szCs w:val="20"/>
                <w:lang w:val="en-US" w:eastAsia="zh-CN" w:bidi="ar"/>
              </w:rPr>
              <w:t>ea</w:t>
            </w:r>
            <w:r>
              <w:rPr>
                <w:rFonts w:hint="default" w:ascii="Times New Roman" w:hAnsi="Times New Roman" w:eastAsia="宋体" w:cs="Times New Roman"/>
                <w:b w:val="0"/>
                <w:bCs w:val="0"/>
                <w:color w:val="000000"/>
                <w:sz w:val="20"/>
                <w:szCs w:val="20"/>
                <w:lang w:val="en-US" w:eastAsia="zh-CN" w:bidi="ar"/>
              </w:rPr>
              <w:t>rs)</w:t>
            </w:r>
          </w:p>
        </w:tc>
        <w:tc>
          <w:tcPr>
            <w:tcW w:w="950" w:type="pct"/>
            <w:tcBorders>
              <w:top w:val="single" w:color="auto" w:sz="4" w:space="0"/>
              <w:left w:val="nil"/>
              <w:bottom w:val="single" w:color="000000" w:sz="4" w:space="0"/>
              <w:right w:val="nil"/>
            </w:tcBorders>
            <w:shd w:val="clear" w:color="auto" w:fill="auto"/>
            <w:vAlign w:val="center"/>
          </w:tcPr>
          <w:p w14:paraId="628834FC">
            <w:pPr>
              <w:spacing w:after="160" w:line="276" w:lineRule="auto"/>
              <w:jc w:val="center"/>
              <w:rPr>
                <w:rFonts w:hint="default" w:ascii="Times New Roman" w:hAnsi="Times New Roman" w:eastAsia="宋体" w:cs="Times New Roman"/>
                <w:b w:val="0"/>
                <w:bCs w:val="0"/>
                <w:color w:val="000000"/>
                <w:sz w:val="20"/>
                <w:szCs w:val="20"/>
                <w:lang w:val="en-US" w:eastAsia="zh-CN"/>
              </w:rPr>
            </w:pPr>
            <w:r>
              <w:rPr>
                <w:rFonts w:hint="default" w:ascii="Times New Roman" w:hAnsi="Times New Roman" w:eastAsia="宋体" w:cs="Times New Roman"/>
                <w:b w:val="0"/>
                <w:bCs w:val="0"/>
                <w:color w:val="000000"/>
                <w:sz w:val="20"/>
                <w:szCs w:val="20"/>
                <w:lang w:val="en-US" w:eastAsia="zh-CN" w:bidi="ar"/>
              </w:rPr>
              <w:t>Frailty Status</w:t>
            </w:r>
          </w:p>
        </w:tc>
      </w:tr>
      <w:tr w14:paraId="436AE7F9">
        <w:tblPrEx>
          <w:tblCellMar>
            <w:top w:w="0" w:type="dxa"/>
            <w:left w:w="108" w:type="dxa"/>
            <w:bottom w:w="0" w:type="dxa"/>
            <w:right w:w="108" w:type="dxa"/>
          </w:tblCellMar>
        </w:tblPrEx>
        <w:trPr>
          <w:trHeight w:val="319" w:hRule="atLeast"/>
        </w:trPr>
        <w:tc>
          <w:tcPr>
            <w:tcW w:w="303" w:type="pct"/>
            <w:tcBorders>
              <w:top w:val="single" w:color="000000" w:sz="4" w:space="0"/>
              <w:left w:val="nil"/>
              <w:bottom w:val="nil"/>
              <w:right w:val="nil"/>
            </w:tcBorders>
            <w:shd w:val="clear" w:color="auto" w:fill="auto"/>
            <w:vAlign w:val="center"/>
          </w:tcPr>
          <w:p w14:paraId="3C5748A1">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1</w:t>
            </w:r>
          </w:p>
        </w:tc>
        <w:tc>
          <w:tcPr>
            <w:tcW w:w="1500" w:type="pct"/>
            <w:tcBorders>
              <w:top w:val="single" w:color="000000" w:sz="4" w:space="0"/>
              <w:left w:val="nil"/>
              <w:bottom w:val="nil"/>
              <w:right w:val="nil"/>
            </w:tcBorders>
            <w:shd w:val="clear" w:color="auto" w:fill="auto"/>
            <w:vAlign w:val="center"/>
          </w:tcPr>
          <w:p w14:paraId="7B8A27DE">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CQ</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SD</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BH</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ZHANG Y</w:t>
            </w:r>
          </w:p>
        </w:tc>
        <w:tc>
          <w:tcPr>
            <w:tcW w:w="736" w:type="pct"/>
            <w:tcBorders>
              <w:top w:val="single" w:color="000000" w:sz="4" w:space="0"/>
              <w:left w:val="nil"/>
              <w:bottom w:val="nil"/>
              <w:right w:val="nil"/>
            </w:tcBorders>
            <w:shd w:val="clear" w:color="auto" w:fill="auto"/>
            <w:vAlign w:val="center"/>
          </w:tcPr>
          <w:p w14:paraId="7E28789D">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BH Community</w:t>
            </w:r>
          </w:p>
        </w:tc>
        <w:tc>
          <w:tcPr>
            <w:tcW w:w="511" w:type="pct"/>
            <w:tcBorders>
              <w:top w:val="single" w:color="000000" w:sz="4" w:space="0"/>
              <w:left w:val="nil"/>
              <w:bottom w:val="nil"/>
              <w:right w:val="nil"/>
            </w:tcBorders>
            <w:shd w:val="clear" w:color="auto" w:fill="auto"/>
            <w:vAlign w:val="center"/>
          </w:tcPr>
          <w:p w14:paraId="71A820BC">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M</w:t>
            </w:r>
          </w:p>
        </w:tc>
        <w:tc>
          <w:tcPr>
            <w:tcW w:w="630" w:type="pct"/>
            <w:tcBorders>
              <w:top w:val="single" w:color="000000" w:sz="4" w:space="0"/>
              <w:left w:val="nil"/>
              <w:bottom w:val="nil"/>
              <w:right w:val="nil"/>
            </w:tcBorders>
            <w:shd w:val="clear" w:color="auto" w:fill="auto"/>
            <w:vAlign w:val="center"/>
          </w:tcPr>
          <w:p w14:paraId="59FCB652">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Married</w:t>
            </w:r>
          </w:p>
        </w:tc>
        <w:tc>
          <w:tcPr>
            <w:tcW w:w="366" w:type="pct"/>
            <w:tcBorders>
              <w:top w:val="single" w:color="000000" w:sz="4" w:space="0"/>
              <w:left w:val="nil"/>
              <w:bottom w:val="nil"/>
              <w:right w:val="nil"/>
            </w:tcBorders>
            <w:shd w:val="clear" w:color="auto" w:fill="auto"/>
            <w:vAlign w:val="center"/>
          </w:tcPr>
          <w:p w14:paraId="4EEB4287">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76</w:t>
            </w:r>
          </w:p>
        </w:tc>
        <w:tc>
          <w:tcPr>
            <w:tcW w:w="950" w:type="pct"/>
            <w:tcBorders>
              <w:top w:val="single" w:color="000000" w:sz="4" w:space="0"/>
              <w:left w:val="nil"/>
              <w:bottom w:val="nil"/>
              <w:right w:val="nil"/>
            </w:tcBorders>
            <w:shd w:val="clear" w:color="auto" w:fill="auto"/>
            <w:vAlign w:val="center"/>
          </w:tcPr>
          <w:p w14:paraId="32640D9C">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Frail</w:t>
            </w:r>
          </w:p>
        </w:tc>
      </w:tr>
      <w:tr w14:paraId="37D377DA">
        <w:tblPrEx>
          <w:tblCellMar>
            <w:top w:w="0" w:type="dxa"/>
            <w:left w:w="108" w:type="dxa"/>
            <w:bottom w:w="0" w:type="dxa"/>
            <w:right w:w="108" w:type="dxa"/>
          </w:tblCellMar>
        </w:tblPrEx>
        <w:trPr>
          <w:trHeight w:val="214" w:hRule="atLeast"/>
        </w:trPr>
        <w:tc>
          <w:tcPr>
            <w:tcW w:w="303" w:type="pct"/>
            <w:shd w:val="clear" w:color="auto" w:fill="auto"/>
            <w:vAlign w:val="center"/>
          </w:tcPr>
          <w:p w14:paraId="77520E2D">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2</w:t>
            </w:r>
          </w:p>
        </w:tc>
        <w:tc>
          <w:tcPr>
            <w:tcW w:w="1500" w:type="pct"/>
            <w:shd w:val="clear" w:color="auto" w:fill="auto"/>
            <w:vAlign w:val="center"/>
          </w:tcPr>
          <w:p w14:paraId="21F6C292">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CQ</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SD</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BH</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JIANG P</w:t>
            </w:r>
          </w:p>
        </w:tc>
        <w:tc>
          <w:tcPr>
            <w:tcW w:w="736" w:type="pct"/>
            <w:shd w:val="clear" w:color="auto" w:fill="auto"/>
            <w:vAlign w:val="center"/>
          </w:tcPr>
          <w:p w14:paraId="12931603">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BH Community</w:t>
            </w:r>
          </w:p>
        </w:tc>
        <w:tc>
          <w:tcPr>
            <w:tcW w:w="511" w:type="pct"/>
            <w:shd w:val="clear" w:color="auto" w:fill="auto"/>
            <w:vAlign w:val="center"/>
          </w:tcPr>
          <w:p w14:paraId="2FC022B2">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F</w:t>
            </w:r>
          </w:p>
        </w:tc>
        <w:tc>
          <w:tcPr>
            <w:tcW w:w="630" w:type="pct"/>
            <w:shd w:val="clear" w:color="auto" w:fill="auto"/>
            <w:vAlign w:val="center"/>
          </w:tcPr>
          <w:p w14:paraId="78FFC394">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Widowed</w:t>
            </w:r>
          </w:p>
        </w:tc>
        <w:tc>
          <w:tcPr>
            <w:tcW w:w="366" w:type="pct"/>
            <w:shd w:val="clear" w:color="auto" w:fill="auto"/>
            <w:vAlign w:val="center"/>
          </w:tcPr>
          <w:p w14:paraId="06FEF875">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75</w:t>
            </w:r>
          </w:p>
        </w:tc>
        <w:tc>
          <w:tcPr>
            <w:tcW w:w="950" w:type="pct"/>
            <w:shd w:val="clear" w:color="auto" w:fill="auto"/>
            <w:vAlign w:val="center"/>
          </w:tcPr>
          <w:p w14:paraId="7E8E655C">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Frail</w:t>
            </w:r>
          </w:p>
        </w:tc>
      </w:tr>
      <w:tr w14:paraId="1274DDBF">
        <w:tblPrEx>
          <w:tblCellMar>
            <w:top w:w="0" w:type="dxa"/>
            <w:left w:w="108" w:type="dxa"/>
            <w:bottom w:w="0" w:type="dxa"/>
            <w:right w:w="108" w:type="dxa"/>
          </w:tblCellMar>
        </w:tblPrEx>
        <w:trPr>
          <w:trHeight w:val="388" w:hRule="atLeast"/>
        </w:trPr>
        <w:tc>
          <w:tcPr>
            <w:tcW w:w="303" w:type="pct"/>
            <w:shd w:val="clear" w:color="auto" w:fill="auto"/>
            <w:vAlign w:val="center"/>
          </w:tcPr>
          <w:p w14:paraId="46A9C2BB">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3</w:t>
            </w:r>
          </w:p>
        </w:tc>
        <w:tc>
          <w:tcPr>
            <w:tcW w:w="1500" w:type="pct"/>
            <w:shd w:val="clear" w:color="auto" w:fill="auto"/>
            <w:vAlign w:val="center"/>
          </w:tcPr>
          <w:p w14:paraId="79A06648">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CQ</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SD</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DCH</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TANG LS</w:t>
            </w:r>
          </w:p>
        </w:tc>
        <w:tc>
          <w:tcPr>
            <w:tcW w:w="736" w:type="pct"/>
            <w:shd w:val="clear" w:color="auto" w:fill="auto"/>
            <w:vAlign w:val="center"/>
          </w:tcPr>
          <w:p w14:paraId="1980DD02">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DCH Community</w:t>
            </w:r>
          </w:p>
        </w:tc>
        <w:tc>
          <w:tcPr>
            <w:tcW w:w="511" w:type="pct"/>
            <w:shd w:val="clear" w:color="auto" w:fill="auto"/>
            <w:vAlign w:val="center"/>
          </w:tcPr>
          <w:p w14:paraId="7FAB4B26">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F</w:t>
            </w:r>
          </w:p>
        </w:tc>
        <w:tc>
          <w:tcPr>
            <w:tcW w:w="630" w:type="pct"/>
            <w:shd w:val="clear" w:color="auto" w:fill="auto"/>
            <w:vAlign w:val="center"/>
          </w:tcPr>
          <w:p w14:paraId="696EDE33">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Divorced</w:t>
            </w:r>
          </w:p>
        </w:tc>
        <w:tc>
          <w:tcPr>
            <w:tcW w:w="366" w:type="pct"/>
            <w:shd w:val="clear" w:color="auto" w:fill="auto"/>
            <w:vAlign w:val="center"/>
          </w:tcPr>
          <w:p w14:paraId="5D4F2BDC">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66</w:t>
            </w:r>
          </w:p>
        </w:tc>
        <w:tc>
          <w:tcPr>
            <w:tcW w:w="950" w:type="pct"/>
            <w:shd w:val="clear" w:color="auto" w:fill="auto"/>
            <w:vAlign w:val="center"/>
          </w:tcPr>
          <w:p w14:paraId="41526EE3">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Frail</w:t>
            </w:r>
          </w:p>
        </w:tc>
      </w:tr>
      <w:tr w14:paraId="5B8013F3">
        <w:tblPrEx>
          <w:tblCellMar>
            <w:top w:w="0" w:type="dxa"/>
            <w:left w:w="108" w:type="dxa"/>
            <w:bottom w:w="0" w:type="dxa"/>
            <w:right w:w="108" w:type="dxa"/>
          </w:tblCellMar>
        </w:tblPrEx>
        <w:trPr>
          <w:trHeight w:val="358" w:hRule="atLeast"/>
        </w:trPr>
        <w:tc>
          <w:tcPr>
            <w:tcW w:w="303" w:type="pct"/>
            <w:shd w:val="clear" w:color="auto" w:fill="auto"/>
            <w:vAlign w:val="center"/>
          </w:tcPr>
          <w:p w14:paraId="286BB5B7">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4</w:t>
            </w:r>
          </w:p>
        </w:tc>
        <w:tc>
          <w:tcPr>
            <w:tcW w:w="1500" w:type="pct"/>
            <w:shd w:val="clear" w:color="auto" w:fill="auto"/>
            <w:vAlign w:val="center"/>
          </w:tcPr>
          <w:p w14:paraId="4726F257">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CQ</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SD</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DCH</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XU YD</w:t>
            </w:r>
          </w:p>
        </w:tc>
        <w:tc>
          <w:tcPr>
            <w:tcW w:w="736" w:type="pct"/>
            <w:shd w:val="clear" w:color="auto" w:fill="auto"/>
            <w:vAlign w:val="center"/>
          </w:tcPr>
          <w:p w14:paraId="3C2BCAAC">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DCH Community</w:t>
            </w:r>
          </w:p>
        </w:tc>
        <w:tc>
          <w:tcPr>
            <w:tcW w:w="511" w:type="pct"/>
            <w:shd w:val="clear" w:color="auto" w:fill="auto"/>
            <w:vAlign w:val="center"/>
          </w:tcPr>
          <w:p w14:paraId="770B04DE">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F</w:t>
            </w:r>
          </w:p>
        </w:tc>
        <w:tc>
          <w:tcPr>
            <w:tcW w:w="630" w:type="pct"/>
            <w:shd w:val="clear" w:color="auto" w:fill="auto"/>
            <w:vAlign w:val="center"/>
          </w:tcPr>
          <w:p w14:paraId="7CC6B76C">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Widowed</w:t>
            </w:r>
          </w:p>
        </w:tc>
        <w:tc>
          <w:tcPr>
            <w:tcW w:w="366" w:type="pct"/>
            <w:shd w:val="clear" w:color="auto" w:fill="auto"/>
            <w:vAlign w:val="center"/>
          </w:tcPr>
          <w:p w14:paraId="6E77B752">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76</w:t>
            </w:r>
          </w:p>
        </w:tc>
        <w:tc>
          <w:tcPr>
            <w:tcW w:w="950" w:type="pct"/>
            <w:shd w:val="clear" w:color="auto" w:fill="auto"/>
            <w:vAlign w:val="center"/>
          </w:tcPr>
          <w:p w14:paraId="01C0C632">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Frail</w:t>
            </w:r>
          </w:p>
        </w:tc>
      </w:tr>
      <w:tr w14:paraId="383411EE">
        <w:tblPrEx>
          <w:tblCellMar>
            <w:top w:w="0" w:type="dxa"/>
            <w:left w:w="108" w:type="dxa"/>
            <w:bottom w:w="0" w:type="dxa"/>
            <w:right w:w="108" w:type="dxa"/>
          </w:tblCellMar>
        </w:tblPrEx>
        <w:trPr>
          <w:trHeight w:val="508" w:hRule="atLeast"/>
        </w:trPr>
        <w:tc>
          <w:tcPr>
            <w:tcW w:w="303" w:type="pct"/>
            <w:shd w:val="clear" w:color="auto" w:fill="auto"/>
            <w:vAlign w:val="center"/>
          </w:tcPr>
          <w:p w14:paraId="5B8A3C6D">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5</w:t>
            </w:r>
          </w:p>
        </w:tc>
        <w:tc>
          <w:tcPr>
            <w:tcW w:w="1500" w:type="pct"/>
            <w:shd w:val="clear" w:color="auto" w:fill="auto"/>
            <w:vAlign w:val="center"/>
          </w:tcPr>
          <w:p w14:paraId="613D08B3">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CQ</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SD</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DCH</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LONG SQ</w:t>
            </w:r>
          </w:p>
        </w:tc>
        <w:tc>
          <w:tcPr>
            <w:tcW w:w="736" w:type="pct"/>
            <w:shd w:val="clear" w:color="auto" w:fill="auto"/>
            <w:vAlign w:val="center"/>
          </w:tcPr>
          <w:p w14:paraId="7D839277">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DCH Community</w:t>
            </w:r>
          </w:p>
        </w:tc>
        <w:tc>
          <w:tcPr>
            <w:tcW w:w="511" w:type="pct"/>
            <w:shd w:val="clear" w:color="auto" w:fill="auto"/>
            <w:vAlign w:val="center"/>
          </w:tcPr>
          <w:p w14:paraId="3B96DE76">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F</w:t>
            </w:r>
          </w:p>
        </w:tc>
        <w:tc>
          <w:tcPr>
            <w:tcW w:w="630" w:type="pct"/>
            <w:shd w:val="clear" w:color="auto" w:fill="auto"/>
            <w:vAlign w:val="center"/>
          </w:tcPr>
          <w:p w14:paraId="25E118D4">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Widowed</w:t>
            </w:r>
          </w:p>
        </w:tc>
        <w:tc>
          <w:tcPr>
            <w:tcW w:w="366" w:type="pct"/>
            <w:shd w:val="clear" w:color="auto" w:fill="auto"/>
            <w:vAlign w:val="center"/>
          </w:tcPr>
          <w:p w14:paraId="47824D30">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75</w:t>
            </w:r>
          </w:p>
        </w:tc>
        <w:tc>
          <w:tcPr>
            <w:tcW w:w="950" w:type="pct"/>
            <w:shd w:val="clear" w:color="auto" w:fill="auto"/>
            <w:vAlign w:val="center"/>
          </w:tcPr>
          <w:p w14:paraId="6CD811E9">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Frail</w:t>
            </w:r>
          </w:p>
        </w:tc>
      </w:tr>
      <w:tr w14:paraId="51A01971">
        <w:tblPrEx>
          <w:tblCellMar>
            <w:top w:w="0" w:type="dxa"/>
            <w:left w:w="108" w:type="dxa"/>
            <w:bottom w:w="0" w:type="dxa"/>
            <w:right w:w="108" w:type="dxa"/>
          </w:tblCellMar>
        </w:tblPrEx>
        <w:trPr>
          <w:trHeight w:val="403" w:hRule="atLeast"/>
        </w:trPr>
        <w:tc>
          <w:tcPr>
            <w:tcW w:w="303" w:type="pct"/>
            <w:shd w:val="clear" w:color="auto" w:fill="auto"/>
            <w:vAlign w:val="center"/>
          </w:tcPr>
          <w:p w14:paraId="40A09BB9">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6</w:t>
            </w:r>
          </w:p>
        </w:tc>
        <w:tc>
          <w:tcPr>
            <w:tcW w:w="1500" w:type="pct"/>
            <w:shd w:val="clear" w:color="auto" w:fill="auto"/>
            <w:vAlign w:val="center"/>
          </w:tcPr>
          <w:p w14:paraId="6C82CDE3">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CQ</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SD</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DCH</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TANG H</w:t>
            </w:r>
          </w:p>
        </w:tc>
        <w:tc>
          <w:tcPr>
            <w:tcW w:w="736" w:type="pct"/>
            <w:shd w:val="clear" w:color="auto" w:fill="auto"/>
            <w:vAlign w:val="center"/>
          </w:tcPr>
          <w:p w14:paraId="71217AD1">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DCH Community</w:t>
            </w:r>
          </w:p>
        </w:tc>
        <w:tc>
          <w:tcPr>
            <w:tcW w:w="511" w:type="pct"/>
            <w:shd w:val="clear" w:color="auto" w:fill="auto"/>
            <w:vAlign w:val="center"/>
          </w:tcPr>
          <w:p w14:paraId="2C719FC9">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F</w:t>
            </w:r>
          </w:p>
        </w:tc>
        <w:tc>
          <w:tcPr>
            <w:tcW w:w="630" w:type="pct"/>
            <w:shd w:val="clear" w:color="auto" w:fill="auto"/>
            <w:vAlign w:val="center"/>
          </w:tcPr>
          <w:p w14:paraId="1E0B9F3D">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Widowed</w:t>
            </w:r>
          </w:p>
        </w:tc>
        <w:tc>
          <w:tcPr>
            <w:tcW w:w="366" w:type="pct"/>
            <w:shd w:val="clear" w:color="auto" w:fill="auto"/>
            <w:vAlign w:val="center"/>
          </w:tcPr>
          <w:p w14:paraId="3EE8A9FF">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82</w:t>
            </w:r>
          </w:p>
        </w:tc>
        <w:tc>
          <w:tcPr>
            <w:tcW w:w="950" w:type="pct"/>
            <w:shd w:val="clear" w:color="auto" w:fill="auto"/>
            <w:vAlign w:val="center"/>
          </w:tcPr>
          <w:p w14:paraId="7ECE765F">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Frail</w:t>
            </w:r>
          </w:p>
        </w:tc>
      </w:tr>
      <w:tr w14:paraId="44D910CC">
        <w:tblPrEx>
          <w:tblCellMar>
            <w:top w:w="0" w:type="dxa"/>
            <w:left w:w="108" w:type="dxa"/>
            <w:bottom w:w="0" w:type="dxa"/>
            <w:right w:w="108" w:type="dxa"/>
          </w:tblCellMar>
        </w:tblPrEx>
        <w:trPr>
          <w:trHeight w:val="510" w:hRule="atLeast"/>
        </w:trPr>
        <w:tc>
          <w:tcPr>
            <w:tcW w:w="303" w:type="pct"/>
            <w:shd w:val="clear" w:color="auto" w:fill="auto"/>
            <w:vAlign w:val="center"/>
          </w:tcPr>
          <w:p w14:paraId="05FCD281">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7</w:t>
            </w:r>
          </w:p>
        </w:tc>
        <w:tc>
          <w:tcPr>
            <w:tcW w:w="1500" w:type="pct"/>
            <w:shd w:val="clear" w:color="auto" w:fill="auto"/>
            <w:vAlign w:val="center"/>
          </w:tcPr>
          <w:p w14:paraId="4F245928">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CQ</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SD</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BH</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DU YG</w:t>
            </w:r>
          </w:p>
        </w:tc>
        <w:tc>
          <w:tcPr>
            <w:tcW w:w="736" w:type="pct"/>
            <w:shd w:val="clear" w:color="auto" w:fill="auto"/>
            <w:vAlign w:val="center"/>
          </w:tcPr>
          <w:p w14:paraId="407D3982">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BH Community</w:t>
            </w:r>
          </w:p>
        </w:tc>
        <w:tc>
          <w:tcPr>
            <w:tcW w:w="511" w:type="pct"/>
            <w:shd w:val="clear" w:color="auto" w:fill="auto"/>
            <w:vAlign w:val="center"/>
          </w:tcPr>
          <w:p w14:paraId="1F14123C">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M</w:t>
            </w:r>
          </w:p>
        </w:tc>
        <w:tc>
          <w:tcPr>
            <w:tcW w:w="630" w:type="pct"/>
            <w:shd w:val="clear" w:color="auto" w:fill="auto"/>
            <w:vAlign w:val="center"/>
          </w:tcPr>
          <w:p w14:paraId="600C51C0">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Married</w:t>
            </w:r>
          </w:p>
        </w:tc>
        <w:tc>
          <w:tcPr>
            <w:tcW w:w="366" w:type="pct"/>
            <w:shd w:val="clear" w:color="auto" w:fill="auto"/>
            <w:vAlign w:val="center"/>
          </w:tcPr>
          <w:p w14:paraId="53A9174E">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68</w:t>
            </w:r>
          </w:p>
        </w:tc>
        <w:tc>
          <w:tcPr>
            <w:tcW w:w="950" w:type="pct"/>
            <w:shd w:val="clear" w:color="auto" w:fill="auto"/>
            <w:vAlign w:val="center"/>
          </w:tcPr>
          <w:p w14:paraId="18EFDC09">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Frail</w:t>
            </w:r>
          </w:p>
        </w:tc>
      </w:tr>
      <w:tr w14:paraId="744381B8">
        <w:tblPrEx>
          <w:tblCellMar>
            <w:top w:w="0" w:type="dxa"/>
            <w:left w:w="108" w:type="dxa"/>
            <w:bottom w:w="0" w:type="dxa"/>
            <w:right w:w="108" w:type="dxa"/>
          </w:tblCellMar>
        </w:tblPrEx>
        <w:trPr>
          <w:trHeight w:val="510" w:hRule="atLeast"/>
        </w:trPr>
        <w:tc>
          <w:tcPr>
            <w:tcW w:w="303" w:type="pct"/>
            <w:shd w:val="clear" w:color="auto" w:fill="auto"/>
            <w:vAlign w:val="center"/>
          </w:tcPr>
          <w:p w14:paraId="56663F8B">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8</w:t>
            </w:r>
          </w:p>
        </w:tc>
        <w:tc>
          <w:tcPr>
            <w:tcW w:w="1500" w:type="pct"/>
            <w:shd w:val="clear" w:color="auto" w:fill="auto"/>
            <w:vAlign w:val="center"/>
          </w:tcPr>
          <w:p w14:paraId="2BA0A4BE">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CQ</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SD</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BH</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LAN JY</w:t>
            </w:r>
          </w:p>
        </w:tc>
        <w:tc>
          <w:tcPr>
            <w:tcW w:w="736" w:type="pct"/>
            <w:shd w:val="clear" w:color="auto" w:fill="auto"/>
            <w:vAlign w:val="center"/>
          </w:tcPr>
          <w:p w14:paraId="4CDCE06B">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BH Community</w:t>
            </w:r>
          </w:p>
        </w:tc>
        <w:tc>
          <w:tcPr>
            <w:tcW w:w="511" w:type="pct"/>
            <w:shd w:val="clear" w:color="auto" w:fill="auto"/>
            <w:vAlign w:val="center"/>
          </w:tcPr>
          <w:p w14:paraId="509A4914">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F</w:t>
            </w:r>
          </w:p>
        </w:tc>
        <w:tc>
          <w:tcPr>
            <w:tcW w:w="630" w:type="pct"/>
            <w:shd w:val="clear" w:color="auto" w:fill="auto"/>
            <w:vAlign w:val="center"/>
          </w:tcPr>
          <w:p w14:paraId="49F266CC">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Married</w:t>
            </w:r>
          </w:p>
        </w:tc>
        <w:tc>
          <w:tcPr>
            <w:tcW w:w="366" w:type="pct"/>
            <w:shd w:val="clear" w:color="auto" w:fill="auto"/>
            <w:vAlign w:val="center"/>
          </w:tcPr>
          <w:p w14:paraId="735E747A">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65</w:t>
            </w:r>
          </w:p>
        </w:tc>
        <w:tc>
          <w:tcPr>
            <w:tcW w:w="950" w:type="pct"/>
            <w:shd w:val="clear" w:color="auto" w:fill="auto"/>
            <w:vAlign w:val="center"/>
          </w:tcPr>
          <w:p w14:paraId="09A75A65">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Frail</w:t>
            </w:r>
          </w:p>
        </w:tc>
      </w:tr>
      <w:tr w14:paraId="2296794A">
        <w:tblPrEx>
          <w:tblCellMar>
            <w:top w:w="0" w:type="dxa"/>
            <w:left w:w="108" w:type="dxa"/>
            <w:bottom w:w="0" w:type="dxa"/>
            <w:right w:w="108" w:type="dxa"/>
          </w:tblCellMar>
        </w:tblPrEx>
        <w:trPr>
          <w:trHeight w:val="510" w:hRule="atLeast"/>
        </w:trPr>
        <w:tc>
          <w:tcPr>
            <w:tcW w:w="303" w:type="pct"/>
            <w:shd w:val="clear" w:color="auto" w:fill="auto"/>
            <w:vAlign w:val="center"/>
          </w:tcPr>
          <w:p w14:paraId="5CD4766A">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9</w:t>
            </w:r>
          </w:p>
        </w:tc>
        <w:tc>
          <w:tcPr>
            <w:tcW w:w="1500" w:type="pct"/>
            <w:shd w:val="clear" w:color="auto" w:fill="auto"/>
            <w:vAlign w:val="center"/>
          </w:tcPr>
          <w:p w14:paraId="5DCFA309">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CQ</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SD</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BH</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L</w:t>
            </w:r>
          </w:p>
        </w:tc>
        <w:tc>
          <w:tcPr>
            <w:tcW w:w="736" w:type="pct"/>
            <w:shd w:val="clear" w:color="auto" w:fill="auto"/>
            <w:vAlign w:val="center"/>
          </w:tcPr>
          <w:p w14:paraId="01AE8B02">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BH Community</w:t>
            </w:r>
          </w:p>
        </w:tc>
        <w:tc>
          <w:tcPr>
            <w:tcW w:w="511" w:type="pct"/>
            <w:shd w:val="clear" w:color="auto" w:fill="auto"/>
            <w:vAlign w:val="center"/>
          </w:tcPr>
          <w:p w14:paraId="20176D12">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F</w:t>
            </w:r>
          </w:p>
        </w:tc>
        <w:tc>
          <w:tcPr>
            <w:tcW w:w="630" w:type="pct"/>
            <w:shd w:val="clear" w:color="auto" w:fill="auto"/>
            <w:vAlign w:val="center"/>
          </w:tcPr>
          <w:p w14:paraId="3DC01EDD">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Remarried</w:t>
            </w:r>
          </w:p>
        </w:tc>
        <w:tc>
          <w:tcPr>
            <w:tcW w:w="366" w:type="pct"/>
            <w:shd w:val="clear" w:color="auto" w:fill="auto"/>
            <w:vAlign w:val="center"/>
          </w:tcPr>
          <w:p w14:paraId="0E6CCE2B">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69</w:t>
            </w:r>
          </w:p>
        </w:tc>
        <w:tc>
          <w:tcPr>
            <w:tcW w:w="950" w:type="pct"/>
            <w:shd w:val="clear" w:color="auto" w:fill="auto"/>
            <w:vAlign w:val="center"/>
          </w:tcPr>
          <w:p w14:paraId="7F2DFED7">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Frail</w:t>
            </w:r>
          </w:p>
        </w:tc>
      </w:tr>
      <w:tr w14:paraId="5576CF10">
        <w:tblPrEx>
          <w:tblCellMar>
            <w:top w:w="0" w:type="dxa"/>
            <w:left w:w="108" w:type="dxa"/>
            <w:bottom w:w="0" w:type="dxa"/>
            <w:right w:w="108" w:type="dxa"/>
          </w:tblCellMar>
        </w:tblPrEx>
        <w:trPr>
          <w:trHeight w:val="765" w:hRule="atLeast"/>
        </w:trPr>
        <w:tc>
          <w:tcPr>
            <w:tcW w:w="303" w:type="pct"/>
            <w:shd w:val="clear" w:color="auto" w:fill="auto"/>
            <w:vAlign w:val="center"/>
          </w:tcPr>
          <w:p w14:paraId="01B7D70A">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10</w:t>
            </w:r>
          </w:p>
        </w:tc>
        <w:tc>
          <w:tcPr>
            <w:tcW w:w="1500" w:type="pct"/>
            <w:shd w:val="clear" w:color="auto" w:fill="auto"/>
            <w:vAlign w:val="center"/>
          </w:tcPr>
          <w:p w14:paraId="04C1553B">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CQ</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SD</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BH</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OUYANG XH</w:t>
            </w:r>
          </w:p>
        </w:tc>
        <w:tc>
          <w:tcPr>
            <w:tcW w:w="736" w:type="pct"/>
            <w:shd w:val="clear" w:color="auto" w:fill="auto"/>
            <w:vAlign w:val="center"/>
          </w:tcPr>
          <w:p w14:paraId="07EF6D90">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BH Community</w:t>
            </w:r>
          </w:p>
        </w:tc>
        <w:tc>
          <w:tcPr>
            <w:tcW w:w="511" w:type="pct"/>
            <w:shd w:val="clear" w:color="auto" w:fill="auto"/>
            <w:vAlign w:val="center"/>
          </w:tcPr>
          <w:p w14:paraId="074AEF78">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F</w:t>
            </w:r>
          </w:p>
        </w:tc>
        <w:tc>
          <w:tcPr>
            <w:tcW w:w="630" w:type="pct"/>
            <w:shd w:val="clear" w:color="auto" w:fill="auto"/>
            <w:vAlign w:val="center"/>
          </w:tcPr>
          <w:p w14:paraId="60D181B9">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Divorced</w:t>
            </w:r>
          </w:p>
        </w:tc>
        <w:tc>
          <w:tcPr>
            <w:tcW w:w="366" w:type="pct"/>
            <w:shd w:val="clear" w:color="auto" w:fill="auto"/>
            <w:vAlign w:val="center"/>
          </w:tcPr>
          <w:p w14:paraId="606A72CF">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66</w:t>
            </w:r>
          </w:p>
        </w:tc>
        <w:tc>
          <w:tcPr>
            <w:tcW w:w="950" w:type="pct"/>
            <w:shd w:val="clear" w:color="auto" w:fill="auto"/>
            <w:vAlign w:val="center"/>
          </w:tcPr>
          <w:p w14:paraId="6EC34D3B">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Frail</w:t>
            </w:r>
          </w:p>
        </w:tc>
      </w:tr>
      <w:tr w14:paraId="5099DA65">
        <w:tblPrEx>
          <w:tblCellMar>
            <w:top w:w="0" w:type="dxa"/>
            <w:left w:w="108" w:type="dxa"/>
            <w:bottom w:w="0" w:type="dxa"/>
            <w:right w:w="108" w:type="dxa"/>
          </w:tblCellMar>
        </w:tblPrEx>
        <w:trPr>
          <w:trHeight w:val="525" w:hRule="atLeast"/>
        </w:trPr>
        <w:tc>
          <w:tcPr>
            <w:tcW w:w="303" w:type="pct"/>
            <w:tcBorders>
              <w:top w:val="nil"/>
              <w:left w:val="nil"/>
              <w:bottom w:val="single" w:color="auto" w:sz="4" w:space="0"/>
              <w:right w:val="nil"/>
            </w:tcBorders>
            <w:shd w:val="clear" w:color="auto" w:fill="auto"/>
            <w:vAlign w:val="center"/>
          </w:tcPr>
          <w:p w14:paraId="49F271C1">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11</w:t>
            </w:r>
          </w:p>
        </w:tc>
        <w:tc>
          <w:tcPr>
            <w:tcW w:w="1500" w:type="pct"/>
            <w:tcBorders>
              <w:top w:val="nil"/>
              <w:left w:val="nil"/>
              <w:bottom w:val="single" w:color="auto" w:sz="4" w:space="0"/>
              <w:right w:val="nil"/>
            </w:tcBorders>
            <w:shd w:val="clear" w:color="auto" w:fill="auto"/>
            <w:vAlign w:val="center"/>
          </w:tcPr>
          <w:p w14:paraId="7502C3E4">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CQ</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SD</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DCH</w:t>
            </w:r>
            <w:r>
              <w:rPr>
                <w:rFonts w:hint="default" w:ascii="Times New Roman" w:hAnsi="Times New Roman" w:eastAsia="宋体" w:cs="Times New Roman"/>
                <w:color w:val="000000"/>
                <w:sz w:val="20"/>
                <w:szCs w:val="20"/>
                <w:lang w:val="en-US" w:eastAsia="zh-CN" w:bidi="ar"/>
              </w:rPr>
              <w:noBreakHyphen/>
            </w:r>
            <w:r>
              <w:rPr>
                <w:rFonts w:hint="default" w:ascii="Times New Roman" w:hAnsi="Times New Roman" w:eastAsia="宋体" w:cs="Times New Roman"/>
                <w:color w:val="000000"/>
                <w:sz w:val="20"/>
                <w:szCs w:val="20"/>
                <w:lang w:val="en-US" w:eastAsia="zh-CN" w:bidi="ar"/>
              </w:rPr>
              <w:t>YANG XD</w:t>
            </w:r>
          </w:p>
        </w:tc>
        <w:tc>
          <w:tcPr>
            <w:tcW w:w="736" w:type="pct"/>
            <w:tcBorders>
              <w:top w:val="nil"/>
              <w:left w:val="nil"/>
              <w:bottom w:val="single" w:color="auto" w:sz="4" w:space="0"/>
              <w:right w:val="nil"/>
            </w:tcBorders>
            <w:shd w:val="clear" w:color="auto" w:fill="auto"/>
            <w:vAlign w:val="center"/>
          </w:tcPr>
          <w:p w14:paraId="0621E650">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DCH Community</w:t>
            </w:r>
          </w:p>
        </w:tc>
        <w:tc>
          <w:tcPr>
            <w:tcW w:w="511" w:type="pct"/>
            <w:tcBorders>
              <w:top w:val="nil"/>
              <w:left w:val="nil"/>
              <w:bottom w:val="single" w:color="auto" w:sz="4" w:space="0"/>
              <w:right w:val="nil"/>
            </w:tcBorders>
            <w:shd w:val="clear" w:color="auto" w:fill="auto"/>
            <w:vAlign w:val="center"/>
          </w:tcPr>
          <w:p w14:paraId="5D8D2E81">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M</w:t>
            </w:r>
          </w:p>
        </w:tc>
        <w:tc>
          <w:tcPr>
            <w:tcW w:w="630" w:type="pct"/>
            <w:tcBorders>
              <w:top w:val="nil"/>
              <w:left w:val="nil"/>
              <w:bottom w:val="single" w:color="auto" w:sz="4" w:space="0"/>
              <w:right w:val="nil"/>
            </w:tcBorders>
            <w:shd w:val="clear" w:color="auto" w:fill="auto"/>
            <w:vAlign w:val="center"/>
          </w:tcPr>
          <w:p w14:paraId="0C3DE17C">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Widowed</w:t>
            </w:r>
          </w:p>
        </w:tc>
        <w:tc>
          <w:tcPr>
            <w:tcW w:w="366" w:type="pct"/>
            <w:tcBorders>
              <w:top w:val="nil"/>
              <w:left w:val="nil"/>
              <w:bottom w:val="single" w:color="auto" w:sz="4" w:space="0"/>
              <w:right w:val="nil"/>
            </w:tcBorders>
            <w:shd w:val="clear" w:color="auto" w:fill="auto"/>
            <w:vAlign w:val="center"/>
          </w:tcPr>
          <w:p w14:paraId="3D0004A0">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70</w:t>
            </w:r>
          </w:p>
        </w:tc>
        <w:tc>
          <w:tcPr>
            <w:tcW w:w="950" w:type="pct"/>
            <w:tcBorders>
              <w:top w:val="nil"/>
              <w:left w:val="nil"/>
              <w:bottom w:val="single" w:color="auto" w:sz="4" w:space="0"/>
              <w:right w:val="nil"/>
            </w:tcBorders>
            <w:shd w:val="clear" w:color="auto" w:fill="auto"/>
            <w:vAlign w:val="center"/>
          </w:tcPr>
          <w:p w14:paraId="44BE38E7">
            <w:pPr>
              <w:spacing w:after="160" w:line="276" w:lineRule="auto"/>
              <w:jc w:val="center"/>
              <w:rPr>
                <w:rFonts w:hint="default" w:ascii="Times New Roman" w:hAnsi="Times New Roman" w:eastAsia="宋体" w:cs="Times New Roman"/>
                <w:color w:val="000000"/>
                <w:sz w:val="20"/>
                <w:szCs w:val="20"/>
                <w:lang w:val="en-US" w:eastAsia="zh-CN"/>
              </w:rPr>
            </w:pPr>
            <w:r>
              <w:rPr>
                <w:rFonts w:hint="default" w:ascii="Times New Roman" w:hAnsi="Times New Roman" w:eastAsia="宋体" w:cs="Times New Roman"/>
                <w:color w:val="000000"/>
                <w:sz w:val="20"/>
                <w:szCs w:val="20"/>
                <w:lang w:val="en-US" w:eastAsia="zh-CN" w:bidi="ar"/>
              </w:rPr>
              <w:t>Frail</w:t>
            </w:r>
          </w:p>
        </w:tc>
      </w:tr>
    </w:tbl>
    <w:p w14:paraId="50374517">
      <w:pPr>
        <w:rPr>
          <w:rFonts w:hint="eastAsia" w:eastAsiaTheme="minorEastAsia"/>
          <w:sz w:val="22"/>
          <w:szCs w:val="22"/>
          <w:lang w:eastAsia="zh-CN"/>
        </w:rPr>
      </w:pPr>
    </w:p>
    <w:p w14:paraId="263E2CF5">
      <w:pPr>
        <w:keepNext w:val="0"/>
        <w:keepLines w:val="0"/>
        <w:pageBreakBefore w:val="0"/>
        <w:widowControl/>
        <w:kinsoku/>
        <w:wordWrap/>
        <w:overflowPunct/>
        <w:topLinePunct w:val="0"/>
        <w:autoSpaceDE/>
        <w:autoSpaceDN/>
        <w:bidi w:val="0"/>
        <w:adjustRightInd/>
        <w:snapToGrid/>
        <w:ind w:firstLine="720"/>
        <w:jc w:val="both"/>
        <w:textAlignment w:val="auto"/>
        <w:rPr>
          <w:rFonts w:hint="eastAsia" w:eastAsiaTheme="minorEastAsia"/>
          <w:lang w:eastAsia="zh-CN"/>
        </w:rPr>
      </w:pPr>
      <w:r>
        <w:t>As show table 1, In terms of gender distribution, 3 participants were male and 8were female. This gender imbalance reflects the predominance of women in this population, which may be attributed to women’s longer average life expectancy and their greater likelihood of experiencing widowhood or other family disruptions.</w:t>
      </w:r>
    </w:p>
    <w:p w14:paraId="1898EF1E">
      <w:pPr>
        <w:keepNext w:val="0"/>
        <w:keepLines w:val="0"/>
        <w:pageBreakBefore w:val="0"/>
        <w:widowControl/>
        <w:kinsoku/>
        <w:wordWrap/>
        <w:overflowPunct/>
        <w:topLinePunct w:val="0"/>
        <w:autoSpaceDE/>
        <w:autoSpaceDN/>
        <w:bidi w:val="0"/>
        <w:adjustRightInd/>
        <w:snapToGrid/>
        <w:ind w:firstLine="720"/>
        <w:jc w:val="both"/>
        <w:textAlignment w:val="auto"/>
        <w:rPr>
          <w:rFonts w:hint="eastAsia" w:eastAsiaTheme="minorEastAsia"/>
          <w:lang w:eastAsia="zh-CN"/>
        </w:rPr>
      </w:pPr>
      <w:r>
        <w:t>Regarding age distribution, participants mainly fell into two age groups: 6 individuals were between 65 and 74 years old, while 5 individuals were aged 75 and above. This indicates that although all respondents were elderly, more than half were in the “young-old” category (aged 65–74), suggesting that frailty among elderly who have lost their only child is not limited to the oldest age groups.</w:t>
      </w:r>
    </w:p>
    <w:p w14:paraId="46D89FBD">
      <w:pPr>
        <w:keepNext w:val="0"/>
        <w:keepLines w:val="0"/>
        <w:pageBreakBefore w:val="0"/>
        <w:widowControl/>
        <w:kinsoku/>
        <w:wordWrap/>
        <w:overflowPunct/>
        <w:topLinePunct w:val="0"/>
        <w:autoSpaceDE/>
        <w:autoSpaceDN/>
        <w:bidi w:val="0"/>
        <w:adjustRightInd/>
        <w:snapToGrid/>
        <w:ind w:firstLine="720"/>
        <w:jc w:val="both"/>
        <w:textAlignment w:val="auto"/>
      </w:pPr>
      <w:r>
        <w:t>In terms of marital status, 4 participants were married, including one remarried individual; 2 were divorced; and 5 were widowed, among whom one was currently in a cohabiting relationship. These figures reveal that nearly half of the participants had experienced spousal loss, and some faced both the loss of their only child and a partner, placing them at greater risk of emotional isolation.</w:t>
      </w:r>
    </w:p>
    <w:p w14:paraId="02DFD980">
      <w:pPr>
        <w:keepNext w:val="0"/>
        <w:keepLines w:val="0"/>
        <w:pageBreakBefore w:val="0"/>
        <w:widowControl/>
        <w:kinsoku/>
        <w:wordWrap/>
        <w:overflowPunct/>
        <w:topLinePunct w:val="0"/>
        <w:autoSpaceDE/>
        <w:autoSpaceDN/>
        <w:bidi w:val="0"/>
        <w:adjustRightInd/>
        <w:snapToGrid/>
        <w:ind w:firstLine="720"/>
        <w:jc w:val="both"/>
        <w:textAlignment w:val="auto"/>
      </w:pPr>
      <w:r>
        <w:t xml:space="preserve">Participants were drawn from two communities: 6 individuals were from BH Community and 5 from DCH Community. This relatively balanced distribution supports comparative insights into the living conditions and service needs of bereaved frail elderly individuals across different community settings. All respondents were categorized as frail based on established clinical criteria.  </w:t>
      </w:r>
    </w:p>
    <w:p w14:paraId="065EEF4B">
      <w:pPr>
        <w:rPr>
          <w:rFonts w:hint="eastAsia"/>
          <w:lang w:eastAsia="zh-CN"/>
        </w:rPr>
      </w:pPr>
    </w:p>
    <w:p w14:paraId="746B4B7C">
      <w:pPr>
        <w:jc w:val="left"/>
        <w:rPr>
          <w:rFonts w:eastAsiaTheme="minorEastAsia"/>
          <w:lang w:eastAsia="zh-CN"/>
        </w:rPr>
      </w:pPr>
      <w:r>
        <w:rPr>
          <w:rFonts w:hint="eastAsia" w:eastAsiaTheme="minorEastAsia"/>
          <w:lang w:eastAsia="zh-CN"/>
        </w:rPr>
        <w:t>2</w:t>
      </w:r>
      <w:r>
        <w:rPr>
          <w:rFonts w:eastAsiaTheme="minorEastAsia"/>
          <w:lang w:eastAsia="zh-CN"/>
        </w:rPr>
        <w:t xml:space="preserve">      The challenges of caregiving faced by frail elderly who have lost their only child in urban Chongqing</w:t>
      </w:r>
    </w:p>
    <w:p w14:paraId="7CE68697">
      <w:pPr>
        <w:jc w:val="left"/>
        <w:rPr>
          <w:rFonts w:eastAsiaTheme="minorEastAsia"/>
          <w:lang w:eastAsia="zh-CN"/>
        </w:rPr>
      </w:pPr>
      <w:r>
        <w:rPr>
          <w:rFonts w:eastAsiaTheme="minorEastAsia"/>
          <w:lang w:eastAsia="zh-CN"/>
        </w:rPr>
        <w:t>Drawing on in-depth interview data from 11 participants, the findings reveal the multifaceted nature of these challenges—including economic, physical, psychological, emotional, social and care dimensions (see Table 4.2).</w:t>
      </w:r>
    </w:p>
    <w:p w14:paraId="62477781">
      <w:pPr>
        <w:jc w:val="both"/>
        <w:rPr>
          <w:rFonts w:hint="eastAsia" w:eastAsiaTheme="minorEastAsia"/>
          <w:lang w:eastAsia="zh-CN"/>
        </w:rPr>
      </w:pPr>
    </w:p>
    <w:p w14:paraId="38955512">
      <w:pPr>
        <w:jc w:val="both"/>
        <w:rPr>
          <w:rFonts w:eastAsiaTheme="minorEastAsia"/>
          <w:b w:val="0"/>
          <w:bCs w:val="0"/>
          <w:sz w:val="20"/>
          <w:szCs w:val="20"/>
          <w:lang w:eastAsia="zh-CN"/>
        </w:rPr>
      </w:pPr>
      <w:r>
        <w:rPr>
          <w:rFonts w:eastAsiaTheme="minorEastAsia"/>
          <w:b w:val="0"/>
          <w:bCs w:val="0"/>
          <w:sz w:val="20"/>
          <w:szCs w:val="20"/>
          <w:lang w:eastAsia="zh-CN"/>
        </w:rPr>
        <w:t>Table 2. Basic Profile and Frailty Status of Respondents</w:t>
      </w:r>
    </w:p>
    <w:tbl>
      <w:tblPr>
        <w:tblStyle w:val="19"/>
        <w:tblW w:w="5000" w:type="pct"/>
        <w:tblInd w:w="0" w:type="dxa"/>
        <w:tblLayout w:type="autofit"/>
        <w:tblCellMar>
          <w:top w:w="0" w:type="dxa"/>
          <w:left w:w="108" w:type="dxa"/>
          <w:bottom w:w="0" w:type="dxa"/>
          <w:right w:w="108" w:type="dxa"/>
        </w:tblCellMar>
      </w:tblPr>
      <w:tblGrid>
        <w:gridCol w:w="4822"/>
        <w:gridCol w:w="2388"/>
        <w:gridCol w:w="3472"/>
      </w:tblGrid>
      <w:tr w14:paraId="00507134">
        <w:tblPrEx>
          <w:tblCellMar>
            <w:top w:w="0" w:type="dxa"/>
            <w:left w:w="108" w:type="dxa"/>
            <w:bottom w:w="0" w:type="dxa"/>
            <w:right w:w="108" w:type="dxa"/>
          </w:tblCellMar>
        </w:tblPrEx>
        <w:trPr>
          <w:trHeight w:val="413" w:hRule="atLeast"/>
        </w:trPr>
        <w:tc>
          <w:tcPr>
            <w:tcW w:w="2257" w:type="pct"/>
            <w:tcBorders>
              <w:top w:val="single" w:color="000000" w:sz="8" w:space="0"/>
              <w:left w:val="nil"/>
              <w:bottom w:val="single" w:color="000000" w:sz="8" w:space="0"/>
              <w:right w:val="nil"/>
            </w:tcBorders>
            <w:shd w:val="clear" w:color="auto" w:fill="auto"/>
          </w:tcPr>
          <w:p w14:paraId="52B379A5">
            <w:pPr>
              <w:pStyle w:val="101"/>
              <w:rPr>
                <w:b w:val="0"/>
                <w:bCs w:val="0"/>
                <w:sz w:val="20"/>
                <w:szCs w:val="20"/>
              </w:rPr>
            </w:pPr>
            <w:r>
              <w:rPr>
                <w:b w:val="0"/>
                <w:bCs w:val="0"/>
                <w:sz w:val="20"/>
                <w:szCs w:val="20"/>
              </w:rPr>
              <w:t>Objective</w:t>
            </w:r>
          </w:p>
        </w:tc>
        <w:tc>
          <w:tcPr>
            <w:tcW w:w="1118" w:type="pct"/>
            <w:tcBorders>
              <w:top w:val="single" w:color="000000" w:sz="8" w:space="0"/>
              <w:left w:val="nil"/>
              <w:bottom w:val="single" w:color="000000" w:sz="8" w:space="0"/>
              <w:right w:val="nil"/>
            </w:tcBorders>
            <w:shd w:val="clear" w:color="auto" w:fill="auto"/>
          </w:tcPr>
          <w:p w14:paraId="4A4E8269">
            <w:pPr>
              <w:pStyle w:val="102"/>
              <w:rPr>
                <w:b w:val="0"/>
                <w:bCs w:val="0"/>
                <w:sz w:val="20"/>
                <w:szCs w:val="20"/>
              </w:rPr>
            </w:pPr>
            <w:r>
              <w:rPr>
                <w:rFonts w:hint="eastAsia"/>
                <w:b w:val="0"/>
                <w:bCs w:val="0"/>
                <w:sz w:val="20"/>
                <w:szCs w:val="20"/>
              </w:rPr>
              <w:t>Theme</w:t>
            </w:r>
          </w:p>
        </w:tc>
        <w:tc>
          <w:tcPr>
            <w:tcW w:w="1625" w:type="pct"/>
            <w:tcBorders>
              <w:top w:val="single" w:color="000000" w:sz="8" w:space="0"/>
              <w:left w:val="nil"/>
              <w:bottom w:val="single" w:color="000000" w:sz="8" w:space="0"/>
              <w:right w:val="nil"/>
            </w:tcBorders>
            <w:shd w:val="clear" w:color="auto" w:fill="auto"/>
          </w:tcPr>
          <w:p w14:paraId="40EDDD52">
            <w:pPr>
              <w:pStyle w:val="102"/>
              <w:rPr>
                <w:b w:val="0"/>
                <w:bCs w:val="0"/>
                <w:sz w:val="20"/>
                <w:szCs w:val="20"/>
              </w:rPr>
            </w:pPr>
            <w:r>
              <w:rPr>
                <w:rFonts w:hint="eastAsia"/>
                <w:b w:val="0"/>
                <w:bCs w:val="0"/>
                <w:sz w:val="20"/>
                <w:szCs w:val="20"/>
              </w:rPr>
              <w:t>Sub-theme</w:t>
            </w:r>
          </w:p>
        </w:tc>
      </w:tr>
      <w:tr w14:paraId="0309CE37">
        <w:tblPrEx>
          <w:tblCellMar>
            <w:top w:w="0" w:type="dxa"/>
            <w:left w:w="108" w:type="dxa"/>
            <w:bottom w:w="0" w:type="dxa"/>
            <w:right w:w="108" w:type="dxa"/>
          </w:tblCellMar>
        </w:tblPrEx>
        <w:trPr>
          <w:trHeight w:val="295" w:hRule="atLeast"/>
        </w:trPr>
        <w:tc>
          <w:tcPr>
            <w:tcW w:w="2257" w:type="pct"/>
            <w:vMerge w:val="restart"/>
            <w:tcBorders>
              <w:top w:val="nil"/>
              <w:left w:val="nil"/>
              <w:right w:val="nil"/>
            </w:tcBorders>
            <w:shd w:val="clear" w:color="auto" w:fill="auto"/>
          </w:tcPr>
          <w:p w14:paraId="29138646">
            <w:pPr>
              <w:pStyle w:val="102"/>
              <w:jc w:val="both"/>
              <w:rPr>
                <w:rFonts w:eastAsia="宋体"/>
                <w:b w:val="0"/>
                <w:bCs w:val="0"/>
                <w:sz w:val="20"/>
                <w:szCs w:val="20"/>
              </w:rPr>
            </w:pPr>
            <w:r>
              <w:rPr>
                <w:b w:val="0"/>
                <w:bCs w:val="0"/>
                <w:sz w:val="20"/>
                <w:szCs w:val="20"/>
              </w:rPr>
              <w:t>To explore the challenges of caregiving faced by frail elderly who have lost their only child in urban Chongqing</w:t>
            </w:r>
          </w:p>
        </w:tc>
        <w:tc>
          <w:tcPr>
            <w:tcW w:w="1118" w:type="pct"/>
            <w:shd w:val="clear" w:color="auto" w:fill="auto"/>
          </w:tcPr>
          <w:p w14:paraId="6D12EF9D">
            <w:pPr>
              <w:pStyle w:val="102"/>
              <w:jc w:val="both"/>
              <w:rPr>
                <w:rFonts w:hint="eastAsia" w:ascii="Wingdings" w:hAnsi="Wingdings" w:cs="Wingdings"/>
                <w:b w:val="0"/>
                <w:bCs w:val="0"/>
                <w:sz w:val="20"/>
                <w:szCs w:val="20"/>
              </w:rPr>
            </w:pPr>
            <w:r>
              <w:rPr>
                <w:b w:val="0"/>
                <w:bCs w:val="0"/>
                <w:sz w:val="20"/>
                <w:szCs w:val="20"/>
              </w:rPr>
              <w:t>Economic stability with lingering risks</w:t>
            </w:r>
          </w:p>
        </w:tc>
        <w:tc>
          <w:tcPr>
            <w:tcW w:w="1625" w:type="pct"/>
            <w:shd w:val="clear" w:color="auto" w:fill="auto"/>
          </w:tcPr>
          <w:p w14:paraId="0A7F4D81">
            <w:pPr>
              <w:pStyle w:val="102"/>
              <w:numPr>
                <w:ilvl w:val="0"/>
                <w:numId w:val="2"/>
              </w:numPr>
              <w:jc w:val="both"/>
              <w:rPr>
                <w:b w:val="0"/>
                <w:bCs w:val="0"/>
                <w:sz w:val="20"/>
                <w:szCs w:val="20"/>
              </w:rPr>
            </w:pPr>
            <w:r>
              <w:rPr>
                <w:rFonts w:hint="eastAsia"/>
                <w:b w:val="0"/>
                <w:bCs w:val="0"/>
                <w:sz w:val="20"/>
                <w:szCs w:val="20"/>
              </w:rPr>
              <w:t>Current Financial Suf</w:t>
            </w:r>
          </w:p>
          <w:p w14:paraId="50CCFDE4">
            <w:pPr>
              <w:pStyle w:val="102"/>
              <w:jc w:val="both"/>
              <w:rPr>
                <w:b w:val="0"/>
                <w:bCs w:val="0"/>
                <w:sz w:val="20"/>
                <w:szCs w:val="20"/>
              </w:rPr>
            </w:pPr>
            <w:r>
              <w:rPr>
                <w:rFonts w:hint="eastAsia"/>
                <w:b w:val="0"/>
                <w:bCs w:val="0"/>
                <w:sz w:val="20"/>
                <w:szCs w:val="20"/>
              </w:rPr>
              <w:t>Ficiency</w:t>
            </w:r>
          </w:p>
          <w:p w14:paraId="6334FE39">
            <w:pPr>
              <w:pStyle w:val="102"/>
              <w:numPr>
                <w:ilvl w:val="0"/>
                <w:numId w:val="3"/>
              </w:numPr>
              <w:jc w:val="both"/>
              <w:rPr>
                <w:b w:val="0"/>
                <w:bCs w:val="0"/>
                <w:sz w:val="20"/>
                <w:szCs w:val="20"/>
              </w:rPr>
            </w:pPr>
            <w:r>
              <w:rPr>
                <w:rFonts w:hint="eastAsia"/>
                <w:b w:val="0"/>
                <w:bCs w:val="0"/>
                <w:sz w:val="20"/>
                <w:szCs w:val="20"/>
              </w:rPr>
              <w:t>Anxiety about Future Care Costs</w:t>
            </w:r>
          </w:p>
        </w:tc>
      </w:tr>
      <w:tr w14:paraId="1A4B0C84">
        <w:tblPrEx>
          <w:tblCellMar>
            <w:top w:w="0" w:type="dxa"/>
            <w:left w:w="108" w:type="dxa"/>
            <w:bottom w:w="0" w:type="dxa"/>
            <w:right w:w="108" w:type="dxa"/>
          </w:tblCellMar>
        </w:tblPrEx>
        <w:trPr>
          <w:trHeight w:val="295" w:hRule="atLeast"/>
        </w:trPr>
        <w:tc>
          <w:tcPr>
            <w:tcW w:w="2257" w:type="pct"/>
            <w:vMerge w:val="continue"/>
            <w:tcBorders>
              <w:left w:val="nil"/>
              <w:right w:val="nil"/>
            </w:tcBorders>
            <w:shd w:val="clear" w:color="auto" w:fill="auto"/>
          </w:tcPr>
          <w:p w14:paraId="2A38D0F9">
            <w:pPr>
              <w:pStyle w:val="102"/>
              <w:jc w:val="left"/>
              <w:rPr>
                <w:b w:val="0"/>
                <w:bCs w:val="0"/>
                <w:sz w:val="20"/>
                <w:szCs w:val="20"/>
              </w:rPr>
            </w:pPr>
          </w:p>
        </w:tc>
        <w:tc>
          <w:tcPr>
            <w:tcW w:w="1118" w:type="pct"/>
            <w:shd w:val="clear" w:color="auto" w:fill="auto"/>
          </w:tcPr>
          <w:p w14:paraId="60B5B4C1">
            <w:pPr>
              <w:pStyle w:val="102"/>
              <w:jc w:val="both"/>
              <w:rPr>
                <w:b w:val="0"/>
                <w:bCs w:val="0"/>
                <w:sz w:val="20"/>
                <w:szCs w:val="20"/>
              </w:rPr>
            </w:pPr>
            <w:r>
              <w:rPr>
                <w:b w:val="0"/>
                <w:bCs w:val="0"/>
                <w:sz w:val="20"/>
                <w:szCs w:val="20"/>
              </w:rPr>
              <w:t>Physical decline and chronic illness</w:t>
            </w:r>
          </w:p>
        </w:tc>
        <w:tc>
          <w:tcPr>
            <w:tcW w:w="1625" w:type="pct"/>
            <w:shd w:val="clear" w:color="auto" w:fill="auto"/>
          </w:tcPr>
          <w:p w14:paraId="35E427DB">
            <w:pPr>
              <w:pStyle w:val="102"/>
              <w:numPr>
                <w:ilvl w:val="0"/>
                <w:numId w:val="2"/>
              </w:numPr>
              <w:jc w:val="both"/>
              <w:rPr>
                <w:b w:val="0"/>
                <w:bCs w:val="0"/>
                <w:sz w:val="20"/>
                <w:szCs w:val="20"/>
              </w:rPr>
            </w:pPr>
            <w:r>
              <w:rPr>
                <w:rFonts w:hint="eastAsia"/>
                <w:b w:val="0"/>
                <w:bCs w:val="0"/>
                <w:sz w:val="20"/>
                <w:szCs w:val="20"/>
              </w:rPr>
              <w:t>Functional Limitations and Daily Life Inconveniences</w:t>
            </w:r>
          </w:p>
          <w:p w14:paraId="0CD9CAF0">
            <w:pPr>
              <w:pStyle w:val="102"/>
              <w:numPr>
                <w:ilvl w:val="0"/>
                <w:numId w:val="2"/>
              </w:numPr>
              <w:jc w:val="both"/>
              <w:rPr>
                <w:b w:val="0"/>
                <w:bCs w:val="0"/>
                <w:sz w:val="20"/>
                <w:szCs w:val="20"/>
              </w:rPr>
            </w:pPr>
            <w:r>
              <w:rPr>
                <w:rFonts w:hint="eastAsia"/>
                <w:b w:val="0"/>
                <w:bCs w:val="0"/>
                <w:sz w:val="20"/>
                <w:szCs w:val="20"/>
              </w:rPr>
              <w:t>Multimorbidity and Long-Term Health Burdens</w:t>
            </w:r>
          </w:p>
        </w:tc>
      </w:tr>
      <w:tr w14:paraId="06E30094">
        <w:tblPrEx>
          <w:tblCellMar>
            <w:top w:w="0" w:type="dxa"/>
            <w:left w:w="108" w:type="dxa"/>
            <w:bottom w:w="0" w:type="dxa"/>
            <w:right w:w="108" w:type="dxa"/>
          </w:tblCellMar>
        </w:tblPrEx>
        <w:trPr>
          <w:trHeight w:val="295" w:hRule="atLeast"/>
        </w:trPr>
        <w:tc>
          <w:tcPr>
            <w:tcW w:w="2257" w:type="pct"/>
            <w:vMerge w:val="continue"/>
            <w:tcBorders>
              <w:left w:val="nil"/>
              <w:right w:val="nil"/>
            </w:tcBorders>
            <w:shd w:val="clear" w:color="auto" w:fill="auto"/>
          </w:tcPr>
          <w:p w14:paraId="4C2BE7B0">
            <w:pPr>
              <w:pStyle w:val="102"/>
              <w:jc w:val="left"/>
              <w:rPr>
                <w:b w:val="0"/>
                <w:bCs w:val="0"/>
                <w:sz w:val="20"/>
                <w:szCs w:val="20"/>
              </w:rPr>
            </w:pPr>
          </w:p>
        </w:tc>
        <w:tc>
          <w:tcPr>
            <w:tcW w:w="1118" w:type="pct"/>
            <w:shd w:val="clear" w:color="auto" w:fill="auto"/>
          </w:tcPr>
          <w:p w14:paraId="4B642C92">
            <w:pPr>
              <w:pStyle w:val="102"/>
              <w:jc w:val="both"/>
              <w:rPr>
                <w:b w:val="0"/>
                <w:bCs w:val="0"/>
                <w:sz w:val="20"/>
                <w:szCs w:val="20"/>
              </w:rPr>
            </w:pPr>
            <w:r>
              <w:rPr>
                <w:b w:val="0"/>
                <w:bCs w:val="0"/>
                <w:sz w:val="20"/>
                <w:szCs w:val="20"/>
              </w:rPr>
              <w:t xml:space="preserve">Emotional loss and psychological trauma </w:t>
            </w:r>
          </w:p>
        </w:tc>
        <w:tc>
          <w:tcPr>
            <w:tcW w:w="1625" w:type="pct"/>
            <w:shd w:val="clear" w:color="auto" w:fill="auto"/>
          </w:tcPr>
          <w:p w14:paraId="5D0EAA83">
            <w:pPr>
              <w:pStyle w:val="102"/>
              <w:numPr>
                <w:ilvl w:val="0"/>
                <w:numId w:val="2"/>
              </w:numPr>
              <w:jc w:val="both"/>
              <w:rPr>
                <w:b w:val="0"/>
                <w:bCs w:val="0"/>
                <w:sz w:val="20"/>
                <w:szCs w:val="20"/>
              </w:rPr>
            </w:pPr>
            <w:r>
              <w:rPr>
                <w:rFonts w:hint="eastAsia"/>
                <w:b w:val="0"/>
                <w:bCs w:val="0"/>
                <w:sz w:val="20"/>
                <w:szCs w:val="20"/>
              </w:rPr>
              <w:t>Profound Grief and Depressive Symptoms</w:t>
            </w:r>
          </w:p>
          <w:p w14:paraId="16B05CC0">
            <w:pPr>
              <w:pStyle w:val="102"/>
              <w:numPr>
                <w:ilvl w:val="0"/>
                <w:numId w:val="2"/>
              </w:numPr>
              <w:jc w:val="both"/>
              <w:rPr>
                <w:b w:val="0"/>
                <w:bCs w:val="0"/>
                <w:sz w:val="20"/>
                <w:szCs w:val="20"/>
              </w:rPr>
            </w:pPr>
            <w:r>
              <w:rPr>
                <w:rFonts w:hint="eastAsia"/>
                <w:b w:val="0"/>
                <w:bCs w:val="0"/>
                <w:sz w:val="20"/>
                <w:szCs w:val="20"/>
              </w:rPr>
              <w:t>Emotional Triggers and Prolonged Psychological Distress</w:t>
            </w:r>
          </w:p>
        </w:tc>
      </w:tr>
      <w:tr w14:paraId="1EFA288E">
        <w:tblPrEx>
          <w:tblCellMar>
            <w:top w:w="0" w:type="dxa"/>
            <w:left w:w="108" w:type="dxa"/>
            <w:bottom w:w="0" w:type="dxa"/>
            <w:right w:w="108" w:type="dxa"/>
          </w:tblCellMar>
        </w:tblPrEx>
        <w:trPr>
          <w:trHeight w:val="295" w:hRule="atLeast"/>
        </w:trPr>
        <w:tc>
          <w:tcPr>
            <w:tcW w:w="2257" w:type="pct"/>
            <w:vMerge w:val="continue"/>
            <w:tcBorders>
              <w:left w:val="nil"/>
              <w:right w:val="nil"/>
            </w:tcBorders>
            <w:shd w:val="clear" w:color="auto" w:fill="auto"/>
          </w:tcPr>
          <w:p w14:paraId="4D99E48A">
            <w:pPr>
              <w:pStyle w:val="102"/>
              <w:jc w:val="left"/>
              <w:rPr>
                <w:b w:val="0"/>
                <w:bCs w:val="0"/>
                <w:sz w:val="20"/>
                <w:szCs w:val="20"/>
              </w:rPr>
            </w:pPr>
          </w:p>
        </w:tc>
        <w:tc>
          <w:tcPr>
            <w:tcW w:w="1118" w:type="pct"/>
            <w:shd w:val="clear" w:color="auto" w:fill="auto"/>
          </w:tcPr>
          <w:p w14:paraId="23E15382">
            <w:pPr>
              <w:pStyle w:val="102"/>
              <w:jc w:val="both"/>
              <w:rPr>
                <w:b w:val="0"/>
                <w:bCs w:val="0"/>
                <w:sz w:val="20"/>
                <w:szCs w:val="20"/>
              </w:rPr>
            </w:pPr>
            <w:r>
              <w:rPr>
                <w:b w:val="0"/>
                <w:bCs w:val="0"/>
                <w:sz w:val="20"/>
                <w:szCs w:val="20"/>
              </w:rPr>
              <w:t>Social withdrawal and shrinking life space</w:t>
            </w:r>
          </w:p>
        </w:tc>
        <w:tc>
          <w:tcPr>
            <w:tcW w:w="1625" w:type="pct"/>
            <w:shd w:val="clear" w:color="auto" w:fill="auto"/>
          </w:tcPr>
          <w:p w14:paraId="164D5FBF">
            <w:pPr>
              <w:pStyle w:val="102"/>
              <w:numPr>
                <w:ilvl w:val="0"/>
                <w:numId w:val="2"/>
              </w:numPr>
              <w:jc w:val="both"/>
              <w:rPr>
                <w:b w:val="0"/>
                <w:bCs w:val="0"/>
                <w:sz w:val="20"/>
                <w:szCs w:val="20"/>
              </w:rPr>
            </w:pPr>
            <w:r>
              <w:rPr>
                <w:rFonts w:hint="eastAsia"/>
                <w:b w:val="0"/>
                <w:bCs w:val="0"/>
                <w:sz w:val="20"/>
                <w:szCs w:val="20"/>
              </w:rPr>
              <w:t xml:space="preserve"> Disengagement from Community and Public Life</w:t>
            </w:r>
          </w:p>
          <w:p w14:paraId="315EDABC">
            <w:pPr>
              <w:pStyle w:val="102"/>
              <w:numPr>
                <w:ilvl w:val="0"/>
                <w:numId w:val="2"/>
              </w:numPr>
              <w:jc w:val="both"/>
              <w:rPr>
                <w:b w:val="0"/>
                <w:bCs w:val="0"/>
                <w:sz w:val="20"/>
                <w:szCs w:val="20"/>
              </w:rPr>
            </w:pPr>
            <w:r>
              <w:rPr>
                <w:rFonts w:hint="eastAsia"/>
                <w:b w:val="0"/>
                <w:bCs w:val="0"/>
                <w:sz w:val="20"/>
                <w:szCs w:val="20"/>
              </w:rPr>
              <w:t>Avoidance of Sensitive Topics and Stigmatized Identity</w:t>
            </w:r>
          </w:p>
        </w:tc>
      </w:tr>
      <w:tr w14:paraId="7235AEC1">
        <w:tblPrEx>
          <w:tblCellMar>
            <w:top w:w="0" w:type="dxa"/>
            <w:left w:w="108" w:type="dxa"/>
            <w:bottom w:w="0" w:type="dxa"/>
            <w:right w:w="108" w:type="dxa"/>
          </w:tblCellMar>
        </w:tblPrEx>
        <w:trPr>
          <w:trHeight w:val="295" w:hRule="atLeast"/>
        </w:trPr>
        <w:tc>
          <w:tcPr>
            <w:tcW w:w="2257" w:type="pct"/>
            <w:vMerge w:val="continue"/>
            <w:tcBorders>
              <w:left w:val="nil"/>
              <w:bottom w:val="single" w:color="auto" w:sz="4" w:space="0"/>
              <w:right w:val="nil"/>
            </w:tcBorders>
            <w:shd w:val="clear" w:color="auto" w:fill="auto"/>
          </w:tcPr>
          <w:p w14:paraId="7DF28348">
            <w:pPr>
              <w:pStyle w:val="102"/>
              <w:jc w:val="left"/>
              <w:rPr>
                <w:b w:val="0"/>
                <w:bCs w:val="0"/>
                <w:sz w:val="20"/>
                <w:szCs w:val="20"/>
              </w:rPr>
            </w:pPr>
          </w:p>
        </w:tc>
        <w:tc>
          <w:tcPr>
            <w:tcW w:w="1118" w:type="pct"/>
            <w:tcBorders>
              <w:bottom w:val="single" w:color="auto" w:sz="4" w:space="0"/>
            </w:tcBorders>
            <w:shd w:val="clear" w:color="auto" w:fill="auto"/>
          </w:tcPr>
          <w:p w14:paraId="5BA36E18">
            <w:pPr>
              <w:pStyle w:val="102"/>
              <w:jc w:val="both"/>
              <w:rPr>
                <w:b w:val="0"/>
                <w:bCs w:val="0"/>
                <w:sz w:val="20"/>
                <w:szCs w:val="20"/>
              </w:rPr>
            </w:pPr>
            <w:r>
              <w:rPr>
                <w:rFonts w:hint="eastAsia"/>
                <w:b w:val="0"/>
                <w:bCs w:val="0"/>
                <w:sz w:val="20"/>
                <w:szCs w:val="20"/>
              </w:rPr>
              <w:t>Care deficits and related anxieties</w:t>
            </w:r>
          </w:p>
        </w:tc>
        <w:tc>
          <w:tcPr>
            <w:tcW w:w="1625" w:type="pct"/>
            <w:tcBorders>
              <w:bottom w:val="single" w:color="auto" w:sz="4" w:space="0"/>
            </w:tcBorders>
            <w:shd w:val="clear" w:color="auto" w:fill="auto"/>
          </w:tcPr>
          <w:p w14:paraId="27C3822F">
            <w:pPr>
              <w:pStyle w:val="102"/>
              <w:numPr>
                <w:ilvl w:val="0"/>
                <w:numId w:val="2"/>
              </w:numPr>
              <w:jc w:val="both"/>
              <w:rPr>
                <w:b w:val="0"/>
                <w:bCs w:val="0"/>
                <w:sz w:val="20"/>
                <w:szCs w:val="20"/>
              </w:rPr>
            </w:pPr>
            <w:r>
              <w:rPr>
                <w:rFonts w:hint="eastAsia"/>
                <w:b w:val="0"/>
                <w:bCs w:val="0"/>
                <w:sz w:val="20"/>
                <w:szCs w:val="20"/>
              </w:rPr>
              <w:t xml:space="preserve"> Lack of Immediate Support in Emergencies</w:t>
            </w:r>
          </w:p>
          <w:p w14:paraId="12661B65">
            <w:pPr>
              <w:pStyle w:val="102"/>
              <w:numPr>
                <w:ilvl w:val="0"/>
                <w:numId w:val="2"/>
              </w:numPr>
              <w:jc w:val="both"/>
              <w:rPr>
                <w:b w:val="0"/>
                <w:bCs w:val="0"/>
                <w:sz w:val="20"/>
                <w:szCs w:val="20"/>
              </w:rPr>
            </w:pPr>
            <w:r>
              <w:rPr>
                <w:rFonts w:hint="eastAsia"/>
                <w:b w:val="0"/>
                <w:bCs w:val="0"/>
                <w:sz w:val="20"/>
                <w:szCs w:val="20"/>
              </w:rPr>
              <w:t>Anxiety about Long-Term Care Arrangements</w:t>
            </w:r>
          </w:p>
        </w:tc>
      </w:tr>
    </w:tbl>
    <w:p w14:paraId="1BE5E350">
      <w:pPr>
        <w:jc w:val="both"/>
        <w:rPr>
          <w:rFonts w:eastAsiaTheme="minorEastAsia"/>
          <w:lang w:eastAsia="zh-CN"/>
        </w:rPr>
      </w:pPr>
    </w:p>
    <w:p w14:paraId="40B235B4">
      <w:pPr>
        <w:keepNext w:val="0"/>
        <w:keepLines w:val="0"/>
        <w:pageBreakBefore w:val="0"/>
        <w:widowControl/>
        <w:numPr>
          <w:ilvl w:val="0"/>
          <w:numId w:val="4"/>
        </w:numPr>
        <w:kinsoku/>
        <w:wordWrap/>
        <w:overflowPunct/>
        <w:topLinePunct w:val="0"/>
        <w:autoSpaceDE/>
        <w:autoSpaceDN/>
        <w:bidi w:val="0"/>
        <w:adjustRightInd/>
        <w:snapToGrid/>
        <w:jc w:val="both"/>
        <w:textAlignment w:val="auto"/>
        <w:rPr>
          <w:rFonts w:eastAsiaTheme="minorEastAsia"/>
          <w:lang w:eastAsia="zh-CN"/>
        </w:rPr>
      </w:pPr>
      <w:r>
        <w:rPr>
          <w:rFonts w:eastAsiaTheme="minorEastAsia"/>
          <w:b w:val="0"/>
          <w:bCs w:val="0"/>
          <w:lang w:eastAsia="zh-CN"/>
        </w:rPr>
        <w:t>Economic stability with lingering risks</w:t>
      </w:r>
    </w:p>
    <w:p w14:paraId="483700C3">
      <w:pPr>
        <w:jc w:val="both"/>
        <w:rPr>
          <w:rFonts w:eastAsiaTheme="minorEastAsia"/>
          <w:lang w:eastAsia="zh-CN"/>
        </w:rPr>
      </w:pPr>
      <w:r>
        <w:rPr>
          <w:rFonts w:eastAsiaTheme="minorEastAsia"/>
          <w:lang w:eastAsia="zh-CN"/>
        </w:rPr>
        <w:t>Although most frail elderly who have lost their only child currently maintain basic living expenses through pensions, government subsidies, and senior allowances—along with medical reimbursements and secondary reimbursements from the community—the underlying anxiety over future care costs remains widespread. Among the 11 participants in this study, 3 explicitly expressed concern about the affordability of long-term care, reflecting a condition of “surface-level stability with underlying insecurity.</w:t>
      </w:r>
    </w:p>
    <w:p w14:paraId="54AB1864">
      <w:pPr>
        <w:keepNext w:val="0"/>
        <w:keepLines w:val="0"/>
        <w:pageBreakBefore w:val="0"/>
        <w:widowControl/>
        <w:kinsoku/>
        <w:wordWrap/>
        <w:overflowPunct/>
        <w:topLinePunct w:val="0"/>
        <w:autoSpaceDE/>
        <w:autoSpaceDN/>
        <w:bidi w:val="0"/>
        <w:adjustRightInd/>
        <w:snapToGrid/>
        <w:ind w:firstLine="567"/>
        <w:textAlignment w:val="auto"/>
        <w:rPr>
          <w:b w:val="0"/>
          <w:bCs w:val="0"/>
          <w:lang w:val="en-US" w:eastAsia="zh-CN"/>
        </w:rPr>
      </w:pPr>
      <w:r>
        <w:rPr>
          <w:b w:val="0"/>
          <w:bCs w:val="0"/>
          <w:lang w:val="en-US" w:eastAsia="zh-CN"/>
        </w:rPr>
        <w:t>Current financial sufficiency</w:t>
      </w:r>
    </w:p>
    <w:p w14:paraId="263A0178">
      <w:pPr>
        <w:keepNext w:val="0"/>
        <w:keepLines w:val="0"/>
        <w:pageBreakBefore w:val="0"/>
        <w:widowControl/>
        <w:kinsoku/>
        <w:wordWrap/>
        <w:overflowPunct/>
        <w:topLinePunct w:val="0"/>
        <w:autoSpaceDE/>
        <w:autoSpaceDN/>
        <w:bidi w:val="0"/>
        <w:adjustRightInd/>
        <w:snapToGrid/>
        <w:ind w:firstLine="0"/>
        <w:jc w:val="both"/>
        <w:textAlignment w:val="auto"/>
      </w:pPr>
      <w:r>
        <w:rPr>
          <w:lang w:val="en-US" w:eastAsia="zh-CN"/>
        </w:rPr>
        <w:t>Participants reported that their current financial resources are adequate for daily needs, particularly while they and their spouses are still able to care for each other.</w:t>
      </w:r>
    </w:p>
    <w:p w14:paraId="1A572E8A">
      <w:pPr>
        <w:keepNext w:val="0"/>
        <w:keepLines w:val="0"/>
        <w:pageBreakBefore w:val="0"/>
        <w:widowControl/>
        <w:kinsoku/>
        <w:wordWrap/>
        <w:overflowPunct/>
        <w:topLinePunct w:val="0"/>
        <w:autoSpaceDE/>
        <w:autoSpaceDN/>
        <w:bidi w:val="0"/>
        <w:adjustRightInd/>
        <w:snapToGrid/>
        <w:ind w:left="680" w:leftChars="0"/>
        <w:textAlignment w:val="auto"/>
        <w:rPr>
          <w:i/>
          <w:iCs/>
        </w:rPr>
      </w:pPr>
      <w:r>
        <w:rPr>
          <w:i/>
          <w:iCs/>
          <w:lang w:val="en-US" w:eastAsia="zh-CN"/>
        </w:rPr>
        <w:t>“Right now, the two of us can still look after each other, and financially we’re okay.”</w:t>
      </w:r>
    </w:p>
    <w:p w14:paraId="4A0A96B6">
      <w:pPr>
        <w:jc w:val="right"/>
      </w:pPr>
      <w:r>
        <w:rPr>
          <w:lang w:val="en-US" w:eastAsia="zh-CN"/>
        </w:rPr>
        <w:t>(CQ-SD-BH-LAN JY)</w:t>
      </w:r>
    </w:p>
    <w:p w14:paraId="1344A53A">
      <w:pPr>
        <w:keepNext w:val="0"/>
        <w:keepLines w:val="0"/>
        <w:pageBreakBefore w:val="0"/>
        <w:widowControl/>
        <w:kinsoku/>
        <w:wordWrap/>
        <w:overflowPunct/>
        <w:topLinePunct w:val="0"/>
        <w:autoSpaceDE/>
        <w:autoSpaceDN/>
        <w:bidi w:val="0"/>
        <w:adjustRightInd/>
        <w:snapToGrid/>
        <w:ind w:left="680" w:leftChars="0"/>
        <w:textAlignment w:val="auto"/>
        <w:rPr>
          <w:i/>
          <w:iCs/>
          <w:lang w:val="en-US" w:eastAsia="zh-CN"/>
        </w:rPr>
      </w:pPr>
      <w:r>
        <w:rPr>
          <w:i/>
          <w:iCs/>
          <w:lang w:val="en-US" w:eastAsia="zh-CN"/>
        </w:rPr>
        <w:t>“After hospitalization, there’s a second reimbursement. After the first claim through health insurance, we can get another from the community. Medical expenses really aren’t too high.”</w:t>
      </w:r>
    </w:p>
    <w:p w14:paraId="7BADFE4E">
      <w:pPr>
        <w:jc w:val="right"/>
        <w:rPr>
          <w:rFonts w:eastAsiaTheme="minorEastAsia"/>
          <w:lang w:val="en-US" w:eastAsia="zh-CN"/>
        </w:rPr>
      </w:pPr>
      <w:r>
        <w:rPr>
          <w:lang w:val="en-US" w:eastAsia="zh-CN"/>
        </w:rPr>
        <w:t>(CQ-SD-DCH-YANG XD)</w:t>
      </w:r>
    </w:p>
    <w:p w14:paraId="07757870">
      <w:pPr>
        <w:ind w:firstLine="720" w:firstLineChars="0"/>
        <w:rPr>
          <w:b w:val="0"/>
          <w:bCs w:val="0"/>
          <w:lang w:val="en-US" w:eastAsia="zh-CN"/>
        </w:rPr>
      </w:pPr>
      <w:r>
        <w:rPr>
          <w:b w:val="0"/>
          <w:bCs w:val="0"/>
          <w:lang w:val="en-US" w:eastAsia="zh-CN"/>
        </w:rPr>
        <w:t>Anxiety about future care costs</w:t>
      </w:r>
    </w:p>
    <w:p w14:paraId="4420A85D">
      <w:pPr>
        <w:keepNext w:val="0"/>
        <w:keepLines w:val="0"/>
        <w:pageBreakBefore w:val="0"/>
        <w:widowControl/>
        <w:kinsoku/>
        <w:wordWrap/>
        <w:overflowPunct/>
        <w:topLinePunct w:val="0"/>
        <w:autoSpaceDE/>
        <w:autoSpaceDN/>
        <w:bidi w:val="0"/>
        <w:adjustRightInd/>
        <w:snapToGrid/>
        <w:ind w:firstLine="0"/>
        <w:jc w:val="both"/>
        <w:textAlignment w:val="auto"/>
        <w:rPr>
          <w:rFonts w:eastAsiaTheme="minorEastAsia"/>
          <w:lang w:val="en-US" w:eastAsia="zh-CN"/>
        </w:rPr>
      </w:pPr>
      <w:r>
        <w:rPr>
          <w:rFonts w:eastAsiaTheme="minorEastAsia"/>
          <w:lang w:val="en-US" w:eastAsia="zh-CN"/>
        </w:rPr>
        <w:t>However, with aging and inevitable physical decline, some participants expressed concern about potentially needing to hire professional caregivers in the future. The high cost of such market-based services would likely exceed their financial capacity, especially in the absence of family-based care.</w:t>
      </w:r>
    </w:p>
    <w:p w14:paraId="33E7D9CB">
      <w:pPr>
        <w:keepNext w:val="0"/>
        <w:keepLines w:val="0"/>
        <w:pageBreakBefore w:val="0"/>
        <w:widowControl/>
        <w:kinsoku/>
        <w:wordWrap/>
        <w:overflowPunct/>
        <w:topLinePunct w:val="0"/>
        <w:autoSpaceDE/>
        <w:autoSpaceDN/>
        <w:bidi w:val="0"/>
        <w:adjustRightInd/>
        <w:snapToGrid/>
        <w:ind w:left="680" w:leftChars="0"/>
        <w:textAlignment w:val="auto"/>
        <w:rPr>
          <w:rFonts w:eastAsiaTheme="minorEastAsia"/>
          <w:lang w:val="en-US" w:eastAsia="zh-CN"/>
        </w:rPr>
      </w:pPr>
      <w:r>
        <w:rPr>
          <w:rFonts w:hint="eastAsia"/>
          <w:i/>
          <w:iCs/>
          <w:lang w:val="en-US" w:eastAsia="zh-CN"/>
        </w:rPr>
        <w:t>“</w:t>
      </w:r>
      <w:r>
        <w:rPr>
          <w:i/>
          <w:iCs/>
          <w:lang w:val="en-US" w:eastAsia="zh-CN"/>
        </w:rPr>
        <w:t>If I become immobile and need someone to take care of me, that will definitely be expensive. That’s what I worry about.”</w:t>
      </w:r>
    </w:p>
    <w:p w14:paraId="36F65995">
      <w:pPr>
        <w:jc w:val="right"/>
        <w:rPr>
          <w:rFonts w:eastAsiaTheme="minorEastAsia"/>
          <w:lang w:val="en-US" w:eastAsia="zh-CN"/>
        </w:rPr>
      </w:pPr>
      <w:r>
        <w:rPr>
          <w:rFonts w:eastAsiaTheme="minorEastAsia"/>
          <w:lang w:val="en-US" w:eastAsia="zh-CN"/>
        </w:rPr>
        <w:t>(CQ-SD-BH-JIANG P)</w:t>
      </w:r>
    </w:p>
    <w:p w14:paraId="23D779D4">
      <w:pPr>
        <w:keepNext w:val="0"/>
        <w:keepLines w:val="0"/>
        <w:pageBreakBefore w:val="0"/>
        <w:widowControl/>
        <w:kinsoku/>
        <w:wordWrap/>
        <w:overflowPunct/>
        <w:topLinePunct w:val="0"/>
        <w:autoSpaceDE/>
        <w:autoSpaceDN/>
        <w:bidi w:val="0"/>
        <w:adjustRightInd/>
        <w:snapToGrid/>
        <w:ind w:left="680" w:leftChars="0"/>
        <w:textAlignment w:val="auto"/>
        <w:rPr>
          <w:rFonts w:hint="eastAsia"/>
          <w:i/>
          <w:iCs/>
          <w:lang w:val="en-US" w:eastAsia="zh-CN"/>
        </w:rPr>
      </w:pPr>
      <w:r>
        <w:rPr>
          <w:rFonts w:hint="eastAsia"/>
          <w:i/>
          <w:iCs/>
          <w:lang w:val="en-US" w:eastAsia="zh-CN"/>
        </w:rPr>
        <w:t>“If one day we need to hire someone for care, the financial burden will be very heavy.”</w:t>
      </w:r>
    </w:p>
    <w:p w14:paraId="173502EF">
      <w:pPr>
        <w:jc w:val="right"/>
        <w:rPr>
          <w:rFonts w:eastAsiaTheme="minorEastAsia"/>
          <w:lang w:val="en-US" w:eastAsia="zh-CN"/>
        </w:rPr>
      </w:pPr>
      <w:r>
        <w:rPr>
          <w:rFonts w:eastAsiaTheme="minorEastAsia"/>
          <w:lang w:val="en-US" w:eastAsia="zh-CN"/>
        </w:rPr>
        <w:t>(CQ-SD-BH-LAN JY)</w:t>
      </w:r>
    </w:p>
    <w:p w14:paraId="081C19F0">
      <w:pPr>
        <w:keepNext w:val="0"/>
        <w:keepLines w:val="0"/>
        <w:pageBreakBefore w:val="0"/>
        <w:widowControl/>
        <w:kinsoku/>
        <w:wordWrap/>
        <w:overflowPunct/>
        <w:topLinePunct w:val="0"/>
        <w:autoSpaceDE/>
        <w:autoSpaceDN/>
        <w:bidi w:val="0"/>
        <w:adjustRightInd/>
        <w:snapToGrid/>
        <w:ind w:firstLine="720"/>
        <w:jc w:val="both"/>
        <w:textAlignment w:val="auto"/>
        <w:rPr>
          <w:rFonts w:hint="eastAsia" w:eastAsiaTheme="minorEastAsia"/>
          <w:lang w:val="en-US" w:eastAsia="zh-CN"/>
        </w:rPr>
      </w:pPr>
      <w:r>
        <w:rPr>
          <w:rFonts w:eastAsiaTheme="minorEastAsia"/>
          <w:lang w:val="en-US" w:eastAsia="zh-CN"/>
        </w:rPr>
        <w:t>While current financial conditions appear manageable, the absence of familial caregiving support leads to heightened anxiety about long-term care costs, revealing a state of provisional sufficiency coupled with long-term economic vulnerability.</w:t>
      </w:r>
    </w:p>
    <w:p w14:paraId="1FABE137">
      <w:pPr>
        <w:keepNext w:val="0"/>
        <w:keepLines w:val="0"/>
        <w:pageBreakBefore w:val="0"/>
        <w:widowControl/>
        <w:numPr>
          <w:ilvl w:val="0"/>
          <w:numId w:val="4"/>
        </w:numPr>
        <w:kinsoku/>
        <w:wordWrap/>
        <w:overflowPunct/>
        <w:topLinePunct w:val="0"/>
        <w:autoSpaceDE/>
        <w:autoSpaceDN/>
        <w:bidi w:val="0"/>
        <w:adjustRightInd/>
        <w:snapToGrid/>
        <w:jc w:val="both"/>
        <w:textAlignment w:val="auto"/>
        <w:rPr>
          <w:rFonts w:eastAsiaTheme="minorEastAsia"/>
          <w:lang w:eastAsia="zh-CN"/>
        </w:rPr>
      </w:pPr>
      <w:r>
        <w:rPr>
          <w:rFonts w:eastAsiaTheme="minorEastAsia"/>
          <w:b w:val="0"/>
          <w:bCs w:val="0"/>
          <w:lang w:eastAsia="zh-CN"/>
        </w:rPr>
        <w:t>Physical decline and chronic illness</w:t>
      </w:r>
    </w:p>
    <w:p w14:paraId="42E46D89">
      <w:pPr>
        <w:jc w:val="both"/>
        <w:rPr>
          <w:rFonts w:eastAsiaTheme="minorEastAsia"/>
          <w:lang w:eastAsia="zh-CN"/>
        </w:rPr>
      </w:pPr>
      <w:r>
        <w:rPr>
          <w:rFonts w:eastAsiaTheme="minorEastAsia"/>
          <w:lang w:eastAsia="zh-CN"/>
        </w:rPr>
        <w:t>All 11 frail elderly who have lost their only child in this study reported various degrees of physical decline, which significantly impacted their quality of life and increased their need for care. Based on the data, two key sub-themes were identified:</w:t>
      </w:r>
    </w:p>
    <w:p w14:paraId="00F58B2D">
      <w:pPr>
        <w:ind w:firstLine="720" w:firstLineChars="0"/>
        <w:jc w:val="both"/>
        <w:rPr>
          <w:rFonts w:hint="eastAsia" w:eastAsiaTheme="minorEastAsia"/>
          <w:lang w:eastAsia="zh-CN"/>
        </w:rPr>
      </w:pPr>
      <w:r>
        <w:rPr>
          <w:b w:val="0"/>
          <w:bCs w:val="0"/>
          <w:lang w:val="en-US" w:eastAsia="zh-CN"/>
        </w:rPr>
        <w:t>Functional Limitations and Daily Life Inconveniences</w:t>
      </w:r>
    </w:p>
    <w:p w14:paraId="72F49C65">
      <w:pPr>
        <w:jc w:val="both"/>
        <w:rPr>
          <w:rFonts w:eastAsiaTheme="minorEastAsia"/>
          <w:lang w:eastAsia="zh-CN"/>
        </w:rPr>
      </w:pPr>
      <w:r>
        <w:rPr>
          <w:rFonts w:eastAsiaTheme="minorEastAsia"/>
          <w:lang w:eastAsia="zh-CN"/>
        </w:rPr>
        <w:t>Many participants described difficulties related to joint pain, impaired mobility, hearing loss, sleep disturbances, and general physical discomfort. These conditions restricted their range of activity and increased their dependence on others for daily tasks. Some avoided walking around the house or performing household chores due to fear of falling, resulting in long-term homebound living.</w:t>
      </w:r>
    </w:p>
    <w:p w14:paraId="2D20D08B">
      <w:pPr>
        <w:keepNext w:val="0"/>
        <w:keepLines w:val="0"/>
        <w:pageBreakBefore w:val="0"/>
        <w:widowControl/>
        <w:kinsoku/>
        <w:wordWrap/>
        <w:overflowPunct/>
        <w:topLinePunct w:val="0"/>
        <w:autoSpaceDE/>
        <w:autoSpaceDN/>
        <w:bidi w:val="0"/>
        <w:adjustRightInd/>
        <w:snapToGrid/>
        <w:ind w:left="680" w:leftChars="0"/>
        <w:textAlignment w:val="auto"/>
        <w:rPr>
          <w:rFonts w:hint="eastAsia"/>
          <w:i/>
          <w:iCs/>
          <w:lang w:val="en-US" w:eastAsia="zh-CN"/>
        </w:rPr>
      </w:pPr>
      <w:r>
        <w:rPr>
          <w:rFonts w:hint="eastAsia"/>
          <w:i/>
          <w:iCs/>
          <w:lang w:val="en-US" w:eastAsia="zh-CN"/>
        </w:rPr>
        <w:t>“I often have trouble sleeping and feel dizzy and unsteady. I don’t dare move around much at home, let alone go out to buy food or cook.”</w:t>
      </w:r>
    </w:p>
    <w:p w14:paraId="4D410924">
      <w:pPr>
        <w:jc w:val="right"/>
        <w:rPr>
          <w:rFonts w:eastAsiaTheme="minorEastAsia"/>
          <w:lang w:eastAsia="zh-CN"/>
        </w:rPr>
      </w:pPr>
      <w:r>
        <w:rPr>
          <w:rFonts w:eastAsiaTheme="minorEastAsia"/>
          <w:lang w:eastAsia="zh-CN"/>
        </w:rPr>
        <w:t>(CQ-SD-DCH-LONG SQ)</w:t>
      </w:r>
    </w:p>
    <w:p w14:paraId="53087C6C">
      <w:pPr>
        <w:keepNext w:val="0"/>
        <w:keepLines w:val="0"/>
        <w:pageBreakBefore w:val="0"/>
        <w:widowControl/>
        <w:kinsoku/>
        <w:wordWrap/>
        <w:overflowPunct/>
        <w:topLinePunct w:val="0"/>
        <w:autoSpaceDE/>
        <w:autoSpaceDN/>
        <w:bidi w:val="0"/>
        <w:adjustRightInd/>
        <w:snapToGrid/>
        <w:ind w:left="680" w:leftChars="0"/>
        <w:textAlignment w:val="auto"/>
        <w:rPr>
          <w:rFonts w:hint="eastAsia"/>
          <w:i/>
          <w:iCs/>
          <w:lang w:val="en-US" w:eastAsia="zh-CN"/>
        </w:rPr>
      </w:pPr>
      <w:r>
        <w:rPr>
          <w:rFonts w:hint="eastAsia"/>
          <w:i/>
          <w:iCs/>
          <w:lang w:val="en-US" w:eastAsia="zh-CN"/>
        </w:rPr>
        <w:t>“I have foot pain, so I no longer dance. Walking up and down here makes it even worse.”</w:t>
      </w:r>
    </w:p>
    <w:p w14:paraId="40BC4252">
      <w:pPr>
        <w:jc w:val="right"/>
        <w:rPr>
          <w:rFonts w:eastAsiaTheme="minorEastAsia"/>
          <w:lang w:eastAsia="zh-CN"/>
        </w:rPr>
      </w:pPr>
      <w:r>
        <w:rPr>
          <w:rFonts w:eastAsiaTheme="minorEastAsia"/>
          <w:lang w:eastAsia="zh-CN"/>
        </w:rPr>
        <w:t>(CQ-SD-DCH-TANG LS)</w:t>
      </w:r>
    </w:p>
    <w:p w14:paraId="4CCFD18A">
      <w:pPr>
        <w:ind w:firstLine="720" w:firstLineChars="0"/>
        <w:jc w:val="both"/>
        <w:rPr>
          <w:rFonts w:eastAsiaTheme="minorEastAsia"/>
          <w:lang w:eastAsia="zh-CN"/>
        </w:rPr>
      </w:pPr>
      <w:r>
        <w:rPr>
          <w:rFonts w:eastAsiaTheme="minorEastAsia"/>
          <w:lang w:eastAsia="zh-CN"/>
        </w:rPr>
        <w:t>Multimorbidity and Long-Term Health Burdens</w:t>
      </w:r>
    </w:p>
    <w:p w14:paraId="09E686EC">
      <w:pPr>
        <w:jc w:val="both"/>
        <w:rPr>
          <w:rFonts w:eastAsiaTheme="minorEastAsia"/>
          <w:lang w:eastAsia="zh-CN"/>
        </w:rPr>
      </w:pPr>
      <w:r>
        <w:rPr>
          <w:rFonts w:eastAsiaTheme="minorEastAsia"/>
          <w:lang w:eastAsia="zh-CN"/>
        </w:rPr>
        <w:t>Multimorbidity—the presence of two or more chronic conditions—was highly prevalent among participants. Seven out of eleven reported multiple chronic illnesses, including hypertension, diabetes, and stroke-related complications. These conditions not only imposed an ongoing health burden but also increased reliance on medical systems and community-based support.</w:t>
      </w:r>
    </w:p>
    <w:p w14:paraId="6BD2CABF">
      <w:pPr>
        <w:keepNext w:val="0"/>
        <w:keepLines w:val="0"/>
        <w:pageBreakBefore w:val="0"/>
        <w:widowControl/>
        <w:kinsoku/>
        <w:wordWrap/>
        <w:overflowPunct/>
        <w:topLinePunct w:val="0"/>
        <w:autoSpaceDE/>
        <w:autoSpaceDN/>
        <w:bidi w:val="0"/>
        <w:adjustRightInd/>
        <w:snapToGrid/>
        <w:ind w:left="680" w:leftChars="0"/>
        <w:textAlignment w:val="auto"/>
        <w:rPr>
          <w:rFonts w:hint="eastAsia"/>
          <w:i/>
          <w:iCs/>
          <w:lang w:val="en-US" w:eastAsia="zh-CN"/>
        </w:rPr>
      </w:pPr>
      <w:r>
        <w:rPr>
          <w:rFonts w:hint="eastAsia"/>
          <w:i/>
          <w:iCs/>
          <w:lang w:val="en-US" w:eastAsia="zh-CN"/>
        </w:rPr>
        <w:t>“I have high blood pressure and need to take medication every day.”</w:t>
      </w:r>
    </w:p>
    <w:p w14:paraId="231D3F70">
      <w:pPr>
        <w:jc w:val="right"/>
        <w:rPr>
          <w:rFonts w:eastAsiaTheme="minorEastAsia"/>
          <w:lang w:eastAsia="zh-CN"/>
        </w:rPr>
      </w:pPr>
      <w:r>
        <w:rPr>
          <w:rFonts w:eastAsiaTheme="minorEastAsia"/>
          <w:lang w:eastAsia="zh-CN"/>
        </w:rPr>
        <w:t>(CQ-SD-BH-DU YG)</w:t>
      </w:r>
    </w:p>
    <w:p w14:paraId="341766E2">
      <w:pPr>
        <w:keepNext w:val="0"/>
        <w:keepLines w:val="0"/>
        <w:pageBreakBefore w:val="0"/>
        <w:widowControl/>
        <w:kinsoku/>
        <w:wordWrap/>
        <w:overflowPunct/>
        <w:topLinePunct w:val="0"/>
        <w:autoSpaceDE/>
        <w:autoSpaceDN/>
        <w:bidi w:val="0"/>
        <w:adjustRightInd/>
        <w:snapToGrid/>
        <w:ind w:left="680" w:leftChars="0"/>
        <w:textAlignment w:val="auto"/>
        <w:rPr>
          <w:rFonts w:hint="eastAsia"/>
          <w:i/>
          <w:iCs/>
          <w:lang w:val="en-US" w:eastAsia="zh-CN"/>
        </w:rPr>
      </w:pPr>
      <w:r>
        <w:rPr>
          <w:rFonts w:hint="eastAsia"/>
          <w:i/>
          <w:iCs/>
          <w:lang w:val="en-US" w:eastAsia="zh-CN"/>
        </w:rPr>
        <w:t>“I have high blood pressure and diabetes, and I also had a mild stroke before. Luckily it wasn’t serious, and I can still take care of myself now.”</w:t>
      </w:r>
    </w:p>
    <w:p w14:paraId="584D2C4E">
      <w:pPr>
        <w:jc w:val="right"/>
        <w:rPr>
          <w:rFonts w:hint="eastAsia" w:eastAsiaTheme="minorEastAsia"/>
          <w:lang w:eastAsia="zh-CN"/>
        </w:rPr>
      </w:pPr>
      <w:r>
        <w:rPr>
          <w:rFonts w:eastAsiaTheme="minorEastAsia"/>
          <w:lang w:eastAsia="zh-CN"/>
        </w:rPr>
        <w:t>(CQ-SD-DCH-YANG XD)</w:t>
      </w:r>
    </w:p>
    <w:p w14:paraId="15AE59B9">
      <w:pPr>
        <w:keepNext w:val="0"/>
        <w:keepLines w:val="0"/>
        <w:pageBreakBefore w:val="0"/>
        <w:widowControl/>
        <w:kinsoku/>
        <w:wordWrap/>
        <w:overflowPunct/>
        <w:topLinePunct w:val="0"/>
        <w:autoSpaceDE/>
        <w:autoSpaceDN/>
        <w:bidi w:val="0"/>
        <w:adjustRightInd/>
        <w:snapToGrid/>
        <w:ind w:firstLine="720"/>
        <w:jc w:val="both"/>
        <w:textAlignment w:val="auto"/>
        <w:rPr>
          <w:rFonts w:eastAsiaTheme="minorEastAsia"/>
          <w:lang w:eastAsia="zh-CN"/>
        </w:rPr>
      </w:pPr>
      <w:r>
        <w:rPr>
          <w:rFonts w:eastAsiaTheme="minorEastAsia"/>
          <w:lang w:eastAsia="zh-CN"/>
        </w:rPr>
        <w:t>Progressive physical decline and multimorbidity constitute major and ongoing health challenges for frail elderly who have lost their only child. These physiological limitations undermine their ability to live independently and exacerbate their emotional isolation and caregiving needs, forming a critical component of their overall vulnerability.</w:t>
      </w:r>
    </w:p>
    <w:p w14:paraId="4C8F5782">
      <w:pPr>
        <w:keepNext w:val="0"/>
        <w:keepLines w:val="0"/>
        <w:pageBreakBefore w:val="0"/>
        <w:widowControl/>
        <w:numPr>
          <w:ilvl w:val="0"/>
          <w:numId w:val="4"/>
        </w:numPr>
        <w:kinsoku/>
        <w:wordWrap/>
        <w:overflowPunct/>
        <w:topLinePunct w:val="0"/>
        <w:autoSpaceDE/>
        <w:autoSpaceDN/>
        <w:bidi w:val="0"/>
        <w:adjustRightInd/>
        <w:snapToGrid/>
        <w:jc w:val="both"/>
        <w:textAlignment w:val="auto"/>
        <w:rPr>
          <w:rFonts w:eastAsiaTheme="minorEastAsia"/>
          <w:lang w:eastAsia="zh-CN"/>
        </w:rPr>
      </w:pPr>
      <w:r>
        <w:rPr>
          <w:rFonts w:eastAsiaTheme="minorEastAsia"/>
          <w:b w:val="0"/>
          <w:bCs w:val="0"/>
          <w:lang w:eastAsia="zh-CN"/>
        </w:rPr>
        <w:t>Emotional Loss and Psychological Trauma</w:t>
      </w:r>
    </w:p>
    <w:p w14:paraId="4BA3A9DA">
      <w:pPr>
        <w:jc w:val="both"/>
        <w:rPr>
          <w:rFonts w:eastAsiaTheme="minorEastAsia"/>
          <w:lang w:eastAsia="zh-CN"/>
        </w:rPr>
      </w:pPr>
      <w:r>
        <w:rPr>
          <w:rFonts w:eastAsiaTheme="minorEastAsia"/>
          <w:lang w:eastAsia="zh-CN"/>
        </w:rPr>
        <w:t>For frail elderly who have lost their only child, emotional suffering often outweighs physical inconvenience in both depth and duration. Within the framework of traditional Chinese familial values, children are not only viewed as carriers of lineage but also as the emotional and spiritual anchors of aging parents. The death of an only child therefore signifies the collapse of both the family structure and the most intimate intergenerational bond. In this study, all 11 participants reported some degree of emotional trauma. Their experiences can be categorized into the following two sub-themes:</w:t>
      </w:r>
    </w:p>
    <w:p w14:paraId="60B7FBB7">
      <w:pPr>
        <w:ind w:firstLine="720" w:firstLineChars="0"/>
        <w:jc w:val="both"/>
        <w:rPr>
          <w:rFonts w:eastAsiaTheme="minorEastAsia"/>
          <w:lang w:eastAsia="zh-CN"/>
        </w:rPr>
      </w:pPr>
      <w:r>
        <w:rPr>
          <w:rFonts w:eastAsiaTheme="minorEastAsia"/>
          <w:lang w:eastAsia="zh-CN"/>
        </w:rPr>
        <w:t xml:space="preserve"> Profound Grief and Depressive Symptoms</w:t>
      </w:r>
    </w:p>
    <w:p w14:paraId="00A49124">
      <w:pPr>
        <w:jc w:val="both"/>
        <w:rPr>
          <w:rFonts w:eastAsiaTheme="minorEastAsia"/>
          <w:lang w:eastAsia="zh-CN"/>
        </w:rPr>
      </w:pPr>
      <w:r>
        <w:rPr>
          <w:rFonts w:eastAsiaTheme="minorEastAsia"/>
          <w:lang w:eastAsia="zh-CN"/>
        </w:rPr>
        <w:t>Most respondents described their grief as intense and long-lasting. Many expressed feelings of persistent sorrow, loneliness, and helplessness. Some reported visible symptoms of depression, including loss of interest in daily life, frequent crying, and even suicidal ideation.</w:t>
      </w:r>
    </w:p>
    <w:p w14:paraId="4460C5A1">
      <w:pPr>
        <w:keepNext w:val="0"/>
        <w:keepLines w:val="0"/>
        <w:pageBreakBefore w:val="0"/>
        <w:widowControl/>
        <w:kinsoku/>
        <w:wordWrap/>
        <w:overflowPunct/>
        <w:topLinePunct w:val="0"/>
        <w:autoSpaceDE/>
        <w:autoSpaceDN/>
        <w:bidi w:val="0"/>
        <w:adjustRightInd/>
        <w:snapToGrid/>
        <w:ind w:left="680" w:leftChars="0"/>
        <w:textAlignment w:val="auto"/>
        <w:rPr>
          <w:rFonts w:hint="eastAsia"/>
          <w:i/>
          <w:iCs/>
          <w:lang w:val="en-US" w:eastAsia="zh-CN"/>
        </w:rPr>
      </w:pPr>
      <w:r>
        <w:rPr>
          <w:rFonts w:hint="eastAsia"/>
          <w:i/>
          <w:iCs/>
          <w:lang w:val="en-US" w:eastAsia="zh-CN"/>
        </w:rPr>
        <w:t>“After my daughter passed away, I felt like my world collapsed. I often couldn’t stop crying.”</w:t>
      </w:r>
    </w:p>
    <w:p w14:paraId="10E1F4B9">
      <w:pPr>
        <w:jc w:val="right"/>
        <w:rPr>
          <w:rFonts w:eastAsiaTheme="minorEastAsia"/>
          <w:lang w:eastAsia="zh-CN"/>
        </w:rPr>
      </w:pPr>
      <w:r>
        <w:rPr>
          <w:rFonts w:eastAsiaTheme="minorEastAsia"/>
          <w:lang w:eastAsia="zh-CN"/>
        </w:rPr>
        <w:t>(CQ-SD-DCH-XU YD)</w:t>
      </w:r>
    </w:p>
    <w:p w14:paraId="1A47DA45">
      <w:pPr>
        <w:keepNext w:val="0"/>
        <w:keepLines w:val="0"/>
        <w:pageBreakBefore w:val="0"/>
        <w:widowControl/>
        <w:kinsoku/>
        <w:wordWrap/>
        <w:overflowPunct/>
        <w:topLinePunct w:val="0"/>
        <w:autoSpaceDE/>
        <w:autoSpaceDN/>
        <w:bidi w:val="0"/>
        <w:adjustRightInd/>
        <w:snapToGrid/>
        <w:ind w:firstLine="720"/>
        <w:jc w:val="both"/>
        <w:textAlignment w:val="auto"/>
        <w:rPr>
          <w:rFonts w:eastAsiaTheme="minorEastAsia"/>
          <w:lang w:eastAsia="zh-CN"/>
        </w:rPr>
      </w:pPr>
      <w:r>
        <w:rPr>
          <w:rFonts w:eastAsiaTheme="minorEastAsia"/>
          <w:lang w:eastAsia="zh-CN"/>
        </w:rPr>
        <w:t>Others appeared composed in public but confessed to being emotionally overwhelmed in private. The pain of loss, deeply embedded in their daily lives, remained difficult to verbalize or share with others.</w:t>
      </w:r>
    </w:p>
    <w:p w14:paraId="47CA396C">
      <w:pPr>
        <w:ind w:firstLine="720" w:firstLineChars="0"/>
        <w:jc w:val="both"/>
        <w:rPr>
          <w:rFonts w:eastAsiaTheme="minorEastAsia"/>
          <w:lang w:eastAsia="zh-CN"/>
        </w:rPr>
      </w:pPr>
      <w:r>
        <w:rPr>
          <w:rFonts w:eastAsiaTheme="minorEastAsia"/>
          <w:lang w:eastAsia="zh-CN"/>
        </w:rPr>
        <w:t>Emotional Triggers and Prolonged Psychological Distress</w:t>
      </w:r>
    </w:p>
    <w:p w14:paraId="6804DDA9">
      <w:pPr>
        <w:jc w:val="both"/>
        <w:rPr>
          <w:rFonts w:eastAsiaTheme="minorEastAsia"/>
          <w:lang w:eastAsia="zh-CN"/>
        </w:rPr>
      </w:pPr>
      <w:r>
        <w:rPr>
          <w:rFonts w:eastAsiaTheme="minorEastAsia"/>
          <w:lang w:eastAsia="zh-CN"/>
        </w:rPr>
        <w:t>Specific social events such as holidays or family reunions often acted as emotional triggers, exacerbating their grief. Many participants described increased psychological suffering during such occasions, as these highlighted the absence of their child even more profoundly.</w:t>
      </w:r>
    </w:p>
    <w:p w14:paraId="1DB89029">
      <w:pPr>
        <w:keepNext w:val="0"/>
        <w:keepLines w:val="0"/>
        <w:pageBreakBefore w:val="0"/>
        <w:widowControl/>
        <w:kinsoku/>
        <w:wordWrap/>
        <w:overflowPunct/>
        <w:topLinePunct w:val="0"/>
        <w:autoSpaceDE/>
        <w:autoSpaceDN/>
        <w:bidi w:val="0"/>
        <w:adjustRightInd/>
        <w:snapToGrid/>
        <w:ind w:left="680" w:leftChars="0"/>
        <w:textAlignment w:val="auto"/>
        <w:rPr>
          <w:rFonts w:hint="eastAsia"/>
          <w:i/>
          <w:iCs/>
          <w:lang w:val="en-US" w:eastAsia="zh-CN"/>
        </w:rPr>
      </w:pPr>
      <w:r>
        <w:rPr>
          <w:rFonts w:hint="eastAsia"/>
          <w:i/>
          <w:iCs/>
          <w:lang w:val="en-US" w:eastAsia="zh-CN"/>
        </w:rPr>
        <w:t>“I tell myself to move on and not to grieve all the time, but during holidays, when I see other families together, how could I not think of her?”</w:t>
      </w:r>
    </w:p>
    <w:p w14:paraId="48E2CC27">
      <w:pPr>
        <w:jc w:val="right"/>
        <w:rPr>
          <w:rFonts w:eastAsiaTheme="minorEastAsia"/>
          <w:lang w:eastAsia="zh-CN"/>
        </w:rPr>
      </w:pPr>
      <w:r>
        <w:rPr>
          <w:rFonts w:eastAsiaTheme="minorEastAsia"/>
          <w:lang w:eastAsia="zh-CN"/>
        </w:rPr>
        <w:t>(CQ-SD-DCH-TANG LS)</w:t>
      </w:r>
    </w:p>
    <w:p w14:paraId="13AE4DD5">
      <w:pPr>
        <w:keepNext w:val="0"/>
        <w:keepLines w:val="0"/>
        <w:pageBreakBefore w:val="0"/>
        <w:widowControl/>
        <w:kinsoku/>
        <w:wordWrap/>
        <w:overflowPunct/>
        <w:topLinePunct w:val="0"/>
        <w:autoSpaceDE/>
        <w:autoSpaceDN/>
        <w:bidi w:val="0"/>
        <w:adjustRightInd/>
        <w:snapToGrid/>
        <w:ind w:firstLine="720"/>
        <w:jc w:val="both"/>
        <w:textAlignment w:val="auto"/>
        <w:rPr>
          <w:rFonts w:eastAsiaTheme="minorEastAsia"/>
          <w:lang w:eastAsia="zh-CN"/>
        </w:rPr>
      </w:pPr>
      <w:r>
        <w:rPr>
          <w:rFonts w:eastAsiaTheme="minorEastAsia"/>
          <w:lang w:eastAsia="zh-CN"/>
        </w:rPr>
        <w:t>The emotional loss experienced by frail elderly who have lost their only child manifests in sustained psychological trauma, compounded by cultural expectations and the irreplaceability of the child’s role. These emotional struggles often intertwine with physical deterioration and social withdrawal, resulting in a cumulative vulnerability that calls for long-term mental health support and intervention.</w:t>
      </w:r>
    </w:p>
    <w:p w14:paraId="4A4107D9">
      <w:pPr>
        <w:keepNext w:val="0"/>
        <w:keepLines w:val="0"/>
        <w:pageBreakBefore w:val="0"/>
        <w:widowControl/>
        <w:numPr>
          <w:ilvl w:val="0"/>
          <w:numId w:val="4"/>
        </w:numPr>
        <w:kinsoku/>
        <w:wordWrap/>
        <w:overflowPunct/>
        <w:topLinePunct w:val="0"/>
        <w:autoSpaceDE/>
        <w:autoSpaceDN/>
        <w:bidi w:val="0"/>
        <w:adjustRightInd/>
        <w:snapToGrid/>
        <w:jc w:val="both"/>
        <w:textAlignment w:val="auto"/>
        <w:rPr>
          <w:rFonts w:eastAsiaTheme="minorEastAsia"/>
          <w:b w:val="0"/>
          <w:bCs w:val="0"/>
          <w:lang w:eastAsia="zh-CN"/>
        </w:rPr>
      </w:pPr>
      <w:r>
        <w:rPr>
          <w:rFonts w:eastAsiaTheme="minorEastAsia"/>
          <w:b w:val="0"/>
          <w:bCs w:val="0"/>
          <w:lang w:eastAsia="zh-CN"/>
        </w:rPr>
        <w:t>Social withdrawal and shrinking life space</w:t>
      </w:r>
    </w:p>
    <w:p w14:paraId="3C7EA4BE">
      <w:pPr>
        <w:jc w:val="both"/>
        <w:rPr>
          <w:rFonts w:eastAsiaTheme="minorEastAsia"/>
          <w:lang w:eastAsia="zh-CN"/>
        </w:rPr>
      </w:pPr>
      <w:r>
        <w:rPr>
          <w:rFonts w:eastAsiaTheme="minorEastAsia"/>
          <w:lang w:eastAsia="zh-CN"/>
        </w:rPr>
        <w:t>Following the loss of their only child, many frail elderly individuals experience a marked decline in social engagement and increasing isolation. In this study, 9 out of 11 participants reported progressive disconnection from their previous social networks, with reduced willingness to participate in community activities or maintain contact with neighbors, friends, or even relatives.Their experiences can be categorized into the following sub-themes:</w:t>
      </w:r>
    </w:p>
    <w:p w14:paraId="3B80FFBC">
      <w:pPr>
        <w:ind w:firstLine="720" w:firstLineChars="0"/>
        <w:jc w:val="both"/>
        <w:rPr>
          <w:rFonts w:eastAsiaTheme="minorEastAsia"/>
          <w:lang w:eastAsia="zh-CN"/>
        </w:rPr>
      </w:pPr>
      <w:r>
        <w:rPr>
          <w:rFonts w:eastAsiaTheme="minorEastAsia"/>
          <w:lang w:eastAsia="zh-CN"/>
        </w:rPr>
        <w:t>Disengagement from community and public life</w:t>
      </w:r>
    </w:p>
    <w:p w14:paraId="7CCD0AE6">
      <w:pPr>
        <w:jc w:val="both"/>
        <w:rPr>
          <w:rFonts w:eastAsiaTheme="minorEastAsia"/>
          <w:lang w:eastAsia="zh-CN"/>
        </w:rPr>
      </w:pPr>
      <w:r>
        <w:rPr>
          <w:rFonts w:eastAsiaTheme="minorEastAsia"/>
          <w:lang w:eastAsia="zh-CN"/>
        </w:rPr>
        <w:t>Several respondents noted that while they were once active in community events, they deliberately chose to withdraw after the trauma of child loss. Physical weakness and emotional exhaustion also led some to remain homebound for extended periods, further decreasing their motivation to engage in social life.</w:t>
      </w:r>
    </w:p>
    <w:p w14:paraId="61280A78">
      <w:pPr>
        <w:keepNext w:val="0"/>
        <w:keepLines w:val="0"/>
        <w:pageBreakBefore w:val="0"/>
        <w:widowControl/>
        <w:kinsoku/>
        <w:wordWrap/>
        <w:overflowPunct/>
        <w:topLinePunct w:val="0"/>
        <w:autoSpaceDE/>
        <w:autoSpaceDN/>
        <w:bidi w:val="0"/>
        <w:adjustRightInd/>
        <w:snapToGrid/>
        <w:ind w:left="680" w:leftChars="0"/>
        <w:textAlignment w:val="auto"/>
        <w:rPr>
          <w:rFonts w:hint="eastAsia"/>
          <w:i/>
          <w:iCs/>
          <w:lang w:val="en-US" w:eastAsia="zh-CN"/>
        </w:rPr>
      </w:pPr>
      <w:r>
        <w:rPr>
          <w:rFonts w:hint="eastAsia"/>
          <w:i/>
          <w:iCs/>
          <w:lang w:val="en-US" w:eastAsia="zh-CN"/>
        </w:rPr>
        <w:t>“I used to dance and participate in activities, but not anymore. I stay home most of the time.”</w:t>
      </w:r>
    </w:p>
    <w:p w14:paraId="08E16703">
      <w:pPr>
        <w:jc w:val="right"/>
        <w:rPr>
          <w:rFonts w:eastAsiaTheme="minorEastAsia"/>
          <w:lang w:eastAsia="zh-CN"/>
        </w:rPr>
      </w:pPr>
      <w:r>
        <w:rPr>
          <w:rFonts w:eastAsiaTheme="minorEastAsia"/>
          <w:lang w:eastAsia="zh-CN"/>
        </w:rPr>
        <w:t>(CQ-SD-BH-LAN JY)</w:t>
      </w:r>
    </w:p>
    <w:p w14:paraId="18ACF78D">
      <w:pPr>
        <w:ind w:firstLine="720" w:firstLineChars="0"/>
        <w:jc w:val="both"/>
        <w:rPr>
          <w:rFonts w:eastAsiaTheme="minorEastAsia"/>
          <w:lang w:eastAsia="zh-CN"/>
        </w:rPr>
      </w:pPr>
      <w:r>
        <w:rPr>
          <w:rFonts w:eastAsiaTheme="minorEastAsia"/>
          <w:lang w:eastAsia="zh-CN"/>
        </w:rPr>
        <w:t>Avoidance of sensitive topics and stigmatized identity</w:t>
      </w:r>
    </w:p>
    <w:p w14:paraId="5B65CC0F">
      <w:pPr>
        <w:jc w:val="both"/>
        <w:rPr>
          <w:rFonts w:eastAsiaTheme="minorEastAsia"/>
          <w:lang w:eastAsia="zh-CN"/>
        </w:rPr>
      </w:pPr>
      <w:r>
        <w:rPr>
          <w:rFonts w:eastAsiaTheme="minorEastAsia"/>
          <w:lang w:eastAsia="zh-CN"/>
        </w:rPr>
        <w:t>Many participants expressed strong discomfort with conversations that could remind them of their child, especially in social settings were peers frequently discussed children or grandchildren. To protect themselves emotionally, some chose to avoid contact altogether, or even fabricated stories to deflect inquiries.</w:t>
      </w:r>
    </w:p>
    <w:p w14:paraId="6B524F96">
      <w:pPr>
        <w:keepNext w:val="0"/>
        <w:keepLines w:val="0"/>
        <w:pageBreakBefore w:val="0"/>
        <w:widowControl/>
        <w:kinsoku/>
        <w:wordWrap/>
        <w:overflowPunct/>
        <w:topLinePunct w:val="0"/>
        <w:autoSpaceDE/>
        <w:autoSpaceDN/>
        <w:bidi w:val="0"/>
        <w:adjustRightInd/>
        <w:snapToGrid/>
        <w:ind w:left="680" w:leftChars="0"/>
        <w:textAlignment w:val="auto"/>
        <w:rPr>
          <w:rFonts w:hint="eastAsia"/>
          <w:i/>
          <w:iCs/>
          <w:lang w:val="en-US" w:eastAsia="zh-CN"/>
        </w:rPr>
      </w:pPr>
      <w:r>
        <w:rPr>
          <w:rFonts w:hint="eastAsia"/>
          <w:i/>
          <w:iCs/>
          <w:lang w:val="en-US" w:eastAsia="zh-CN"/>
        </w:rPr>
        <w:t>“I told my classmates my child went abroad—just to avoid the topic.”</w:t>
      </w:r>
    </w:p>
    <w:p w14:paraId="317935AD">
      <w:pPr>
        <w:jc w:val="right"/>
        <w:rPr>
          <w:rFonts w:eastAsiaTheme="minorEastAsia"/>
          <w:lang w:eastAsia="zh-CN"/>
        </w:rPr>
      </w:pPr>
      <w:r>
        <w:rPr>
          <w:rFonts w:eastAsiaTheme="minorEastAsia"/>
          <w:lang w:eastAsia="zh-CN"/>
        </w:rPr>
        <w:t>(CQ-SD-DCH-TANG LS)</w:t>
      </w:r>
    </w:p>
    <w:p w14:paraId="120CED17">
      <w:pPr>
        <w:keepNext w:val="0"/>
        <w:keepLines w:val="0"/>
        <w:pageBreakBefore w:val="0"/>
        <w:widowControl/>
        <w:kinsoku/>
        <w:wordWrap/>
        <w:overflowPunct/>
        <w:topLinePunct w:val="0"/>
        <w:autoSpaceDE/>
        <w:autoSpaceDN/>
        <w:bidi w:val="0"/>
        <w:adjustRightInd/>
        <w:snapToGrid/>
        <w:ind w:left="680" w:leftChars="0"/>
        <w:textAlignment w:val="auto"/>
        <w:rPr>
          <w:rFonts w:hint="eastAsia"/>
          <w:i/>
          <w:iCs/>
          <w:lang w:val="en-US" w:eastAsia="zh-CN"/>
        </w:rPr>
      </w:pPr>
      <w:r>
        <w:rPr>
          <w:rFonts w:hint="eastAsia"/>
          <w:i/>
          <w:iCs/>
          <w:lang w:val="en-US" w:eastAsia="zh-CN"/>
        </w:rPr>
        <w:t>“I’m not like other old people in the community. I don’t like talking about children or grandchildren. I don’t have anything to say.”</w:t>
      </w:r>
    </w:p>
    <w:p w14:paraId="6167AEE0">
      <w:pPr>
        <w:jc w:val="right"/>
        <w:rPr>
          <w:rFonts w:eastAsiaTheme="minorEastAsia"/>
          <w:lang w:eastAsia="zh-CN"/>
        </w:rPr>
      </w:pPr>
      <w:r>
        <w:rPr>
          <w:rFonts w:eastAsiaTheme="minorEastAsia"/>
          <w:lang w:eastAsia="zh-CN"/>
        </w:rPr>
        <w:t>(CQ-SD-DCH-TANG H)</w:t>
      </w:r>
    </w:p>
    <w:p w14:paraId="28E28B28">
      <w:pPr>
        <w:keepNext w:val="0"/>
        <w:keepLines w:val="0"/>
        <w:pageBreakBefore w:val="0"/>
        <w:widowControl/>
        <w:kinsoku/>
        <w:wordWrap/>
        <w:overflowPunct/>
        <w:topLinePunct w:val="0"/>
        <w:autoSpaceDE/>
        <w:autoSpaceDN/>
        <w:bidi w:val="0"/>
        <w:adjustRightInd/>
        <w:snapToGrid/>
        <w:ind w:firstLine="720"/>
        <w:jc w:val="both"/>
        <w:textAlignment w:val="auto"/>
        <w:rPr>
          <w:rFonts w:hint="eastAsia" w:eastAsiaTheme="minorEastAsia"/>
          <w:lang w:eastAsia="zh-CN"/>
        </w:rPr>
      </w:pPr>
      <w:r>
        <w:rPr>
          <w:rFonts w:eastAsiaTheme="minorEastAsia"/>
          <w:lang w:eastAsia="zh-CN"/>
        </w:rPr>
        <w:t>This tendency reflects a form of self-stigmatization — a psychological defense mechanism through which individuals distance themselves from others to avoid being labeled as "Shidu" (bereaved of their only child). In doing so, however, they also sacrifice emotional support and meaningful connections, which may worsen feelings of loneliness and vulnerability.</w:t>
      </w:r>
    </w:p>
    <w:p w14:paraId="45F00CE8">
      <w:pPr>
        <w:keepNext w:val="0"/>
        <w:keepLines w:val="0"/>
        <w:pageBreakBefore w:val="0"/>
        <w:widowControl/>
        <w:kinsoku/>
        <w:wordWrap/>
        <w:overflowPunct/>
        <w:topLinePunct w:val="0"/>
        <w:autoSpaceDE/>
        <w:autoSpaceDN/>
        <w:bidi w:val="0"/>
        <w:adjustRightInd/>
        <w:snapToGrid/>
        <w:ind w:firstLine="720"/>
        <w:jc w:val="both"/>
        <w:textAlignment w:val="auto"/>
        <w:rPr>
          <w:rFonts w:eastAsiaTheme="minorEastAsia"/>
          <w:lang w:eastAsia="zh-CN"/>
        </w:rPr>
      </w:pPr>
      <w:r>
        <w:rPr>
          <w:rFonts w:eastAsiaTheme="minorEastAsia"/>
          <w:lang w:eastAsia="zh-CN"/>
        </w:rPr>
        <w:t>The social withdrawal observed among frail elderly who have lost their only child is not merely the result of physical decline, but also a trauma-driven response to emotional pain and anticipated social stigma. As their life space contracts and social bonds weaken, their overall well-being deteriorates further, reinforcing the need for targeted community-based interventions to rebuild trust and restore engagement.</w:t>
      </w:r>
    </w:p>
    <w:p w14:paraId="17485DC4">
      <w:pPr>
        <w:keepNext w:val="0"/>
        <w:keepLines w:val="0"/>
        <w:pageBreakBefore w:val="0"/>
        <w:widowControl/>
        <w:numPr>
          <w:ilvl w:val="0"/>
          <w:numId w:val="4"/>
        </w:numPr>
        <w:kinsoku/>
        <w:wordWrap/>
        <w:overflowPunct/>
        <w:topLinePunct w:val="0"/>
        <w:autoSpaceDE/>
        <w:autoSpaceDN/>
        <w:bidi w:val="0"/>
        <w:adjustRightInd/>
        <w:snapToGrid/>
        <w:jc w:val="both"/>
        <w:textAlignment w:val="auto"/>
        <w:rPr>
          <w:rFonts w:eastAsiaTheme="minorEastAsia"/>
          <w:lang w:eastAsia="zh-CN"/>
        </w:rPr>
      </w:pPr>
      <w:r>
        <w:rPr>
          <w:rFonts w:eastAsiaTheme="minorEastAsia"/>
          <w:b w:val="0"/>
          <w:bCs w:val="0"/>
          <w:lang w:eastAsia="zh-CN"/>
        </w:rPr>
        <w:t>Care deficits and future anxiety</w:t>
      </w:r>
    </w:p>
    <w:p w14:paraId="0DC884ED">
      <w:pPr>
        <w:jc w:val="both"/>
        <w:rPr>
          <w:rFonts w:eastAsiaTheme="minorEastAsia"/>
          <w:lang w:eastAsia="zh-CN"/>
        </w:rPr>
      </w:pPr>
      <w:r>
        <w:rPr>
          <w:rFonts w:eastAsiaTheme="minorEastAsia"/>
          <w:lang w:eastAsia="zh-CN"/>
        </w:rPr>
        <w:t>Frail elderly who have lost their only child face both practical and psychological challenges due to the absence of a caregiving system. Their concerns mainly fall into two categories: immediate vulnerability during emergencies and long-term insecurity about future care.</w:t>
      </w:r>
    </w:p>
    <w:p w14:paraId="56C3361E">
      <w:pPr>
        <w:ind w:firstLine="720" w:firstLineChars="0"/>
        <w:jc w:val="both"/>
        <w:rPr>
          <w:rFonts w:eastAsiaTheme="minorEastAsia"/>
          <w:lang w:eastAsia="zh-CN"/>
        </w:rPr>
      </w:pPr>
      <w:r>
        <w:rPr>
          <w:rFonts w:eastAsiaTheme="minorEastAsia"/>
          <w:lang w:eastAsia="zh-CN"/>
        </w:rPr>
        <w:t>Lack of immediate support in emergencies</w:t>
      </w:r>
    </w:p>
    <w:p w14:paraId="00BC40FC">
      <w:pPr>
        <w:jc w:val="both"/>
        <w:rPr>
          <w:rFonts w:eastAsiaTheme="minorEastAsia"/>
          <w:lang w:eastAsia="zh-CN"/>
        </w:rPr>
      </w:pPr>
      <w:r>
        <w:rPr>
          <w:rFonts w:eastAsiaTheme="minorEastAsia"/>
          <w:lang w:eastAsia="zh-CN"/>
        </w:rPr>
        <w:t>Nine participants recalled experiencing sudden health incidents at home, such as falls or fainting, where they felt frightened and helpless due to the absence of assistance.</w:t>
      </w:r>
    </w:p>
    <w:p w14:paraId="5115AFFB">
      <w:pPr>
        <w:keepNext w:val="0"/>
        <w:keepLines w:val="0"/>
        <w:pageBreakBefore w:val="0"/>
        <w:widowControl/>
        <w:kinsoku/>
        <w:wordWrap/>
        <w:overflowPunct/>
        <w:topLinePunct w:val="0"/>
        <w:autoSpaceDE/>
        <w:autoSpaceDN/>
        <w:bidi w:val="0"/>
        <w:adjustRightInd/>
        <w:snapToGrid/>
        <w:ind w:left="680" w:leftChars="0"/>
        <w:textAlignment w:val="auto"/>
        <w:rPr>
          <w:rFonts w:hint="eastAsia"/>
          <w:i/>
          <w:iCs/>
          <w:lang w:val="en-US" w:eastAsia="zh-CN"/>
        </w:rPr>
      </w:pPr>
      <w:r>
        <w:rPr>
          <w:rFonts w:hint="eastAsia"/>
          <w:i/>
          <w:iCs/>
          <w:lang w:val="en-US" w:eastAsia="zh-CN"/>
        </w:rPr>
        <w:t>“I once fell off a stool while cleaning. It took a long time before I could slowly get up. Another time, I slipped in the shower. I was terrified—what if I died and no one knew?”</w:t>
      </w:r>
    </w:p>
    <w:p w14:paraId="359FD854">
      <w:pPr>
        <w:jc w:val="right"/>
        <w:rPr>
          <w:rFonts w:eastAsiaTheme="minorEastAsia"/>
          <w:lang w:eastAsia="zh-CN"/>
        </w:rPr>
      </w:pPr>
      <w:r>
        <w:rPr>
          <w:rFonts w:eastAsiaTheme="minorEastAsia"/>
          <w:lang w:eastAsia="zh-CN"/>
        </w:rPr>
        <w:t>(CQ-SD-DCH-TANG H)</w:t>
      </w:r>
    </w:p>
    <w:p w14:paraId="7C78592E">
      <w:pPr>
        <w:keepNext w:val="0"/>
        <w:keepLines w:val="0"/>
        <w:pageBreakBefore w:val="0"/>
        <w:widowControl/>
        <w:kinsoku/>
        <w:wordWrap/>
        <w:overflowPunct/>
        <w:topLinePunct w:val="0"/>
        <w:autoSpaceDE/>
        <w:autoSpaceDN/>
        <w:bidi w:val="0"/>
        <w:adjustRightInd/>
        <w:snapToGrid/>
        <w:ind w:firstLine="720"/>
        <w:jc w:val="both"/>
        <w:textAlignment w:val="auto"/>
        <w:rPr>
          <w:rFonts w:eastAsiaTheme="minorEastAsia"/>
          <w:lang w:eastAsia="zh-CN"/>
        </w:rPr>
      </w:pPr>
      <w:r>
        <w:rPr>
          <w:rFonts w:eastAsiaTheme="minorEastAsia"/>
          <w:lang w:eastAsia="zh-CN"/>
        </w:rPr>
        <w:t>Others expressed anxiety about seeking medical care alone:</w:t>
      </w:r>
    </w:p>
    <w:p w14:paraId="30022B61">
      <w:pPr>
        <w:keepNext w:val="0"/>
        <w:keepLines w:val="0"/>
        <w:pageBreakBefore w:val="0"/>
        <w:widowControl/>
        <w:kinsoku/>
        <w:wordWrap/>
        <w:overflowPunct/>
        <w:topLinePunct w:val="0"/>
        <w:autoSpaceDE/>
        <w:autoSpaceDN/>
        <w:bidi w:val="0"/>
        <w:adjustRightInd/>
        <w:snapToGrid/>
        <w:ind w:left="680" w:leftChars="0"/>
        <w:textAlignment w:val="auto"/>
        <w:rPr>
          <w:rFonts w:hint="eastAsia"/>
          <w:i/>
          <w:iCs/>
          <w:lang w:val="en-US" w:eastAsia="zh-CN"/>
        </w:rPr>
      </w:pPr>
      <w:r>
        <w:rPr>
          <w:rFonts w:hint="eastAsia"/>
          <w:i/>
          <w:iCs/>
          <w:lang w:val="en-US" w:eastAsia="zh-CN"/>
        </w:rPr>
        <w:t>“Going to the hospital worries me the most. It’s far, crowded, and I’m scared something might happen without anyone there with me.”</w:t>
      </w:r>
    </w:p>
    <w:p w14:paraId="629268AE">
      <w:pPr>
        <w:jc w:val="right"/>
        <w:rPr>
          <w:rFonts w:eastAsiaTheme="minorEastAsia"/>
          <w:lang w:eastAsia="zh-CN"/>
        </w:rPr>
      </w:pPr>
      <w:r>
        <w:rPr>
          <w:rFonts w:eastAsiaTheme="minorEastAsia"/>
          <w:lang w:eastAsia="zh-CN"/>
        </w:rPr>
        <w:t>(CQ-SD-BH-LI M)</w:t>
      </w:r>
    </w:p>
    <w:p w14:paraId="571BD75A">
      <w:pPr>
        <w:keepNext w:val="0"/>
        <w:keepLines w:val="0"/>
        <w:pageBreakBefore w:val="0"/>
        <w:widowControl/>
        <w:kinsoku/>
        <w:wordWrap/>
        <w:overflowPunct/>
        <w:topLinePunct w:val="0"/>
        <w:autoSpaceDE/>
        <w:autoSpaceDN/>
        <w:bidi w:val="0"/>
        <w:adjustRightInd/>
        <w:snapToGrid/>
        <w:ind w:firstLine="720"/>
        <w:jc w:val="both"/>
        <w:textAlignment w:val="auto"/>
        <w:rPr>
          <w:rFonts w:eastAsiaTheme="minorEastAsia"/>
          <w:lang w:eastAsia="zh-CN"/>
        </w:rPr>
      </w:pPr>
      <w:r>
        <w:rPr>
          <w:rFonts w:eastAsiaTheme="minorEastAsia"/>
          <w:lang w:eastAsia="zh-CN"/>
        </w:rPr>
        <w:t>Although some lived in communities with occasional visits from neighbors or volunteers, these were not seen as reliable in emergencies:</w:t>
      </w:r>
    </w:p>
    <w:p w14:paraId="62218E28">
      <w:pPr>
        <w:keepNext w:val="0"/>
        <w:keepLines w:val="0"/>
        <w:pageBreakBefore w:val="0"/>
        <w:widowControl/>
        <w:kinsoku/>
        <w:wordWrap/>
        <w:overflowPunct/>
        <w:topLinePunct w:val="0"/>
        <w:autoSpaceDE/>
        <w:autoSpaceDN/>
        <w:bidi w:val="0"/>
        <w:adjustRightInd/>
        <w:snapToGrid/>
        <w:ind w:left="680" w:leftChars="0"/>
        <w:textAlignment w:val="auto"/>
        <w:rPr>
          <w:rFonts w:hint="eastAsia"/>
          <w:i/>
          <w:iCs/>
          <w:lang w:val="en-US" w:eastAsia="zh-CN"/>
        </w:rPr>
      </w:pPr>
      <w:r>
        <w:rPr>
          <w:rFonts w:hint="eastAsia"/>
          <w:i/>
          <w:iCs/>
          <w:lang w:val="en-US" w:eastAsia="zh-CN"/>
        </w:rPr>
        <w:t>“My neighbors and friends are kind, but they don’t live with me. If something happens, they wouldn’t know—it’s not like they can watch over me all the time.”</w:t>
      </w:r>
    </w:p>
    <w:p w14:paraId="0231D8AD">
      <w:pPr>
        <w:jc w:val="right"/>
        <w:rPr>
          <w:rFonts w:eastAsiaTheme="minorEastAsia"/>
          <w:lang w:eastAsia="zh-CN"/>
        </w:rPr>
      </w:pPr>
      <w:r>
        <w:rPr>
          <w:rFonts w:eastAsiaTheme="minorEastAsia"/>
          <w:lang w:eastAsia="zh-CN"/>
        </w:rPr>
        <w:t>(CQ-SD-BH-OUYANG XH)</w:t>
      </w:r>
    </w:p>
    <w:p w14:paraId="28D3845F">
      <w:pPr>
        <w:ind w:firstLine="720" w:firstLineChars="0"/>
        <w:jc w:val="both"/>
        <w:rPr>
          <w:rFonts w:eastAsiaTheme="minorEastAsia"/>
          <w:lang w:eastAsia="zh-CN"/>
        </w:rPr>
      </w:pPr>
      <w:r>
        <w:rPr>
          <w:rFonts w:eastAsiaTheme="minorEastAsia"/>
          <w:lang w:eastAsia="zh-CN"/>
        </w:rPr>
        <w:t>Anxiety about long-term care arrangements</w:t>
      </w:r>
    </w:p>
    <w:p w14:paraId="42689A1A">
      <w:pPr>
        <w:jc w:val="both"/>
        <w:rPr>
          <w:rFonts w:eastAsiaTheme="minorEastAsia"/>
          <w:lang w:eastAsia="zh-CN"/>
        </w:rPr>
      </w:pPr>
      <w:r>
        <w:rPr>
          <w:rFonts w:eastAsiaTheme="minorEastAsia"/>
          <w:lang w:eastAsia="zh-CN"/>
        </w:rPr>
        <w:t>Beyond immediate risks, many participants shared deep concerns about future scenarios in which they may become severely disabled or cognitively impaired. Without children to rely on, they lacked clear care plans and felt overwhelmed by uncertainty.</w:t>
      </w:r>
    </w:p>
    <w:p w14:paraId="2E0CC9B4">
      <w:pPr>
        <w:keepNext w:val="0"/>
        <w:keepLines w:val="0"/>
        <w:pageBreakBefore w:val="0"/>
        <w:widowControl/>
        <w:kinsoku/>
        <w:wordWrap/>
        <w:overflowPunct/>
        <w:topLinePunct w:val="0"/>
        <w:autoSpaceDE/>
        <w:autoSpaceDN/>
        <w:bidi w:val="0"/>
        <w:adjustRightInd/>
        <w:snapToGrid/>
        <w:ind w:firstLine="720"/>
        <w:jc w:val="both"/>
        <w:textAlignment w:val="auto"/>
        <w:rPr>
          <w:rFonts w:eastAsiaTheme="minorEastAsia"/>
          <w:lang w:eastAsia="zh-CN"/>
        </w:rPr>
      </w:pPr>
      <w:r>
        <w:rPr>
          <w:rFonts w:eastAsiaTheme="minorEastAsia"/>
          <w:lang w:eastAsia="zh-CN"/>
        </w:rPr>
        <w:t>One participant who lived alone while caring for a spouse with Alzheimer’s disease said:</w:t>
      </w:r>
    </w:p>
    <w:p w14:paraId="3BA2D89B">
      <w:pPr>
        <w:keepNext w:val="0"/>
        <w:keepLines w:val="0"/>
        <w:pageBreakBefore w:val="0"/>
        <w:widowControl/>
        <w:kinsoku/>
        <w:wordWrap/>
        <w:overflowPunct/>
        <w:topLinePunct w:val="0"/>
        <w:autoSpaceDE/>
        <w:autoSpaceDN/>
        <w:bidi w:val="0"/>
        <w:adjustRightInd/>
        <w:snapToGrid/>
        <w:ind w:left="680" w:leftChars="0"/>
        <w:textAlignment w:val="auto"/>
        <w:rPr>
          <w:rFonts w:hint="eastAsia"/>
          <w:i/>
          <w:iCs/>
          <w:lang w:val="en-US" w:eastAsia="zh-CN"/>
        </w:rPr>
      </w:pPr>
      <w:r>
        <w:rPr>
          <w:rFonts w:hint="eastAsia"/>
          <w:i/>
          <w:iCs/>
          <w:lang w:val="en-US" w:eastAsia="zh-CN"/>
        </w:rPr>
        <w:t>“I can still manage now. My wife is in the middle stage of Alzheimer’s, and I take care of both of us. If she gets worse, I’ll have to send her to a nursing home. But what if I become immobile one day—what will happen to me?”</w:t>
      </w:r>
    </w:p>
    <w:p w14:paraId="04B8F3A8">
      <w:pPr>
        <w:jc w:val="right"/>
        <w:rPr>
          <w:rFonts w:eastAsiaTheme="minorEastAsia"/>
          <w:lang w:eastAsia="zh-CN"/>
        </w:rPr>
      </w:pPr>
      <w:r>
        <w:rPr>
          <w:rFonts w:eastAsiaTheme="minorEastAsia"/>
          <w:lang w:eastAsia="zh-CN"/>
        </w:rPr>
        <w:t>(CQ-SD-BH-ZHANG Y)</w:t>
      </w:r>
    </w:p>
    <w:p w14:paraId="23508874">
      <w:pPr>
        <w:keepNext w:val="0"/>
        <w:keepLines w:val="0"/>
        <w:pageBreakBefore w:val="0"/>
        <w:widowControl/>
        <w:kinsoku/>
        <w:wordWrap/>
        <w:overflowPunct/>
        <w:topLinePunct w:val="0"/>
        <w:autoSpaceDE/>
        <w:autoSpaceDN/>
        <w:bidi w:val="0"/>
        <w:adjustRightInd/>
        <w:snapToGrid/>
        <w:ind w:firstLine="720"/>
        <w:jc w:val="both"/>
        <w:textAlignment w:val="auto"/>
        <w:rPr>
          <w:rFonts w:eastAsiaTheme="minorEastAsia"/>
          <w:lang w:eastAsia="zh-CN"/>
        </w:rPr>
      </w:pPr>
      <w:r>
        <w:rPr>
          <w:rFonts w:eastAsiaTheme="minorEastAsia"/>
          <w:lang w:eastAsia="zh-CN"/>
        </w:rPr>
        <w:t>The dual burden of immediate care gaps and uncertainty about long-term arrangements constitutes a structural caregiving crisis for frail elderly who have lost their only child. These individuals often live in fear—not only of being left alone during emergencies but also of facing the future without adequate support or security.</w:t>
      </w:r>
    </w:p>
    <w:p w14:paraId="56DE11C0">
      <w:pPr>
        <w:keepNext w:val="0"/>
        <w:keepLines w:val="0"/>
        <w:pageBreakBefore w:val="0"/>
        <w:widowControl/>
        <w:kinsoku/>
        <w:wordWrap/>
        <w:overflowPunct/>
        <w:topLinePunct w:val="0"/>
        <w:autoSpaceDE/>
        <w:autoSpaceDN/>
        <w:bidi w:val="0"/>
        <w:adjustRightInd/>
        <w:snapToGrid/>
        <w:ind w:firstLine="720"/>
        <w:jc w:val="both"/>
        <w:textAlignment w:val="auto"/>
        <w:rPr>
          <w:rFonts w:eastAsiaTheme="minorEastAsia"/>
          <w:lang w:eastAsia="zh-CN"/>
        </w:rPr>
      </w:pPr>
      <w:r>
        <w:rPr>
          <w:rFonts w:eastAsiaTheme="minorEastAsia"/>
          <w:lang w:eastAsia="zh-CN"/>
        </w:rPr>
        <w:t>These five thematic domains do not exist in isolation but are deeply intertwined—economic concerns intensify care anxieties; physical limitations reinforce emotional distress; and social withdrawal further compounds feelings of vulnerability. This interconnectedness reflects the complex realities of aging without filial support in an urban Chinese context</w:t>
      </w:r>
    </w:p>
    <w:p w14:paraId="547199C9">
      <w:pPr>
        <w:jc w:val="both"/>
        <w:rPr>
          <w:rFonts w:hint="eastAsia" w:eastAsiaTheme="minorEastAsia"/>
          <w:lang w:eastAsia="zh-CN"/>
        </w:rPr>
      </w:pPr>
    </w:p>
    <w:p w14:paraId="6E23289F">
      <w:pPr>
        <w:rPr>
          <w:b/>
        </w:rPr>
      </w:pPr>
      <w:r>
        <w:rPr>
          <w:b/>
        </w:rPr>
        <w:t>Discussion</w:t>
      </w:r>
    </w:p>
    <w:p w14:paraId="3B38049F">
      <w:pPr>
        <w:jc w:val="both"/>
        <w:rPr>
          <w:rFonts w:hint="eastAsia" w:eastAsiaTheme="minorEastAsia"/>
          <w:lang w:eastAsia="zh-CN"/>
        </w:rPr>
      </w:pPr>
      <w:r>
        <w:t>This study finds that in urban Chongqing, frail elderly who have lost their only child face multidimensional and deeply interwoven caregiving challenges, primarily in five areas: Economic stability with lingering risks, physical decline and chronic illness, emotional loss and psychological trauma, social withdrawal and shrinking life space, and care deficits and related anxieties.</w:t>
      </w:r>
    </w:p>
    <w:p w14:paraId="3EA9E6F4">
      <w:pPr>
        <w:keepNext w:val="0"/>
        <w:keepLines w:val="0"/>
        <w:pageBreakBefore w:val="0"/>
        <w:widowControl/>
        <w:kinsoku/>
        <w:wordWrap/>
        <w:overflowPunct/>
        <w:topLinePunct w:val="0"/>
        <w:autoSpaceDE/>
        <w:autoSpaceDN/>
        <w:bidi w:val="0"/>
        <w:adjustRightInd/>
        <w:snapToGrid/>
        <w:ind w:firstLine="720"/>
        <w:jc w:val="both"/>
        <w:textAlignment w:val="auto"/>
        <w:rPr>
          <w:rFonts w:eastAsiaTheme="minorEastAsia"/>
          <w:lang w:eastAsia="zh-CN"/>
        </w:rPr>
      </w:pPr>
      <w:r>
        <w:rPr>
          <w:rFonts w:eastAsiaTheme="minorEastAsia"/>
          <w:lang w:eastAsia="zh-CN"/>
        </w:rPr>
        <w:t>These findings are largely consistent with previous research. For instance, Fang (2020), Zheng et al. (2016), and Yuan et al. (2022) have highlighted the significant physical, psychological, and social impairments experienced by elderly who have lost their only child. Bahrevar et al. (2025) and Ning et al. (2022) also emphasize that the loss of a child is one of the most devastating life events in later life, often leading to marked physical and mental decline, as well as chronic psychological trauma. Furthermore, Yin et al. (2018) identify elderly parents who have lost their only child as a high-risk group for mental health issues, requiring long-term emotional regulation and sustained social intervention. Collectively, these studies underscore the broad and detrimental effects of child loss in old age.</w:t>
      </w:r>
    </w:p>
    <w:p w14:paraId="3FAC3BC3">
      <w:pPr>
        <w:keepNext w:val="0"/>
        <w:keepLines w:val="0"/>
        <w:pageBreakBefore w:val="0"/>
        <w:widowControl/>
        <w:kinsoku/>
        <w:wordWrap/>
        <w:overflowPunct/>
        <w:topLinePunct w:val="0"/>
        <w:autoSpaceDE/>
        <w:autoSpaceDN/>
        <w:bidi w:val="0"/>
        <w:adjustRightInd/>
        <w:snapToGrid/>
        <w:ind w:firstLine="720"/>
        <w:jc w:val="both"/>
        <w:textAlignment w:val="auto"/>
        <w:rPr>
          <w:rFonts w:hint="eastAsia" w:eastAsiaTheme="minorEastAsia"/>
          <w:lang w:eastAsia="zh-CN"/>
        </w:rPr>
      </w:pPr>
      <w:r>
        <w:rPr>
          <w:rFonts w:eastAsiaTheme="minorEastAsia"/>
          <w:lang w:eastAsia="zh-CN"/>
        </w:rPr>
        <w:t>However, this study also presents observations that diverge from some existing research. For example, Wang &amp; Hu (2020) suggest that the loss of an only child may exacerbate marital breakdown. In contrast, several cases in this study reveal the opposite trend: spouses developed stronger emotional bonds over time as they faced the grief of child loss together. This finding aligns with the research of Zhang &amp; Jia (2018), who argue that while bereavement leads to emotional trauma, it may also foster mutual reliance among family members, thereby strengthening intimate relationships.</w:t>
      </w:r>
    </w:p>
    <w:p w14:paraId="46A0919C">
      <w:pPr>
        <w:keepNext w:val="0"/>
        <w:keepLines w:val="0"/>
        <w:pageBreakBefore w:val="0"/>
        <w:widowControl/>
        <w:kinsoku/>
        <w:wordWrap/>
        <w:overflowPunct/>
        <w:topLinePunct w:val="0"/>
        <w:autoSpaceDE/>
        <w:autoSpaceDN/>
        <w:bidi w:val="0"/>
        <w:adjustRightInd/>
        <w:snapToGrid/>
        <w:ind w:firstLine="720"/>
        <w:jc w:val="both"/>
        <w:textAlignment w:val="auto"/>
        <w:rPr>
          <w:rFonts w:eastAsiaTheme="minorEastAsia"/>
          <w:lang w:eastAsia="zh-CN"/>
        </w:rPr>
      </w:pPr>
      <w:r>
        <w:rPr>
          <w:rFonts w:eastAsiaTheme="minorEastAsia"/>
          <w:lang w:eastAsia="zh-CN"/>
        </w:rPr>
        <w:t>Such differences may be attributed to regional and sample-specific characteristics. In Chongqing, many of the respondents came from traditional family backgrounds, with long-term marital companionship and high emotional interdependence. These factors may contribute to the emergence of a “mutual support” relational structure in the aftermath of losing an only child.</w:t>
      </w:r>
    </w:p>
    <w:p w14:paraId="6499AE39">
      <w:pPr>
        <w:keepNext w:val="0"/>
        <w:keepLines w:val="0"/>
        <w:pageBreakBefore w:val="0"/>
        <w:widowControl/>
        <w:kinsoku/>
        <w:wordWrap/>
        <w:overflowPunct/>
        <w:topLinePunct w:val="0"/>
        <w:autoSpaceDE/>
        <w:autoSpaceDN/>
        <w:bidi w:val="0"/>
        <w:adjustRightInd/>
        <w:snapToGrid/>
        <w:ind w:firstLine="720"/>
        <w:jc w:val="both"/>
        <w:textAlignment w:val="auto"/>
        <w:rPr>
          <w:rFonts w:eastAsiaTheme="minorEastAsia"/>
          <w:lang w:eastAsia="zh-CN"/>
        </w:rPr>
      </w:pPr>
      <w:r>
        <w:rPr>
          <w:rFonts w:eastAsiaTheme="minorEastAsia"/>
          <w:lang w:eastAsia="zh-CN"/>
        </w:rPr>
        <w:t xml:space="preserve">Despite its contributions, this study is limited by its small, localized sample, which may restrict broader applicability. Future research should consider larger, more diverse populations and adopt longitudinal approaches to capture changes over time.    </w:t>
      </w:r>
    </w:p>
    <w:p w14:paraId="6ACB1A46">
      <w:r>
        <w:t xml:space="preserve">                </w:t>
      </w:r>
      <w:r>
        <w:tab/>
      </w:r>
    </w:p>
    <w:p w14:paraId="0CBBD735">
      <w:pPr>
        <w:rPr>
          <w:b/>
        </w:rPr>
      </w:pPr>
      <w:r>
        <w:rPr>
          <w:b/>
        </w:rPr>
        <w:t>Conclusion</w:t>
      </w:r>
    </w:p>
    <w:p w14:paraId="1B034CB0">
      <w:pPr>
        <w:rPr>
          <w:rFonts w:eastAsiaTheme="minorEastAsia"/>
          <w:lang w:eastAsia="zh-CN"/>
        </w:rPr>
      </w:pPr>
      <w:r>
        <w:t>This study explored the caregiving challenges faced by frail elderly who have lost their only child in urban Chongqing. The findings indicate that physical decline and chronic illness, along with emotional loss and psychological trauma, are the most pressing challenges. These are followed by social withdrawal and care deficits accompanied by anxiety about the future. While most participants reported relatively stable current financial conditions, they still face potential risks related to long-term care affordability. Overall, the study highlights that this group constitutes a vulnerable population with complex care needs, warranting greater attention from both policy and service systems.</w:t>
      </w:r>
    </w:p>
    <w:p w14:paraId="1B845496">
      <w:r>
        <w:t xml:space="preserve">        </w:t>
      </w:r>
      <w:r>
        <w:tab/>
      </w:r>
    </w:p>
    <w:p w14:paraId="2AE72DDE">
      <w:r>
        <w:rPr>
          <w:b/>
          <w:i/>
        </w:rPr>
        <w:t>Acknowledgement:</w:t>
      </w:r>
      <w:r>
        <w:t xml:space="preserve"> </w:t>
      </w:r>
      <w:r>
        <w:rPr>
          <w:rFonts w:hint="eastAsia"/>
        </w:rPr>
        <w:t>We would like to express our sincere gratitude to older adults and key-informants participated to this study, and thanks to everyone who had helped and guided our group in this study</w:t>
      </w:r>
      <w:r>
        <w:t>.</w:t>
      </w:r>
    </w:p>
    <w:p w14:paraId="2CFD3355"/>
    <w:p w14:paraId="01D769DB">
      <w:r>
        <w:rPr>
          <w:b/>
          <w:i/>
        </w:rPr>
        <w:t>Informed Consent Statement:</w:t>
      </w:r>
      <w:r>
        <w:t xml:space="preserve"> </w:t>
      </w:r>
      <w:r>
        <w:rPr>
          <w:rFonts w:hint="eastAsia"/>
        </w:rPr>
        <w:t>Informed consent was obtained from all subjects involved in the study</w:t>
      </w:r>
      <w:r>
        <w:t>.</w:t>
      </w:r>
    </w:p>
    <w:p w14:paraId="40049F9F">
      <w:r>
        <w:t xml:space="preserve"> </w:t>
      </w:r>
    </w:p>
    <w:p w14:paraId="0C6C5EEC">
      <w:r>
        <w:rPr>
          <w:b/>
          <w:i/>
        </w:rPr>
        <w:t>Conflicts of Interest:</w:t>
      </w:r>
      <w:r>
        <w:t xml:space="preserve"> The authors declare no conflict of interest.</w:t>
      </w:r>
    </w:p>
    <w:p w14:paraId="34824B24">
      <w:r>
        <w:t xml:space="preserve"> </w:t>
      </w:r>
    </w:p>
    <w:p w14:paraId="230B88B0">
      <w:pPr>
        <w:rPr>
          <w:rFonts w:hint="eastAsia" w:eastAsiaTheme="minorEastAsia"/>
          <w:b/>
          <w:lang w:eastAsia="zh-CN"/>
        </w:rPr>
      </w:pPr>
      <w:r>
        <w:rPr>
          <w:b/>
        </w:rPr>
        <w:t>References</w:t>
      </w:r>
    </w:p>
    <w:p w14:paraId="489B3D02">
      <w:pPr>
        <w:pStyle w:val="16"/>
        <w:keepNext w:val="0"/>
        <w:keepLines w:val="0"/>
        <w:pageBreakBefore w:val="0"/>
        <w:widowControl/>
        <w:kinsoku/>
        <w:wordWrap/>
        <w:overflowPunct/>
        <w:topLinePunct w:val="0"/>
        <w:autoSpaceDE/>
        <w:autoSpaceDN/>
        <w:bidi w:val="0"/>
        <w:adjustRightInd/>
        <w:snapToGrid/>
        <w:ind w:left="567" w:hanging="567" w:firstLineChars="0"/>
        <w:jc w:val="both"/>
        <w:textAlignment w:val="auto"/>
        <w:rPr>
          <w:lang w:bidi="ar"/>
        </w:rPr>
      </w:pPr>
      <w:bookmarkStart w:id="3" w:name="_Hlk205381720"/>
      <w:r>
        <w:rPr>
          <w:rFonts w:eastAsiaTheme="minorEastAsia"/>
          <w:lang w:val="en-US" w:eastAsia="zh-CN" w:bidi="ar"/>
        </w:rPr>
        <w:t xml:space="preserve">Alavi, K., Sail, R. M., Idris, K., Samah, A. A., &amp; Omar, M. (2011). Living arrangement preference and family relationship expectation of elderly parents. </w:t>
      </w:r>
      <w:r>
        <w:rPr>
          <w:rFonts w:eastAsiaTheme="minorEastAsia"/>
          <w:i/>
          <w:iCs/>
          <w:lang w:val="en-US" w:eastAsia="zh-CN" w:bidi="ar"/>
        </w:rPr>
        <w:t>Pertanika Journal of Social Science and Humanities, 19</w:t>
      </w:r>
      <w:r>
        <w:rPr>
          <w:rFonts w:eastAsiaTheme="minorEastAsia"/>
          <w:lang w:val="en-US" w:eastAsia="zh-CN" w:bidi="ar"/>
        </w:rPr>
        <w:t>(Special Issue), 65–73.</w:t>
      </w:r>
    </w:p>
    <w:p w14:paraId="06805869">
      <w:pPr>
        <w:pStyle w:val="16"/>
        <w:keepNext w:val="0"/>
        <w:keepLines w:val="0"/>
        <w:pageBreakBefore w:val="0"/>
        <w:widowControl/>
        <w:kinsoku/>
        <w:wordWrap/>
        <w:overflowPunct/>
        <w:topLinePunct w:val="0"/>
        <w:autoSpaceDE/>
        <w:autoSpaceDN/>
        <w:bidi w:val="0"/>
        <w:adjustRightInd/>
        <w:snapToGrid/>
        <w:ind w:left="567" w:hanging="567" w:firstLineChars="0"/>
        <w:jc w:val="both"/>
        <w:textAlignment w:val="auto"/>
      </w:pPr>
      <w:r>
        <w:rPr>
          <w:lang w:val="en-US" w:eastAsia="zh-CN"/>
        </w:rPr>
        <w:t xml:space="preserve">Bahrevar, V., Khankeh, H., Morowatisharifabad, M. A., Foroughan, M., &amp; Rashedi, V. (2025). The grief of older parents over the loss of a child: A scoping review. </w:t>
      </w:r>
      <w:r>
        <w:rPr>
          <w:i/>
          <w:iCs/>
          <w:lang w:val="en-US" w:eastAsia="zh-CN"/>
        </w:rPr>
        <w:t>OMEGA–Journal of Death and Dying</w:t>
      </w:r>
      <w:r>
        <w:rPr>
          <w:lang w:val="en-US" w:eastAsia="zh-CN"/>
        </w:rPr>
        <w:t xml:space="preserve">. Advance online publication. </w:t>
      </w:r>
      <w:r>
        <w:fldChar w:fldCharType="begin"/>
      </w:r>
      <w:r>
        <w:instrText xml:space="preserve"> HYPERLINK "https://doi.org/10.1177/00302228251313828" </w:instrText>
      </w:r>
      <w:r>
        <w:fldChar w:fldCharType="separate"/>
      </w:r>
      <w:r>
        <w:rPr>
          <w:rStyle w:val="25"/>
          <w:lang w:val="en-US" w:eastAsia="zh-CN"/>
        </w:rPr>
        <w:t>https://doi.org/10.1177/00302228251313828</w:t>
      </w:r>
      <w:r>
        <w:rPr>
          <w:rStyle w:val="25"/>
          <w:lang w:val="en-US" w:eastAsia="zh-CN"/>
        </w:rPr>
        <w:fldChar w:fldCharType="end"/>
      </w:r>
    </w:p>
    <w:p w14:paraId="04CC7017">
      <w:pPr>
        <w:pStyle w:val="16"/>
        <w:keepNext w:val="0"/>
        <w:keepLines w:val="0"/>
        <w:pageBreakBefore w:val="0"/>
        <w:widowControl/>
        <w:kinsoku/>
        <w:wordWrap/>
        <w:overflowPunct/>
        <w:topLinePunct w:val="0"/>
        <w:autoSpaceDE/>
        <w:autoSpaceDN/>
        <w:bidi w:val="0"/>
        <w:adjustRightInd/>
        <w:snapToGrid/>
        <w:ind w:left="567" w:hanging="567" w:firstLineChars="0"/>
        <w:jc w:val="both"/>
        <w:textAlignment w:val="auto"/>
      </w:pPr>
      <w:r>
        <w:t xml:space="preserve">Basten, S., &amp; Jiang, Q. (2014). China’s family planning policies: recent reforms and future prospects. </w:t>
      </w:r>
      <w:r>
        <w:rPr>
          <w:i/>
          <w:iCs/>
        </w:rPr>
        <w:t>Studies in Family Planning</w:t>
      </w:r>
      <w:r>
        <w:t xml:space="preserve">, </w:t>
      </w:r>
      <w:r>
        <w:rPr>
          <w:i/>
          <w:iCs/>
        </w:rPr>
        <w:t>45</w:t>
      </w:r>
      <w:r>
        <w:t>(4), 493–509. https://doi.org/10.1111/j.1728-4465.2014.00003.x</w:t>
      </w:r>
    </w:p>
    <w:p w14:paraId="31F4E1D2">
      <w:pPr>
        <w:pStyle w:val="16"/>
        <w:keepNext w:val="0"/>
        <w:keepLines w:val="0"/>
        <w:pageBreakBefore w:val="0"/>
        <w:widowControl/>
        <w:kinsoku/>
        <w:wordWrap/>
        <w:overflowPunct/>
        <w:topLinePunct w:val="0"/>
        <w:autoSpaceDE/>
        <w:autoSpaceDN/>
        <w:bidi w:val="0"/>
        <w:adjustRightInd/>
        <w:snapToGrid/>
        <w:ind w:left="567" w:hanging="567" w:firstLineChars="0"/>
        <w:jc w:val="both"/>
        <w:textAlignment w:val="auto"/>
      </w:pPr>
      <w:r>
        <w:t xml:space="preserve">Blair, S. L., Madigan, T. J., &amp; Fang, F. (2022). The One-Child policy and demographic transitions. In </w:t>
      </w:r>
      <w:r>
        <w:rPr>
          <w:i/>
          <w:iCs/>
        </w:rPr>
        <w:t>Emerald Publishing Limited eBooks</w:t>
      </w:r>
      <w:r>
        <w:t xml:space="preserve"> (pp. 41–60). https://doi.org/10.1108/978-1-78769-331-920221003</w:t>
      </w:r>
    </w:p>
    <w:p w14:paraId="1A88095C">
      <w:pPr>
        <w:pStyle w:val="16"/>
        <w:keepNext w:val="0"/>
        <w:keepLines w:val="0"/>
        <w:pageBreakBefore w:val="0"/>
        <w:widowControl/>
        <w:kinsoku/>
        <w:wordWrap/>
        <w:overflowPunct/>
        <w:topLinePunct w:val="0"/>
        <w:autoSpaceDE/>
        <w:autoSpaceDN/>
        <w:bidi w:val="0"/>
        <w:adjustRightInd/>
        <w:snapToGrid/>
        <w:ind w:left="567" w:hanging="567" w:firstLineChars="0"/>
        <w:jc w:val="both"/>
        <w:textAlignment w:val="auto"/>
      </w:pPr>
      <w:r>
        <w:rPr>
          <w:lang w:val="en-US" w:eastAsia="zh-CN"/>
        </w:rPr>
        <w:t xml:space="preserve">Braun, V., &amp; Clarke, V. (2006). Using thematic analysis in psychology. </w:t>
      </w:r>
      <w:r>
        <w:rPr>
          <w:i/>
          <w:iCs/>
          <w:lang w:val="en-US" w:eastAsia="zh-CN"/>
        </w:rPr>
        <w:t>Qualitative Research in Psychology, 3</w:t>
      </w:r>
      <w:r>
        <w:rPr>
          <w:lang w:val="en-US" w:eastAsia="zh-CN"/>
        </w:rPr>
        <w:t xml:space="preserve">(2), 77–101. </w:t>
      </w:r>
      <w:r>
        <w:fldChar w:fldCharType="begin"/>
      </w:r>
      <w:r>
        <w:instrText xml:space="preserve"> HYPERLINK "https://doi.org/10.1191/1478088706qp063oa" </w:instrText>
      </w:r>
      <w:r>
        <w:fldChar w:fldCharType="separate"/>
      </w:r>
      <w:r>
        <w:rPr>
          <w:rStyle w:val="28"/>
          <w:lang w:val="en-US" w:eastAsia="zh-CN"/>
        </w:rPr>
        <w:t>https://doi.org/10.1191/1478088706qp063oa</w:t>
      </w:r>
      <w:r>
        <w:rPr>
          <w:rStyle w:val="28"/>
          <w:lang w:val="en-US" w:eastAsia="zh-CN"/>
        </w:rPr>
        <w:fldChar w:fldCharType="end"/>
      </w:r>
    </w:p>
    <w:p w14:paraId="6FDBE09E">
      <w:pPr>
        <w:pStyle w:val="16"/>
        <w:keepNext w:val="0"/>
        <w:keepLines w:val="0"/>
        <w:pageBreakBefore w:val="0"/>
        <w:widowControl/>
        <w:kinsoku/>
        <w:wordWrap/>
        <w:overflowPunct/>
        <w:topLinePunct w:val="0"/>
        <w:autoSpaceDE/>
        <w:autoSpaceDN/>
        <w:bidi w:val="0"/>
        <w:adjustRightInd/>
        <w:snapToGrid/>
        <w:ind w:left="567" w:hanging="567" w:firstLineChars="0"/>
        <w:jc w:val="both"/>
        <w:textAlignment w:val="auto"/>
      </w:pPr>
      <w:r>
        <w:rPr>
          <w:lang w:val="en-US" w:eastAsia="zh-CN"/>
        </w:rPr>
        <w:t>Braun, V., &amp; Clarke, V. (2013).</w:t>
      </w:r>
      <w:r>
        <w:rPr>
          <w:i/>
          <w:iCs/>
          <w:lang w:val="en-US" w:eastAsia="zh-CN"/>
        </w:rPr>
        <w:t xml:space="preserve"> Successful qualitative research: A practical guide for beginners</w:t>
      </w:r>
      <w:r>
        <w:rPr>
          <w:lang w:val="en-US" w:eastAsia="zh-CN"/>
        </w:rPr>
        <w:t>. SAGE Publications.</w:t>
      </w:r>
    </w:p>
    <w:p w14:paraId="6144F134">
      <w:pPr>
        <w:pStyle w:val="16"/>
        <w:keepNext w:val="0"/>
        <w:keepLines w:val="0"/>
        <w:pageBreakBefore w:val="0"/>
        <w:widowControl/>
        <w:kinsoku/>
        <w:wordWrap/>
        <w:overflowPunct/>
        <w:topLinePunct w:val="0"/>
        <w:autoSpaceDE/>
        <w:autoSpaceDN/>
        <w:bidi w:val="0"/>
        <w:adjustRightInd/>
        <w:snapToGrid/>
        <w:ind w:left="567" w:hanging="567" w:firstLineChars="0"/>
        <w:jc w:val="both"/>
        <w:textAlignment w:val="auto"/>
      </w:pPr>
      <w:r>
        <w:rPr>
          <w:lang w:val="en-US" w:eastAsia="zh-CN"/>
        </w:rPr>
        <w:t xml:space="preserve">Fang, C. (2022). Dynamics of Chinese Shidu parents’ vulnerability in old age: A qualitative study. </w:t>
      </w:r>
      <w:r>
        <w:rPr>
          <w:i/>
          <w:iCs/>
          <w:lang w:val="en-US" w:eastAsia="zh-CN"/>
        </w:rPr>
        <w:t>Journal of Population Ageing, 15</w:t>
      </w:r>
      <w:r>
        <w:rPr>
          <w:lang w:val="en-US" w:eastAsia="zh-CN"/>
        </w:rPr>
        <w:t xml:space="preserve">(1), 99–119. </w:t>
      </w:r>
      <w:r>
        <w:fldChar w:fldCharType="begin"/>
      </w:r>
      <w:r>
        <w:instrText xml:space="preserve"> HYPERLINK "https://doi.org/10.1007/s12062-021-09343-w" </w:instrText>
      </w:r>
      <w:r>
        <w:fldChar w:fldCharType="separate"/>
      </w:r>
      <w:r>
        <w:rPr>
          <w:rStyle w:val="28"/>
          <w:lang w:val="en-US" w:eastAsia="zh-CN"/>
        </w:rPr>
        <w:t>https://doi.org/10.1007/s12062-021-09343-w</w:t>
      </w:r>
      <w:r>
        <w:rPr>
          <w:rStyle w:val="28"/>
          <w:lang w:val="en-US" w:eastAsia="zh-CN"/>
        </w:rPr>
        <w:fldChar w:fldCharType="end"/>
      </w:r>
    </w:p>
    <w:p w14:paraId="2CE62FA2">
      <w:pPr>
        <w:pStyle w:val="16"/>
        <w:keepNext w:val="0"/>
        <w:keepLines w:val="0"/>
        <w:pageBreakBefore w:val="0"/>
        <w:widowControl/>
        <w:kinsoku/>
        <w:wordWrap/>
        <w:overflowPunct/>
        <w:topLinePunct w:val="0"/>
        <w:autoSpaceDE/>
        <w:autoSpaceDN/>
        <w:bidi w:val="0"/>
        <w:adjustRightInd/>
        <w:snapToGrid/>
        <w:ind w:left="567" w:hanging="567" w:firstLineChars="0"/>
        <w:jc w:val="both"/>
        <w:textAlignment w:val="auto"/>
      </w:pPr>
      <w:r>
        <w:rPr>
          <w:lang w:val="en-US" w:eastAsia="zh-CN"/>
        </w:rPr>
        <w:t xml:space="preserve">Fried, L. P., Tangen, C. M., Walston, J., Newman, A. B., Hirsch, C., Gottdiener, J., Seeman, T., Tracy, R., Kop, W. J., Burke, G., &amp; McBurnie, M. A. (2001). Frailty in older adults: Evidence for a phenotype. </w:t>
      </w:r>
      <w:r>
        <w:rPr>
          <w:i/>
          <w:iCs/>
          <w:lang w:val="en-US" w:eastAsia="zh-CN"/>
        </w:rPr>
        <w:t>The Journals of Gerontology Series A: Biological Sciences and Medical Sciences</w:t>
      </w:r>
      <w:r>
        <w:rPr>
          <w:lang w:val="en-US" w:eastAsia="zh-CN"/>
        </w:rPr>
        <w:t xml:space="preserve">, </w:t>
      </w:r>
      <w:r>
        <w:rPr>
          <w:i/>
          <w:iCs/>
          <w:lang w:val="en-US" w:eastAsia="zh-CN"/>
        </w:rPr>
        <w:t>56</w:t>
      </w:r>
      <w:r>
        <w:rPr>
          <w:lang w:val="en-US" w:eastAsia="zh-CN"/>
        </w:rPr>
        <w:t xml:space="preserve">(3), M146–M157. </w:t>
      </w:r>
      <w:r>
        <w:fldChar w:fldCharType="begin"/>
      </w:r>
      <w:r>
        <w:instrText xml:space="preserve"> HYPERLINK "https://doi.org/10.1093/gerona/56.3.m146" </w:instrText>
      </w:r>
      <w:r>
        <w:fldChar w:fldCharType="separate"/>
      </w:r>
      <w:r>
        <w:rPr>
          <w:rStyle w:val="28"/>
          <w:lang w:val="en-US" w:eastAsia="zh-CN"/>
        </w:rPr>
        <w:t>https://doi.org/10.1093/gerona/56.3.m146</w:t>
      </w:r>
      <w:r>
        <w:rPr>
          <w:rStyle w:val="28"/>
          <w:lang w:val="en-US" w:eastAsia="zh-CN"/>
        </w:rPr>
        <w:fldChar w:fldCharType="end"/>
      </w:r>
    </w:p>
    <w:p w14:paraId="15BE283B">
      <w:pPr>
        <w:pStyle w:val="16"/>
        <w:keepNext w:val="0"/>
        <w:keepLines w:val="0"/>
        <w:pageBreakBefore w:val="0"/>
        <w:widowControl/>
        <w:kinsoku/>
        <w:wordWrap/>
        <w:overflowPunct/>
        <w:topLinePunct w:val="0"/>
        <w:autoSpaceDE/>
        <w:autoSpaceDN/>
        <w:bidi w:val="0"/>
        <w:adjustRightInd/>
        <w:snapToGrid/>
        <w:ind w:left="567" w:hanging="567" w:firstLineChars="0"/>
        <w:jc w:val="both"/>
        <w:textAlignment w:val="auto"/>
      </w:pPr>
      <w:r>
        <w:t xml:space="preserve">Greenhalgh, S., &amp; Bongaarts, J. (1987). Fertility policy in China: Future options. Science, 235(4793), 1167–1172. </w:t>
      </w:r>
      <w:r>
        <w:fldChar w:fldCharType="begin"/>
      </w:r>
      <w:r>
        <w:instrText xml:space="preserve"> HYPERLINK "https://doi.org/10.1126/science.3823877" </w:instrText>
      </w:r>
      <w:r>
        <w:fldChar w:fldCharType="separate"/>
      </w:r>
      <w:r>
        <w:rPr>
          <w:rStyle w:val="28"/>
        </w:rPr>
        <w:t>https://doi.org/10.1126/science.3823877</w:t>
      </w:r>
      <w:r>
        <w:rPr>
          <w:rStyle w:val="28"/>
        </w:rPr>
        <w:fldChar w:fldCharType="end"/>
      </w:r>
    </w:p>
    <w:p w14:paraId="3B1A12C3">
      <w:pPr>
        <w:pStyle w:val="16"/>
        <w:keepNext w:val="0"/>
        <w:keepLines w:val="0"/>
        <w:pageBreakBefore w:val="0"/>
        <w:widowControl/>
        <w:kinsoku/>
        <w:wordWrap/>
        <w:overflowPunct/>
        <w:topLinePunct w:val="0"/>
        <w:autoSpaceDE/>
        <w:autoSpaceDN/>
        <w:bidi w:val="0"/>
        <w:adjustRightInd/>
        <w:snapToGrid/>
        <w:ind w:left="567" w:hanging="567" w:firstLineChars="0"/>
        <w:jc w:val="both"/>
        <w:textAlignment w:val="auto"/>
      </w:pPr>
      <w:r>
        <w:t xml:space="preserve">Jiang, Q., Jiang, Q., Li, S., Jiang, Q., Li, S., &amp; Feldman, M. W. (2013). China’s population policy at the crossroads: social impacts and prospects. </w:t>
      </w:r>
      <w:r>
        <w:rPr>
          <w:i/>
          <w:iCs/>
        </w:rPr>
        <w:t>Asian Journal of Social Science</w:t>
      </w:r>
      <w:r>
        <w:t xml:space="preserve">, </w:t>
      </w:r>
      <w:r>
        <w:rPr>
          <w:i/>
          <w:iCs/>
        </w:rPr>
        <w:t>41</w:t>
      </w:r>
      <w:r>
        <w:t>(2), 193–218. https://doi.org/10.1163/15685314-12341298</w:t>
      </w:r>
    </w:p>
    <w:p w14:paraId="724E8693">
      <w:pPr>
        <w:pStyle w:val="16"/>
        <w:keepNext w:val="0"/>
        <w:keepLines w:val="0"/>
        <w:pageBreakBefore w:val="0"/>
        <w:widowControl/>
        <w:kinsoku/>
        <w:wordWrap/>
        <w:overflowPunct/>
        <w:topLinePunct w:val="0"/>
        <w:autoSpaceDE/>
        <w:autoSpaceDN/>
        <w:bidi w:val="0"/>
        <w:adjustRightInd/>
        <w:snapToGrid/>
        <w:ind w:left="567" w:hanging="567" w:firstLineChars="0"/>
        <w:jc w:val="both"/>
        <w:textAlignment w:val="auto"/>
      </w:pPr>
      <w:r>
        <w:t xml:space="preserve">Jiang, Q., Jiang, Q., Li, S., Jiang, Q., Li, S., &amp; Feldman, M. W. (2013b). China’s population policy at the crossroads: social impacts and prospects. </w:t>
      </w:r>
      <w:r>
        <w:rPr>
          <w:i/>
          <w:iCs/>
        </w:rPr>
        <w:t>Asian Journal of Social Science</w:t>
      </w:r>
      <w:r>
        <w:t xml:space="preserve">, </w:t>
      </w:r>
      <w:r>
        <w:rPr>
          <w:i/>
          <w:iCs/>
        </w:rPr>
        <w:t>41</w:t>
      </w:r>
      <w:r>
        <w:t>(2), 193–218. https://doi.org/10.1163/15685314-12341298</w:t>
      </w:r>
    </w:p>
    <w:p w14:paraId="498D9709">
      <w:pPr>
        <w:pStyle w:val="16"/>
        <w:keepNext w:val="0"/>
        <w:keepLines w:val="0"/>
        <w:pageBreakBefore w:val="0"/>
        <w:widowControl/>
        <w:kinsoku/>
        <w:wordWrap/>
        <w:overflowPunct/>
        <w:topLinePunct w:val="0"/>
        <w:autoSpaceDE/>
        <w:autoSpaceDN/>
        <w:bidi w:val="0"/>
        <w:adjustRightInd/>
        <w:snapToGrid/>
        <w:ind w:left="567" w:hanging="567" w:firstLineChars="0"/>
        <w:jc w:val="both"/>
        <w:textAlignment w:val="auto"/>
      </w:pPr>
      <w:r>
        <w:t xml:space="preserve">Jiao, M., &amp; Pei, J. (2019, November). Study on the ways of providing for the elderly people who lost their only child in Hexi District of Tianjin City. </w:t>
      </w:r>
      <w:r>
        <w:rPr>
          <w:i/>
          <w:iCs/>
        </w:rPr>
        <w:t>In Proceedings of the 2nd International Conference on Humanities Education and Social Sciences (ICHESS 2019)</w:t>
      </w:r>
      <w:r>
        <w:t xml:space="preserve"> (pp. 576–581). Atlantis Press. </w:t>
      </w:r>
      <w:r>
        <w:fldChar w:fldCharType="begin"/>
      </w:r>
      <w:r>
        <w:instrText xml:space="preserve"> HYPERLINK "https://doi.org/10.2991/ichess-19.2019.121" </w:instrText>
      </w:r>
      <w:r>
        <w:fldChar w:fldCharType="separate"/>
      </w:r>
      <w:r>
        <w:rPr>
          <w:rStyle w:val="28"/>
        </w:rPr>
        <w:t>https://doi.org/10.2991/ichess-19.2019.121</w:t>
      </w:r>
      <w:r>
        <w:rPr>
          <w:rStyle w:val="28"/>
        </w:rPr>
        <w:fldChar w:fldCharType="end"/>
      </w:r>
    </w:p>
    <w:p w14:paraId="57E801D2">
      <w:pPr>
        <w:pStyle w:val="16"/>
        <w:keepNext w:val="0"/>
        <w:keepLines w:val="0"/>
        <w:pageBreakBefore w:val="0"/>
        <w:widowControl/>
        <w:kinsoku/>
        <w:wordWrap/>
        <w:overflowPunct/>
        <w:topLinePunct w:val="0"/>
        <w:autoSpaceDE/>
        <w:autoSpaceDN/>
        <w:bidi w:val="0"/>
        <w:adjustRightInd/>
        <w:snapToGrid/>
        <w:ind w:left="567" w:hanging="567" w:firstLineChars="0"/>
        <w:jc w:val="both"/>
        <w:textAlignment w:val="auto"/>
        <w:rPr>
          <w:lang w:bidi="ar"/>
        </w:rPr>
      </w:pPr>
      <w:r>
        <w:rPr>
          <w:rFonts w:eastAsiaTheme="minorEastAsia"/>
          <w:lang w:val="en-US" w:eastAsia="zh-CN" w:bidi="ar"/>
        </w:rPr>
        <w:t>Lekan, D. A., Collins, S. K., &amp; Hayajneh, A. A. (2021). Definitions of frailty in qualitative research: a qualitative systematic review.</w:t>
      </w:r>
      <w:r>
        <w:rPr>
          <w:rFonts w:hint="eastAsia"/>
          <w:lang w:val="en-US" w:eastAsia="zh-CN" w:bidi="ar"/>
        </w:rPr>
        <w:t xml:space="preserve"> </w:t>
      </w:r>
      <w:r>
        <w:rPr>
          <w:rFonts w:eastAsiaTheme="minorEastAsia"/>
          <w:i/>
          <w:iCs/>
          <w:lang w:val="en-US" w:eastAsia="zh-CN" w:bidi="ar"/>
        </w:rPr>
        <w:t>Journal of aging research,</w:t>
      </w:r>
      <w:r>
        <w:rPr>
          <w:rFonts w:hint="eastAsia"/>
          <w:i/>
          <w:iCs/>
          <w:lang w:val="en-US" w:eastAsia="zh-CN" w:bidi="ar"/>
        </w:rPr>
        <w:t xml:space="preserve"> </w:t>
      </w:r>
      <w:r>
        <w:rPr>
          <w:rFonts w:eastAsiaTheme="minorEastAsia"/>
          <w:i/>
          <w:iCs/>
          <w:lang w:val="en-US" w:eastAsia="zh-CN" w:bidi="ar"/>
        </w:rPr>
        <w:t>2021</w:t>
      </w:r>
      <w:r>
        <w:rPr>
          <w:rFonts w:eastAsiaTheme="minorEastAsia"/>
          <w:lang w:val="en-US" w:eastAsia="zh-CN" w:bidi="ar"/>
        </w:rPr>
        <w:t>(1), 6285058.</w:t>
      </w:r>
      <w:r>
        <w:fldChar w:fldCharType="begin"/>
      </w:r>
      <w:r>
        <w:instrText xml:space="preserve"> HYPERLINK "https://doi.org/10.1155/2021/6285058" </w:instrText>
      </w:r>
      <w:r>
        <w:fldChar w:fldCharType="separate"/>
      </w:r>
      <w:r>
        <w:rPr>
          <w:rFonts w:eastAsiaTheme="minorEastAsia"/>
          <w:lang w:val="en-US" w:eastAsia="zh-CN" w:bidi="ar"/>
        </w:rPr>
        <w:t>https://doi.org/10.1155/2021/6285058</w:t>
      </w:r>
      <w:r>
        <w:rPr>
          <w:rFonts w:eastAsiaTheme="minorEastAsia"/>
          <w:lang w:val="en-US" w:eastAsia="zh-CN" w:bidi="ar"/>
        </w:rPr>
        <w:fldChar w:fldCharType="end"/>
      </w:r>
    </w:p>
    <w:p w14:paraId="7A9AAF0D">
      <w:pPr>
        <w:pStyle w:val="16"/>
        <w:keepNext w:val="0"/>
        <w:keepLines w:val="0"/>
        <w:pageBreakBefore w:val="0"/>
        <w:widowControl/>
        <w:kinsoku/>
        <w:wordWrap/>
        <w:overflowPunct/>
        <w:topLinePunct w:val="0"/>
        <w:autoSpaceDE/>
        <w:autoSpaceDN/>
        <w:bidi w:val="0"/>
        <w:adjustRightInd/>
        <w:snapToGrid/>
        <w:ind w:left="567" w:hanging="567" w:firstLineChars="0"/>
        <w:jc w:val="both"/>
        <w:textAlignment w:val="auto"/>
        <w:rPr>
          <w:lang w:bidi="ar"/>
        </w:rPr>
      </w:pPr>
      <w:r>
        <w:rPr>
          <w:rFonts w:eastAsiaTheme="minorEastAsia"/>
          <w:lang w:val="en-US" w:eastAsia="zh-CN" w:bidi="ar"/>
        </w:rPr>
        <w:t xml:space="preserve">Li, J., Alavi, K., &amp; Shaari, A. A. H. (2025). Primary and secondary stressors affecting family caregiver burden for disabled older adults: A systematic review. </w:t>
      </w:r>
      <w:r>
        <w:rPr>
          <w:rFonts w:eastAsiaTheme="minorEastAsia"/>
          <w:i/>
          <w:iCs/>
          <w:lang w:val="en-US" w:eastAsia="zh-CN" w:bidi="ar"/>
        </w:rPr>
        <w:t>Health &amp; Social Care in the Community</w:t>
      </w:r>
      <w:r>
        <w:rPr>
          <w:rFonts w:eastAsiaTheme="minorEastAsia"/>
          <w:lang w:val="en-US" w:eastAsia="zh-CN" w:bidi="ar"/>
        </w:rPr>
        <w:t xml:space="preserve">. </w:t>
      </w:r>
      <w:r>
        <w:fldChar w:fldCharType="begin"/>
      </w:r>
      <w:r>
        <w:instrText xml:space="preserve"> HYPERLINK "https://doi.org/10.1155/hsc/5109659" \t "_new" </w:instrText>
      </w:r>
      <w:r>
        <w:fldChar w:fldCharType="separate"/>
      </w:r>
      <w:r>
        <w:rPr>
          <w:rFonts w:eastAsiaTheme="minorEastAsia"/>
          <w:lang w:val="en-US" w:eastAsia="zh-CN" w:bidi="ar"/>
        </w:rPr>
        <w:t>https://doi.org/10.1155/hsc/5109659</w:t>
      </w:r>
      <w:r>
        <w:rPr>
          <w:rFonts w:eastAsiaTheme="minorEastAsia"/>
          <w:lang w:val="en-US" w:eastAsia="zh-CN" w:bidi="ar"/>
        </w:rPr>
        <w:fldChar w:fldCharType="end"/>
      </w:r>
    </w:p>
    <w:p w14:paraId="1B3A76CB">
      <w:pPr>
        <w:pStyle w:val="16"/>
        <w:keepNext w:val="0"/>
        <w:keepLines w:val="0"/>
        <w:pageBreakBefore w:val="0"/>
        <w:widowControl/>
        <w:kinsoku/>
        <w:wordWrap/>
        <w:overflowPunct/>
        <w:topLinePunct w:val="0"/>
        <w:autoSpaceDE/>
        <w:autoSpaceDN/>
        <w:bidi w:val="0"/>
        <w:adjustRightInd/>
        <w:snapToGrid/>
        <w:ind w:left="567" w:hanging="567" w:firstLineChars="0"/>
        <w:jc w:val="both"/>
        <w:textAlignment w:val="auto"/>
      </w:pPr>
      <w:r>
        <w:t xml:space="preserve">Li, Y. (2013). A perspective on health care for the elderly who lose their only child in China. </w:t>
      </w:r>
      <w:r>
        <w:rPr>
          <w:i/>
          <w:iCs/>
        </w:rPr>
        <w:t>Scandinavian Journal of Public Health</w:t>
      </w:r>
      <w:r>
        <w:t xml:space="preserve">, </w:t>
      </w:r>
      <w:r>
        <w:rPr>
          <w:i/>
          <w:iCs/>
        </w:rPr>
        <w:t>41</w:t>
      </w:r>
      <w:r>
        <w:t xml:space="preserve">(6), 550–552. </w:t>
      </w:r>
      <w:r>
        <w:fldChar w:fldCharType="begin"/>
      </w:r>
      <w:r>
        <w:instrText xml:space="preserve"> HYPERLINK "https://doi.org/10.1177/1403494813490252" \t "_new" </w:instrText>
      </w:r>
      <w:r>
        <w:fldChar w:fldCharType="separate"/>
      </w:r>
      <w:r>
        <w:t>https://doi.org/10.1177/1403494813490252</w:t>
      </w:r>
      <w:r>
        <w:fldChar w:fldCharType="end"/>
      </w:r>
    </w:p>
    <w:p w14:paraId="2CEC00F8">
      <w:pPr>
        <w:pStyle w:val="16"/>
        <w:keepNext w:val="0"/>
        <w:keepLines w:val="0"/>
        <w:pageBreakBefore w:val="0"/>
        <w:widowControl/>
        <w:kinsoku/>
        <w:wordWrap/>
        <w:overflowPunct/>
        <w:topLinePunct w:val="0"/>
        <w:autoSpaceDE/>
        <w:autoSpaceDN/>
        <w:bidi w:val="0"/>
        <w:adjustRightInd/>
        <w:snapToGrid/>
        <w:ind w:left="567" w:hanging="567" w:firstLineChars="0"/>
        <w:jc w:val="both"/>
        <w:textAlignment w:val="auto"/>
      </w:pPr>
      <w:r>
        <w:t xml:space="preserve">Liang, Y., Liang, H., Wang, J., Xu, H., &amp; Wu, B. (2018). End-of-life care preference: Examination of Chinese adults with children and those who lost their only child. </w:t>
      </w:r>
      <w:r>
        <w:rPr>
          <w:i/>
          <w:iCs/>
        </w:rPr>
        <w:t>Journal of Palliative Medicine, 21</w:t>
      </w:r>
      <w:r>
        <w:t xml:space="preserve">(11), 1596–1603. </w:t>
      </w:r>
      <w:r>
        <w:fldChar w:fldCharType="begin"/>
      </w:r>
      <w:r>
        <w:instrText xml:space="preserve"> HYPERLINK "https://doi.org/10.1089/jpm.2018.0043" \t "_new" </w:instrText>
      </w:r>
      <w:r>
        <w:fldChar w:fldCharType="separate"/>
      </w:r>
      <w:r>
        <w:t>https://doi.org/10.1089/jpm.2018.0043</w:t>
      </w:r>
      <w:r>
        <w:fldChar w:fldCharType="end"/>
      </w:r>
    </w:p>
    <w:p w14:paraId="74EDFEE9">
      <w:pPr>
        <w:pStyle w:val="16"/>
        <w:keepNext w:val="0"/>
        <w:keepLines w:val="0"/>
        <w:pageBreakBefore w:val="0"/>
        <w:widowControl/>
        <w:kinsoku/>
        <w:wordWrap/>
        <w:overflowPunct/>
        <w:topLinePunct w:val="0"/>
        <w:autoSpaceDE/>
        <w:autoSpaceDN/>
        <w:bidi w:val="0"/>
        <w:adjustRightInd/>
        <w:snapToGrid/>
        <w:ind w:left="567" w:hanging="567" w:firstLineChars="0"/>
        <w:jc w:val="both"/>
        <w:textAlignment w:val="auto"/>
      </w:pPr>
      <w:r>
        <w:t xml:space="preserve">Ning, N., Peng, C., Qi, M., Li, X., &amp; Sun, M. (2022). ‘Nobody comes to help us’: lived experiences and needs of older adults who lost their only child in China. </w:t>
      </w:r>
      <w:r>
        <w:rPr>
          <w:i/>
          <w:iCs/>
        </w:rPr>
        <w:t>International Journal of Qualitative Studies on Health and Well-Being</w:t>
      </w:r>
      <w:r>
        <w:t xml:space="preserve">, </w:t>
      </w:r>
      <w:r>
        <w:rPr>
          <w:i/>
          <w:iCs/>
        </w:rPr>
        <w:t>18</w:t>
      </w:r>
      <w:r>
        <w:t>(1). https://doi.org/10.1080/17482631.2022.2153424</w:t>
      </w:r>
    </w:p>
    <w:p w14:paraId="69592229">
      <w:pPr>
        <w:pStyle w:val="16"/>
        <w:keepNext w:val="0"/>
        <w:keepLines w:val="0"/>
        <w:pageBreakBefore w:val="0"/>
        <w:widowControl/>
        <w:kinsoku/>
        <w:wordWrap/>
        <w:overflowPunct/>
        <w:topLinePunct w:val="0"/>
        <w:autoSpaceDE/>
        <w:autoSpaceDN/>
        <w:bidi w:val="0"/>
        <w:adjustRightInd/>
        <w:snapToGrid/>
        <w:ind w:left="567" w:hanging="567" w:firstLineChars="0"/>
        <w:jc w:val="both"/>
        <w:textAlignment w:val="auto"/>
      </w:pPr>
      <w:r>
        <w:t xml:space="preserve">O’Brien, K. J., &amp; Li, L. (2017). Selective policy implementation in rural China. </w:t>
      </w:r>
      <w:r>
        <w:rPr>
          <w:i/>
          <w:iCs/>
        </w:rPr>
        <w:t xml:space="preserve">In Critical readings on the Communist Party of China </w:t>
      </w:r>
      <w:r>
        <w:t xml:space="preserve">(Vol. 4, pp. 437–460). Brill. </w:t>
      </w:r>
      <w:r>
        <w:fldChar w:fldCharType="begin"/>
      </w:r>
      <w:r>
        <w:instrText xml:space="preserve"> HYPERLINK "https://doi.org/10.1163/9789004302488_017" \t "_new" </w:instrText>
      </w:r>
      <w:r>
        <w:fldChar w:fldCharType="separate"/>
      </w:r>
      <w:r>
        <w:t>https://doi.org/10.1163/9789004302488_017</w:t>
      </w:r>
      <w:r>
        <w:fldChar w:fldCharType="end"/>
      </w:r>
    </w:p>
    <w:p w14:paraId="1B805FEE">
      <w:pPr>
        <w:pStyle w:val="16"/>
        <w:keepNext w:val="0"/>
        <w:keepLines w:val="0"/>
        <w:pageBreakBefore w:val="0"/>
        <w:widowControl/>
        <w:kinsoku/>
        <w:wordWrap/>
        <w:overflowPunct/>
        <w:topLinePunct w:val="0"/>
        <w:autoSpaceDE/>
        <w:autoSpaceDN/>
        <w:bidi w:val="0"/>
        <w:adjustRightInd/>
        <w:snapToGrid/>
        <w:ind w:left="567" w:hanging="567" w:firstLineChars="0"/>
        <w:jc w:val="both"/>
        <w:textAlignment w:val="auto"/>
      </w:pPr>
      <w:r>
        <w:t xml:space="preserve">Sciacchitano, S., Carola, V., Nicolais, G., Sciacchitano, S., Napoli, C., Mancini, R., Rocco, M., &amp; Coluzzi, F. (2024). To be frail or not to be frail: This is The Question—A Critical Narrative Review of Frailty. </w:t>
      </w:r>
      <w:r>
        <w:rPr>
          <w:i/>
          <w:iCs/>
        </w:rPr>
        <w:t>Journal of Clinical Medicine</w:t>
      </w:r>
      <w:r>
        <w:t xml:space="preserve">, </w:t>
      </w:r>
      <w:r>
        <w:rPr>
          <w:i/>
          <w:iCs/>
        </w:rPr>
        <w:t>13</w:t>
      </w:r>
      <w:r>
        <w:t xml:space="preserve">(3), 721. </w:t>
      </w:r>
      <w:r>
        <w:fldChar w:fldCharType="begin"/>
      </w:r>
      <w:r>
        <w:instrText xml:space="preserve"> HYPERLINK "https://doi.org/10.3390/jcm13030721" </w:instrText>
      </w:r>
      <w:r>
        <w:fldChar w:fldCharType="separate"/>
      </w:r>
      <w:r>
        <w:rPr>
          <w:rStyle w:val="28"/>
        </w:rPr>
        <w:t>https://doi.org/10.3390/jcm13030721</w:t>
      </w:r>
      <w:r>
        <w:rPr>
          <w:rStyle w:val="28"/>
        </w:rPr>
        <w:fldChar w:fldCharType="end"/>
      </w:r>
    </w:p>
    <w:p w14:paraId="26ECE98E">
      <w:pPr>
        <w:pStyle w:val="16"/>
        <w:keepNext w:val="0"/>
        <w:keepLines w:val="0"/>
        <w:pageBreakBefore w:val="0"/>
        <w:widowControl/>
        <w:kinsoku/>
        <w:wordWrap/>
        <w:overflowPunct/>
        <w:topLinePunct w:val="0"/>
        <w:autoSpaceDE/>
        <w:autoSpaceDN/>
        <w:bidi w:val="0"/>
        <w:adjustRightInd/>
        <w:snapToGrid/>
        <w:ind w:left="567" w:hanging="567" w:firstLineChars="0"/>
        <w:jc w:val="both"/>
        <w:textAlignment w:val="auto"/>
      </w:pPr>
      <w:r>
        <w:t xml:space="preserve">Song, Y. (2014). Losing an only child: The one-child policy and elderly care in China. </w:t>
      </w:r>
      <w:r>
        <w:rPr>
          <w:i/>
          <w:iCs/>
        </w:rPr>
        <w:t>Reproductive Health Matter</w:t>
      </w:r>
      <w:r>
        <w:t xml:space="preserve">s, 22(43), 113–124. </w:t>
      </w:r>
      <w:r>
        <w:fldChar w:fldCharType="begin"/>
      </w:r>
      <w:r>
        <w:instrText xml:space="preserve"> HYPERLINK "https://doi.org/10.1016/S0968-8080(14)43755-8" \t "_new" </w:instrText>
      </w:r>
      <w:r>
        <w:fldChar w:fldCharType="separate"/>
      </w:r>
      <w:r>
        <w:t>https://doi.org/10.1016/S0968-8080(14)43755-8</w:t>
      </w:r>
      <w:r>
        <w:fldChar w:fldCharType="end"/>
      </w:r>
    </w:p>
    <w:p w14:paraId="69C8B9FC">
      <w:pPr>
        <w:pStyle w:val="16"/>
        <w:keepNext w:val="0"/>
        <w:keepLines w:val="0"/>
        <w:pageBreakBefore w:val="0"/>
        <w:widowControl/>
        <w:kinsoku/>
        <w:wordWrap/>
        <w:overflowPunct/>
        <w:topLinePunct w:val="0"/>
        <w:autoSpaceDE/>
        <w:autoSpaceDN/>
        <w:bidi w:val="0"/>
        <w:adjustRightInd/>
        <w:snapToGrid/>
        <w:ind w:left="567" w:hanging="567" w:firstLineChars="0"/>
        <w:jc w:val="both"/>
        <w:textAlignment w:val="auto"/>
      </w:pPr>
      <w:r>
        <w:t xml:space="preserve">Wang, N., &amp; Hu, Q. (2020). Loneliness Trajectories: Evidence for staged intervention among Chinese bereaved parents. </w:t>
      </w:r>
      <w:r>
        <w:rPr>
          <w:i/>
          <w:iCs/>
        </w:rPr>
        <w:t>Journal of Applied Gerontology</w:t>
      </w:r>
      <w:r>
        <w:t xml:space="preserve">, </w:t>
      </w:r>
      <w:r>
        <w:rPr>
          <w:i/>
          <w:iCs/>
        </w:rPr>
        <w:t>41</w:t>
      </w:r>
      <w:r>
        <w:t>(1), 134–141. https://doi.org/10.1177/0733464820978808</w:t>
      </w:r>
    </w:p>
    <w:p w14:paraId="5493EABD">
      <w:pPr>
        <w:pStyle w:val="16"/>
        <w:keepNext w:val="0"/>
        <w:keepLines w:val="0"/>
        <w:pageBreakBefore w:val="0"/>
        <w:widowControl/>
        <w:kinsoku/>
        <w:wordWrap/>
        <w:overflowPunct/>
        <w:topLinePunct w:val="0"/>
        <w:autoSpaceDE/>
        <w:autoSpaceDN/>
        <w:bidi w:val="0"/>
        <w:adjustRightInd/>
        <w:snapToGrid/>
        <w:ind w:left="567" w:hanging="567" w:firstLineChars="0"/>
        <w:jc w:val="both"/>
        <w:textAlignment w:val="auto"/>
      </w:pPr>
      <w:r>
        <w:t xml:space="preserve">Wu, Z., &amp; Penning, M. J. (2018). Children and the mental health of older adults in China: what matters? </w:t>
      </w:r>
      <w:r>
        <w:rPr>
          <w:i/>
          <w:iCs/>
        </w:rPr>
        <w:t>Population Research and Policy Review</w:t>
      </w:r>
      <w:r>
        <w:t xml:space="preserve">, </w:t>
      </w:r>
      <w:r>
        <w:rPr>
          <w:i/>
          <w:iCs/>
        </w:rPr>
        <w:t>38</w:t>
      </w:r>
      <w:r>
        <w:t>(1), 27–52. https://doi.org/10.1007/s11113-018-9495-z</w:t>
      </w:r>
    </w:p>
    <w:p w14:paraId="49A1279B">
      <w:pPr>
        <w:pStyle w:val="16"/>
        <w:keepNext w:val="0"/>
        <w:keepLines w:val="0"/>
        <w:pageBreakBefore w:val="0"/>
        <w:widowControl/>
        <w:kinsoku/>
        <w:wordWrap/>
        <w:overflowPunct/>
        <w:topLinePunct w:val="0"/>
        <w:autoSpaceDE/>
        <w:autoSpaceDN/>
        <w:bidi w:val="0"/>
        <w:adjustRightInd/>
        <w:snapToGrid/>
        <w:ind w:left="567" w:hanging="567" w:firstLineChars="0"/>
        <w:jc w:val="both"/>
        <w:textAlignment w:val="auto"/>
      </w:pPr>
      <w:r>
        <w:rPr>
          <w:lang w:val="en-US" w:eastAsia="zh-CN"/>
        </w:rPr>
        <w:t xml:space="preserve">Yin, Q., Shang, Z., Zhou, N., Wu, L., Liu, G., Yu, X., Liu, Y., &amp; Liu, W. (2018). An investigation of physical and mental health consequences among Chinese parents who lost their only child. </w:t>
      </w:r>
      <w:r>
        <w:rPr>
          <w:i/>
          <w:iCs/>
          <w:lang w:val="en-US" w:eastAsia="zh-CN"/>
        </w:rPr>
        <w:t>BMC Psychiatry, 18</w:t>
      </w:r>
      <w:r>
        <w:rPr>
          <w:lang w:val="en-US" w:eastAsia="zh-CN"/>
        </w:rPr>
        <w:t xml:space="preserve">(1), 45. </w:t>
      </w:r>
      <w:r>
        <w:fldChar w:fldCharType="begin"/>
      </w:r>
      <w:r>
        <w:instrText xml:space="preserve"> HYPERLINK "https://doi.org/10.1186/s12888-018-1617-1" </w:instrText>
      </w:r>
      <w:r>
        <w:fldChar w:fldCharType="separate"/>
      </w:r>
      <w:r>
        <w:rPr>
          <w:rStyle w:val="28"/>
          <w:lang w:val="en-US" w:eastAsia="zh-CN"/>
        </w:rPr>
        <w:t>https://doi.org/10.1186/s12888-018-1617-1</w:t>
      </w:r>
      <w:r>
        <w:rPr>
          <w:rStyle w:val="28"/>
          <w:lang w:val="en-US" w:eastAsia="zh-CN"/>
        </w:rPr>
        <w:fldChar w:fldCharType="end"/>
      </w:r>
    </w:p>
    <w:p w14:paraId="46794212">
      <w:pPr>
        <w:pStyle w:val="16"/>
        <w:keepNext w:val="0"/>
        <w:keepLines w:val="0"/>
        <w:pageBreakBefore w:val="0"/>
        <w:widowControl/>
        <w:kinsoku/>
        <w:wordWrap/>
        <w:overflowPunct/>
        <w:topLinePunct w:val="0"/>
        <w:autoSpaceDE/>
        <w:autoSpaceDN/>
        <w:bidi w:val="0"/>
        <w:adjustRightInd/>
        <w:snapToGrid/>
        <w:ind w:left="567" w:hanging="567" w:firstLineChars="0"/>
        <w:jc w:val="both"/>
        <w:textAlignment w:val="auto"/>
      </w:pPr>
      <w:r>
        <w:rPr>
          <w:lang w:val="en-US" w:eastAsia="zh-CN"/>
        </w:rPr>
        <w:t xml:space="preserve">Yip, O., Dhaini, S., Esser, J., Siqeca, F., Mendieta, M. J., Huber, E., Urfer, J., Vounatsou, P., Obas, K., Briel, M., Schwenkglenks, M., Quinto, C., Blozik, E., &amp; INSPIRE Consortium. (2022). Health and social care of home-dwelling frail older adults in Switzerland: A mixed methods study. </w:t>
      </w:r>
      <w:r>
        <w:rPr>
          <w:i/>
          <w:iCs/>
          <w:lang w:val="en-US" w:eastAsia="zh-CN"/>
        </w:rPr>
        <w:t>BMC Geriatrics, 22</w:t>
      </w:r>
      <w:r>
        <w:rPr>
          <w:lang w:val="en-US" w:eastAsia="zh-CN"/>
        </w:rPr>
        <w:t xml:space="preserve">(1), Article 857. </w:t>
      </w:r>
      <w:r>
        <w:fldChar w:fldCharType="begin"/>
      </w:r>
      <w:r>
        <w:instrText xml:space="preserve"> HYPERLINK "https://doi.org/10.1186/s12877-022-03551-2" </w:instrText>
      </w:r>
      <w:r>
        <w:fldChar w:fldCharType="separate"/>
      </w:r>
      <w:r>
        <w:rPr>
          <w:rStyle w:val="28"/>
          <w:lang w:val="en-US" w:eastAsia="zh-CN"/>
        </w:rPr>
        <w:t>https://doi.org/10.1186/s12877-022-03551-2</w:t>
      </w:r>
      <w:r>
        <w:rPr>
          <w:rStyle w:val="28"/>
          <w:lang w:val="en-US" w:eastAsia="zh-CN"/>
        </w:rPr>
        <w:fldChar w:fldCharType="end"/>
      </w:r>
    </w:p>
    <w:p w14:paraId="34E8816F">
      <w:pPr>
        <w:pStyle w:val="16"/>
        <w:keepNext w:val="0"/>
        <w:keepLines w:val="0"/>
        <w:pageBreakBefore w:val="0"/>
        <w:widowControl/>
        <w:kinsoku/>
        <w:wordWrap/>
        <w:overflowPunct/>
        <w:topLinePunct w:val="0"/>
        <w:autoSpaceDE/>
        <w:autoSpaceDN/>
        <w:bidi w:val="0"/>
        <w:adjustRightInd/>
        <w:snapToGrid/>
        <w:ind w:left="567" w:hanging="567" w:firstLineChars="0"/>
        <w:jc w:val="both"/>
        <w:textAlignment w:val="auto"/>
      </w:pPr>
      <w:r>
        <w:rPr>
          <w:lang w:val="en-US" w:eastAsia="zh-CN"/>
        </w:rPr>
        <w:t>Yuan, M. D., Wang, Z. Q., Fei, L., &amp; Zhong, B. L. (2022). Prevalence of prolonged grief disorder and its symptoms in Chinese parents who lost their only child: A systematic review and meta-analysis.</w:t>
      </w:r>
      <w:r>
        <w:rPr>
          <w:i/>
          <w:iCs/>
          <w:lang w:val="en-US" w:eastAsia="zh-CN"/>
        </w:rPr>
        <w:t xml:space="preserve"> Frontiers in Public Health, 10</w:t>
      </w:r>
      <w:r>
        <w:rPr>
          <w:lang w:val="en-US" w:eastAsia="zh-CN"/>
        </w:rPr>
        <w:t xml:space="preserve">, 1016160. </w:t>
      </w:r>
      <w:r>
        <w:fldChar w:fldCharType="begin"/>
      </w:r>
      <w:r>
        <w:instrText xml:space="preserve"> HYPERLINK "https://doi.org/10.3389/fpubh.2022.1016160" </w:instrText>
      </w:r>
      <w:r>
        <w:fldChar w:fldCharType="separate"/>
      </w:r>
      <w:r>
        <w:rPr>
          <w:rStyle w:val="28"/>
          <w:lang w:val="en-US" w:eastAsia="zh-CN"/>
        </w:rPr>
        <w:t>https://doi.org/10.3389/fpubh.2022.1016160</w:t>
      </w:r>
      <w:r>
        <w:rPr>
          <w:rStyle w:val="28"/>
          <w:lang w:val="en-US" w:eastAsia="zh-CN"/>
        </w:rPr>
        <w:fldChar w:fldCharType="end"/>
      </w:r>
    </w:p>
    <w:p w14:paraId="56BA5172">
      <w:pPr>
        <w:pStyle w:val="16"/>
        <w:keepNext w:val="0"/>
        <w:keepLines w:val="0"/>
        <w:pageBreakBefore w:val="0"/>
        <w:widowControl/>
        <w:kinsoku/>
        <w:wordWrap/>
        <w:overflowPunct/>
        <w:topLinePunct w:val="0"/>
        <w:autoSpaceDE/>
        <w:autoSpaceDN/>
        <w:bidi w:val="0"/>
        <w:adjustRightInd/>
        <w:snapToGrid/>
        <w:ind w:left="567" w:hanging="567" w:firstLineChars="0"/>
        <w:jc w:val="both"/>
        <w:textAlignment w:val="auto"/>
      </w:pPr>
      <w:r>
        <w:rPr>
          <w:lang w:val="en-US" w:eastAsia="zh-CN"/>
        </w:rPr>
        <w:t xml:space="preserve">Zhang, X. (2015). Study on the pension rights of families that have lost their only child. </w:t>
      </w:r>
      <w:r>
        <w:rPr>
          <w:i/>
          <w:iCs/>
          <w:lang w:val="en-US" w:eastAsia="zh-CN"/>
        </w:rPr>
        <w:t>Beijing Law Review</w:t>
      </w:r>
      <w:r>
        <w:rPr>
          <w:lang w:val="en-US" w:eastAsia="zh-CN"/>
        </w:rPr>
        <w:t xml:space="preserve">, 6, 16. </w:t>
      </w:r>
      <w:r>
        <w:fldChar w:fldCharType="begin"/>
      </w:r>
      <w:r>
        <w:instrText xml:space="preserve"> HYPERLINK "https://doi.org/10.4236/blr.2015.61003" </w:instrText>
      </w:r>
      <w:r>
        <w:fldChar w:fldCharType="separate"/>
      </w:r>
      <w:r>
        <w:rPr>
          <w:rStyle w:val="28"/>
          <w:lang w:val="en-US" w:eastAsia="zh-CN"/>
        </w:rPr>
        <w:t>https://doi.org/10.4236/blr.2015.61003</w:t>
      </w:r>
      <w:r>
        <w:rPr>
          <w:rStyle w:val="28"/>
          <w:lang w:val="en-US" w:eastAsia="zh-CN"/>
        </w:rPr>
        <w:fldChar w:fldCharType="end"/>
      </w:r>
    </w:p>
    <w:p w14:paraId="44D35F40">
      <w:pPr>
        <w:pStyle w:val="16"/>
        <w:keepNext w:val="0"/>
        <w:keepLines w:val="0"/>
        <w:pageBreakBefore w:val="0"/>
        <w:widowControl/>
        <w:kinsoku/>
        <w:wordWrap/>
        <w:overflowPunct/>
        <w:topLinePunct w:val="0"/>
        <w:autoSpaceDE/>
        <w:autoSpaceDN/>
        <w:bidi w:val="0"/>
        <w:adjustRightInd/>
        <w:snapToGrid/>
        <w:ind w:left="567" w:hanging="567" w:firstLineChars="0"/>
        <w:jc w:val="both"/>
        <w:textAlignment w:val="auto"/>
      </w:pPr>
      <w:r>
        <w:rPr>
          <w:lang w:val="en-US" w:eastAsia="zh-CN"/>
        </w:rPr>
        <w:t xml:space="preserve">Zhang, Y., &amp; Jia, X. (2018). A qualitative study on the grief of people who lose their only child: From the perspective of familism culture. </w:t>
      </w:r>
      <w:r>
        <w:rPr>
          <w:i/>
          <w:iCs/>
          <w:lang w:val="en-US" w:eastAsia="zh-CN"/>
        </w:rPr>
        <w:t>Frontiers in Psychology</w:t>
      </w:r>
      <w:r>
        <w:rPr>
          <w:lang w:val="en-US" w:eastAsia="zh-CN"/>
        </w:rPr>
        <w:t xml:space="preserve">, </w:t>
      </w:r>
      <w:r>
        <w:rPr>
          <w:i/>
          <w:iCs/>
          <w:lang w:val="en-US" w:eastAsia="zh-CN"/>
        </w:rPr>
        <w:t>9</w:t>
      </w:r>
      <w:r>
        <w:rPr>
          <w:lang w:val="en-US" w:eastAsia="zh-CN"/>
        </w:rPr>
        <w:t xml:space="preserve">, 869. </w:t>
      </w:r>
      <w:r>
        <w:fldChar w:fldCharType="begin"/>
      </w:r>
      <w:r>
        <w:instrText xml:space="preserve"> HYPERLINK "https://doi.org/10.3389/fpsyg.2018.00869" </w:instrText>
      </w:r>
      <w:r>
        <w:fldChar w:fldCharType="separate"/>
      </w:r>
      <w:r>
        <w:rPr>
          <w:rStyle w:val="25"/>
          <w:lang w:val="en-US" w:eastAsia="zh-CN"/>
        </w:rPr>
        <w:t>https://doi.org/10.3389/fpsyg.2018.00869</w:t>
      </w:r>
      <w:r>
        <w:rPr>
          <w:rStyle w:val="25"/>
          <w:lang w:val="en-US" w:eastAsia="zh-CN"/>
        </w:rPr>
        <w:fldChar w:fldCharType="end"/>
      </w:r>
    </w:p>
    <w:p w14:paraId="517453F6">
      <w:pPr>
        <w:pStyle w:val="16"/>
        <w:keepNext w:val="0"/>
        <w:keepLines w:val="0"/>
        <w:pageBreakBefore w:val="0"/>
        <w:widowControl/>
        <w:kinsoku/>
        <w:wordWrap/>
        <w:overflowPunct/>
        <w:topLinePunct w:val="0"/>
        <w:autoSpaceDE/>
        <w:autoSpaceDN/>
        <w:bidi w:val="0"/>
        <w:adjustRightInd/>
        <w:snapToGrid/>
        <w:ind w:left="567" w:hanging="567" w:firstLineChars="0"/>
        <w:jc w:val="both"/>
        <w:textAlignment w:val="auto"/>
        <w:rPr>
          <w:rFonts w:hint="eastAsia" w:eastAsiaTheme="minorEastAsia"/>
          <w:lang w:eastAsia="zh-CN"/>
        </w:rPr>
      </w:pPr>
      <w:r>
        <w:t xml:space="preserve">Zheng, Y., Lawson, T. R., &amp; Head, B. A. (2016). “Our Only Child Has Died”—A study of bereaved older Chinese parents. </w:t>
      </w:r>
      <w:r>
        <w:rPr>
          <w:i/>
          <w:iCs/>
        </w:rPr>
        <w:t>OMEGA - Journal of Death and Dying</w:t>
      </w:r>
      <w:r>
        <w:t xml:space="preserve">, </w:t>
      </w:r>
      <w:r>
        <w:rPr>
          <w:i/>
          <w:iCs/>
        </w:rPr>
        <w:t>74</w:t>
      </w:r>
      <w:r>
        <w:t>(4), 410–425. https://doi.org/10.1177/0030222815612285</w:t>
      </w:r>
      <w:bookmarkEnd w:id="3"/>
    </w:p>
    <w:sectPr>
      <w:headerReference r:id="rId5" w:type="first"/>
      <w:footerReference r:id="rId7" w:type="first"/>
      <w:headerReference r:id="rId3" w:type="default"/>
      <w:footerReference r:id="rId6" w:type="default"/>
      <w:headerReference r:id="rId4" w:type="even"/>
      <w:pgSz w:w="11906" w:h="16838"/>
      <w:pgMar w:top="1417" w:right="720" w:bottom="1077" w:left="720" w:header="1020" w:footer="340" w:gutter="0"/>
      <w:pgNumType w:start="1"/>
      <w:cols w:space="720"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EE047DF-1A37-46AD-9B93-657F5FA0D97C}"/>
  </w:font>
  <w:font w:name="Arial">
    <w:panose1 w:val="020B0604020202020204"/>
    <w:charset w:val="01"/>
    <w:family w:val="swiss"/>
    <w:pitch w:val="default"/>
    <w:sig w:usb0="E0002EFF" w:usb1="C000785B" w:usb2="00000009" w:usb3="00000000" w:csb0="400001FF" w:csb1="FFFF0000"/>
    <w:embedRegular r:id="rId2" w:fontKey="{8AF36409-F0E8-4990-B70D-8F3E516F1BB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9F460F6-19E3-41C0-8177-A65254ED48C8}"/>
  </w:font>
  <w:font w:name="Symbol">
    <w:panose1 w:val="05050102010706020507"/>
    <w:charset w:val="02"/>
    <w:family w:val="roman"/>
    <w:pitch w:val="default"/>
    <w:sig w:usb0="00000000" w:usb1="00000000" w:usb2="00000000" w:usb3="00000000" w:csb0="80000000" w:csb1="00000000"/>
    <w:embedRegular r:id="rId4" w:fontKey="{75444575-541B-484B-A846-5848EDB2D88E}"/>
  </w:font>
  <w:font w:name="Calibri">
    <w:panose1 w:val="020F0502020204030204"/>
    <w:charset w:val="00"/>
    <w:family w:val="swiss"/>
    <w:pitch w:val="default"/>
    <w:sig w:usb0="E0002EFF" w:usb1="C000247B" w:usb2="00000009" w:usb3="00000000" w:csb0="200001FF" w:csb1="00000000"/>
    <w:embedRegular r:id="rId5" w:fontKey="{FAD5AE4E-F6F0-458F-97F4-7B8724DAD66E}"/>
  </w:font>
  <w:font w:name="等线">
    <w:panose1 w:val="02010600030101010101"/>
    <w:charset w:val="86"/>
    <w:family w:val="auto"/>
    <w:pitch w:val="default"/>
    <w:sig w:usb0="A00002BF" w:usb1="38CF7CFA" w:usb2="00000016" w:usb3="00000000" w:csb0="0004000F" w:csb1="00000000"/>
    <w:embedRegular r:id="rId6" w:fontKey="{2FBEE26C-3AE2-488C-BD9D-A1B2502BEEFF}"/>
  </w:font>
  <w:font w:name="Palatino Linotype">
    <w:panose1 w:val="02040502050505030304"/>
    <w:charset w:val="00"/>
    <w:family w:val="roman"/>
    <w:pitch w:val="default"/>
    <w:sig w:usb0="E0000287" w:usb1="40000013" w:usb2="00000000" w:usb3="00000000" w:csb0="2000019F" w:csb1="00000000"/>
    <w:embedRegular r:id="rId7" w:fontKey="{086BEDA5-8FDB-4555-837F-6DD9E97A3262}"/>
  </w:font>
  <w:font w:name="Tahoma">
    <w:panose1 w:val="020B0604030504040204"/>
    <w:charset w:val="00"/>
    <w:family w:val="swiss"/>
    <w:pitch w:val="default"/>
    <w:sig w:usb0="E1002EFF" w:usb1="C000605B" w:usb2="00000029" w:usb3="00000000" w:csb0="200101FF" w:csb1="20280000"/>
    <w:embedRegular r:id="rId8" w:fontKey="{3942E966-AD06-4A2D-87C8-395175E08822}"/>
  </w:font>
  <w:font w:name="Georgia">
    <w:panose1 w:val="02040502050405020303"/>
    <w:charset w:val="00"/>
    <w:family w:val="roman"/>
    <w:pitch w:val="default"/>
    <w:sig w:usb0="00000287" w:usb1="00000000" w:usb2="00000000" w:usb3="00000000" w:csb0="2000009F" w:csb1="00000000"/>
    <w:embedRegular r:id="rId9" w:fontKey="{A8D2C9CA-86E0-4C0F-9C3A-99EAC478494F}"/>
  </w:font>
  <w:font w:name="Cordia New">
    <w:altName w:val="Microsoft Sans Serif"/>
    <w:panose1 w:val="020B0304020202020204"/>
    <w:charset w:val="DE"/>
    <w:family w:val="swiss"/>
    <w:pitch w:val="default"/>
    <w:sig w:usb0="00000000" w:usb1="00000000" w:usb2="00000000" w:usb3="00000000" w:csb0="00010001" w:csb1="00000000"/>
    <w:embedRegular r:id="rId10" w:fontKey="{5AC37C0C-E0BF-48F5-92CB-64E7CDC83C8E}"/>
  </w:font>
  <w:font w:name="Microsoft Sans Serif">
    <w:panose1 w:val="020B0604020202020204"/>
    <w:charset w:val="00"/>
    <w:family w:val="auto"/>
    <w:pitch w:val="default"/>
    <w:sig w:usb0="E5002EFF" w:usb1="C000605B" w:usb2="00000029" w:usb3="00000000" w:csb0="200101FF" w:csb1="20280000"/>
    <w:embedRegular r:id="rId11" w:fontKey="{D17602C3-1BF2-42F8-9CBE-E53A58EA3202}"/>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Times">
    <w:altName w:val="Times New Roman"/>
    <w:panose1 w:val="02020603050405020304"/>
    <w:charset w:val="00"/>
    <w:family w:val="auto"/>
    <w:pitch w:val="default"/>
    <w:sig w:usb0="00000000" w:usb1="00000000" w:usb2="00000000" w:usb3="00000000" w:csb0="00000000" w:csb1="00000000"/>
    <w:embedRegular r:id="rId12" w:fontKey="{72A468C9-27D5-4A21-8FA1-D55A4F3651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3C6EA">
    <w:pPr>
      <w:pBdr>
        <w:top w:val="none" w:color="auto" w:sz="0" w:space="0"/>
        <w:left w:val="none" w:color="auto" w:sz="0" w:space="0"/>
        <w:bottom w:val="none" w:color="auto" w:sz="0" w:space="0"/>
        <w:right w:val="none" w:color="auto" w:sz="0" w:space="0"/>
        <w:between w:val="none" w:color="auto" w:sz="0" w:space="0"/>
      </w:pBdr>
      <w:tabs>
        <w:tab w:val="center" w:pos="4153"/>
        <w:tab w:val="right" w:pos="8306"/>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218B7">
    <w:pPr>
      <w:pBdr>
        <w:top w:val="single" w:color="000000" w:sz="4" w:space="0"/>
        <w:left w:val="none" w:color="auto" w:sz="0" w:space="0"/>
        <w:bottom w:val="none" w:color="auto" w:sz="0" w:space="0"/>
        <w:right w:val="none" w:color="auto" w:sz="0" w:space="0"/>
        <w:between w:val="none" w:color="auto" w:sz="0" w:space="0"/>
      </w:pBdr>
      <w:tabs>
        <w:tab w:val="right" w:pos="8845"/>
      </w:tabs>
      <w:spacing w:before="480" w:line="100" w:lineRule="auto"/>
      <w:rPr>
        <w:rFonts w:ascii="Palatino Linotype" w:hAnsi="Palatino Linotype" w:eastAsia="Palatino Linotype" w:cs="Palatino Linotype"/>
        <w:i/>
        <w:color w:val="000000"/>
        <w:sz w:val="16"/>
        <w:szCs w:val="16"/>
      </w:rPr>
    </w:pPr>
  </w:p>
  <w:p w14:paraId="16EAFD33">
    <w:pPr>
      <w:pBdr>
        <w:top w:val="none" w:color="auto" w:sz="0" w:space="0"/>
        <w:left w:val="none" w:color="auto" w:sz="0" w:space="0"/>
        <w:bottom w:val="none" w:color="auto" w:sz="0" w:space="0"/>
        <w:right w:val="none" w:color="auto" w:sz="0" w:space="0"/>
        <w:between w:val="none" w:color="auto" w:sz="0" w:space="0"/>
      </w:pBdr>
      <w:tabs>
        <w:tab w:val="right" w:pos="8845"/>
        <w:tab w:val="right" w:pos="10466"/>
      </w:tabs>
      <w:jc w:val="both"/>
      <w:rPr>
        <w:rFonts w:ascii="Palatino Linotype" w:hAnsi="Palatino Linotype" w:eastAsia="Palatino Linotype" w:cs="Palatino Linotype"/>
        <w:color w:val="000000"/>
        <w:sz w:val="16"/>
        <w:szCs w:val="16"/>
      </w:rPr>
    </w:pPr>
    <w:r>
      <w:rPr>
        <w:rFonts w:ascii="Palatino Linotype" w:hAnsi="Palatino Linotype" w:eastAsia="Palatino Linotype" w:cs="Palatino Linotype"/>
        <w:i/>
        <w:color w:val="000000"/>
        <w:sz w:val="16"/>
        <w:szCs w:val="16"/>
      </w:rPr>
      <w:t>e-Bangi: Journal of Social Sciences &amp; Humanities</w:t>
    </w:r>
    <w:r>
      <w:rPr>
        <w:rFonts w:ascii="Palatino Linotype" w:hAnsi="Palatino Linotype" w:eastAsia="Palatino Linotype" w:cs="Palatino Linotype"/>
        <w:color w:val="000000"/>
        <w:sz w:val="16"/>
        <w:szCs w:val="16"/>
      </w:rPr>
      <w:tab/>
    </w:r>
    <w:r>
      <w:rPr>
        <w:rFonts w:ascii="Palatino Linotype" w:hAnsi="Palatino Linotype" w:eastAsia="Palatino Linotype" w:cs="Palatino Linotype"/>
        <w:color w:val="000000"/>
        <w:sz w:val="16"/>
        <w:szCs w:val="16"/>
      </w:rPr>
      <w:t>https://ejournal.ukm.my/ebangi</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9B541">
    <w:pPr>
      <w:tabs>
        <w:tab w:val="right" w:pos="10466"/>
      </w:tabs>
      <w:rPr>
        <w:sz w:val="16"/>
        <w:szCs w:val="16"/>
      </w:rPr>
    </w:pPr>
    <w:r>
      <w:rPr>
        <w:i/>
        <w:sz w:val="16"/>
        <w:szCs w:val="16"/>
      </w:rPr>
      <w:t>e-Bangi: Journal of Social Sciences &amp; Humanities</w:t>
    </w:r>
    <w:r>
      <w:rPr>
        <w:sz w:val="16"/>
        <w:szCs w:val="16"/>
      </w:rPr>
      <w:tab/>
    </w:r>
    <w:r>
      <w:rPr>
        <w:sz w:val="16"/>
        <w:szCs w:val="16"/>
      </w:rPr>
      <w:fldChar w:fldCharType="begin"/>
    </w:r>
    <w:r>
      <w:rPr>
        <w:sz w:val="16"/>
        <w:szCs w:val="16"/>
      </w:rPr>
      <w:instrText xml:space="preserve">PAGE</w:instrText>
    </w:r>
    <w:r>
      <w:rPr>
        <w:sz w:val="16"/>
        <w:szCs w:val="16"/>
      </w:rPr>
      <w:fldChar w:fldCharType="separate"/>
    </w:r>
    <w:r>
      <w:rPr>
        <w:sz w:val="16"/>
        <w:szCs w:val="16"/>
      </w:rPr>
      <w:t>2</w:t>
    </w:r>
    <w:r>
      <w:rPr>
        <w:sz w:val="16"/>
        <w:szCs w:val="16"/>
      </w:rPr>
      <w:fldChar w:fldCharType="end"/>
    </w:r>
  </w:p>
  <w:p w14:paraId="168B48B8">
    <w:pPr>
      <w:pBdr>
        <w:bottom w:val="single" w:color="000000" w:sz="4" w:space="1"/>
      </w:pBdr>
      <w:tabs>
        <w:tab w:val="right" w:pos="8844"/>
      </w:tabs>
      <w:spacing w:after="480" w:line="100" w:lineRule="auto"/>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01D72">
    <w:pPr>
      <w:pBdr>
        <w:top w:val="none" w:color="auto" w:sz="0" w:space="0"/>
        <w:left w:val="none" w:color="auto" w:sz="0" w:space="0"/>
        <w:bottom w:val="none" w:color="000000" w:sz="0" w:space="0"/>
        <w:right w:val="none" w:color="auto" w:sz="0" w:space="0"/>
        <w:between w:val="none" w:color="auto" w:sz="0" w:space="0"/>
      </w:pBdr>
      <w:tabs>
        <w:tab w:val="center" w:pos="4153"/>
        <w:tab w:val="right" w:pos="8306"/>
      </w:tabs>
      <w:jc w:val="center"/>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065C8">
    <w:pPr>
      <w:widowControl w:val="0"/>
      <w:pBdr>
        <w:top w:val="none" w:color="auto" w:sz="0" w:space="0"/>
        <w:left w:val="none" w:color="auto" w:sz="0" w:space="0"/>
        <w:bottom w:val="none" w:color="auto" w:sz="0" w:space="0"/>
        <w:right w:val="none" w:color="auto" w:sz="0" w:space="0"/>
        <w:between w:val="none" w:color="auto" w:sz="0" w:space="0"/>
      </w:pBdr>
      <w:spacing w:line="276" w:lineRule="auto"/>
      <w:rPr>
        <w:color w:val="000000"/>
      </w:rPr>
    </w:pPr>
  </w:p>
  <w:tbl>
    <w:tblPr>
      <w:tblStyle w:val="100"/>
      <w:tblW w:w="10423" w:type="dxa"/>
      <w:tblInd w:w="0" w:type="dxa"/>
      <w:tblLayout w:type="fixed"/>
      <w:tblCellMar>
        <w:top w:w="0" w:type="dxa"/>
        <w:left w:w="0" w:type="dxa"/>
        <w:bottom w:w="0" w:type="dxa"/>
        <w:right w:w="0" w:type="dxa"/>
      </w:tblCellMar>
    </w:tblPr>
    <w:tblGrid>
      <w:gridCol w:w="4668"/>
      <w:gridCol w:w="5755"/>
    </w:tblGrid>
    <w:tr w14:paraId="46D506BD">
      <w:tblPrEx>
        <w:tblCellMar>
          <w:top w:w="0" w:type="dxa"/>
          <w:left w:w="0" w:type="dxa"/>
          <w:bottom w:w="0" w:type="dxa"/>
          <w:right w:w="0" w:type="dxa"/>
        </w:tblCellMar>
      </w:tblPrEx>
      <w:trPr>
        <w:trHeight w:val="536" w:hRule="atLeast"/>
      </w:trPr>
      <w:tc>
        <w:tcPr>
          <w:tcW w:w="4668" w:type="dxa"/>
          <w:shd w:val="clear" w:color="auto" w:fill="auto"/>
        </w:tcPr>
        <w:p w14:paraId="2E8D8FEF">
          <w:pPr>
            <w:pBdr>
              <w:top w:val="none" w:color="auto" w:sz="0" w:space="0"/>
              <w:left w:val="none" w:color="auto" w:sz="0" w:space="0"/>
              <w:bottom w:val="none" w:color="000000" w:sz="0" w:space="0"/>
              <w:right w:val="none" w:color="auto" w:sz="0" w:space="0"/>
              <w:between w:val="none" w:color="auto" w:sz="0" w:space="0"/>
            </w:pBdr>
            <w:tabs>
              <w:tab w:val="center" w:pos="4153"/>
              <w:tab w:val="right" w:pos="8306"/>
            </w:tabs>
            <w:rPr>
              <w:b/>
              <w:color w:val="000000"/>
            </w:rPr>
          </w:pPr>
        </w:p>
      </w:tc>
      <w:tc>
        <w:tcPr>
          <w:tcW w:w="5755" w:type="dxa"/>
          <w:shd w:val="clear" w:color="auto" w:fill="auto"/>
          <w:vAlign w:val="center"/>
        </w:tcPr>
        <w:p w14:paraId="07D79B58">
          <w:pPr>
            <w:pBdr>
              <w:top w:val="none" w:color="auto" w:sz="0" w:space="0"/>
              <w:left w:val="none" w:color="auto" w:sz="0" w:space="0"/>
              <w:bottom w:val="none" w:color="000000" w:sz="0" w:space="0"/>
              <w:right w:val="none" w:color="auto" w:sz="0" w:space="0"/>
              <w:between w:val="none" w:color="auto" w:sz="0" w:space="0"/>
            </w:pBdr>
            <w:tabs>
              <w:tab w:val="center" w:pos="4153"/>
              <w:tab w:val="right" w:pos="8306"/>
            </w:tabs>
            <w:jc w:val="center"/>
            <w:rPr>
              <w:color w:val="FFFFFF"/>
              <w:sz w:val="20"/>
              <w:szCs w:val="20"/>
            </w:rPr>
          </w:pPr>
        </w:p>
        <w:p w14:paraId="756F3870">
          <w:pPr>
            <w:pBdr>
              <w:top w:val="none" w:color="auto" w:sz="0" w:space="0"/>
              <w:left w:val="none" w:color="auto" w:sz="0" w:space="0"/>
              <w:bottom w:val="none" w:color="000000" w:sz="0" w:space="0"/>
              <w:right w:val="none" w:color="auto" w:sz="0" w:space="0"/>
              <w:between w:val="none" w:color="auto" w:sz="0" w:space="0"/>
            </w:pBdr>
            <w:tabs>
              <w:tab w:val="center" w:pos="4153"/>
              <w:tab w:val="right" w:pos="8306"/>
            </w:tabs>
            <w:jc w:val="right"/>
            <w:rPr>
              <w:b/>
              <w:color w:val="FFFFFF"/>
              <w:sz w:val="20"/>
              <w:szCs w:val="20"/>
            </w:rPr>
          </w:pPr>
          <w:r>
            <w:rPr>
              <w:color w:val="FFFFFF"/>
              <w:sz w:val="20"/>
              <w:szCs w:val="20"/>
            </w:rPr>
            <w:t>ISSN: 1823-884x</w:t>
          </w:r>
        </w:p>
      </w:tc>
    </w:tr>
  </w:tbl>
  <w:p w14:paraId="757069C8">
    <w:pPr>
      <w:pBdr>
        <w:bottom w:val="single" w:color="000000" w:sz="4" w:space="0"/>
      </w:pBdr>
      <w:spacing w:line="100" w:lineRule="auto"/>
    </w:pPr>
    <w:r>
      <w:drawing>
        <wp:anchor distT="0" distB="0" distL="114300" distR="114300" simplePos="0" relativeHeight="251659264" behindDoc="0" locked="0" layoutInCell="1" allowOverlap="1">
          <wp:simplePos x="0" y="0"/>
          <wp:positionH relativeFrom="column">
            <wp:posOffset>-2042795</wp:posOffset>
          </wp:positionH>
          <wp:positionV relativeFrom="paragraph">
            <wp:posOffset>-431800</wp:posOffset>
          </wp:positionV>
          <wp:extent cx="4309110" cy="39878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11" name="image1.png"/>
                  <pic:cNvPicPr preferRelativeResize="0"/>
                </pic:nvPicPr>
                <pic:blipFill>
                  <a:blip r:embed="rId1"/>
                  <a:srcRect r="26738" b="12643"/>
                  <a:stretch>
                    <a:fillRect/>
                  </a:stretch>
                </pic:blipFill>
                <pic:spPr>
                  <a:xfrm>
                    <a:off x="0" y="0"/>
                    <a:ext cx="4309110" cy="398780"/>
                  </a:xfrm>
                  <a:prstGeom prst="rect">
                    <a:avLst/>
                  </a:prstGeom>
                </pic:spPr>
              </pic:pic>
            </a:graphicData>
          </a:graphic>
        </wp:anchor>
      </w:drawing>
    </w:r>
  </w:p>
  <w:p w14:paraId="749717C9">
    <w:pPr>
      <w:pBdr>
        <w:top w:val="none" w:color="auto" w:sz="0" w:space="0"/>
        <w:left w:val="none" w:color="auto" w:sz="0" w:space="0"/>
        <w:bottom w:val="none" w:color="auto" w:sz="0" w:space="0"/>
        <w:right w:val="none" w:color="auto" w:sz="0" w:space="0"/>
        <w:between w:val="none" w:color="auto" w:sz="0" w:space="0"/>
      </w:pBdr>
      <w:spacing w:before="40"/>
      <w:jc w:val="right"/>
      <w:rPr>
        <w:rFonts w:ascii="Times" w:hAnsi="Times" w:eastAsia="Times" w:cs="Times"/>
        <w:i/>
        <w:color w:val="FFFFFF"/>
        <w:sz w:val="20"/>
        <w:szCs w:val="20"/>
      </w:rPr>
    </w:pPr>
    <w:r>
      <w:rPr>
        <w:rFonts w:ascii="Times" w:hAnsi="Times" w:eastAsia="Times" w:cs="Times"/>
        <w:i/>
        <w:color w:val="FFFFFF"/>
        <w:sz w:val="20"/>
        <w:szCs w:val="20"/>
      </w:rPr>
      <w:t>Volume X, Issue X, DOI:</w:t>
    </w:r>
  </w:p>
  <w:p w14:paraId="63787D38">
    <w:pPr>
      <w:pBdr>
        <w:top w:val="none" w:color="auto" w:sz="0" w:space="0"/>
        <w:left w:val="none" w:color="auto" w:sz="0" w:space="0"/>
        <w:bottom w:val="none" w:color="auto" w:sz="0" w:space="0"/>
        <w:right w:val="none" w:color="auto" w:sz="0" w:space="0"/>
        <w:between w:val="none" w:color="auto" w:sz="0" w:space="0"/>
      </w:pBdr>
      <w:jc w:val="right"/>
      <w:rPr>
        <w:rFonts w:ascii="Times" w:hAnsi="Times" w:eastAsia="Times" w:cs="Times"/>
        <w:i/>
        <w:color w:val="FFFFFF"/>
        <w:sz w:val="20"/>
        <w:szCs w:val="20"/>
      </w:rPr>
    </w:pPr>
    <w:r>
      <w:rPr>
        <w:rFonts w:ascii="Times" w:hAnsi="Times" w:eastAsia="Times" w:cs="Times"/>
        <w:i/>
        <w:color w:val="FFFFFF"/>
        <w:sz w:val="20"/>
        <w:szCs w:val="20"/>
      </w:rPr>
      <w:t>Received: date</w:t>
    </w:r>
  </w:p>
  <w:p w14:paraId="2068A948">
    <w:pPr>
      <w:pBdr>
        <w:top w:val="none" w:color="auto" w:sz="0" w:space="0"/>
        <w:left w:val="none" w:color="auto" w:sz="0" w:space="0"/>
        <w:bottom w:val="none" w:color="auto" w:sz="0" w:space="0"/>
        <w:right w:val="none" w:color="auto" w:sz="0" w:space="0"/>
        <w:between w:val="none" w:color="auto" w:sz="0" w:space="0"/>
      </w:pBdr>
      <w:jc w:val="right"/>
      <w:rPr>
        <w:rFonts w:ascii="Times" w:hAnsi="Times" w:eastAsia="Times" w:cs="Times"/>
        <w:i/>
        <w:color w:val="FFFFFF"/>
        <w:sz w:val="20"/>
        <w:szCs w:val="20"/>
      </w:rPr>
    </w:pPr>
    <w:r>
      <w:rPr>
        <w:rFonts w:ascii="Times" w:hAnsi="Times" w:eastAsia="Times" w:cs="Times"/>
        <w:i/>
        <w:color w:val="FFFFFF"/>
        <w:sz w:val="20"/>
        <w:szCs w:val="20"/>
      </w:rPr>
      <w:t>Accepted: date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CC340D"/>
    <w:multiLevelType w:val="singleLevel"/>
    <w:tmpl w:val="CBCC340D"/>
    <w:lvl w:ilvl="0" w:tentative="0">
      <w:start w:val="1"/>
      <w:numFmt w:val="decimal"/>
      <w:lvlText w:val="%1."/>
      <w:lvlJc w:val="left"/>
    </w:lvl>
  </w:abstractNum>
  <w:abstractNum w:abstractNumId="1">
    <w:nsid w:val="25ACBB18"/>
    <w:multiLevelType w:val="multilevel"/>
    <w:tmpl w:val="25ACBB18"/>
    <w:lvl w:ilvl="0" w:tentative="0">
      <w:start w:val="1"/>
      <w:numFmt w:val="bullet"/>
      <w:lvlText w:val=""/>
      <w:lvlJc w:val="left"/>
      <w:pPr>
        <w:ind w:left="440" w:hanging="440"/>
      </w:pPr>
      <w:rPr>
        <w:rFonts w:hint="default" w:ascii="Wingdings" w:hAnsi="Wingdings" w:cs="Wingding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35B53795"/>
    <w:multiLevelType w:val="singleLevel"/>
    <w:tmpl w:val="35B53795"/>
    <w:lvl w:ilvl="0" w:tentative="0">
      <w:start w:val="1"/>
      <w:numFmt w:val="bullet"/>
      <w:lvlText w:val=""/>
      <w:lvlJc w:val="left"/>
      <w:pPr>
        <w:ind w:left="420" w:hanging="420"/>
      </w:pPr>
      <w:rPr>
        <w:rFonts w:hint="default" w:ascii="Wingdings" w:hAnsi="Wingdings"/>
      </w:rPr>
    </w:lvl>
  </w:abstractNum>
  <w:abstractNum w:abstractNumId="3">
    <w:nsid w:val="38DF1207"/>
    <w:multiLevelType w:val="multilevel"/>
    <w:tmpl w:val="38DF1207"/>
    <w:lvl w:ilvl="0" w:tentative="0">
      <w:start w:val="1"/>
      <w:numFmt w:val="decimal"/>
      <w:pStyle w:val="49"/>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115"/>
    <w:rsid w:val="001E3115"/>
    <w:rsid w:val="002A165A"/>
    <w:rsid w:val="003758DB"/>
    <w:rsid w:val="003E0C47"/>
    <w:rsid w:val="00462D1E"/>
    <w:rsid w:val="00492FEB"/>
    <w:rsid w:val="005B5CB0"/>
    <w:rsid w:val="00C1300B"/>
    <w:rsid w:val="00C1373D"/>
    <w:rsid w:val="00FC11B0"/>
    <w:rsid w:val="16337E88"/>
    <w:rsid w:val="2EC5000B"/>
    <w:rsid w:val="2F3A1A1F"/>
    <w:rsid w:val="3B822B94"/>
    <w:rsid w:val="432804C5"/>
    <w:rsid w:val="5675098D"/>
    <w:rsid w:val="5C9E3EAF"/>
    <w:rsid w:val="6E9028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qFormat="1" w:unhideWhenUsed="0" w:uiPriority="99" w:semiHidden="0" w:name="line number"/>
    <w:lsdException w:qFormat="1" w:unhideWhenUsed="0" w:uiPriority="0" w:semiHidden="0" w:name="page number"/>
    <w:lsdException w:qFormat="1" w:unhideWhenUsed="0" w:uiPriority="0" w:semiHidden="0" w:name="endnote reference"/>
    <w:lsdException w:qFormat="1" w:uiPriority="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MY" w:eastAsia="en-GB" w:bidi="ar-SA"/>
    </w:rPr>
  </w:style>
  <w:style w:type="paragraph" w:styleId="2">
    <w:name w:val="heading 1"/>
    <w:basedOn w:val="1"/>
    <w:next w:val="1"/>
    <w:qFormat/>
    <w:uiPriority w:val="9"/>
    <w:pPr>
      <w:keepNext/>
      <w:keepLines/>
      <w:spacing w:before="480" w:after="120"/>
      <w:outlineLvl w:val="0"/>
    </w:pPr>
    <w:rPr>
      <w:b/>
      <w:sz w:val="48"/>
      <w:szCs w:val="48"/>
    </w:rPr>
  </w:style>
  <w:style w:type="paragraph" w:styleId="3">
    <w:name w:val="heading 2"/>
    <w:basedOn w:val="1"/>
    <w:next w:val="1"/>
    <w:semiHidden/>
    <w:unhideWhenUsed/>
    <w:qFormat/>
    <w:uiPriority w:val="9"/>
    <w:pPr>
      <w:keepNext/>
      <w:keepLines/>
      <w:spacing w:before="360" w:after="80"/>
      <w:outlineLvl w:val="1"/>
    </w:pPr>
    <w:rPr>
      <w:b/>
      <w:sz w:val="36"/>
      <w:szCs w:val="36"/>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rPr>
  </w:style>
  <w:style w:type="paragraph" w:styleId="6">
    <w:name w:val="heading 5"/>
    <w:basedOn w:val="1"/>
    <w:next w:val="1"/>
    <w:semiHidden/>
    <w:unhideWhenUsed/>
    <w:qFormat/>
    <w:uiPriority w:val="9"/>
    <w:pPr>
      <w:keepNext/>
      <w:keepLines/>
      <w:spacing w:before="220" w:after="40"/>
      <w:outlineLvl w:val="4"/>
    </w:pPr>
    <w:rPr>
      <w:b/>
      <w:sz w:val="22"/>
      <w:szCs w:val="22"/>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8">
    <w:name w:val="annotation text"/>
    <w:basedOn w:val="1"/>
    <w:link w:val="89"/>
    <w:qFormat/>
    <w:uiPriority w:val="0"/>
  </w:style>
  <w:style w:type="paragraph" w:styleId="9">
    <w:name w:val="Body Text"/>
    <w:link w:val="88"/>
    <w:qFormat/>
    <w:uiPriority w:val="0"/>
    <w:pPr>
      <w:spacing w:after="120" w:line="340" w:lineRule="atLeast"/>
      <w:jc w:val="both"/>
    </w:pPr>
    <w:rPr>
      <w:rFonts w:ascii="Palatino Linotype" w:hAnsi="Palatino Linotype" w:cs="Times New Roman" w:eastAsiaTheme="minorEastAsia"/>
      <w:color w:val="000000"/>
      <w:sz w:val="24"/>
      <w:szCs w:val="24"/>
      <w:lang w:val="en-MY" w:eastAsia="de-DE" w:bidi="ar-SA"/>
    </w:rPr>
  </w:style>
  <w:style w:type="paragraph" w:styleId="10">
    <w:name w:val="endnote text"/>
    <w:basedOn w:val="1"/>
    <w:link w:val="91"/>
    <w:semiHidden/>
    <w:unhideWhenUsed/>
    <w:qFormat/>
    <w:uiPriority w:val="0"/>
  </w:style>
  <w:style w:type="paragraph" w:styleId="11">
    <w:name w:val="Balloon Text"/>
    <w:basedOn w:val="1"/>
    <w:link w:val="65"/>
    <w:qFormat/>
    <w:uiPriority w:val="99"/>
    <w:rPr>
      <w:rFonts w:cs="Tahoma"/>
      <w:szCs w:val="18"/>
    </w:rPr>
  </w:style>
  <w:style w:type="paragraph" w:styleId="12">
    <w:name w:val="footer"/>
    <w:basedOn w:val="1"/>
    <w:link w:val="40"/>
    <w:qFormat/>
    <w:uiPriority w:val="99"/>
    <w:pPr>
      <w:tabs>
        <w:tab w:val="center" w:pos="4153"/>
        <w:tab w:val="right" w:pos="8306"/>
      </w:tabs>
      <w:snapToGrid w:val="0"/>
      <w:spacing w:line="240" w:lineRule="atLeast"/>
    </w:pPr>
    <w:rPr>
      <w:szCs w:val="18"/>
    </w:rPr>
  </w:style>
  <w:style w:type="paragraph" w:styleId="13">
    <w:name w:val="header"/>
    <w:basedOn w:val="1"/>
    <w:link w:val="41"/>
    <w:qFormat/>
    <w:uiPriority w:val="99"/>
    <w:pPr>
      <w:pBdr>
        <w:bottom w:val="single" w:color="auto" w:sz="6" w:space="1"/>
      </w:pBdr>
      <w:tabs>
        <w:tab w:val="center" w:pos="4153"/>
        <w:tab w:val="right" w:pos="8306"/>
      </w:tabs>
      <w:snapToGrid w:val="0"/>
      <w:spacing w:line="240" w:lineRule="atLeast"/>
      <w:jc w:val="center"/>
    </w:pPr>
    <w:rPr>
      <w:szCs w:val="18"/>
    </w:rPr>
  </w:style>
  <w:style w:type="paragraph" w:styleId="14">
    <w:name w:val="Subtitle"/>
    <w:basedOn w:val="1"/>
    <w:next w:val="1"/>
    <w:qFormat/>
    <w:uiPriority w:val="11"/>
    <w:pPr>
      <w:keepNext/>
      <w:keepLines/>
      <w:spacing w:before="360" w:after="80"/>
    </w:pPr>
    <w:rPr>
      <w:rFonts w:ascii="Georgia" w:hAnsi="Georgia" w:eastAsia="Georgia" w:cs="Georgia"/>
      <w:i/>
      <w:color w:val="666666"/>
      <w:sz w:val="48"/>
      <w:szCs w:val="48"/>
    </w:rPr>
  </w:style>
  <w:style w:type="paragraph" w:styleId="15">
    <w:name w:val="footnote text"/>
    <w:basedOn w:val="1"/>
    <w:link w:val="92"/>
    <w:semiHidden/>
    <w:unhideWhenUsed/>
    <w:qFormat/>
    <w:uiPriority w:val="0"/>
  </w:style>
  <w:style w:type="paragraph" w:styleId="16">
    <w:name w:val="Normal (Web)"/>
    <w:basedOn w:val="1"/>
    <w:qFormat/>
    <w:uiPriority w:val="0"/>
  </w:style>
  <w:style w:type="paragraph" w:styleId="17">
    <w:name w:val="Title"/>
    <w:basedOn w:val="1"/>
    <w:next w:val="1"/>
    <w:qFormat/>
    <w:uiPriority w:val="10"/>
    <w:pPr>
      <w:keepNext/>
      <w:keepLines/>
      <w:spacing w:before="480" w:after="120"/>
    </w:pPr>
    <w:rPr>
      <w:b/>
      <w:sz w:val="72"/>
      <w:szCs w:val="72"/>
    </w:rPr>
  </w:style>
  <w:style w:type="paragraph" w:styleId="18">
    <w:name w:val="annotation subject"/>
    <w:basedOn w:val="8"/>
    <w:next w:val="8"/>
    <w:link w:val="90"/>
    <w:qFormat/>
    <w:uiPriority w:val="0"/>
    <w:rPr>
      <w:b/>
      <w:bCs/>
    </w:rPr>
  </w:style>
  <w:style w:type="table" w:styleId="20">
    <w:name w:val="Table Grid"/>
    <w:basedOn w:val="19"/>
    <w:qFormat/>
    <w:uiPriority w:val="59"/>
    <w:pPr>
      <w:spacing w:line="260" w:lineRule="atLeast"/>
      <w:jc w:val="both"/>
    </w:pPr>
    <w:rPr>
      <w:rFonts w:ascii="Palatino Linotype" w:hAnsi="Palatino Linotype"/>
      <w:color w:val="00000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bCs/>
    </w:rPr>
  </w:style>
  <w:style w:type="character" w:styleId="23">
    <w:name w:val="endnote reference"/>
    <w:qFormat/>
    <w:uiPriority w:val="0"/>
    <w:rPr>
      <w:vertAlign w:val="superscript"/>
    </w:rPr>
  </w:style>
  <w:style w:type="character" w:styleId="24">
    <w:name w:val="page number"/>
    <w:qFormat/>
    <w:uiPriority w:val="0"/>
  </w:style>
  <w:style w:type="character" w:styleId="25">
    <w:name w:val="FollowedHyperlink"/>
    <w:qFormat/>
    <w:uiPriority w:val="0"/>
    <w:rPr>
      <w:color w:val="954F72"/>
      <w:u w:val="single"/>
    </w:rPr>
  </w:style>
  <w:style w:type="character" w:styleId="26">
    <w:name w:val="Emphasis"/>
    <w:basedOn w:val="21"/>
    <w:qFormat/>
    <w:uiPriority w:val="20"/>
    <w:rPr>
      <w:i/>
      <w:iCs/>
    </w:rPr>
  </w:style>
  <w:style w:type="character" w:styleId="27">
    <w:name w:val="line number"/>
    <w:qFormat/>
    <w:uiPriority w:val="99"/>
    <w:rPr>
      <w:rFonts w:ascii="Palatino Linotype" w:hAnsi="Palatino Linotype"/>
      <w:sz w:val="16"/>
    </w:rPr>
  </w:style>
  <w:style w:type="character" w:styleId="28">
    <w:name w:val="Hyperlink"/>
    <w:qFormat/>
    <w:uiPriority w:val="0"/>
    <w:rPr>
      <w:color w:val="0000FF"/>
      <w:u w:val="single"/>
    </w:rPr>
  </w:style>
  <w:style w:type="character" w:styleId="29">
    <w:name w:val="annotation reference"/>
    <w:qFormat/>
    <w:uiPriority w:val="0"/>
    <w:rPr>
      <w:sz w:val="21"/>
      <w:szCs w:val="21"/>
    </w:rPr>
  </w:style>
  <w:style w:type="table" w:customStyle="1" w:styleId="30">
    <w:name w:val="TableNormal"/>
    <w:qFormat/>
    <w:uiPriority w:val="0"/>
    <w:tblPr>
      <w:tblCellMar>
        <w:top w:w="0" w:type="dxa"/>
        <w:left w:w="0" w:type="dxa"/>
        <w:bottom w:w="0" w:type="dxa"/>
        <w:right w:w="0" w:type="dxa"/>
      </w:tblCellMar>
    </w:tblPr>
  </w:style>
  <w:style w:type="paragraph" w:customStyle="1" w:styleId="31">
    <w:name w:val="MDPI_1.1_article_type"/>
    <w:next w:val="1"/>
    <w:qFormat/>
    <w:uiPriority w:val="0"/>
    <w:pPr>
      <w:adjustRightInd w:val="0"/>
      <w:snapToGrid w:val="0"/>
      <w:spacing w:before="240"/>
    </w:pPr>
    <w:rPr>
      <w:rFonts w:ascii="Palatino Linotype" w:hAnsi="Palatino Linotype" w:eastAsia="Times New Roman" w:cs="Times New Roman"/>
      <w:i/>
      <w:snapToGrid w:val="0"/>
      <w:color w:val="000000"/>
      <w:sz w:val="24"/>
      <w:szCs w:val="22"/>
      <w:lang w:val="en-MY" w:eastAsia="de-DE" w:bidi="en-US"/>
    </w:rPr>
  </w:style>
  <w:style w:type="paragraph" w:customStyle="1" w:styleId="32">
    <w:name w:val="MDPI_1.2_title"/>
    <w:next w:val="1"/>
    <w:qFormat/>
    <w:uiPriority w:val="0"/>
    <w:pPr>
      <w:adjustRightInd w:val="0"/>
      <w:snapToGrid w:val="0"/>
      <w:spacing w:after="240" w:line="240" w:lineRule="atLeast"/>
    </w:pPr>
    <w:rPr>
      <w:rFonts w:ascii="Palatino Linotype" w:hAnsi="Palatino Linotype" w:eastAsia="Times New Roman" w:cs="Times New Roman"/>
      <w:b/>
      <w:snapToGrid w:val="0"/>
      <w:color w:val="000000"/>
      <w:sz w:val="36"/>
      <w:szCs w:val="24"/>
      <w:lang w:val="en-MY" w:eastAsia="de-DE" w:bidi="en-US"/>
    </w:rPr>
  </w:style>
  <w:style w:type="paragraph" w:customStyle="1" w:styleId="33">
    <w:name w:val="MDPI_1.3_authornames"/>
    <w:next w:val="1"/>
    <w:qFormat/>
    <w:uiPriority w:val="0"/>
    <w:pPr>
      <w:adjustRightInd w:val="0"/>
      <w:snapToGrid w:val="0"/>
      <w:spacing w:after="360" w:line="260" w:lineRule="atLeast"/>
    </w:pPr>
    <w:rPr>
      <w:rFonts w:ascii="Palatino Linotype" w:hAnsi="Palatino Linotype" w:eastAsia="Times New Roman" w:cs="Times New Roman"/>
      <w:b/>
      <w:color w:val="000000"/>
      <w:sz w:val="24"/>
      <w:szCs w:val="22"/>
      <w:lang w:val="en-MY" w:eastAsia="de-DE" w:bidi="en-US"/>
    </w:rPr>
  </w:style>
  <w:style w:type="paragraph" w:customStyle="1" w:styleId="34">
    <w:name w:val="MDPI_1.4_history"/>
    <w:basedOn w:val="1"/>
    <w:next w:val="1"/>
    <w:qFormat/>
    <w:uiPriority w:val="0"/>
    <w:pPr>
      <w:adjustRightInd w:val="0"/>
      <w:snapToGrid w:val="0"/>
      <w:spacing w:line="240" w:lineRule="atLeast"/>
      <w:ind w:right="113"/>
    </w:pPr>
    <w:rPr>
      <w:sz w:val="14"/>
      <w:lang w:eastAsia="de-DE" w:bidi="en-US"/>
    </w:rPr>
  </w:style>
  <w:style w:type="paragraph" w:customStyle="1" w:styleId="35">
    <w:name w:val="MDPI_1.6_affiliation"/>
    <w:qFormat/>
    <w:uiPriority w:val="0"/>
    <w:pPr>
      <w:adjustRightInd w:val="0"/>
      <w:snapToGrid w:val="0"/>
      <w:spacing w:line="200" w:lineRule="atLeast"/>
      <w:ind w:left="2806" w:hanging="198"/>
    </w:pPr>
    <w:rPr>
      <w:rFonts w:ascii="Palatino Linotype" w:hAnsi="Palatino Linotype" w:eastAsia="Times New Roman" w:cs="Times New Roman"/>
      <w:color w:val="000000"/>
      <w:sz w:val="16"/>
      <w:szCs w:val="18"/>
      <w:lang w:val="en-MY" w:eastAsia="de-DE" w:bidi="en-US"/>
    </w:rPr>
  </w:style>
  <w:style w:type="paragraph" w:customStyle="1" w:styleId="36">
    <w:name w:val="MDPI_1.7_abstract"/>
    <w:next w:val="1"/>
    <w:qFormat/>
    <w:uiPriority w:val="0"/>
    <w:pPr>
      <w:adjustRightInd w:val="0"/>
      <w:snapToGrid w:val="0"/>
      <w:spacing w:before="240" w:line="260" w:lineRule="atLeast"/>
      <w:ind w:left="2608"/>
      <w:jc w:val="both"/>
    </w:pPr>
    <w:rPr>
      <w:rFonts w:ascii="Palatino Linotype" w:hAnsi="Palatino Linotype" w:eastAsia="Times New Roman" w:cs="Times New Roman"/>
      <w:color w:val="000000"/>
      <w:sz w:val="18"/>
      <w:szCs w:val="22"/>
      <w:lang w:val="en-MY" w:eastAsia="de-DE" w:bidi="en-US"/>
    </w:rPr>
  </w:style>
  <w:style w:type="paragraph" w:customStyle="1" w:styleId="37">
    <w:name w:val="MDPI_1.8_keywords"/>
    <w:next w:val="1"/>
    <w:qFormat/>
    <w:uiPriority w:val="0"/>
    <w:pPr>
      <w:adjustRightInd w:val="0"/>
      <w:snapToGrid w:val="0"/>
      <w:spacing w:before="240" w:line="260" w:lineRule="atLeast"/>
      <w:ind w:left="2608"/>
      <w:jc w:val="both"/>
    </w:pPr>
    <w:rPr>
      <w:rFonts w:ascii="Palatino Linotype" w:hAnsi="Palatino Linotype" w:eastAsia="Times New Roman" w:cs="Times New Roman"/>
      <w:snapToGrid w:val="0"/>
      <w:color w:val="000000"/>
      <w:sz w:val="18"/>
      <w:szCs w:val="22"/>
      <w:lang w:val="en-MY" w:eastAsia="de-DE" w:bidi="en-US"/>
    </w:rPr>
  </w:style>
  <w:style w:type="paragraph" w:customStyle="1" w:styleId="38">
    <w:name w:val="MDPI_1.9_line"/>
    <w:qFormat/>
    <w:uiPriority w:val="0"/>
    <w:pPr>
      <w:pBdr>
        <w:bottom w:val="single" w:color="auto" w:sz="6" w:space="1"/>
      </w:pBdr>
      <w:adjustRightInd w:val="0"/>
      <w:snapToGrid w:val="0"/>
      <w:spacing w:after="480" w:line="260" w:lineRule="atLeast"/>
      <w:ind w:left="2608"/>
      <w:jc w:val="both"/>
    </w:pPr>
    <w:rPr>
      <w:rFonts w:ascii="Palatino Linotype" w:hAnsi="Palatino Linotype" w:eastAsia="Times New Roman" w:cs="Cordia New"/>
      <w:color w:val="000000"/>
      <w:sz w:val="24"/>
      <w:szCs w:val="24"/>
      <w:lang w:val="en-MY" w:eastAsia="de-DE" w:bidi="en-US"/>
    </w:rPr>
  </w:style>
  <w:style w:type="table" w:customStyle="1" w:styleId="39">
    <w:name w:val="M_deck_5_table_body_three_lines"/>
    <w:basedOn w:val="19"/>
    <w:qFormat/>
    <w:uiPriority w:val="99"/>
    <w:pPr>
      <w:adjustRightInd w:val="0"/>
      <w:snapToGrid w:val="0"/>
      <w:spacing w:line="300" w:lineRule="exact"/>
      <w:jc w:val="center"/>
    </w:pPr>
    <w:rPr>
      <w:lang w:val="de-DE" w:eastAsia="de-DE"/>
    </w:rPr>
    <w:tblPr>
      <w:jc w:val="center"/>
      <w:tblBorders>
        <w:bottom w:val="single" w:color="auto" w:sz="8" w:space="0"/>
      </w:tblBorders>
    </w:tblPr>
    <w:trPr>
      <w:jc w:val="center"/>
    </w:trPr>
    <w:tcPr>
      <w:vAlign w:val="center"/>
    </w:tcPr>
    <w:tblStylePr w:type="firstRow">
      <w:pPr>
        <w:wordWrap/>
        <w:adjustRightInd w:val="0"/>
        <w:snapToGrid w:val="0"/>
        <w:spacing w:beforeLines="0" w:beforeAutospacing="0" w:afterLines="0" w:afterAutospacing="0" w:line="300" w:lineRule="exact"/>
        <w:ind w:left="0" w:leftChars="0" w:right="0" w:rightChars="0" w:firstLine="0" w:firstLineChars="0"/>
        <w:contextualSpacing w:val="0"/>
        <w:jc w:val="center"/>
        <w:outlineLvl w:val="9"/>
      </w:pPr>
      <w:rPr>
        <w:rFonts w:ascii="Times New Roman" w:hAnsi="Times New Roman" w:eastAsia="Times New Roman"/>
        <w:b w:val="0"/>
        <w:i w:val="0"/>
        <w:snapToGrid w:val="0"/>
        <w:sz w:val="22"/>
      </w:rPr>
      <w:tcPr>
        <w:tcBorders>
          <w:top w:val="single" w:color="auto" w:sz="8" w:space="0"/>
          <w:left w:val="nil"/>
          <w:bottom w:val="single" w:color="auto" w:sz="4" w:space="0"/>
          <w:right w:val="nil"/>
          <w:insideH w:val="nil"/>
          <w:insideV w:val="nil"/>
          <w:tl2br w:val="nil"/>
          <w:tr2bl w:val="nil"/>
        </w:tcBorders>
      </w:tcPr>
    </w:tblStylePr>
  </w:style>
  <w:style w:type="character" w:customStyle="1" w:styleId="40">
    <w:name w:val="页脚 字符"/>
    <w:link w:val="12"/>
    <w:qFormat/>
    <w:uiPriority w:val="99"/>
    <w:rPr>
      <w:rFonts w:ascii="Palatino Linotype" w:hAnsi="Palatino Linotype"/>
      <w:color w:val="000000"/>
      <w:szCs w:val="18"/>
    </w:rPr>
  </w:style>
  <w:style w:type="character" w:customStyle="1" w:styleId="41">
    <w:name w:val="页眉 字符"/>
    <w:link w:val="13"/>
    <w:qFormat/>
    <w:uiPriority w:val="99"/>
    <w:rPr>
      <w:rFonts w:ascii="Palatino Linotype" w:hAnsi="Palatino Linotype"/>
      <w:color w:val="000000"/>
      <w:szCs w:val="18"/>
    </w:rPr>
  </w:style>
  <w:style w:type="paragraph" w:customStyle="1" w:styleId="42">
    <w:name w:val="MDPI_header_journal_logo"/>
    <w:qFormat/>
    <w:uiPriority w:val="0"/>
    <w:pPr>
      <w:adjustRightInd w:val="0"/>
      <w:snapToGrid w:val="0"/>
      <w:spacing w:line="260" w:lineRule="atLeast"/>
      <w:jc w:val="both"/>
    </w:pPr>
    <w:rPr>
      <w:rFonts w:ascii="Palatino Linotype" w:hAnsi="Palatino Linotype" w:eastAsia="Times New Roman" w:cs="Times New Roman"/>
      <w:i/>
      <w:color w:val="000000"/>
      <w:sz w:val="24"/>
      <w:szCs w:val="22"/>
      <w:lang w:val="en-MY" w:eastAsia="de-CH" w:bidi="ar-SA"/>
    </w:rPr>
  </w:style>
  <w:style w:type="paragraph" w:customStyle="1" w:styleId="43">
    <w:name w:val="MDPI_3.2_text_no_indent"/>
    <w:basedOn w:val="44"/>
    <w:qFormat/>
    <w:uiPriority w:val="0"/>
    <w:pPr>
      <w:ind w:firstLine="0"/>
    </w:pPr>
  </w:style>
  <w:style w:type="paragraph" w:customStyle="1" w:styleId="44">
    <w:name w:val="MDPI_3.1_text"/>
    <w:qFormat/>
    <w:uiPriority w:val="0"/>
    <w:pPr>
      <w:adjustRightInd w:val="0"/>
      <w:snapToGrid w:val="0"/>
      <w:spacing w:line="228" w:lineRule="auto"/>
      <w:ind w:left="2608" w:firstLine="425"/>
      <w:jc w:val="both"/>
    </w:pPr>
    <w:rPr>
      <w:rFonts w:ascii="Palatino Linotype" w:hAnsi="Palatino Linotype" w:eastAsia="Times New Roman" w:cs="Times New Roman"/>
      <w:snapToGrid w:val="0"/>
      <w:color w:val="000000"/>
      <w:sz w:val="24"/>
      <w:szCs w:val="22"/>
      <w:lang w:val="en-MY" w:eastAsia="de-DE" w:bidi="en-US"/>
    </w:rPr>
  </w:style>
  <w:style w:type="paragraph" w:customStyle="1" w:styleId="45">
    <w:name w:val="MDPI_3.3_text_space_after"/>
    <w:qFormat/>
    <w:uiPriority w:val="0"/>
    <w:pPr>
      <w:adjustRightInd w:val="0"/>
      <w:snapToGrid w:val="0"/>
      <w:spacing w:after="240" w:line="228" w:lineRule="auto"/>
      <w:ind w:left="2608"/>
      <w:jc w:val="both"/>
    </w:pPr>
    <w:rPr>
      <w:rFonts w:ascii="Palatino Linotype" w:hAnsi="Palatino Linotype" w:eastAsia="Times New Roman" w:cs="Times New Roman"/>
      <w:snapToGrid w:val="0"/>
      <w:color w:val="000000"/>
      <w:sz w:val="24"/>
      <w:szCs w:val="22"/>
      <w:lang w:val="en-MY" w:eastAsia="de-DE" w:bidi="en-US"/>
    </w:rPr>
  </w:style>
  <w:style w:type="paragraph" w:customStyle="1" w:styleId="46">
    <w:name w:val="MDPI_3.4_text_space_before"/>
    <w:qFormat/>
    <w:uiPriority w:val="0"/>
    <w:pPr>
      <w:adjustRightInd w:val="0"/>
      <w:snapToGrid w:val="0"/>
      <w:spacing w:before="240" w:line="228" w:lineRule="auto"/>
      <w:ind w:left="2608"/>
      <w:jc w:val="both"/>
    </w:pPr>
    <w:rPr>
      <w:rFonts w:ascii="Palatino Linotype" w:hAnsi="Palatino Linotype" w:eastAsia="Times New Roman" w:cs="Times New Roman"/>
      <w:snapToGrid w:val="0"/>
      <w:color w:val="000000"/>
      <w:sz w:val="24"/>
      <w:szCs w:val="22"/>
      <w:lang w:val="en-MY" w:eastAsia="de-DE" w:bidi="en-US"/>
    </w:rPr>
  </w:style>
  <w:style w:type="paragraph" w:customStyle="1" w:styleId="47">
    <w:name w:val="MDPI_3.5_text_before_list"/>
    <w:qFormat/>
    <w:uiPriority w:val="0"/>
    <w:pPr>
      <w:adjustRightInd w:val="0"/>
      <w:snapToGrid w:val="0"/>
      <w:spacing w:line="228" w:lineRule="auto"/>
      <w:ind w:left="2608" w:firstLine="425"/>
      <w:jc w:val="both"/>
    </w:pPr>
    <w:rPr>
      <w:rFonts w:ascii="Palatino Linotype" w:hAnsi="Palatino Linotype" w:eastAsia="Times New Roman" w:cs="Times New Roman"/>
      <w:snapToGrid w:val="0"/>
      <w:color w:val="000000"/>
      <w:sz w:val="24"/>
      <w:szCs w:val="22"/>
      <w:lang w:val="en-MY" w:eastAsia="de-DE" w:bidi="en-US"/>
    </w:rPr>
  </w:style>
  <w:style w:type="paragraph" w:customStyle="1" w:styleId="48">
    <w:name w:val="MDPI_3.6_text_after_list"/>
    <w:qFormat/>
    <w:uiPriority w:val="0"/>
    <w:pPr>
      <w:adjustRightInd w:val="0"/>
      <w:snapToGrid w:val="0"/>
      <w:spacing w:before="120" w:line="228" w:lineRule="auto"/>
      <w:ind w:left="2608"/>
      <w:jc w:val="both"/>
    </w:pPr>
    <w:rPr>
      <w:rFonts w:ascii="Palatino Linotype" w:hAnsi="Palatino Linotype" w:eastAsia="Times New Roman" w:cs="Times New Roman"/>
      <w:snapToGrid w:val="0"/>
      <w:color w:val="000000"/>
      <w:sz w:val="24"/>
      <w:szCs w:val="22"/>
      <w:lang w:val="en-MY" w:eastAsia="de-DE" w:bidi="en-US"/>
    </w:rPr>
  </w:style>
  <w:style w:type="paragraph" w:customStyle="1" w:styleId="49">
    <w:name w:val="MDPI_3.7_itemize"/>
    <w:qFormat/>
    <w:uiPriority w:val="0"/>
    <w:pPr>
      <w:numPr>
        <w:ilvl w:val="0"/>
        <w:numId w:val="1"/>
      </w:numPr>
      <w:adjustRightInd w:val="0"/>
      <w:snapToGrid w:val="0"/>
      <w:spacing w:line="228" w:lineRule="auto"/>
      <w:jc w:val="both"/>
    </w:pPr>
    <w:rPr>
      <w:rFonts w:ascii="Palatino Linotype" w:hAnsi="Palatino Linotype" w:eastAsia="Times New Roman" w:cs="Times New Roman"/>
      <w:color w:val="000000"/>
      <w:sz w:val="24"/>
      <w:szCs w:val="22"/>
      <w:lang w:val="en-MY" w:eastAsia="de-DE" w:bidi="en-US"/>
    </w:rPr>
  </w:style>
  <w:style w:type="paragraph" w:customStyle="1" w:styleId="50">
    <w:name w:val="MDPI_3.8_bullet"/>
    <w:qFormat/>
    <w:uiPriority w:val="0"/>
    <w:pPr>
      <w:tabs>
        <w:tab w:val="left" w:pos="720"/>
      </w:tabs>
      <w:adjustRightInd w:val="0"/>
      <w:snapToGrid w:val="0"/>
      <w:spacing w:line="228" w:lineRule="auto"/>
      <w:ind w:left="720" w:hanging="720"/>
      <w:jc w:val="both"/>
    </w:pPr>
    <w:rPr>
      <w:rFonts w:ascii="Palatino Linotype" w:hAnsi="Palatino Linotype" w:eastAsia="Times New Roman" w:cs="Times New Roman"/>
      <w:color w:val="000000"/>
      <w:sz w:val="24"/>
      <w:szCs w:val="22"/>
      <w:lang w:val="en-MY" w:eastAsia="de-DE" w:bidi="en-US"/>
    </w:rPr>
  </w:style>
  <w:style w:type="paragraph" w:customStyle="1" w:styleId="51">
    <w:name w:val="MDPI_3.9_equation"/>
    <w:qFormat/>
    <w:uiPriority w:val="0"/>
    <w:pPr>
      <w:adjustRightInd w:val="0"/>
      <w:snapToGrid w:val="0"/>
      <w:spacing w:before="120" w:after="120" w:line="260" w:lineRule="atLeast"/>
      <w:ind w:left="709"/>
      <w:jc w:val="center"/>
    </w:pPr>
    <w:rPr>
      <w:rFonts w:ascii="Palatino Linotype" w:hAnsi="Palatino Linotype" w:eastAsia="Times New Roman" w:cs="Times New Roman"/>
      <w:snapToGrid w:val="0"/>
      <w:color w:val="000000"/>
      <w:sz w:val="24"/>
      <w:szCs w:val="22"/>
      <w:lang w:val="en-MY" w:eastAsia="de-DE" w:bidi="en-US"/>
    </w:rPr>
  </w:style>
  <w:style w:type="paragraph" w:customStyle="1" w:styleId="52">
    <w:name w:val="MDPI_3.a_equation_number"/>
    <w:qFormat/>
    <w:uiPriority w:val="0"/>
    <w:pPr>
      <w:spacing w:before="120" w:after="120"/>
      <w:jc w:val="right"/>
    </w:pPr>
    <w:rPr>
      <w:rFonts w:ascii="Palatino Linotype" w:hAnsi="Palatino Linotype" w:eastAsia="Times New Roman" w:cs="Times New Roman"/>
      <w:snapToGrid w:val="0"/>
      <w:color w:val="000000"/>
      <w:sz w:val="24"/>
      <w:szCs w:val="22"/>
      <w:lang w:val="en-MY" w:eastAsia="de-DE" w:bidi="en-US"/>
    </w:rPr>
  </w:style>
  <w:style w:type="paragraph" w:customStyle="1" w:styleId="53">
    <w:name w:val="MDPI_4.1_table_caption"/>
    <w:qFormat/>
    <w:uiPriority w:val="0"/>
    <w:pPr>
      <w:adjustRightInd w:val="0"/>
      <w:snapToGrid w:val="0"/>
      <w:spacing w:before="240" w:after="120" w:line="228" w:lineRule="auto"/>
      <w:ind w:left="2608"/>
      <w:jc w:val="both"/>
    </w:pPr>
    <w:rPr>
      <w:rFonts w:ascii="Palatino Linotype" w:hAnsi="Palatino Linotype" w:eastAsia="Times New Roman" w:cs="Cordia New"/>
      <w:color w:val="000000"/>
      <w:sz w:val="18"/>
      <w:szCs w:val="22"/>
      <w:lang w:val="en-MY" w:eastAsia="de-DE" w:bidi="en-US"/>
    </w:rPr>
  </w:style>
  <w:style w:type="paragraph" w:customStyle="1" w:styleId="54">
    <w:name w:val="MDPI_4.2_table_body"/>
    <w:qFormat/>
    <w:uiPriority w:val="0"/>
    <w:pPr>
      <w:adjustRightInd w:val="0"/>
      <w:snapToGrid w:val="0"/>
      <w:spacing w:line="260" w:lineRule="atLeast"/>
      <w:jc w:val="center"/>
    </w:pPr>
    <w:rPr>
      <w:rFonts w:ascii="Palatino Linotype" w:hAnsi="Palatino Linotype" w:eastAsia="Times New Roman" w:cs="Times New Roman"/>
      <w:snapToGrid w:val="0"/>
      <w:color w:val="000000"/>
      <w:sz w:val="24"/>
      <w:szCs w:val="24"/>
      <w:lang w:val="en-MY" w:eastAsia="de-DE" w:bidi="en-US"/>
    </w:rPr>
  </w:style>
  <w:style w:type="paragraph" w:customStyle="1" w:styleId="55">
    <w:name w:val="MDPI_4.3_table_footer"/>
    <w:next w:val="44"/>
    <w:qFormat/>
    <w:uiPriority w:val="0"/>
    <w:pPr>
      <w:adjustRightInd w:val="0"/>
      <w:snapToGrid w:val="0"/>
      <w:spacing w:line="228" w:lineRule="auto"/>
      <w:ind w:left="2608"/>
      <w:jc w:val="both"/>
    </w:pPr>
    <w:rPr>
      <w:rFonts w:ascii="Palatino Linotype" w:hAnsi="Palatino Linotype" w:eastAsia="Times New Roman" w:cs="Cordia New"/>
      <w:color w:val="000000"/>
      <w:sz w:val="18"/>
      <w:szCs w:val="22"/>
      <w:lang w:val="en-MY" w:eastAsia="de-DE" w:bidi="en-US"/>
    </w:rPr>
  </w:style>
  <w:style w:type="paragraph" w:customStyle="1" w:styleId="56">
    <w:name w:val="MDPI_5.1_figure_caption"/>
    <w:qFormat/>
    <w:uiPriority w:val="0"/>
    <w:pPr>
      <w:adjustRightInd w:val="0"/>
      <w:snapToGrid w:val="0"/>
      <w:spacing w:before="120" w:after="240" w:line="228" w:lineRule="auto"/>
      <w:ind w:left="2608"/>
      <w:jc w:val="both"/>
    </w:pPr>
    <w:rPr>
      <w:rFonts w:ascii="Palatino Linotype" w:hAnsi="Palatino Linotype" w:eastAsia="Times New Roman" w:cs="Times New Roman"/>
      <w:color w:val="000000"/>
      <w:sz w:val="18"/>
      <w:szCs w:val="24"/>
      <w:lang w:val="en-MY" w:eastAsia="de-DE" w:bidi="en-US"/>
    </w:rPr>
  </w:style>
  <w:style w:type="paragraph" w:customStyle="1" w:styleId="57">
    <w:name w:val="MDPI_5.2_figure"/>
    <w:qFormat/>
    <w:uiPriority w:val="0"/>
    <w:pPr>
      <w:adjustRightInd w:val="0"/>
      <w:snapToGrid w:val="0"/>
      <w:spacing w:before="240" w:after="120"/>
      <w:jc w:val="center"/>
    </w:pPr>
    <w:rPr>
      <w:rFonts w:ascii="Palatino Linotype" w:hAnsi="Palatino Linotype" w:eastAsia="Times New Roman" w:cs="Times New Roman"/>
      <w:snapToGrid w:val="0"/>
      <w:color w:val="000000"/>
      <w:sz w:val="24"/>
      <w:szCs w:val="24"/>
      <w:lang w:val="en-MY" w:eastAsia="de-DE" w:bidi="en-US"/>
    </w:rPr>
  </w:style>
  <w:style w:type="paragraph" w:customStyle="1" w:styleId="58">
    <w:name w:val="MDPI_8.1_theorem"/>
    <w:qFormat/>
    <w:uiPriority w:val="0"/>
    <w:pPr>
      <w:adjustRightInd w:val="0"/>
      <w:snapToGrid w:val="0"/>
      <w:spacing w:line="228" w:lineRule="auto"/>
      <w:ind w:left="2608"/>
      <w:jc w:val="both"/>
    </w:pPr>
    <w:rPr>
      <w:rFonts w:ascii="Palatino Linotype" w:hAnsi="Palatino Linotype" w:eastAsia="Times New Roman" w:cs="Times New Roman"/>
      <w:i/>
      <w:snapToGrid w:val="0"/>
      <w:color w:val="000000"/>
      <w:sz w:val="24"/>
      <w:szCs w:val="22"/>
      <w:lang w:val="en-MY" w:eastAsia="de-DE" w:bidi="en-US"/>
    </w:rPr>
  </w:style>
  <w:style w:type="paragraph" w:customStyle="1" w:styleId="59">
    <w:name w:val="MDPI_8.2_proof"/>
    <w:qFormat/>
    <w:uiPriority w:val="0"/>
    <w:pPr>
      <w:adjustRightInd w:val="0"/>
      <w:snapToGrid w:val="0"/>
      <w:spacing w:line="228" w:lineRule="auto"/>
      <w:ind w:left="2608"/>
      <w:jc w:val="both"/>
    </w:pPr>
    <w:rPr>
      <w:rFonts w:ascii="Palatino Linotype" w:hAnsi="Palatino Linotype" w:eastAsia="Times New Roman" w:cs="Times New Roman"/>
      <w:snapToGrid w:val="0"/>
      <w:color w:val="000000"/>
      <w:sz w:val="24"/>
      <w:szCs w:val="22"/>
      <w:lang w:val="en-MY" w:eastAsia="de-DE" w:bidi="en-US"/>
    </w:rPr>
  </w:style>
  <w:style w:type="paragraph" w:customStyle="1" w:styleId="60">
    <w:name w:val="MDPI_footer_firstpage"/>
    <w:qFormat/>
    <w:uiPriority w:val="0"/>
    <w:pPr>
      <w:tabs>
        <w:tab w:val="right" w:pos="8845"/>
      </w:tabs>
      <w:spacing w:line="160" w:lineRule="exact"/>
    </w:pPr>
    <w:rPr>
      <w:rFonts w:ascii="Palatino Linotype" w:hAnsi="Palatino Linotype" w:eastAsia="Times New Roman" w:cs="Times New Roman"/>
      <w:color w:val="000000"/>
      <w:sz w:val="16"/>
      <w:szCs w:val="24"/>
      <w:lang w:val="en-MY" w:eastAsia="de-DE" w:bidi="ar-SA"/>
    </w:rPr>
  </w:style>
  <w:style w:type="paragraph" w:customStyle="1" w:styleId="61">
    <w:name w:val="MDPI_2.3_heading3"/>
    <w:qFormat/>
    <w:uiPriority w:val="0"/>
    <w:pPr>
      <w:adjustRightInd w:val="0"/>
      <w:snapToGrid w:val="0"/>
      <w:spacing w:before="60" w:after="60" w:line="228" w:lineRule="auto"/>
      <w:ind w:left="2608"/>
      <w:outlineLvl w:val="2"/>
    </w:pPr>
    <w:rPr>
      <w:rFonts w:ascii="Palatino Linotype" w:hAnsi="Palatino Linotype" w:eastAsia="Times New Roman" w:cs="Times New Roman"/>
      <w:snapToGrid w:val="0"/>
      <w:color w:val="000000"/>
      <w:sz w:val="24"/>
      <w:szCs w:val="22"/>
      <w:lang w:val="en-MY" w:eastAsia="de-DE" w:bidi="en-US"/>
    </w:rPr>
  </w:style>
  <w:style w:type="paragraph" w:customStyle="1" w:styleId="62">
    <w:name w:val="MDPI_2.1_heading1"/>
    <w:qFormat/>
    <w:uiPriority w:val="0"/>
    <w:pPr>
      <w:adjustRightInd w:val="0"/>
      <w:snapToGrid w:val="0"/>
      <w:spacing w:before="240" w:after="60" w:line="228" w:lineRule="auto"/>
      <w:ind w:left="2608"/>
      <w:outlineLvl w:val="0"/>
    </w:pPr>
    <w:rPr>
      <w:rFonts w:ascii="Palatino Linotype" w:hAnsi="Palatino Linotype" w:eastAsia="Times New Roman" w:cs="Times New Roman"/>
      <w:b/>
      <w:snapToGrid w:val="0"/>
      <w:color w:val="000000"/>
      <w:sz w:val="24"/>
      <w:szCs w:val="22"/>
      <w:lang w:val="en-MY" w:eastAsia="de-DE" w:bidi="en-US"/>
    </w:rPr>
  </w:style>
  <w:style w:type="paragraph" w:customStyle="1" w:styleId="63">
    <w:name w:val="MDPI_2.2_heading2"/>
    <w:qFormat/>
    <w:uiPriority w:val="0"/>
    <w:pPr>
      <w:adjustRightInd w:val="0"/>
      <w:snapToGrid w:val="0"/>
      <w:spacing w:before="60" w:after="60" w:line="228" w:lineRule="auto"/>
      <w:ind w:left="2608"/>
      <w:outlineLvl w:val="1"/>
    </w:pPr>
    <w:rPr>
      <w:rFonts w:ascii="Palatino Linotype" w:hAnsi="Palatino Linotype" w:eastAsia="Times New Roman" w:cs="Times New Roman"/>
      <w:i/>
      <w:snapToGrid w:val="0"/>
      <w:color w:val="000000"/>
      <w:sz w:val="24"/>
      <w:szCs w:val="22"/>
      <w:lang w:val="en-MY" w:eastAsia="de-DE" w:bidi="en-US"/>
    </w:rPr>
  </w:style>
  <w:style w:type="paragraph" w:customStyle="1" w:styleId="64">
    <w:name w:val="MDPI_7.1_References"/>
    <w:qFormat/>
    <w:uiPriority w:val="0"/>
    <w:pPr>
      <w:tabs>
        <w:tab w:val="left" w:pos="720"/>
      </w:tabs>
      <w:adjustRightInd w:val="0"/>
      <w:snapToGrid w:val="0"/>
      <w:spacing w:line="228" w:lineRule="auto"/>
      <w:ind w:left="720" w:hanging="720"/>
      <w:jc w:val="both"/>
    </w:pPr>
    <w:rPr>
      <w:rFonts w:ascii="Palatino Linotype" w:hAnsi="Palatino Linotype" w:eastAsia="Times New Roman" w:cs="Times New Roman"/>
      <w:color w:val="000000"/>
      <w:sz w:val="18"/>
      <w:szCs w:val="24"/>
      <w:lang w:val="en-MY" w:eastAsia="de-DE" w:bidi="en-US"/>
    </w:rPr>
  </w:style>
  <w:style w:type="character" w:customStyle="1" w:styleId="65">
    <w:name w:val="批注框文本 字符"/>
    <w:link w:val="11"/>
    <w:qFormat/>
    <w:uiPriority w:val="99"/>
    <w:rPr>
      <w:rFonts w:ascii="Palatino Linotype" w:hAnsi="Palatino Linotype" w:cs="Tahoma"/>
      <w:color w:val="000000"/>
      <w:szCs w:val="18"/>
    </w:rPr>
  </w:style>
  <w:style w:type="table" w:customStyle="1" w:styleId="66">
    <w:name w:val="MDPI_4.1_three_line_table"/>
    <w:basedOn w:val="19"/>
    <w:qFormat/>
    <w:uiPriority w:val="99"/>
    <w:pPr>
      <w:adjustRightInd w:val="0"/>
      <w:snapToGrid w:val="0"/>
      <w:jc w:val="center"/>
    </w:pPr>
    <w:rPr>
      <w:rFonts w:ascii="Palatino Linotype" w:hAnsi="Palatino Linotype"/>
      <w:color w:val="000000"/>
    </w:rPr>
    <w:tblPr>
      <w:jc w:val="center"/>
      <w:tblBorders>
        <w:top w:val="single" w:color="auto" w:sz="8" w:space="0"/>
        <w:bottom w:val="single" w:color="auto" w:sz="8" w:space="0"/>
      </w:tblBorders>
    </w:tblPr>
    <w:trPr>
      <w:jc w:val="center"/>
    </w:trPr>
    <w:tcPr>
      <w:vAlign w:val="center"/>
    </w:tcPr>
    <w:tblStylePr w:type="firstRow">
      <w:rPr>
        <w:rFonts w:ascii="Palatino Linotype" w:hAnsi="Palatino Linotype"/>
        <w:b/>
        <w:i w:val="0"/>
        <w:sz w:val="20"/>
      </w:rPr>
      <w:tcPr>
        <w:tcBorders>
          <w:bottom w:val="single" w:color="auto" w:sz="4" w:space="0"/>
        </w:tcBorders>
      </w:tcPr>
    </w:tblStylePr>
  </w:style>
  <w:style w:type="character" w:customStyle="1" w:styleId="67">
    <w:name w:val="Unresolved Mention"/>
    <w:semiHidden/>
    <w:unhideWhenUsed/>
    <w:qFormat/>
    <w:uiPriority w:val="99"/>
    <w:rPr>
      <w:color w:val="605E5C"/>
      <w:shd w:val="clear" w:color="auto" w:fill="E1DFDD"/>
    </w:rPr>
  </w:style>
  <w:style w:type="table" w:customStyle="1" w:styleId="68">
    <w:name w:val="Plain Table 4"/>
    <w:basedOn w:val="19"/>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paragraph" w:customStyle="1" w:styleId="69">
    <w:name w:val="MDPI_6.1_Citation"/>
    <w:qFormat/>
    <w:uiPriority w:val="0"/>
    <w:pPr>
      <w:adjustRightInd w:val="0"/>
      <w:snapToGrid w:val="0"/>
      <w:spacing w:line="240" w:lineRule="atLeast"/>
      <w:ind w:right="113"/>
    </w:pPr>
    <w:rPr>
      <w:rFonts w:ascii="Palatino Linotype" w:hAnsi="Palatino Linotype" w:cs="Cordia New" w:eastAsiaTheme="minorEastAsia"/>
      <w:sz w:val="14"/>
      <w:szCs w:val="22"/>
      <w:lang w:val="en-MY" w:eastAsia="zh-CN" w:bidi="ar-SA"/>
    </w:rPr>
  </w:style>
  <w:style w:type="paragraph" w:customStyle="1" w:styleId="70">
    <w:name w:val="MDPI_6.2_BackMatter"/>
    <w:qFormat/>
    <w:uiPriority w:val="0"/>
    <w:pPr>
      <w:adjustRightInd w:val="0"/>
      <w:snapToGrid w:val="0"/>
      <w:spacing w:after="120" w:line="228" w:lineRule="auto"/>
      <w:ind w:left="2608"/>
      <w:jc w:val="both"/>
    </w:pPr>
    <w:rPr>
      <w:rFonts w:ascii="Palatino Linotype" w:hAnsi="Palatino Linotype" w:eastAsia="Times New Roman" w:cs="Times New Roman"/>
      <w:snapToGrid w:val="0"/>
      <w:color w:val="000000"/>
      <w:sz w:val="18"/>
      <w:szCs w:val="24"/>
      <w:lang w:val="en-MY" w:eastAsia="en-US" w:bidi="en-US"/>
    </w:rPr>
  </w:style>
  <w:style w:type="paragraph" w:customStyle="1" w:styleId="71">
    <w:name w:val="MDPI_6.3_Notes"/>
    <w:qFormat/>
    <w:uiPriority w:val="0"/>
    <w:pPr>
      <w:adjustRightInd w:val="0"/>
      <w:snapToGrid w:val="0"/>
      <w:spacing w:after="120" w:line="240" w:lineRule="atLeast"/>
      <w:ind w:right="113"/>
    </w:pPr>
    <w:rPr>
      <w:rFonts w:ascii="Palatino Linotype" w:hAnsi="Palatino Linotype" w:cs="Times New Roman" w:eastAsiaTheme="minorEastAsia"/>
      <w:snapToGrid w:val="0"/>
      <w:color w:val="000000"/>
      <w:sz w:val="14"/>
      <w:szCs w:val="24"/>
      <w:lang w:val="en-MY" w:eastAsia="en-US" w:bidi="en-US"/>
    </w:rPr>
  </w:style>
  <w:style w:type="paragraph" w:customStyle="1" w:styleId="72">
    <w:name w:val="MDPI_1.5_academic_editor"/>
    <w:qFormat/>
    <w:uiPriority w:val="0"/>
    <w:pPr>
      <w:adjustRightInd w:val="0"/>
      <w:snapToGrid w:val="0"/>
      <w:spacing w:before="120" w:line="240" w:lineRule="atLeast"/>
      <w:ind w:right="113"/>
    </w:pPr>
    <w:rPr>
      <w:rFonts w:ascii="Palatino Linotype" w:hAnsi="Palatino Linotype" w:eastAsia="Times New Roman" w:cs="Times New Roman"/>
      <w:color w:val="000000"/>
      <w:sz w:val="14"/>
      <w:szCs w:val="22"/>
      <w:lang w:val="en-MY" w:eastAsia="de-DE" w:bidi="en-US"/>
    </w:rPr>
  </w:style>
  <w:style w:type="paragraph" w:customStyle="1" w:styleId="73">
    <w:name w:val="MDPI_1.9_classification"/>
    <w:qFormat/>
    <w:uiPriority w:val="0"/>
    <w:pPr>
      <w:spacing w:before="240" w:line="260" w:lineRule="atLeast"/>
      <w:ind w:left="113"/>
      <w:jc w:val="both"/>
    </w:pPr>
    <w:rPr>
      <w:rFonts w:ascii="Palatino Linotype" w:hAnsi="Palatino Linotype" w:eastAsia="Times New Roman" w:cs="Times New Roman"/>
      <w:b/>
      <w:color w:val="000000"/>
      <w:sz w:val="24"/>
      <w:szCs w:val="22"/>
      <w:lang w:val="en-MY" w:eastAsia="de-DE" w:bidi="en-US"/>
    </w:rPr>
  </w:style>
  <w:style w:type="paragraph" w:customStyle="1" w:styleId="74">
    <w:name w:val="MDPI_4.1.1_one_table_caption"/>
    <w:qFormat/>
    <w:uiPriority w:val="0"/>
    <w:pPr>
      <w:adjustRightInd w:val="0"/>
      <w:snapToGrid w:val="0"/>
      <w:spacing w:before="240" w:after="120" w:line="260" w:lineRule="atLeast"/>
      <w:jc w:val="center"/>
    </w:pPr>
    <w:rPr>
      <w:rFonts w:ascii="Palatino Linotype" w:hAnsi="Palatino Linotype" w:cs="Cordia New" w:eastAsiaTheme="minorEastAsia"/>
      <w:color w:val="000000"/>
      <w:sz w:val="18"/>
      <w:szCs w:val="22"/>
      <w:lang w:val="en-MY" w:eastAsia="zh-CN" w:bidi="en-US"/>
    </w:rPr>
  </w:style>
  <w:style w:type="paragraph" w:customStyle="1" w:styleId="75">
    <w:name w:val="MDPI_5.1.1_one_figure_caption"/>
    <w:qFormat/>
    <w:uiPriority w:val="0"/>
    <w:pPr>
      <w:adjustRightInd w:val="0"/>
      <w:snapToGrid w:val="0"/>
      <w:spacing w:before="240" w:after="120" w:line="260" w:lineRule="atLeast"/>
      <w:jc w:val="center"/>
    </w:pPr>
    <w:rPr>
      <w:rFonts w:ascii="Palatino Linotype" w:hAnsi="Palatino Linotype" w:cs="Times New Roman" w:eastAsiaTheme="minorEastAsia"/>
      <w:color w:val="000000"/>
      <w:sz w:val="18"/>
      <w:szCs w:val="24"/>
      <w:lang w:val="en-MY" w:eastAsia="zh-CN" w:bidi="en-US"/>
    </w:rPr>
  </w:style>
  <w:style w:type="paragraph" w:customStyle="1" w:styleId="76">
    <w:name w:val="MDPI_7.2_Copyright"/>
    <w:qFormat/>
    <w:uiPriority w:val="0"/>
    <w:pPr>
      <w:adjustRightInd w:val="0"/>
      <w:snapToGrid w:val="0"/>
      <w:spacing w:before="240" w:line="240" w:lineRule="atLeast"/>
      <w:ind w:right="113"/>
    </w:pPr>
    <w:rPr>
      <w:rFonts w:ascii="Palatino Linotype" w:hAnsi="Palatino Linotype" w:eastAsia="Times New Roman" w:cs="Times New Roman"/>
      <w:snapToGrid w:val="0"/>
      <w:color w:val="000000"/>
      <w:spacing w:val="-2"/>
      <w:sz w:val="14"/>
      <w:szCs w:val="24"/>
      <w:lang w:val="en-GB" w:eastAsia="en-GB" w:bidi="ar-SA"/>
    </w:rPr>
  </w:style>
  <w:style w:type="paragraph" w:customStyle="1" w:styleId="77">
    <w:name w:val="MDPI_7.3_CopyrightImage"/>
    <w:qFormat/>
    <w:uiPriority w:val="0"/>
    <w:pPr>
      <w:adjustRightInd w:val="0"/>
      <w:snapToGrid w:val="0"/>
      <w:spacing w:after="100" w:line="260" w:lineRule="atLeast"/>
      <w:jc w:val="right"/>
    </w:pPr>
    <w:rPr>
      <w:rFonts w:ascii="Palatino Linotype" w:hAnsi="Palatino Linotype" w:eastAsia="Times New Roman" w:cs="Times New Roman"/>
      <w:color w:val="000000"/>
      <w:sz w:val="24"/>
      <w:szCs w:val="24"/>
      <w:lang w:val="en-MY" w:eastAsia="de-CH" w:bidi="ar-SA"/>
    </w:rPr>
  </w:style>
  <w:style w:type="paragraph" w:customStyle="1" w:styleId="78">
    <w:name w:val="MDPI_equationFram"/>
    <w:qFormat/>
    <w:uiPriority w:val="0"/>
    <w:pPr>
      <w:adjustRightInd w:val="0"/>
      <w:snapToGrid w:val="0"/>
      <w:spacing w:before="120" w:after="120"/>
      <w:jc w:val="center"/>
    </w:pPr>
    <w:rPr>
      <w:rFonts w:ascii="Palatino Linotype" w:hAnsi="Palatino Linotype" w:eastAsia="Times New Roman" w:cs="Times New Roman"/>
      <w:snapToGrid w:val="0"/>
      <w:color w:val="000000"/>
      <w:sz w:val="24"/>
      <w:szCs w:val="22"/>
      <w:lang w:val="en-MY" w:eastAsia="de-DE" w:bidi="en-US"/>
    </w:rPr>
  </w:style>
  <w:style w:type="paragraph" w:customStyle="1" w:styleId="79">
    <w:name w:val="MDPI_footer"/>
    <w:qFormat/>
    <w:uiPriority w:val="0"/>
    <w:pPr>
      <w:adjustRightInd w:val="0"/>
      <w:snapToGrid w:val="0"/>
      <w:spacing w:before="120" w:line="260" w:lineRule="atLeast"/>
      <w:jc w:val="center"/>
    </w:pPr>
    <w:rPr>
      <w:rFonts w:ascii="Palatino Linotype" w:hAnsi="Palatino Linotype" w:eastAsia="Times New Roman" w:cs="Times New Roman"/>
      <w:color w:val="000000"/>
      <w:sz w:val="24"/>
      <w:szCs w:val="24"/>
      <w:lang w:val="en-MY" w:eastAsia="de-DE" w:bidi="ar-SA"/>
    </w:rPr>
  </w:style>
  <w:style w:type="paragraph" w:customStyle="1" w:styleId="80">
    <w:name w:val="MDPI_header"/>
    <w:qFormat/>
    <w:uiPriority w:val="0"/>
    <w:pPr>
      <w:adjustRightInd w:val="0"/>
      <w:snapToGrid w:val="0"/>
      <w:spacing w:after="240" w:line="260" w:lineRule="atLeast"/>
      <w:jc w:val="both"/>
    </w:pPr>
    <w:rPr>
      <w:rFonts w:ascii="Palatino Linotype" w:hAnsi="Palatino Linotype" w:eastAsia="Times New Roman" w:cs="Times New Roman"/>
      <w:iCs/>
      <w:color w:val="000000"/>
      <w:sz w:val="16"/>
      <w:szCs w:val="24"/>
      <w:lang w:val="en-MY" w:eastAsia="de-DE" w:bidi="ar-SA"/>
    </w:rPr>
  </w:style>
  <w:style w:type="paragraph" w:customStyle="1" w:styleId="81">
    <w:name w:val="MDPI_header_citation"/>
    <w:qFormat/>
    <w:uiPriority w:val="0"/>
    <w:pPr>
      <w:spacing w:after="240"/>
    </w:pPr>
    <w:rPr>
      <w:rFonts w:ascii="Palatino Linotype" w:hAnsi="Palatino Linotype" w:eastAsia="Times New Roman" w:cs="Times New Roman"/>
      <w:snapToGrid w:val="0"/>
      <w:color w:val="000000"/>
      <w:sz w:val="18"/>
      <w:szCs w:val="24"/>
      <w:lang w:val="en-MY" w:eastAsia="de-DE" w:bidi="en-US"/>
    </w:rPr>
  </w:style>
  <w:style w:type="paragraph" w:customStyle="1" w:styleId="82">
    <w:name w:val="MDPI_header_mdpi_logo"/>
    <w:qFormat/>
    <w:uiPriority w:val="0"/>
    <w:pPr>
      <w:adjustRightInd w:val="0"/>
      <w:snapToGrid w:val="0"/>
      <w:spacing w:line="260" w:lineRule="atLeast"/>
      <w:jc w:val="right"/>
    </w:pPr>
    <w:rPr>
      <w:rFonts w:ascii="Palatino Linotype" w:hAnsi="Palatino Linotype" w:eastAsia="Times New Roman" w:cs="Times New Roman"/>
      <w:color w:val="000000"/>
      <w:sz w:val="24"/>
      <w:szCs w:val="22"/>
      <w:lang w:val="en-MY" w:eastAsia="de-CH" w:bidi="ar-SA"/>
    </w:rPr>
  </w:style>
  <w:style w:type="table" w:customStyle="1" w:styleId="83">
    <w:name w:val="MDPI_Table"/>
    <w:basedOn w:val="19"/>
    <w:qFormat/>
    <w:uiPriority w:val="99"/>
    <w:rPr>
      <w:rFonts w:ascii="Palatino Linotype" w:hAnsi="Palatino Linotype"/>
      <w:color w:val="000000"/>
      <w:lang w:val="en-CA" w:eastAsia="en-US"/>
    </w:rPr>
    <w:tblPr>
      <w:tblCellMar>
        <w:left w:w="0" w:type="dxa"/>
        <w:right w:w="0" w:type="dxa"/>
      </w:tblCellMar>
    </w:tblPr>
  </w:style>
  <w:style w:type="paragraph" w:customStyle="1" w:styleId="84">
    <w:name w:val="MDPI_text"/>
    <w:qFormat/>
    <w:uiPriority w:val="0"/>
    <w:pPr>
      <w:spacing w:line="260" w:lineRule="atLeast"/>
      <w:ind w:left="425" w:right="425" w:firstLine="284"/>
      <w:jc w:val="both"/>
    </w:pPr>
    <w:rPr>
      <w:rFonts w:ascii="Times New Roman" w:hAnsi="Times New Roman" w:eastAsia="Times New Roman" w:cs="Times New Roman"/>
      <w:snapToGrid w:val="0"/>
      <w:color w:val="000000"/>
      <w:sz w:val="22"/>
      <w:szCs w:val="22"/>
      <w:lang w:val="en-MY" w:eastAsia="de-DE" w:bidi="en-US"/>
    </w:rPr>
  </w:style>
  <w:style w:type="paragraph" w:customStyle="1" w:styleId="85">
    <w:name w:val="MDPI_title"/>
    <w:qFormat/>
    <w:uiPriority w:val="0"/>
    <w:pPr>
      <w:adjustRightInd w:val="0"/>
      <w:snapToGrid w:val="0"/>
      <w:spacing w:after="240" w:line="260" w:lineRule="atLeast"/>
      <w:jc w:val="both"/>
    </w:pPr>
    <w:rPr>
      <w:rFonts w:ascii="Palatino Linotype" w:hAnsi="Palatino Linotype" w:eastAsia="Times New Roman" w:cs="Times New Roman"/>
      <w:b/>
      <w:snapToGrid w:val="0"/>
      <w:color w:val="000000"/>
      <w:sz w:val="36"/>
      <w:szCs w:val="24"/>
      <w:lang w:val="en-MY" w:eastAsia="de-DE" w:bidi="en-US"/>
    </w:rPr>
  </w:style>
  <w:style w:type="character" w:customStyle="1" w:styleId="86">
    <w:name w:val="apple-converted-space"/>
    <w:qFormat/>
    <w:uiPriority w:val="0"/>
  </w:style>
  <w:style w:type="paragraph" w:customStyle="1" w:styleId="87">
    <w:name w:val="Bibliography"/>
    <w:basedOn w:val="1"/>
    <w:next w:val="1"/>
    <w:semiHidden/>
    <w:unhideWhenUsed/>
    <w:qFormat/>
    <w:uiPriority w:val="37"/>
  </w:style>
  <w:style w:type="character" w:customStyle="1" w:styleId="88">
    <w:name w:val="正文文本 字符"/>
    <w:link w:val="9"/>
    <w:qFormat/>
    <w:uiPriority w:val="0"/>
    <w:rPr>
      <w:rFonts w:ascii="Palatino Linotype" w:hAnsi="Palatino Linotype"/>
      <w:color w:val="000000"/>
      <w:sz w:val="24"/>
      <w:lang w:eastAsia="de-DE"/>
    </w:rPr>
  </w:style>
  <w:style w:type="character" w:customStyle="1" w:styleId="89">
    <w:name w:val="批注文字 字符"/>
    <w:link w:val="8"/>
    <w:qFormat/>
    <w:uiPriority w:val="0"/>
    <w:rPr>
      <w:rFonts w:ascii="Palatino Linotype" w:hAnsi="Palatino Linotype"/>
      <w:color w:val="000000"/>
    </w:rPr>
  </w:style>
  <w:style w:type="character" w:customStyle="1" w:styleId="90">
    <w:name w:val="批注主题 字符"/>
    <w:link w:val="18"/>
    <w:qFormat/>
    <w:uiPriority w:val="0"/>
    <w:rPr>
      <w:rFonts w:ascii="Palatino Linotype" w:hAnsi="Palatino Linotype"/>
      <w:b/>
      <w:bCs/>
      <w:color w:val="000000"/>
    </w:rPr>
  </w:style>
  <w:style w:type="character" w:customStyle="1" w:styleId="91">
    <w:name w:val="尾注文本 字符"/>
    <w:link w:val="10"/>
    <w:semiHidden/>
    <w:qFormat/>
    <w:uiPriority w:val="0"/>
    <w:rPr>
      <w:rFonts w:ascii="Palatino Linotype" w:hAnsi="Palatino Linotype"/>
      <w:color w:val="000000"/>
    </w:rPr>
  </w:style>
  <w:style w:type="character" w:customStyle="1" w:styleId="92">
    <w:name w:val="脚注文本 字符"/>
    <w:link w:val="15"/>
    <w:semiHidden/>
    <w:qFormat/>
    <w:uiPriority w:val="0"/>
    <w:rPr>
      <w:rFonts w:ascii="Palatino Linotype" w:hAnsi="Palatino Linotype"/>
      <w:color w:val="000000"/>
    </w:rPr>
  </w:style>
  <w:style w:type="paragraph" w:customStyle="1" w:styleId="93">
    <w:name w:val="MsoFootnoteText"/>
    <w:basedOn w:val="16"/>
    <w:qFormat/>
    <w:uiPriority w:val="0"/>
  </w:style>
  <w:style w:type="character" w:styleId="94">
    <w:name w:val="Placeholder Text"/>
    <w:semiHidden/>
    <w:qFormat/>
    <w:uiPriority w:val="99"/>
    <w:rPr>
      <w:color w:val="808080"/>
    </w:rPr>
  </w:style>
  <w:style w:type="paragraph" w:customStyle="1" w:styleId="95">
    <w:name w:val="MDPI_7.1_FootNotes"/>
    <w:qFormat/>
    <w:uiPriority w:val="0"/>
    <w:pPr>
      <w:tabs>
        <w:tab w:val="left" w:pos="720"/>
      </w:tabs>
      <w:adjustRightInd w:val="0"/>
      <w:snapToGrid w:val="0"/>
      <w:spacing w:line="228" w:lineRule="auto"/>
      <w:ind w:left="720" w:hanging="720"/>
    </w:pPr>
    <w:rPr>
      <w:rFonts w:ascii="Palatino Linotype" w:hAnsi="Palatino Linotype" w:cs="Times New Roman" w:eastAsiaTheme="minorEastAsia"/>
      <w:color w:val="000000"/>
      <w:sz w:val="18"/>
      <w:szCs w:val="24"/>
      <w:lang w:val="en-MY" w:eastAsia="zh-CN" w:bidi="ar-SA"/>
    </w:rPr>
  </w:style>
  <w:style w:type="paragraph" w:styleId="96">
    <w:name w:val="List Paragraph"/>
    <w:basedOn w:val="1"/>
    <w:qFormat/>
    <w:uiPriority w:val="34"/>
    <w:pPr>
      <w:spacing w:after="160" w:line="259" w:lineRule="auto"/>
      <w:ind w:left="720"/>
      <w:contextualSpacing/>
    </w:pPr>
    <w:rPr>
      <w:rFonts w:asciiTheme="minorHAnsi" w:hAnsiTheme="minorHAnsi" w:eastAsiaTheme="minorEastAsia" w:cstheme="minorBidi"/>
      <w:sz w:val="22"/>
      <w:szCs w:val="22"/>
      <w:lang w:eastAsia="zh-TW"/>
    </w:rPr>
  </w:style>
  <w:style w:type="table" w:customStyle="1" w:styleId="97">
    <w:name w:val="_Style 95"/>
    <w:basedOn w:val="19"/>
    <w:qFormat/>
    <w:uiPriority w:val="0"/>
    <w:tblPr>
      <w:tblCellMar>
        <w:top w:w="100" w:type="dxa"/>
        <w:left w:w="100" w:type="dxa"/>
        <w:bottom w:w="100" w:type="dxa"/>
        <w:right w:w="100" w:type="dxa"/>
      </w:tblCellMar>
    </w:tblPr>
  </w:style>
  <w:style w:type="table" w:customStyle="1" w:styleId="98">
    <w:name w:val="_Style 96"/>
    <w:basedOn w:val="19"/>
    <w:qFormat/>
    <w:uiPriority w:val="0"/>
    <w:tblPr>
      <w:tblCellMar>
        <w:top w:w="100" w:type="dxa"/>
        <w:left w:w="100" w:type="dxa"/>
        <w:bottom w:w="100" w:type="dxa"/>
        <w:right w:w="100" w:type="dxa"/>
      </w:tblCellMar>
    </w:tblPr>
  </w:style>
  <w:style w:type="table" w:customStyle="1" w:styleId="99">
    <w:name w:val="_Style 97"/>
    <w:basedOn w:val="19"/>
    <w:qFormat/>
    <w:uiPriority w:val="0"/>
    <w:tblPr>
      <w:tblCellMar>
        <w:top w:w="100" w:type="dxa"/>
        <w:left w:w="100" w:type="dxa"/>
        <w:bottom w:w="100" w:type="dxa"/>
        <w:right w:w="100" w:type="dxa"/>
      </w:tblCellMar>
    </w:tblPr>
  </w:style>
  <w:style w:type="table" w:customStyle="1" w:styleId="100">
    <w:name w:val="_Style 98"/>
    <w:basedOn w:val="19"/>
    <w:qFormat/>
    <w:uiPriority w:val="0"/>
    <w:tblPr>
      <w:tblCellMar>
        <w:left w:w="0" w:type="dxa"/>
        <w:right w:w="0" w:type="dxa"/>
      </w:tblCellMar>
    </w:tblPr>
  </w:style>
  <w:style w:type="paragraph" w:customStyle="1" w:styleId="101">
    <w:name w:val="21 Table-Contents-Left"/>
    <w:basedOn w:val="1"/>
    <w:qFormat/>
    <w:uiPriority w:val="0"/>
    <w:rPr>
      <w:rFonts w:eastAsia="MS Mincho"/>
      <w:sz w:val="20"/>
      <w:lang w:val="en-US" w:eastAsia="zh-CN"/>
    </w:rPr>
  </w:style>
  <w:style w:type="paragraph" w:customStyle="1" w:styleId="102">
    <w:name w:val="20 Table-Contents-Center"/>
    <w:basedOn w:val="1"/>
    <w:qFormat/>
    <w:uiPriority w:val="0"/>
    <w:pPr>
      <w:jc w:val="center"/>
    </w:pPr>
    <w:rPr>
      <w:rFonts w:eastAsia="MS Mincho"/>
      <w:sz w:val="20"/>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nS+uEO2ne1P1Z3XPOxXiXaclA==">CgMxLjA4AGomChRzdWdnZXN0LnNhbTJ0c3UzeXUyeRIOSnVybmFsIGUtQmFuZ2lyITFfNWtfTlNmQTlObXEyeFR1OWJfcURmOVVhekJibGVnTA==</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Normal.dotm</Template>
  <Pages>11</Pages>
  <Words>5474</Words>
  <Characters>32564</Characters>
  <Lines>611</Lines>
  <Paragraphs>238</Paragraphs>
  <TotalTime>75</TotalTime>
  <ScaleCrop>false</ScaleCrop>
  <LinksUpToDate>false</LinksUpToDate>
  <CharactersWithSpaces>37858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2022-09-08T11:01:00Z</dcterms:created>
  <dc:creator>nazirah hassan</dc:creator>
  <cp:lastModifiedBy>如飞</cp:lastModifiedBy>
  <dcterms:modified xsi:type="dcterms:W3CDTF">2025-08-06T15:31:02Z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eyJoZGlkIjoiZTA4NzIyN2MxYTlmMzQ1NGE2MjU5NWRkMjhlOGMxYTAiLCJ1c2VySWQiOiIzNDc5MjA2MTYifQ==</vt:lpwstr>
  </property>
  <property fmtid="{D5CDD505-2E9C-101B-9397-08002B2CF9AE}" pid="3" name="KSOProductBuildVer">
    <vt:lpwstr>2052-12.1.0.21915</vt:lpwstr>
  </property>
  <property fmtid="{D5CDD505-2E9C-101B-9397-08002B2CF9AE}" pid="4" name="ICV">
    <vt:lpwstr>3E357E2ED2864DD290FF8CED9A6EE1C0_12</vt:lpwstr>
  </property>
</Properties>
</file>