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89B2B" w14:textId="3924A7FB" w:rsidR="00841502" w:rsidRDefault="003D61AB" w:rsidP="003601B5">
      <w:pPr>
        <w:spacing w:line="360" w:lineRule="auto"/>
        <w:contextualSpacing/>
        <w:jc w:val="center"/>
        <w:rPr>
          <w:b/>
          <w:sz w:val="28"/>
          <w:szCs w:val="28"/>
        </w:rPr>
      </w:pPr>
      <w:r w:rsidRPr="00007717">
        <w:rPr>
          <w:b/>
          <w:sz w:val="28"/>
          <w:szCs w:val="28"/>
        </w:rPr>
        <w:t>Contextu</w:t>
      </w:r>
      <w:r w:rsidR="00411820">
        <w:rPr>
          <w:b/>
          <w:sz w:val="28"/>
          <w:szCs w:val="28"/>
        </w:rPr>
        <w:fldChar w:fldCharType="begin"/>
      </w:r>
      <w:r w:rsidR="00411820">
        <w:rPr>
          <w:b/>
          <w:sz w:val="28"/>
          <w:szCs w:val="28"/>
        </w:rPr>
        <w:instrText xml:space="preserve"> </w:instrText>
      </w:r>
      <w:r w:rsidR="00411820">
        <w:rPr>
          <w:b/>
          <w:sz w:val="28"/>
          <w:szCs w:val="28"/>
        </w:rPr>
        <w:fldChar w:fldCharType="end"/>
      </w:r>
      <w:r w:rsidRPr="00007717">
        <w:rPr>
          <w:b/>
          <w:sz w:val="28"/>
          <w:szCs w:val="28"/>
        </w:rPr>
        <w:t>al la</w:t>
      </w:r>
      <w:r w:rsidR="00B02B70">
        <w:rPr>
          <w:b/>
          <w:sz w:val="28"/>
          <w:szCs w:val="28"/>
        </w:rPr>
        <w:t>yers in the establishment of</w:t>
      </w:r>
      <w:r w:rsidR="000263CA" w:rsidRPr="00007717">
        <w:rPr>
          <w:b/>
          <w:sz w:val="28"/>
          <w:szCs w:val="28"/>
        </w:rPr>
        <w:t xml:space="preserve"> research niche</w:t>
      </w:r>
      <w:r w:rsidR="002769C7" w:rsidRPr="00007717">
        <w:rPr>
          <w:b/>
          <w:sz w:val="28"/>
          <w:szCs w:val="28"/>
        </w:rPr>
        <w:t xml:space="preserve"> in </w:t>
      </w:r>
      <w:r w:rsidR="003F6C0E" w:rsidRPr="00007717">
        <w:rPr>
          <w:b/>
          <w:sz w:val="28"/>
          <w:szCs w:val="28"/>
        </w:rPr>
        <w:t>D</w:t>
      </w:r>
      <w:r w:rsidR="00F96CFC">
        <w:rPr>
          <w:b/>
          <w:sz w:val="28"/>
          <w:szCs w:val="28"/>
        </w:rPr>
        <w:t>octoral</w:t>
      </w:r>
      <w:r w:rsidR="003F6C0E" w:rsidRPr="00007717">
        <w:rPr>
          <w:b/>
          <w:sz w:val="28"/>
          <w:szCs w:val="28"/>
        </w:rPr>
        <w:t xml:space="preserve"> thesis </w:t>
      </w:r>
      <w:r w:rsidR="00F04AB3">
        <w:rPr>
          <w:b/>
          <w:sz w:val="28"/>
          <w:szCs w:val="28"/>
        </w:rPr>
        <w:t xml:space="preserve">introductions </w:t>
      </w:r>
      <w:r w:rsidR="001708A6">
        <w:rPr>
          <w:b/>
          <w:sz w:val="28"/>
          <w:szCs w:val="28"/>
        </w:rPr>
        <w:t>by Malaysian</w:t>
      </w:r>
      <w:r w:rsidR="003F6C0E" w:rsidRPr="00007717">
        <w:rPr>
          <w:b/>
          <w:sz w:val="28"/>
          <w:szCs w:val="28"/>
        </w:rPr>
        <w:t xml:space="preserve"> writers</w:t>
      </w:r>
    </w:p>
    <w:p w14:paraId="32BF24DB" w14:textId="77777777" w:rsidR="00797329" w:rsidRDefault="00797329" w:rsidP="00797329">
      <w:pPr>
        <w:spacing w:line="240" w:lineRule="auto"/>
        <w:contextualSpacing/>
        <w:jc w:val="center"/>
        <w:rPr>
          <w:b/>
          <w:sz w:val="28"/>
          <w:szCs w:val="28"/>
        </w:rPr>
      </w:pPr>
    </w:p>
    <w:p w14:paraId="1381BAA3" w14:textId="77777777" w:rsidR="00797329" w:rsidRPr="00ED7448" w:rsidRDefault="00797329" w:rsidP="003601B5">
      <w:pPr>
        <w:spacing w:line="360" w:lineRule="auto"/>
        <w:contextualSpacing/>
        <w:jc w:val="center"/>
        <w:rPr>
          <w:b/>
          <w:sz w:val="28"/>
          <w:szCs w:val="28"/>
        </w:rPr>
      </w:pPr>
    </w:p>
    <w:p w14:paraId="61A70D71" w14:textId="77777777" w:rsidR="002769C7" w:rsidRPr="00BC19FC" w:rsidRDefault="002769C7" w:rsidP="003601B5">
      <w:pPr>
        <w:keepNext/>
        <w:spacing w:after="120" w:line="360" w:lineRule="auto"/>
        <w:contextualSpacing/>
        <w:jc w:val="both"/>
        <w:rPr>
          <w:b/>
        </w:rPr>
      </w:pPr>
      <w:r w:rsidRPr="00BC19FC">
        <w:rPr>
          <w:b/>
        </w:rPr>
        <w:t>Abstract</w:t>
      </w:r>
    </w:p>
    <w:p w14:paraId="4D018ADA" w14:textId="77777777" w:rsidR="00951A3C" w:rsidRDefault="00951A3C" w:rsidP="003601B5">
      <w:pPr>
        <w:spacing w:after="240" w:line="360" w:lineRule="auto"/>
        <w:contextualSpacing/>
        <w:jc w:val="both"/>
        <w:rPr>
          <w:rFonts w:eastAsia="Times New Roman"/>
          <w:lang w:val="en-AU"/>
        </w:rPr>
      </w:pPr>
    </w:p>
    <w:p w14:paraId="60BB8170" w14:textId="50BF7FE7" w:rsidR="00F7642C" w:rsidRDefault="00F7642C" w:rsidP="003601B5">
      <w:pPr>
        <w:spacing w:after="240" w:line="360" w:lineRule="auto"/>
        <w:contextualSpacing/>
        <w:jc w:val="both"/>
        <w:rPr>
          <w:rFonts w:eastAsia="Times New Roman"/>
          <w:lang w:val="en-AU"/>
        </w:rPr>
      </w:pPr>
      <w:r w:rsidRPr="00007717">
        <w:rPr>
          <w:rFonts w:eastAsia="Times New Roman"/>
          <w:lang w:val="en-AU"/>
        </w:rPr>
        <w:t>One of the key</w:t>
      </w:r>
      <w:r w:rsidR="000263CA" w:rsidRPr="00007717">
        <w:rPr>
          <w:rFonts w:eastAsia="Times New Roman"/>
          <w:lang w:val="en-AU"/>
        </w:rPr>
        <w:t xml:space="preserve"> moves in </w:t>
      </w:r>
      <w:r w:rsidR="005A1C2A" w:rsidRPr="00007717">
        <w:rPr>
          <w:rFonts w:eastAsia="Times New Roman"/>
          <w:lang w:val="en-AU"/>
        </w:rPr>
        <w:t>thesis</w:t>
      </w:r>
      <w:r w:rsidR="000263CA" w:rsidRPr="00007717">
        <w:rPr>
          <w:rFonts w:eastAsia="Times New Roman"/>
          <w:lang w:val="en-AU"/>
        </w:rPr>
        <w:t xml:space="preserve"> introductions in terms of </w:t>
      </w:r>
      <w:proofErr w:type="spellStart"/>
      <w:r w:rsidR="000263CA" w:rsidRPr="00007717">
        <w:rPr>
          <w:rFonts w:eastAsia="Times New Roman"/>
          <w:lang w:val="en-AU"/>
        </w:rPr>
        <w:t>Swales’s</w:t>
      </w:r>
      <w:proofErr w:type="spellEnd"/>
      <w:r w:rsidR="000263CA" w:rsidRPr="00007717">
        <w:rPr>
          <w:rFonts w:eastAsia="Times New Roman"/>
          <w:lang w:val="en-AU"/>
        </w:rPr>
        <w:t xml:space="preserve"> CARS is Move 2: Establishing the Niche. It is where researchers provide the justifications of the study after introducing the general area of the research.</w:t>
      </w:r>
      <w:r w:rsidRPr="00007717">
        <w:rPr>
          <w:rFonts w:eastAsia="Times New Roman"/>
          <w:lang w:val="en-AU"/>
        </w:rPr>
        <w:t xml:space="preserve"> </w:t>
      </w:r>
      <w:r w:rsidR="005A1C2A" w:rsidRPr="00007717">
        <w:rPr>
          <w:rFonts w:eastAsia="Times New Roman"/>
          <w:lang w:val="en-AU"/>
        </w:rPr>
        <w:t>However, r</w:t>
      </w:r>
      <w:r w:rsidR="00415F41" w:rsidRPr="00007717">
        <w:rPr>
          <w:rFonts w:eastAsia="Times New Roman"/>
          <w:lang w:val="en-AU"/>
        </w:rPr>
        <w:t xml:space="preserve">esearch findings of prior work </w:t>
      </w:r>
      <w:r w:rsidRPr="00007717">
        <w:rPr>
          <w:rFonts w:eastAsia="Times New Roman"/>
          <w:lang w:val="en-AU"/>
        </w:rPr>
        <w:t>ha</w:t>
      </w:r>
      <w:r w:rsidR="00B228AC">
        <w:rPr>
          <w:rFonts w:eastAsia="Times New Roman"/>
          <w:lang w:val="en-AU"/>
        </w:rPr>
        <w:t>ve</w:t>
      </w:r>
      <w:r w:rsidRPr="00007717">
        <w:rPr>
          <w:rFonts w:eastAsia="Times New Roman"/>
          <w:lang w:val="en-AU"/>
        </w:rPr>
        <w:t xml:space="preserve"> focused on</w:t>
      </w:r>
      <w:r w:rsidR="00415F41" w:rsidRPr="00007717">
        <w:rPr>
          <w:rFonts w:eastAsia="Times New Roman"/>
          <w:lang w:val="en-AU"/>
        </w:rPr>
        <w:t xml:space="preserve"> thesis</w:t>
      </w:r>
      <w:r w:rsidRPr="00007717">
        <w:rPr>
          <w:rFonts w:eastAsia="Times New Roman"/>
          <w:lang w:val="en-AU"/>
        </w:rPr>
        <w:t xml:space="preserve"> introductions relates to how texts are constructed an</w:t>
      </w:r>
      <w:r w:rsidR="00415F41" w:rsidRPr="00007717">
        <w:rPr>
          <w:rFonts w:eastAsia="Times New Roman"/>
          <w:lang w:val="en-AU"/>
        </w:rPr>
        <w:t xml:space="preserve">d organised in systematic ways </w:t>
      </w:r>
      <w:r w:rsidRPr="00007717">
        <w:rPr>
          <w:rFonts w:eastAsia="Times New Roman"/>
          <w:lang w:val="en-AU"/>
        </w:rPr>
        <w:t>in</w:t>
      </w:r>
      <w:r w:rsidR="0043265D" w:rsidRPr="00007717">
        <w:rPr>
          <w:rFonts w:eastAsia="Times New Roman"/>
          <w:lang w:val="en-AU"/>
        </w:rPr>
        <w:t xml:space="preserve"> terms of </w:t>
      </w:r>
      <w:proofErr w:type="spellStart"/>
      <w:r w:rsidR="0043265D" w:rsidRPr="00007717">
        <w:rPr>
          <w:rFonts w:eastAsia="Times New Roman"/>
          <w:lang w:val="en-AU"/>
        </w:rPr>
        <w:t>Swales’s</w:t>
      </w:r>
      <w:proofErr w:type="spellEnd"/>
      <w:r w:rsidR="00092A12" w:rsidRPr="00007717">
        <w:rPr>
          <w:rFonts w:eastAsia="Times New Roman"/>
          <w:lang w:val="en-AU"/>
        </w:rPr>
        <w:t xml:space="preserve"> (1990) CARS moves and step</w:t>
      </w:r>
      <w:r w:rsidR="00A76878">
        <w:rPr>
          <w:rFonts w:eastAsia="Times New Roman"/>
          <w:lang w:val="en-AU"/>
        </w:rPr>
        <w:t>s</w:t>
      </w:r>
      <w:r w:rsidRPr="00007717">
        <w:rPr>
          <w:rFonts w:eastAsia="Times New Roman"/>
          <w:lang w:val="en-AU"/>
        </w:rPr>
        <w:t xml:space="preserve"> and how these two organisational elements assist in achieving the overall p</w:t>
      </w:r>
      <w:r w:rsidR="005A1C2A" w:rsidRPr="00007717">
        <w:rPr>
          <w:rFonts w:eastAsia="Times New Roman"/>
          <w:lang w:val="en-AU"/>
        </w:rPr>
        <w:t>urpose of the genre. T</w:t>
      </w:r>
      <w:r w:rsidR="00415F41" w:rsidRPr="00007717">
        <w:rPr>
          <w:rFonts w:eastAsia="Times New Roman"/>
          <w:lang w:val="en-AU"/>
        </w:rPr>
        <w:t>hese</w:t>
      </w:r>
      <w:r w:rsidR="009F3C59" w:rsidRPr="00007717">
        <w:rPr>
          <w:rFonts w:eastAsia="Times New Roman"/>
          <w:lang w:val="en-AU"/>
        </w:rPr>
        <w:t xml:space="preserve"> move analysi</w:t>
      </w:r>
      <w:r w:rsidRPr="00007717">
        <w:rPr>
          <w:rFonts w:eastAsia="Times New Roman"/>
          <w:lang w:val="en-AU"/>
        </w:rPr>
        <w:t>s</w:t>
      </w:r>
      <w:r w:rsidR="00415F41" w:rsidRPr="00007717">
        <w:rPr>
          <w:rFonts w:eastAsia="Times New Roman"/>
          <w:lang w:val="en-AU"/>
        </w:rPr>
        <w:t xml:space="preserve"> studies</w:t>
      </w:r>
      <w:r w:rsidRPr="00007717">
        <w:rPr>
          <w:rFonts w:eastAsia="Times New Roman"/>
          <w:lang w:val="en-AU"/>
        </w:rPr>
        <w:t xml:space="preserve"> of Introductions </w:t>
      </w:r>
      <w:r w:rsidR="00415F41" w:rsidRPr="00007717">
        <w:rPr>
          <w:rFonts w:eastAsia="Times New Roman"/>
          <w:lang w:val="en-AU"/>
        </w:rPr>
        <w:t>do not</w:t>
      </w:r>
      <w:r w:rsidRPr="00007717">
        <w:rPr>
          <w:rFonts w:eastAsia="Times New Roman"/>
          <w:lang w:val="en-AU"/>
        </w:rPr>
        <w:t xml:space="preserve"> look</w:t>
      </w:r>
      <w:r w:rsidR="009F3C59" w:rsidRPr="00007717">
        <w:rPr>
          <w:rFonts w:eastAsia="Times New Roman"/>
          <w:lang w:val="en-AU"/>
        </w:rPr>
        <w:t xml:space="preserve"> </w:t>
      </w:r>
      <w:r w:rsidR="00D74047">
        <w:rPr>
          <w:rFonts w:eastAsia="Times New Roman"/>
          <w:lang w:val="en-AU"/>
        </w:rPr>
        <w:t xml:space="preserve">at </w:t>
      </w:r>
      <w:r w:rsidR="009F3C59" w:rsidRPr="00007717">
        <w:rPr>
          <w:rFonts w:eastAsia="Times New Roman"/>
          <w:lang w:val="en-AU"/>
        </w:rPr>
        <w:t>and explain</w:t>
      </w:r>
      <w:r w:rsidRPr="00007717">
        <w:rPr>
          <w:rFonts w:eastAsia="Times New Roman"/>
          <w:lang w:val="en-AU"/>
        </w:rPr>
        <w:t xml:space="preserve"> </w:t>
      </w:r>
      <w:r w:rsidR="00092A12" w:rsidRPr="00007717">
        <w:rPr>
          <w:rFonts w:eastAsia="Times New Roman"/>
          <w:lang w:val="en-AU"/>
        </w:rPr>
        <w:t>why each</w:t>
      </w:r>
      <w:r w:rsidRPr="00007717">
        <w:rPr>
          <w:rFonts w:eastAsia="Times New Roman"/>
          <w:lang w:val="en-AU"/>
        </w:rPr>
        <w:t xml:space="preserve"> move and step</w:t>
      </w:r>
      <w:r w:rsidR="00092A12" w:rsidRPr="00007717">
        <w:rPr>
          <w:rFonts w:eastAsia="Times New Roman"/>
          <w:lang w:val="en-AU"/>
        </w:rPr>
        <w:t xml:space="preserve"> are written the way they </w:t>
      </w:r>
      <w:r w:rsidR="00D74047">
        <w:rPr>
          <w:rFonts w:eastAsia="Times New Roman"/>
          <w:lang w:val="en-AU"/>
        </w:rPr>
        <w:t xml:space="preserve">are </w:t>
      </w:r>
      <w:r w:rsidRPr="00007717">
        <w:rPr>
          <w:rFonts w:eastAsia="Times New Roman"/>
          <w:lang w:val="en-AU"/>
        </w:rPr>
        <w:t xml:space="preserve">through the lens of </w:t>
      </w:r>
      <w:r w:rsidR="00415F41" w:rsidRPr="00007717">
        <w:rPr>
          <w:rFonts w:eastAsia="Times New Roman"/>
          <w:lang w:val="en-AU"/>
        </w:rPr>
        <w:t xml:space="preserve">various contextual layers. </w:t>
      </w:r>
      <w:r w:rsidR="00FD53BC" w:rsidRPr="00007717">
        <w:rPr>
          <w:rFonts w:eastAsia="Times New Roman"/>
          <w:lang w:val="en-AU"/>
        </w:rPr>
        <w:t>This study</w:t>
      </w:r>
      <w:r w:rsidR="009F3C59" w:rsidRPr="00007717">
        <w:rPr>
          <w:rFonts w:eastAsia="Times New Roman"/>
          <w:lang w:val="en-AU"/>
        </w:rPr>
        <w:t xml:space="preserve"> </w:t>
      </w:r>
      <w:r w:rsidR="00D74047">
        <w:rPr>
          <w:rFonts w:eastAsia="Times New Roman"/>
          <w:lang w:val="en-AU"/>
        </w:rPr>
        <w:t xml:space="preserve">examines </w:t>
      </w:r>
      <w:r w:rsidR="00FD53BC" w:rsidRPr="00007717">
        <w:rPr>
          <w:rFonts w:eastAsia="Times New Roman"/>
          <w:lang w:val="en-AU"/>
        </w:rPr>
        <w:t xml:space="preserve">the structure of </w:t>
      </w:r>
      <w:r w:rsidR="003F6C0E" w:rsidRPr="00007717">
        <w:rPr>
          <w:rFonts w:eastAsia="Times New Roman"/>
          <w:lang w:val="en-AU"/>
        </w:rPr>
        <w:t>the introductory chapter</w:t>
      </w:r>
      <w:r w:rsidR="00FD53BC" w:rsidRPr="00007717">
        <w:rPr>
          <w:rFonts w:eastAsia="Times New Roman"/>
          <w:lang w:val="en-AU"/>
        </w:rPr>
        <w:t xml:space="preserve"> </w:t>
      </w:r>
      <w:r w:rsidR="008C3D14">
        <w:rPr>
          <w:rFonts w:eastAsia="Times New Roman"/>
          <w:lang w:val="en-AU"/>
        </w:rPr>
        <w:t xml:space="preserve">of theses </w:t>
      </w:r>
      <w:r w:rsidR="00FD53BC" w:rsidRPr="00007717">
        <w:rPr>
          <w:rFonts w:eastAsia="Times New Roman"/>
          <w:lang w:val="en-AU"/>
        </w:rPr>
        <w:t xml:space="preserve">by </w:t>
      </w:r>
      <w:r w:rsidR="00E35221" w:rsidRPr="00007717">
        <w:rPr>
          <w:rFonts w:eastAsia="Times New Roman"/>
          <w:lang w:val="en-AU"/>
        </w:rPr>
        <w:t xml:space="preserve">eight </w:t>
      </w:r>
      <w:r w:rsidR="008857D6">
        <w:rPr>
          <w:rFonts w:eastAsia="Times New Roman"/>
          <w:lang w:val="en-AU"/>
        </w:rPr>
        <w:t>ESL Malaysian writers</w:t>
      </w:r>
      <w:r w:rsidR="00E149A5">
        <w:rPr>
          <w:rFonts w:eastAsia="Times New Roman"/>
          <w:lang w:val="en-AU"/>
        </w:rPr>
        <w:t xml:space="preserve"> by</w:t>
      </w:r>
      <w:r w:rsidR="008857D6">
        <w:rPr>
          <w:rFonts w:eastAsia="Times New Roman"/>
          <w:lang w:val="en-AU"/>
        </w:rPr>
        <w:t xml:space="preserve"> first teasing out the linguistic</w:t>
      </w:r>
      <w:r w:rsidR="00F04AB3">
        <w:rPr>
          <w:rFonts w:eastAsia="Times New Roman"/>
          <w:lang w:val="en-AU"/>
        </w:rPr>
        <w:t xml:space="preserve"> features </w:t>
      </w:r>
      <w:r w:rsidR="008C3D14">
        <w:rPr>
          <w:rFonts w:eastAsia="Times New Roman"/>
          <w:lang w:val="en-AU"/>
        </w:rPr>
        <w:t xml:space="preserve">employed in </w:t>
      </w:r>
      <w:r w:rsidR="008857D6">
        <w:rPr>
          <w:rFonts w:eastAsia="Times New Roman"/>
          <w:lang w:val="en-AU"/>
        </w:rPr>
        <w:t>establish</w:t>
      </w:r>
      <w:r w:rsidR="008C3D14">
        <w:rPr>
          <w:rFonts w:eastAsia="Times New Roman"/>
          <w:lang w:val="en-AU"/>
        </w:rPr>
        <w:t>ing</w:t>
      </w:r>
      <w:r w:rsidR="008857D6">
        <w:rPr>
          <w:rFonts w:eastAsia="Times New Roman"/>
          <w:lang w:val="en-AU"/>
        </w:rPr>
        <w:t xml:space="preserve"> </w:t>
      </w:r>
      <w:r w:rsidR="008C3D14">
        <w:rPr>
          <w:rFonts w:eastAsia="Times New Roman"/>
          <w:lang w:val="en-AU"/>
        </w:rPr>
        <w:t xml:space="preserve">their research niche </w:t>
      </w:r>
      <w:r w:rsidR="008857D6">
        <w:rPr>
          <w:rFonts w:eastAsia="Times New Roman"/>
          <w:lang w:val="en-AU"/>
        </w:rPr>
        <w:t xml:space="preserve">and then </w:t>
      </w:r>
      <w:r w:rsidR="008C3D14">
        <w:rPr>
          <w:rFonts w:eastAsia="Times New Roman"/>
          <w:lang w:val="en-AU"/>
        </w:rPr>
        <w:t xml:space="preserve">elucidating </w:t>
      </w:r>
      <w:r w:rsidR="003F6C0E" w:rsidRPr="00007717">
        <w:rPr>
          <w:rFonts w:eastAsia="Times New Roman"/>
          <w:lang w:val="en-AU"/>
        </w:rPr>
        <w:t>how different levels of</w:t>
      </w:r>
      <w:r w:rsidR="005A1C2A" w:rsidRPr="00007717">
        <w:rPr>
          <w:rFonts w:eastAsia="Times New Roman"/>
          <w:lang w:val="en-AU"/>
        </w:rPr>
        <w:t xml:space="preserve"> context</w:t>
      </w:r>
      <w:r w:rsidR="003F6C0E" w:rsidRPr="00007717">
        <w:rPr>
          <w:rFonts w:eastAsia="Times New Roman"/>
          <w:lang w:val="en-AU"/>
        </w:rPr>
        <w:t xml:space="preserve"> </w:t>
      </w:r>
      <w:r w:rsidR="00E35221" w:rsidRPr="00007717">
        <w:rPr>
          <w:rFonts w:eastAsia="Times New Roman"/>
          <w:lang w:val="en-AU"/>
        </w:rPr>
        <w:t>influence the way they</w:t>
      </w:r>
      <w:r w:rsidR="005A1C2A" w:rsidRPr="00007717">
        <w:rPr>
          <w:rFonts w:eastAsia="Times New Roman"/>
          <w:lang w:val="en-AU"/>
        </w:rPr>
        <w:t xml:space="preserve"> establish their research niche</w:t>
      </w:r>
      <w:r w:rsidR="003F6C0E" w:rsidRPr="00007717">
        <w:rPr>
          <w:rFonts w:eastAsia="Times New Roman"/>
          <w:lang w:val="en-AU"/>
        </w:rPr>
        <w:t>.</w:t>
      </w:r>
      <w:r w:rsidR="003D61AB" w:rsidRPr="00007717">
        <w:rPr>
          <w:rFonts w:eastAsia="Times New Roman"/>
          <w:lang w:val="en-AU"/>
        </w:rPr>
        <w:t xml:space="preserve"> Adopting the</w:t>
      </w:r>
      <w:r w:rsidR="00F04AB3">
        <w:rPr>
          <w:rFonts w:eastAsia="Times New Roman"/>
          <w:lang w:val="en-AU"/>
        </w:rPr>
        <w:t xml:space="preserve"> functional-semantic approach to</w:t>
      </w:r>
      <w:r w:rsidR="000239BF" w:rsidRPr="00007717">
        <w:rPr>
          <w:rFonts w:eastAsia="Times New Roman"/>
          <w:lang w:val="en-AU"/>
        </w:rPr>
        <w:t xml:space="preserve"> analysis, it can be concluded that apart from the multi-layered discourse community </w:t>
      </w:r>
      <w:r w:rsidR="00173E49">
        <w:rPr>
          <w:rFonts w:eastAsia="Times New Roman"/>
          <w:lang w:val="en-AU"/>
        </w:rPr>
        <w:t xml:space="preserve">of </w:t>
      </w:r>
      <w:r w:rsidR="000239BF" w:rsidRPr="00007717">
        <w:rPr>
          <w:rFonts w:eastAsia="Times New Roman"/>
          <w:lang w:val="en-AU"/>
        </w:rPr>
        <w:t>t</w:t>
      </w:r>
      <w:r w:rsidR="00E80230" w:rsidRPr="00007717">
        <w:rPr>
          <w:rFonts w:eastAsia="Times New Roman"/>
          <w:lang w:val="en-AU"/>
        </w:rPr>
        <w:t>he</w:t>
      </w:r>
      <w:r w:rsidR="00173E49">
        <w:rPr>
          <w:rFonts w:eastAsia="Times New Roman"/>
          <w:lang w:val="en-AU"/>
        </w:rPr>
        <w:t>ir</w:t>
      </w:r>
      <w:r w:rsidR="00E80230" w:rsidRPr="00007717">
        <w:rPr>
          <w:rFonts w:eastAsia="Times New Roman"/>
          <w:lang w:val="en-AU"/>
        </w:rPr>
        <w:t xml:space="preserve"> academic setting, the socio-</w:t>
      </w:r>
      <w:r w:rsidR="000239BF" w:rsidRPr="00007717">
        <w:rPr>
          <w:rFonts w:eastAsia="Times New Roman"/>
          <w:lang w:val="en-AU"/>
        </w:rPr>
        <w:t xml:space="preserve">cultural and socio-political contexts have </w:t>
      </w:r>
      <w:r w:rsidR="00173E49">
        <w:rPr>
          <w:rFonts w:eastAsia="Times New Roman"/>
          <w:lang w:val="en-AU"/>
        </w:rPr>
        <w:t xml:space="preserve">a </w:t>
      </w:r>
      <w:r w:rsidR="000239BF" w:rsidRPr="00007717">
        <w:rPr>
          <w:rFonts w:eastAsia="Times New Roman"/>
          <w:lang w:val="en-AU"/>
        </w:rPr>
        <w:t xml:space="preserve">significant effect on the establishments of the writers’ research niche. </w:t>
      </w:r>
    </w:p>
    <w:p w14:paraId="552188F1" w14:textId="77777777" w:rsidR="003601B5" w:rsidRDefault="003601B5" w:rsidP="003601B5">
      <w:pPr>
        <w:spacing w:after="240" w:line="360" w:lineRule="auto"/>
        <w:contextualSpacing/>
        <w:jc w:val="both"/>
        <w:rPr>
          <w:rFonts w:eastAsia="Times New Roman"/>
          <w:lang w:val="en-AU"/>
        </w:rPr>
      </w:pPr>
    </w:p>
    <w:p w14:paraId="5D9AB488" w14:textId="7CEF0CEC" w:rsidR="00F96CFC" w:rsidRDefault="00F96CFC" w:rsidP="003601B5">
      <w:pPr>
        <w:spacing w:after="240" w:line="360" w:lineRule="auto"/>
        <w:contextualSpacing/>
        <w:jc w:val="both"/>
        <w:rPr>
          <w:rFonts w:eastAsia="Times New Roman"/>
          <w:lang w:val="en-AU"/>
        </w:rPr>
      </w:pPr>
      <w:r w:rsidRPr="00D63E0C">
        <w:rPr>
          <w:rFonts w:eastAsia="Times New Roman"/>
          <w:b/>
          <w:lang w:val="en-AU"/>
        </w:rPr>
        <w:t>Keywords</w:t>
      </w:r>
      <w:r>
        <w:rPr>
          <w:rFonts w:eastAsia="Times New Roman"/>
          <w:lang w:val="en-AU"/>
        </w:rPr>
        <w:t>: Doctoral thesis introductions; Genre analysis; Establishing Niche</w:t>
      </w:r>
      <w:r w:rsidR="00A22F94">
        <w:rPr>
          <w:rFonts w:eastAsia="Times New Roman"/>
          <w:lang w:val="en-AU"/>
        </w:rPr>
        <w:t>; ESL; Discourse community</w:t>
      </w:r>
    </w:p>
    <w:p w14:paraId="028F75A6" w14:textId="77777777" w:rsidR="003601B5" w:rsidRPr="00007717" w:rsidRDefault="003601B5" w:rsidP="003601B5">
      <w:pPr>
        <w:spacing w:after="240" w:line="360" w:lineRule="auto"/>
        <w:contextualSpacing/>
        <w:jc w:val="both"/>
        <w:rPr>
          <w:rFonts w:eastAsia="Times New Roman"/>
          <w:lang w:val="en-AU"/>
        </w:rPr>
      </w:pPr>
    </w:p>
    <w:p w14:paraId="7F68618B" w14:textId="79FFEC00" w:rsidR="0067455A" w:rsidRPr="003601B5" w:rsidRDefault="003601B5" w:rsidP="003601B5">
      <w:pPr>
        <w:pStyle w:val="ListParagraph"/>
        <w:keepNext/>
        <w:numPr>
          <w:ilvl w:val="0"/>
          <w:numId w:val="11"/>
        </w:numPr>
        <w:spacing w:before="240" w:after="120" w:line="360" w:lineRule="auto"/>
        <w:ind w:left="180" w:hanging="180"/>
        <w:jc w:val="both"/>
        <w:rPr>
          <w:b/>
        </w:rPr>
      </w:pPr>
      <w:r>
        <w:rPr>
          <w:b/>
        </w:rPr>
        <w:t xml:space="preserve"> </w:t>
      </w:r>
      <w:r w:rsidR="00A7658E" w:rsidRPr="003601B5">
        <w:rPr>
          <w:b/>
        </w:rPr>
        <w:t>Introduction</w:t>
      </w:r>
    </w:p>
    <w:p w14:paraId="0D8C6C34" w14:textId="77777777" w:rsidR="003601B5" w:rsidRPr="0067455A" w:rsidRDefault="003601B5" w:rsidP="003601B5">
      <w:pPr>
        <w:keepNext/>
        <w:spacing w:before="240" w:after="120" w:line="360" w:lineRule="auto"/>
        <w:contextualSpacing/>
        <w:jc w:val="both"/>
        <w:rPr>
          <w:rFonts w:ascii="Book Antiqua" w:eastAsia="Times New Roman" w:hAnsi="Book Antiqua" w:cs="Book Antiqua"/>
          <w:bCs/>
          <w:sz w:val="22"/>
          <w:szCs w:val="22"/>
          <w:lang w:val="en-MY"/>
        </w:rPr>
      </w:pPr>
    </w:p>
    <w:p w14:paraId="627303D6" w14:textId="3F07C71B" w:rsidR="0067455A" w:rsidRDefault="0067455A" w:rsidP="003601B5">
      <w:pPr>
        <w:spacing w:line="360" w:lineRule="auto"/>
        <w:contextualSpacing/>
        <w:jc w:val="both"/>
        <w:rPr>
          <w:rFonts w:eastAsia="Times New Roman"/>
          <w:lang w:val="en-AU"/>
        </w:rPr>
      </w:pPr>
      <w:r w:rsidRPr="0067455A">
        <w:rPr>
          <w:rFonts w:eastAsia="Times New Roman"/>
          <w:lang w:val="en-AU"/>
        </w:rPr>
        <w:t>Writing introductions are known to be troublesome to almost all academic writers. Swales (1990) and Burgess (2002), amongst others, suggest that it is even more difficult for non-native English speaker (NNES) writers. Noted problems include understanding the research requirement of the research genre (</w:t>
      </w:r>
      <w:proofErr w:type="spellStart"/>
      <w:r w:rsidRPr="0067455A">
        <w:rPr>
          <w:rFonts w:eastAsia="Times New Roman"/>
          <w:lang w:val="en-AU"/>
        </w:rPr>
        <w:t>Bitchener</w:t>
      </w:r>
      <w:proofErr w:type="spellEnd"/>
      <w:r w:rsidRPr="0067455A">
        <w:rPr>
          <w:rFonts w:eastAsia="Times New Roman"/>
          <w:lang w:val="en-AU"/>
        </w:rPr>
        <w:t xml:space="preserve"> &amp; </w:t>
      </w:r>
      <w:proofErr w:type="spellStart"/>
      <w:r w:rsidRPr="0067455A">
        <w:rPr>
          <w:rFonts w:eastAsia="Times New Roman"/>
          <w:lang w:val="en-AU"/>
        </w:rPr>
        <w:t>Basturkmen</w:t>
      </w:r>
      <w:proofErr w:type="spellEnd"/>
      <w:r w:rsidRPr="0067455A">
        <w:rPr>
          <w:rFonts w:eastAsia="Times New Roman"/>
          <w:lang w:val="en-AU"/>
        </w:rPr>
        <w:t xml:space="preserve">, 2006) and difficulties in the organisation of ideas (Cooley &amp; </w:t>
      </w:r>
      <w:proofErr w:type="spellStart"/>
      <w:r w:rsidRPr="0067455A">
        <w:rPr>
          <w:rFonts w:eastAsia="Times New Roman"/>
          <w:lang w:val="en-AU"/>
        </w:rPr>
        <w:t>Lewkowicz</w:t>
      </w:r>
      <w:proofErr w:type="spellEnd"/>
      <w:r w:rsidRPr="0067455A">
        <w:rPr>
          <w:rFonts w:eastAsia="Times New Roman"/>
          <w:lang w:val="en-AU"/>
        </w:rPr>
        <w:t xml:space="preserve">, 1995, 1997). </w:t>
      </w:r>
      <w:proofErr w:type="spellStart"/>
      <w:r w:rsidRPr="0067455A">
        <w:rPr>
          <w:rFonts w:eastAsia="Times New Roman"/>
          <w:lang w:val="en-AU"/>
        </w:rPr>
        <w:t>Paltridge</w:t>
      </w:r>
      <w:proofErr w:type="spellEnd"/>
      <w:r w:rsidRPr="0067455A">
        <w:rPr>
          <w:rFonts w:eastAsia="Times New Roman"/>
          <w:lang w:val="en-AU"/>
        </w:rPr>
        <w:t xml:space="preserve"> and </w:t>
      </w:r>
      <w:proofErr w:type="spellStart"/>
      <w:r w:rsidRPr="0067455A">
        <w:rPr>
          <w:rFonts w:eastAsia="Times New Roman"/>
          <w:lang w:val="en-AU"/>
        </w:rPr>
        <w:t>Starfield</w:t>
      </w:r>
      <w:proofErr w:type="spellEnd"/>
      <w:r w:rsidRPr="0067455A">
        <w:rPr>
          <w:rFonts w:eastAsia="Times New Roman"/>
          <w:lang w:val="en-AU"/>
        </w:rPr>
        <w:t xml:space="preserve"> (2007) also </w:t>
      </w:r>
      <w:r w:rsidRPr="0067455A">
        <w:rPr>
          <w:rFonts w:eastAsia="Times New Roman"/>
          <w:lang w:val="en-AU"/>
        </w:rPr>
        <w:lastRenderedPageBreak/>
        <w:t>emphasise the rhetorical issues of developing the thesis structure and its constituent parts as a problem for NNES writing a thesis in English.</w:t>
      </w:r>
    </w:p>
    <w:p w14:paraId="6675530B" w14:textId="77777777" w:rsidR="003601B5" w:rsidRPr="0067455A" w:rsidRDefault="003601B5" w:rsidP="003601B5">
      <w:pPr>
        <w:spacing w:line="360" w:lineRule="auto"/>
        <w:contextualSpacing/>
        <w:jc w:val="both"/>
        <w:rPr>
          <w:rFonts w:eastAsia="Times New Roman"/>
          <w:lang w:val="en-AU"/>
        </w:rPr>
      </w:pPr>
    </w:p>
    <w:p w14:paraId="716709C6" w14:textId="26EB3ADE" w:rsidR="0067455A" w:rsidRPr="0067455A" w:rsidRDefault="0067455A" w:rsidP="003601B5">
      <w:pPr>
        <w:spacing w:line="360" w:lineRule="auto"/>
        <w:contextualSpacing/>
        <w:jc w:val="both"/>
        <w:rPr>
          <w:rFonts w:eastAsia="Times New Roman"/>
          <w:lang w:val="en-AU"/>
        </w:rPr>
      </w:pPr>
      <w:r w:rsidRPr="0067455A">
        <w:rPr>
          <w:rFonts w:eastAsia="Times New Roman"/>
          <w:lang w:val="en-AU"/>
        </w:rPr>
        <w:t>Yet Bhatia (1997a, p. 183) asserts that introductions in academic work have “a single dominating fairly general function of introducing a w</w:t>
      </w:r>
      <w:r w:rsidR="00A55F63">
        <w:rPr>
          <w:rFonts w:eastAsia="Times New Roman"/>
          <w:lang w:val="en-AU"/>
        </w:rPr>
        <w:t>ritten or spoken academic event”</w:t>
      </w:r>
      <w:r w:rsidRPr="0067455A">
        <w:rPr>
          <w:rFonts w:eastAsia="Times New Roman"/>
          <w:lang w:val="en-AU"/>
        </w:rPr>
        <w:t xml:space="preserve">. A thesis introduction, according to Swales and Feak (1994), plays a key role in creating a research space for the writer and it is here that the writer makes claims for the centrality or significance of the study. Even though the language and rhetorical features of the introductory chapters written by NNES writers may differ, the sole purpose of this genre is globally similar, namely, to introduce the study and persuade the reader to accept that the study being reported is worthy and valid. In order to achieve this goal, writers have to appropriately </w:t>
      </w:r>
      <w:proofErr w:type="spellStart"/>
      <w:r w:rsidRPr="0067455A">
        <w:rPr>
          <w:rFonts w:eastAsia="Times New Roman"/>
          <w:lang w:val="en-AU"/>
        </w:rPr>
        <w:t>strategise</w:t>
      </w:r>
      <w:proofErr w:type="spellEnd"/>
      <w:r w:rsidRPr="0067455A">
        <w:rPr>
          <w:rFonts w:eastAsia="Times New Roman"/>
          <w:lang w:val="en-AU"/>
        </w:rPr>
        <w:t xml:space="preserve"> their Introductions. They have to offer some background information on the topic, find the niche of the study within the research area and finally introduce the study undertaken (</w:t>
      </w:r>
      <w:proofErr w:type="spellStart"/>
      <w:r w:rsidRPr="0067455A">
        <w:rPr>
          <w:rFonts w:eastAsia="Times New Roman"/>
          <w:lang w:val="en-AU"/>
        </w:rPr>
        <w:t>Hashim</w:t>
      </w:r>
      <w:proofErr w:type="spellEnd"/>
      <w:r w:rsidRPr="0067455A">
        <w:rPr>
          <w:rFonts w:eastAsia="Times New Roman"/>
          <w:lang w:val="en-AU"/>
        </w:rPr>
        <w:t>, 2008). These are all globally recognisable strategies that help to realise the ratification of knowledge (</w:t>
      </w:r>
      <w:proofErr w:type="spellStart"/>
      <w:r w:rsidRPr="0067455A">
        <w:rPr>
          <w:rFonts w:eastAsia="Times New Roman"/>
          <w:lang w:val="en-AU"/>
        </w:rPr>
        <w:t>Koutsantoni</w:t>
      </w:r>
      <w:proofErr w:type="spellEnd"/>
      <w:r w:rsidRPr="0067455A">
        <w:rPr>
          <w:rFonts w:eastAsia="Times New Roman"/>
          <w:lang w:val="en-AU"/>
        </w:rPr>
        <w:t>, 2006).</w:t>
      </w:r>
    </w:p>
    <w:p w14:paraId="46B947BA" w14:textId="77777777" w:rsidR="00951A3C" w:rsidRDefault="00951A3C" w:rsidP="003601B5">
      <w:pPr>
        <w:spacing w:line="360" w:lineRule="auto"/>
        <w:contextualSpacing/>
        <w:jc w:val="both"/>
        <w:rPr>
          <w:rFonts w:eastAsia="Times New Roman"/>
          <w:lang w:val="en-AU"/>
        </w:rPr>
      </w:pPr>
    </w:p>
    <w:p w14:paraId="6A3A777D" w14:textId="77777777" w:rsidR="00951A3C" w:rsidRDefault="0067455A" w:rsidP="003601B5">
      <w:pPr>
        <w:spacing w:line="360" w:lineRule="auto"/>
        <w:contextualSpacing/>
        <w:jc w:val="both"/>
        <w:rPr>
          <w:rFonts w:eastAsia="Times New Roman"/>
          <w:lang w:val="en-AU"/>
        </w:rPr>
      </w:pPr>
      <w:r w:rsidRPr="0067455A">
        <w:rPr>
          <w:rFonts w:eastAsia="Times New Roman"/>
          <w:lang w:val="en-AU"/>
        </w:rPr>
        <w:t xml:space="preserve">This globally recognised purpose of the introductory chapter operates within its own peculiar, socially constructed conventions and norms. The writers must adhere to these norms and conventions set by a socio-culturally bound discourse community of which writers are a part. </w:t>
      </w:r>
      <w:r w:rsidR="0062695D">
        <w:rPr>
          <w:rFonts w:eastAsia="Times New Roman"/>
          <w:lang w:val="en-AU"/>
        </w:rPr>
        <w:t xml:space="preserve">Exploring </w:t>
      </w:r>
      <w:r w:rsidRPr="0067455A">
        <w:rPr>
          <w:rFonts w:eastAsia="Times New Roman"/>
          <w:lang w:val="en-AU"/>
        </w:rPr>
        <w:t xml:space="preserve">this stand within the Malaysian context would be a fascinating </w:t>
      </w:r>
      <w:r w:rsidR="006F7186">
        <w:rPr>
          <w:rFonts w:eastAsia="Times New Roman"/>
          <w:lang w:val="en-AU"/>
        </w:rPr>
        <w:t xml:space="preserve">topic for </w:t>
      </w:r>
      <w:r w:rsidRPr="0067455A">
        <w:rPr>
          <w:rFonts w:eastAsia="Times New Roman"/>
          <w:lang w:val="en-AU"/>
        </w:rPr>
        <w:t xml:space="preserve">investigation. Like Singapore, the English language in Malaysia is widely used </w:t>
      </w:r>
      <w:r w:rsidR="0062695D">
        <w:rPr>
          <w:rFonts w:eastAsia="Times New Roman"/>
          <w:lang w:val="en-AU"/>
        </w:rPr>
        <w:t>for</w:t>
      </w:r>
      <w:r w:rsidR="0062695D" w:rsidRPr="0067455A">
        <w:rPr>
          <w:rFonts w:eastAsia="Times New Roman"/>
          <w:lang w:val="en-AU"/>
        </w:rPr>
        <w:t xml:space="preserve"> </w:t>
      </w:r>
      <w:r w:rsidRPr="0067455A">
        <w:rPr>
          <w:rFonts w:eastAsia="Times New Roman"/>
          <w:lang w:val="en-AU"/>
        </w:rPr>
        <w:t xml:space="preserve">intra and inter-ethnic communication. However, the first language, the cultural values and the </w:t>
      </w:r>
      <w:r w:rsidR="006929AB">
        <w:rPr>
          <w:rFonts w:eastAsia="Times New Roman"/>
          <w:lang w:val="en-AU"/>
        </w:rPr>
        <w:t>“</w:t>
      </w:r>
      <w:r w:rsidRPr="0067455A">
        <w:rPr>
          <w:rFonts w:eastAsia="Times New Roman"/>
          <w:lang w:val="en-AU"/>
        </w:rPr>
        <w:t>politically-governed</w:t>
      </w:r>
      <w:r w:rsidR="006929AB">
        <w:rPr>
          <w:rFonts w:eastAsia="Times New Roman"/>
          <w:lang w:val="en-AU"/>
        </w:rPr>
        <w:t>”</w:t>
      </w:r>
      <w:r w:rsidRPr="0067455A">
        <w:rPr>
          <w:rFonts w:eastAsia="Times New Roman"/>
          <w:lang w:val="en-AU"/>
        </w:rPr>
        <w:t xml:space="preserve"> education </w:t>
      </w:r>
      <w:r w:rsidR="006F7186">
        <w:rPr>
          <w:rFonts w:eastAsia="Times New Roman"/>
          <w:lang w:val="en-AU"/>
        </w:rPr>
        <w:t xml:space="preserve">system </w:t>
      </w:r>
      <w:r w:rsidRPr="0067455A">
        <w:rPr>
          <w:rFonts w:eastAsia="Times New Roman"/>
          <w:lang w:val="en-AU"/>
        </w:rPr>
        <w:t>may have</w:t>
      </w:r>
      <w:r w:rsidR="006F7186">
        <w:rPr>
          <w:rFonts w:eastAsia="Times New Roman"/>
          <w:lang w:val="en-AU"/>
        </w:rPr>
        <w:t>,</w:t>
      </w:r>
      <w:r w:rsidRPr="0067455A">
        <w:rPr>
          <w:rFonts w:eastAsia="Times New Roman"/>
          <w:lang w:val="en-AU"/>
        </w:rPr>
        <w:t xml:space="preserve"> to a certain extent</w:t>
      </w:r>
      <w:r w:rsidR="006F7186">
        <w:rPr>
          <w:rFonts w:eastAsia="Times New Roman"/>
          <w:lang w:val="en-AU"/>
        </w:rPr>
        <w:t>,</w:t>
      </w:r>
      <w:r w:rsidRPr="0067455A">
        <w:rPr>
          <w:rFonts w:eastAsia="Times New Roman"/>
          <w:lang w:val="en-AU"/>
        </w:rPr>
        <w:t xml:space="preserve"> influence</w:t>
      </w:r>
      <w:r w:rsidR="006F7186">
        <w:rPr>
          <w:rFonts w:eastAsia="Times New Roman"/>
          <w:lang w:val="en-AU"/>
        </w:rPr>
        <w:t>d</w:t>
      </w:r>
      <w:r w:rsidRPr="0067455A">
        <w:rPr>
          <w:rFonts w:eastAsia="Times New Roman"/>
          <w:lang w:val="en-AU"/>
        </w:rPr>
        <w:t xml:space="preserve"> the student writers’ way of writing. Malay</w:t>
      </w:r>
      <w:r w:rsidR="00A55F63">
        <w:rPr>
          <w:rFonts w:eastAsia="Times New Roman"/>
          <w:lang w:val="en-AU"/>
        </w:rPr>
        <w:t>sian ESL</w:t>
      </w:r>
      <w:r w:rsidRPr="0067455A">
        <w:rPr>
          <w:rFonts w:eastAsia="Times New Roman"/>
          <w:lang w:val="en-AU"/>
        </w:rPr>
        <w:t xml:space="preserve"> writers writing their thesis introductions may have their own strategies in structuring introductory chapters. These strategies, in order to achieve the global purpose of the thesis introductions, may need to be adapted and modified </w:t>
      </w:r>
      <w:r w:rsidR="009A4FF2">
        <w:rPr>
          <w:rFonts w:eastAsia="Times New Roman"/>
          <w:lang w:val="en-AU"/>
        </w:rPr>
        <w:t>to</w:t>
      </w:r>
      <w:r w:rsidRPr="0067455A">
        <w:rPr>
          <w:rFonts w:eastAsia="Times New Roman"/>
          <w:lang w:val="en-AU"/>
        </w:rPr>
        <w:t xml:space="preserve"> their own socio-cultural and academic discourse community. </w:t>
      </w:r>
    </w:p>
    <w:p w14:paraId="0577BEFD" w14:textId="77777777" w:rsidR="00951A3C" w:rsidRDefault="00951A3C" w:rsidP="003601B5">
      <w:pPr>
        <w:spacing w:line="360" w:lineRule="auto"/>
        <w:contextualSpacing/>
        <w:jc w:val="both"/>
        <w:rPr>
          <w:rFonts w:eastAsia="Times New Roman"/>
          <w:lang w:val="en-AU"/>
        </w:rPr>
      </w:pPr>
    </w:p>
    <w:p w14:paraId="18EED363" w14:textId="6006F1D1" w:rsidR="0067455A" w:rsidRDefault="0067455A" w:rsidP="003601B5">
      <w:pPr>
        <w:spacing w:line="360" w:lineRule="auto"/>
        <w:contextualSpacing/>
        <w:jc w:val="both"/>
        <w:rPr>
          <w:rFonts w:eastAsia="Times New Roman"/>
          <w:lang w:val="en-AU"/>
        </w:rPr>
      </w:pPr>
      <w:r w:rsidRPr="0067455A">
        <w:rPr>
          <w:rFonts w:eastAsia="Times New Roman"/>
          <w:lang w:val="en-AU"/>
        </w:rPr>
        <w:t>Th</w:t>
      </w:r>
      <w:r w:rsidR="00915BC0">
        <w:rPr>
          <w:rFonts w:eastAsia="Times New Roman"/>
          <w:lang w:val="en-AU"/>
        </w:rPr>
        <w:t>is exploratory study of eight doctoral</w:t>
      </w:r>
      <w:r w:rsidRPr="0067455A">
        <w:rPr>
          <w:rFonts w:eastAsia="Times New Roman"/>
          <w:lang w:val="en-AU"/>
        </w:rPr>
        <w:t xml:space="preserve"> t</w:t>
      </w:r>
      <w:r w:rsidR="00A55F63">
        <w:rPr>
          <w:rFonts w:eastAsia="Times New Roman"/>
          <w:lang w:val="en-AU"/>
        </w:rPr>
        <w:t>heses aims to identify how these</w:t>
      </w:r>
      <w:r w:rsidRPr="0067455A">
        <w:rPr>
          <w:rFonts w:eastAsia="Times New Roman"/>
          <w:lang w:val="en-AU"/>
        </w:rPr>
        <w:t xml:space="preserve"> writers organise their theses’ introductory chapters</w:t>
      </w:r>
      <w:r w:rsidR="006F7186">
        <w:rPr>
          <w:rFonts w:eastAsia="Times New Roman"/>
          <w:lang w:val="en-AU"/>
        </w:rPr>
        <w:t>,</w:t>
      </w:r>
      <w:r w:rsidRPr="0067455A">
        <w:rPr>
          <w:rFonts w:eastAsia="Times New Roman"/>
          <w:lang w:val="en-AU"/>
        </w:rPr>
        <w:t xml:space="preserve"> </w:t>
      </w:r>
      <w:r w:rsidR="00A55F63">
        <w:rPr>
          <w:rFonts w:eastAsia="Times New Roman"/>
          <w:lang w:val="en-AU"/>
        </w:rPr>
        <w:t xml:space="preserve">particularly how they </w:t>
      </w:r>
      <w:proofErr w:type="spellStart"/>
      <w:r w:rsidR="00A55F63">
        <w:rPr>
          <w:rFonts w:eastAsia="Times New Roman"/>
          <w:lang w:val="en-AU"/>
        </w:rPr>
        <w:t>strategi</w:t>
      </w:r>
      <w:r w:rsidR="006F7186">
        <w:rPr>
          <w:rFonts w:eastAsia="Times New Roman"/>
          <w:lang w:val="en-AU"/>
        </w:rPr>
        <w:t>s</w:t>
      </w:r>
      <w:r w:rsidR="00A55F63">
        <w:rPr>
          <w:rFonts w:eastAsia="Times New Roman"/>
          <w:lang w:val="en-AU"/>
        </w:rPr>
        <w:t>e</w:t>
      </w:r>
      <w:proofErr w:type="spellEnd"/>
      <w:r w:rsidR="00A55F63">
        <w:rPr>
          <w:rFonts w:eastAsia="Times New Roman"/>
          <w:lang w:val="en-AU"/>
        </w:rPr>
        <w:t xml:space="preserve"> their niche establishment </w:t>
      </w:r>
      <w:r w:rsidRPr="0067455A">
        <w:rPr>
          <w:rFonts w:eastAsia="Times New Roman"/>
          <w:lang w:val="en-AU"/>
        </w:rPr>
        <w:t>to achieve both the universal purpose of this genre and their own socio-cultural identity.</w:t>
      </w:r>
    </w:p>
    <w:p w14:paraId="5F1FB39F" w14:textId="77777777" w:rsidR="003601B5" w:rsidRPr="0067455A" w:rsidRDefault="003601B5" w:rsidP="003601B5">
      <w:pPr>
        <w:spacing w:line="360" w:lineRule="auto"/>
        <w:contextualSpacing/>
        <w:jc w:val="both"/>
        <w:rPr>
          <w:rFonts w:eastAsia="Times New Roman"/>
          <w:lang w:val="en-AU"/>
        </w:rPr>
      </w:pPr>
    </w:p>
    <w:p w14:paraId="1D304A85" w14:textId="1930D316" w:rsidR="00C52403" w:rsidRPr="003601B5" w:rsidRDefault="003601B5" w:rsidP="003601B5">
      <w:pPr>
        <w:pStyle w:val="ListParagraph"/>
        <w:keepNext/>
        <w:numPr>
          <w:ilvl w:val="0"/>
          <w:numId w:val="11"/>
        </w:numPr>
        <w:spacing w:before="240" w:after="120" w:line="360" w:lineRule="auto"/>
        <w:ind w:left="180" w:hanging="180"/>
        <w:jc w:val="both"/>
        <w:rPr>
          <w:b/>
        </w:rPr>
      </w:pPr>
      <w:r>
        <w:rPr>
          <w:b/>
        </w:rPr>
        <w:lastRenderedPageBreak/>
        <w:t xml:space="preserve"> </w:t>
      </w:r>
      <w:r w:rsidR="00310067" w:rsidRPr="003601B5">
        <w:rPr>
          <w:b/>
        </w:rPr>
        <w:t>Theoretical Perspectives</w:t>
      </w:r>
    </w:p>
    <w:p w14:paraId="5E3AC575" w14:textId="77777777" w:rsidR="003601B5" w:rsidRDefault="003601B5" w:rsidP="003601B5">
      <w:pPr>
        <w:keepNext/>
        <w:spacing w:before="240" w:after="120" w:line="360" w:lineRule="auto"/>
        <w:contextualSpacing/>
        <w:jc w:val="both"/>
        <w:rPr>
          <w:b/>
        </w:rPr>
      </w:pPr>
    </w:p>
    <w:p w14:paraId="60A783B7" w14:textId="21280397" w:rsidR="00007717" w:rsidRDefault="00E80230" w:rsidP="003601B5">
      <w:pPr>
        <w:spacing w:line="360" w:lineRule="auto"/>
        <w:contextualSpacing/>
        <w:jc w:val="both"/>
        <w:rPr>
          <w:rFonts w:eastAsia="Times New Roman"/>
          <w:lang w:val="en-AU"/>
        </w:rPr>
      </w:pPr>
      <w:r w:rsidRPr="00007717">
        <w:rPr>
          <w:rFonts w:eastAsia="Times New Roman"/>
          <w:lang w:val="en-AU"/>
        </w:rPr>
        <w:t>Two</w:t>
      </w:r>
      <w:r w:rsidR="002769C7" w:rsidRPr="00007717">
        <w:rPr>
          <w:rFonts w:eastAsia="Times New Roman"/>
          <w:lang w:val="en-AU"/>
        </w:rPr>
        <w:t xml:space="preserve"> significant </w:t>
      </w:r>
      <w:r w:rsidR="006C2300">
        <w:rPr>
          <w:rFonts w:eastAsia="Times New Roman"/>
          <w:lang w:val="en-AU"/>
        </w:rPr>
        <w:t xml:space="preserve">concepts </w:t>
      </w:r>
      <w:r w:rsidR="002769C7" w:rsidRPr="00007717">
        <w:rPr>
          <w:rFonts w:eastAsia="Times New Roman"/>
          <w:lang w:val="en-AU"/>
        </w:rPr>
        <w:t>in d</w:t>
      </w:r>
      <w:r w:rsidR="00221488" w:rsidRPr="00007717">
        <w:rPr>
          <w:rFonts w:eastAsia="Times New Roman"/>
          <w:lang w:val="en-AU"/>
        </w:rPr>
        <w:t>efining genre</w:t>
      </w:r>
      <w:r w:rsidRPr="00007717">
        <w:rPr>
          <w:rFonts w:eastAsia="Times New Roman"/>
          <w:lang w:val="en-AU"/>
        </w:rPr>
        <w:t xml:space="preserve"> are communicative purpose and</w:t>
      </w:r>
      <w:r w:rsidR="002769C7" w:rsidRPr="00007717">
        <w:rPr>
          <w:rFonts w:eastAsia="Times New Roman"/>
          <w:lang w:val="en-AU"/>
        </w:rPr>
        <w:t xml:space="preserve"> discourse community.</w:t>
      </w:r>
      <w:r w:rsidR="00214E40" w:rsidRPr="00007717">
        <w:rPr>
          <w:rFonts w:eastAsia="Times New Roman"/>
          <w:lang w:val="en-AU"/>
        </w:rPr>
        <w:t xml:space="preserve"> These two concepts </w:t>
      </w:r>
      <w:r w:rsidR="006C2300">
        <w:rPr>
          <w:rFonts w:eastAsia="Times New Roman"/>
          <w:lang w:val="en-AU"/>
        </w:rPr>
        <w:t xml:space="preserve">reinforce </w:t>
      </w:r>
      <w:r w:rsidR="00B45DDE" w:rsidRPr="00007717">
        <w:rPr>
          <w:rFonts w:eastAsia="Times New Roman"/>
          <w:lang w:val="en-AU"/>
        </w:rPr>
        <w:t>each other in describing a genre.</w:t>
      </w:r>
      <w:r w:rsidRPr="00007717">
        <w:t xml:space="preserve"> </w:t>
      </w:r>
      <w:r w:rsidR="001F23D0" w:rsidRPr="00007717">
        <w:rPr>
          <w:rFonts w:eastAsia="Times New Roman"/>
          <w:lang w:val="en-AU"/>
        </w:rPr>
        <w:t>The various communi</w:t>
      </w:r>
      <w:r w:rsidR="00CB591E" w:rsidRPr="00007717">
        <w:rPr>
          <w:rFonts w:eastAsia="Times New Roman"/>
          <w:lang w:val="en-AU"/>
        </w:rPr>
        <w:t>cative functions of a genre</w:t>
      </w:r>
      <w:r w:rsidR="001F23D0" w:rsidRPr="00007717">
        <w:rPr>
          <w:rFonts w:eastAsia="Times New Roman"/>
          <w:lang w:val="en-AU"/>
        </w:rPr>
        <w:t xml:space="preserve"> exhibit conventionalised linguistic patterns, or </w:t>
      </w:r>
      <w:proofErr w:type="spellStart"/>
      <w:r w:rsidR="001F23D0" w:rsidRPr="00007717">
        <w:rPr>
          <w:rFonts w:eastAsia="Times New Roman"/>
          <w:lang w:val="en-AU"/>
        </w:rPr>
        <w:t>lexico</w:t>
      </w:r>
      <w:proofErr w:type="spellEnd"/>
      <w:r w:rsidR="001F23D0" w:rsidRPr="00007717">
        <w:rPr>
          <w:rFonts w:eastAsia="Times New Roman"/>
          <w:lang w:val="en-AU"/>
        </w:rPr>
        <w:t>-grammatic</w:t>
      </w:r>
      <w:r w:rsidR="00947CA5" w:rsidRPr="00007717">
        <w:rPr>
          <w:rFonts w:eastAsia="Times New Roman"/>
          <w:lang w:val="en-AU"/>
        </w:rPr>
        <w:t>al realisations, which are</w:t>
      </w:r>
      <w:r w:rsidR="001F23D0" w:rsidRPr="00007717">
        <w:rPr>
          <w:rFonts w:eastAsia="Times New Roman"/>
          <w:lang w:val="en-AU"/>
        </w:rPr>
        <w:t xml:space="preserve"> recognised as such by the discourse community.</w:t>
      </w:r>
      <w:r w:rsidR="006E5E3B">
        <w:rPr>
          <w:rFonts w:eastAsia="Times New Roman"/>
          <w:lang w:val="en-AU"/>
        </w:rPr>
        <w:t xml:space="preserve"> </w:t>
      </w:r>
      <w:r w:rsidR="00CB591E" w:rsidRPr="00007717">
        <w:rPr>
          <w:rFonts w:eastAsia="Times New Roman"/>
          <w:lang w:val="en-AU"/>
        </w:rPr>
        <w:t>Swales (1990, p</w:t>
      </w:r>
      <w:r w:rsidR="006C2300">
        <w:rPr>
          <w:rFonts w:eastAsia="Times New Roman"/>
          <w:lang w:val="en-AU"/>
        </w:rPr>
        <w:t>p</w:t>
      </w:r>
      <w:r w:rsidR="00CB591E" w:rsidRPr="00007717">
        <w:rPr>
          <w:rFonts w:eastAsia="Times New Roman"/>
          <w:lang w:val="en-AU"/>
        </w:rPr>
        <w:t xml:space="preserve">. 24-27) lists six defining characteristics of a discourse community, which is perhaps the best known attempt </w:t>
      </w:r>
      <w:r w:rsidR="00796F31">
        <w:rPr>
          <w:rFonts w:eastAsia="Times New Roman"/>
          <w:lang w:val="en-AU"/>
        </w:rPr>
        <w:t xml:space="preserve">at </w:t>
      </w:r>
      <w:r w:rsidR="00CB591E" w:rsidRPr="00007717">
        <w:rPr>
          <w:rFonts w:eastAsia="Times New Roman"/>
          <w:lang w:val="en-AU"/>
        </w:rPr>
        <w:t xml:space="preserve">describing and pinning down the </w:t>
      </w:r>
      <w:r w:rsidR="00214E40" w:rsidRPr="00007717">
        <w:rPr>
          <w:rFonts w:eastAsia="Times New Roman"/>
          <w:lang w:val="en-AU"/>
        </w:rPr>
        <w:t>concept</w:t>
      </w:r>
      <w:r w:rsidR="00CB591E" w:rsidRPr="00007717">
        <w:rPr>
          <w:rFonts w:eastAsia="Times New Roman"/>
          <w:lang w:val="en-AU"/>
        </w:rPr>
        <w:t xml:space="preserve">. One of </w:t>
      </w:r>
      <w:r w:rsidR="00796F31">
        <w:rPr>
          <w:rFonts w:eastAsia="Times New Roman"/>
          <w:lang w:val="en-AU"/>
        </w:rPr>
        <w:t xml:space="preserve">the </w:t>
      </w:r>
      <w:r w:rsidR="00CB591E" w:rsidRPr="00007717">
        <w:rPr>
          <w:rFonts w:eastAsia="Times New Roman"/>
          <w:lang w:val="en-AU"/>
        </w:rPr>
        <w:t xml:space="preserve">characteristics </w:t>
      </w:r>
      <w:r w:rsidR="00796F31">
        <w:rPr>
          <w:rFonts w:eastAsia="Times New Roman"/>
          <w:lang w:val="en-AU"/>
        </w:rPr>
        <w:t>of a discourse community</w:t>
      </w:r>
      <w:r w:rsidR="00796F31">
        <w:rPr>
          <w:rFonts w:ascii="Times" w:hAnsi="Times"/>
          <w:sz w:val="20"/>
          <w:szCs w:val="20"/>
          <w:lang w:val="en-AU"/>
        </w:rPr>
        <w:t xml:space="preserve"> </w:t>
      </w:r>
      <w:r w:rsidR="00CB591E" w:rsidRPr="00007717">
        <w:rPr>
          <w:rFonts w:eastAsia="Times New Roman"/>
          <w:lang w:val="en-AU"/>
        </w:rPr>
        <w:t xml:space="preserve">is that </w:t>
      </w:r>
      <w:r w:rsidR="00796F31">
        <w:rPr>
          <w:rFonts w:eastAsia="Times New Roman"/>
          <w:lang w:val="en-AU"/>
        </w:rPr>
        <w:t xml:space="preserve">it </w:t>
      </w:r>
      <w:r w:rsidR="00CC1179">
        <w:rPr>
          <w:rFonts w:eastAsia="Times New Roman"/>
          <w:lang w:val="en-AU"/>
        </w:rPr>
        <w:t>“</w:t>
      </w:r>
      <w:r w:rsidR="00CB591E" w:rsidRPr="00007717">
        <w:rPr>
          <w:rFonts w:eastAsia="Times New Roman"/>
          <w:lang w:val="en-AU"/>
        </w:rPr>
        <w:t xml:space="preserve">has a broadly agreed set of common public </w:t>
      </w:r>
      <w:r w:rsidR="00CC1179" w:rsidRPr="00007717">
        <w:rPr>
          <w:rFonts w:eastAsia="Times New Roman"/>
          <w:lang w:val="en-AU"/>
        </w:rPr>
        <w:t>goals</w:t>
      </w:r>
      <w:r w:rsidR="00CC1179">
        <w:rPr>
          <w:rFonts w:eastAsia="Times New Roman"/>
          <w:lang w:val="en-AU"/>
        </w:rPr>
        <w:t>”</w:t>
      </w:r>
      <w:r w:rsidR="00CB591E" w:rsidRPr="00007717">
        <w:rPr>
          <w:rFonts w:eastAsia="Times New Roman"/>
          <w:lang w:val="en-AU"/>
        </w:rPr>
        <w:t>.</w:t>
      </w:r>
      <w:r w:rsidR="00DA6C24" w:rsidRPr="00007717">
        <w:rPr>
          <w:rFonts w:eastAsia="Times New Roman"/>
          <w:lang w:val="en-AU"/>
        </w:rPr>
        <w:t xml:space="preserve"> </w:t>
      </w:r>
      <w:r w:rsidR="00CB591E" w:rsidRPr="00007717">
        <w:rPr>
          <w:rFonts w:eastAsia="Times New Roman"/>
          <w:lang w:val="en-AU"/>
        </w:rPr>
        <w:t xml:space="preserve">The importance of the concept of discourse community is also shared by other writers such as Johns (1997) though his notion of community somewhat differs. Johns (1997) sees common interests amongst the communities as essential rather than </w:t>
      </w:r>
      <w:proofErr w:type="spellStart"/>
      <w:r w:rsidR="00CB591E" w:rsidRPr="00007717">
        <w:rPr>
          <w:rFonts w:eastAsia="Times New Roman"/>
          <w:lang w:val="en-AU"/>
        </w:rPr>
        <w:t>Swales’s</w:t>
      </w:r>
      <w:proofErr w:type="spellEnd"/>
      <w:r w:rsidR="00CB591E" w:rsidRPr="00007717">
        <w:rPr>
          <w:rFonts w:eastAsia="Times New Roman"/>
          <w:lang w:val="en-AU"/>
        </w:rPr>
        <w:t xml:space="preserve"> common goals. </w:t>
      </w:r>
      <w:r w:rsidR="002769C7" w:rsidRPr="00007717">
        <w:rPr>
          <w:rFonts w:eastAsia="Times New Roman"/>
          <w:lang w:val="en-AU"/>
        </w:rPr>
        <w:t>Dudley-Evans</w:t>
      </w:r>
      <w:r w:rsidR="00CF3271">
        <w:rPr>
          <w:rFonts w:eastAsia="Times New Roman"/>
          <w:lang w:val="en-AU"/>
        </w:rPr>
        <w:t xml:space="preserve"> and St John (2007, p. 92)</w:t>
      </w:r>
      <w:r w:rsidR="002769C7" w:rsidRPr="00007717">
        <w:rPr>
          <w:rFonts w:eastAsia="Times New Roman"/>
          <w:lang w:val="en-AU"/>
        </w:rPr>
        <w:t xml:space="preserve"> assert that the concept of discourse community is best considered as a virtual</w:t>
      </w:r>
      <w:r w:rsidR="00BF7D21">
        <w:rPr>
          <w:rFonts w:eastAsia="Times New Roman"/>
          <w:lang w:val="en-AU"/>
        </w:rPr>
        <w:t xml:space="preserve"> </w:t>
      </w:r>
      <w:r w:rsidR="002769C7" w:rsidRPr="00007717">
        <w:rPr>
          <w:rFonts w:eastAsia="Times New Roman"/>
          <w:lang w:val="en-AU"/>
        </w:rPr>
        <w:t>concept where writer</w:t>
      </w:r>
      <w:r w:rsidR="00BF7D21">
        <w:rPr>
          <w:rFonts w:eastAsia="Times New Roman"/>
          <w:lang w:val="en-AU"/>
        </w:rPr>
        <w:t>s</w:t>
      </w:r>
      <w:r w:rsidR="002769C7" w:rsidRPr="00007717">
        <w:rPr>
          <w:rFonts w:eastAsia="Times New Roman"/>
          <w:lang w:val="en-AU"/>
        </w:rPr>
        <w:t xml:space="preserve"> or speaker</w:t>
      </w:r>
      <w:r w:rsidR="00BF7D21">
        <w:rPr>
          <w:rFonts w:eastAsia="Times New Roman"/>
          <w:lang w:val="en-AU"/>
        </w:rPr>
        <w:t>s</w:t>
      </w:r>
      <w:r w:rsidR="002769C7" w:rsidRPr="00007717">
        <w:rPr>
          <w:rFonts w:eastAsia="Times New Roman"/>
          <w:lang w:val="en-AU"/>
        </w:rPr>
        <w:t xml:space="preserve"> will be affected by expectations of that genre. </w:t>
      </w:r>
      <w:r w:rsidR="00CF3271">
        <w:rPr>
          <w:rFonts w:eastAsia="Times New Roman"/>
          <w:lang w:val="en-AU"/>
        </w:rPr>
        <w:t>A</w:t>
      </w:r>
      <w:r w:rsidR="002769C7" w:rsidRPr="00007717">
        <w:rPr>
          <w:rFonts w:eastAsia="Times New Roman"/>
          <w:lang w:val="en-AU"/>
        </w:rPr>
        <w:t xml:space="preserve">n individual can be a member of many discourse communities and </w:t>
      </w:r>
      <w:r w:rsidR="00DA6C24" w:rsidRPr="00007717">
        <w:rPr>
          <w:rFonts w:eastAsia="Times New Roman"/>
          <w:lang w:val="en-AU"/>
        </w:rPr>
        <w:t xml:space="preserve">therefore, </w:t>
      </w:r>
      <w:r w:rsidR="002769C7" w:rsidRPr="00007717">
        <w:rPr>
          <w:rFonts w:eastAsia="Times New Roman"/>
          <w:lang w:val="en-AU"/>
        </w:rPr>
        <w:t>communities can be large and formless.</w:t>
      </w:r>
      <w:r w:rsidR="006B6F0D" w:rsidRPr="00007717">
        <w:rPr>
          <w:rFonts w:eastAsia="Times New Roman"/>
          <w:lang w:val="en-AU"/>
        </w:rPr>
        <w:t xml:space="preserve"> Since</w:t>
      </w:r>
      <w:r w:rsidR="002769C7" w:rsidRPr="00007717">
        <w:rPr>
          <w:rFonts w:eastAsia="Times New Roman"/>
          <w:lang w:val="en-AU"/>
        </w:rPr>
        <w:t xml:space="preserve"> </w:t>
      </w:r>
      <w:r w:rsidR="006B6F0D" w:rsidRPr="00007717">
        <w:rPr>
          <w:rFonts w:eastAsia="Times New Roman"/>
          <w:lang w:val="en-AU"/>
        </w:rPr>
        <w:t xml:space="preserve">a genre is shaped by its communicative purposes and the forms of language </w:t>
      </w:r>
      <w:r w:rsidR="00F3431D">
        <w:rPr>
          <w:rFonts w:eastAsia="Times New Roman"/>
          <w:lang w:val="en-AU"/>
        </w:rPr>
        <w:t xml:space="preserve">are </w:t>
      </w:r>
      <w:r w:rsidR="006B6F0D" w:rsidRPr="00007717">
        <w:rPr>
          <w:rFonts w:eastAsia="Times New Roman"/>
          <w:lang w:val="en-AU"/>
        </w:rPr>
        <w:t>said to be shaped by the discourse community, the communicative purpose of a thesis introduction is recognisable and shared by members of the academic community. The structures, content and style of thesis introduction</w:t>
      </w:r>
      <w:r w:rsidR="00EA3BF7" w:rsidRPr="00007717">
        <w:rPr>
          <w:rFonts w:eastAsia="Times New Roman"/>
          <w:lang w:val="en-AU"/>
        </w:rPr>
        <w:t>s</w:t>
      </w:r>
      <w:r w:rsidR="006B6F0D" w:rsidRPr="00007717">
        <w:rPr>
          <w:rFonts w:eastAsia="Times New Roman"/>
          <w:lang w:val="en-AU"/>
        </w:rPr>
        <w:t xml:space="preserve"> are constrained by the discourse community</w:t>
      </w:r>
      <w:r w:rsidR="009A1CF6">
        <w:rPr>
          <w:rFonts w:eastAsia="Times New Roman"/>
          <w:lang w:val="en-AU"/>
        </w:rPr>
        <w:t>,</w:t>
      </w:r>
      <w:r w:rsidR="006B6F0D" w:rsidRPr="00007717">
        <w:rPr>
          <w:rFonts w:eastAsia="Times New Roman"/>
          <w:lang w:val="en-AU"/>
        </w:rPr>
        <w:t xml:space="preserve"> in this case the people who directly and indirectly participate in the discourse. This also implies the way </w:t>
      </w:r>
      <w:r w:rsidR="009A1CF6">
        <w:rPr>
          <w:rFonts w:eastAsia="Times New Roman"/>
          <w:lang w:val="en-AU"/>
        </w:rPr>
        <w:t xml:space="preserve">in which </w:t>
      </w:r>
      <w:r w:rsidR="006B6F0D" w:rsidRPr="00007717">
        <w:rPr>
          <w:rFonts w:eastAsia="Times New Roman"/>
          <w:lang w:val="en-AU"/>
        </w:rPr>
        <w:t>writers manoeuvre strategies to c</w:t>
      </w:r>
      <w:r w:rsidR="00FF0B2F" w:rsidRPr="00007717">
        <w:rPr>
          <w:rFonts w:eastAsia="Times New Roman"/>
          <w:lang w:val="en-AU"/>
        </w:rPr>
        <w:t xml:space="preserve">reate their research space. </w:t>
      </w:r>
    </w:p>
    <w:p w14:paraId="7E5F8D5C" w14:textId="77777777" w:rsidR="003601B5" w:rsidRPr="00C52403" w:rsidRDefault="003601B5" w:rsidP="003601B5">
      <w:pPr>
        <w:spacing w:line="360" w:lineRule="auto"/>
        <w:contextualSpacing/>
        <w:jc w:val="both"/>
        <w:rPr>
          <w:b/>
        </w:rPr>
      </w:pPr>
    </w:p>
    <w:p w14:paraId="1574F48D" w14:textId="171E7F0B" w:rsidR="002769C7" w:rsidRDefault="00F7642C" w:rsidP="003601B5">
      <w:pPr>
        <w:spacing w:line="360" w:lineRule="auto"/>
        <w:contextualSpacing/>
        <w:jc w:val="both"/>
        <w:rPr>
          <w:rFonts w:eastAsia="Times New Roman"/>
          <w:lang w:val="en-AU"/>
        </w:rPr>
      </w:pPr>
      <w:r w:rsidRPr="00007717">
        <w:rPr>
          <w:rFonts w:eastAsia="Times New Roman"/>
          <w:lang w:val="en-AU"/>
        </w:rPr>
        <w:t>T</w:t>
      </w:r>
      <w:r w:rsidR="002769C7" w:rsidRPr="00007717">
        <w:rPr>
          <w:rFonts w:eastAsia="Times New Roman"/>
          <w:lang w:val="en-AU"/>
        </w:rPr>
        <w:t>his study a</w:t>
      </w:r>
      <w:r w:rsidR="00947CA5" w:rsidRPr="00007717">
        <w:rPr>
          <w:rFonts w:eastAsia="Times New Roman"/>
          <w:lang w:val="en-AU"/>
        </w:rPr>
        <w:t>lso considers</w:t>
      </w:r>
      <w:r w:rsidRPr="00007717">
        <w:rPr>
          <w:rFonts w:eastAsia="Times New Roman"/>
          <w:lang w:val="en-AU"/>
        </w:rPr>
        <w:t xml:space="preserve"> the notion of ESL</w:t>
      </w:r>
      <w:r w:rsidR="002769C7" w:rsidRPr="00007717">
        <w:rPr>
          <w:rFonts w:eastAsia="Times New Roman"/>
          <w:lang w:val="en-AU"/>
        </w:rPr>
        <w:t xml:space="preserve"> writing from the point of view of Contrastive Rhetoric (CR), in particular the view that culture influences written discourse. CR can provide a framework for comparing </w:t>
      </w:r>
      <w:r w:rsidRPr="00007717">
        <w:rPr>
          <w:rFonts w:eastAsia="Times New Roman"/>
          <w:lang w:val="en-AU"/>
        </w:rPr>
        <w:t>ESL</w:t>
      </w:r>
      <w:r w:rsidR="002769C7" w:rsidRPr="00007717">
        <w:rPr>
          <w:rFonts w:eastAsia="Times New Roman"/>
          <w:lang w:val="en-AU"/>
        </w:rPr>
        <w:t xml:space="preserve"> theses with those written in other non-English speaking countries, and</w:t>
      </w:r>
      <w:r w:rsidR="00DA6C24" w:rsidRPr="00007717">
        <w:rPr>
          <w:rFonts w:eastAsia="Times New Roman"/>
          <w:lang w:val="en-AU"/>
        </w:rPr>
        <w:t xml:space="preserve"> by doing so, it helps</w:t>
      </w:r>
      <w:r w:rsidR="002769C7" w:rsidRPr="00007717">
        <w:rPr>
          <w:rFonts w:eastAsia="Times New Roman"/>
          <w:lang w:val="en-AU"/>
        </w:rPr>
        <w:t xml:space="preserve"> analysing the possible contributions of individual, organisational and national level cultural factors to </w:t>
      </w:r>
      <w:r w:rsidR="00DA6C24" w:rsidRPr="00007717">
        <w:rPr>
          <w:rFonts w:eastAsia="Times New Roman"/>
          <w:lang w:val="en-AU"/>
        </w:rPr>
        <w:t xml:space="preserve">find </w:t>
      </w:r>
      <w:r w:rsidR="002769C7" w:rsidRPr="00007717">
        <w:rPr>
          <w:rFonts w:eastAsia="Times New Roman"/>
          <w:lang w:val="en-AU"/>
        </w:rPr>
        <w:t xml:space="preserve">commonalities and variations in the theses investigated in the study and those in the existing literature. At its most basic, CR is defined as “an area of research in second language acquisition that identifies problems in composition encountered by second language writers and, by referring to the rhetorical strategies of the first language, attempts to explain them” (Connor, 1999, p. 5). </w:t>
      </w:r>
    </w:p>
    <w:p w14:paraId="32BF0D7D" w14:textId="77777777" w:rsidR="003601B5" w:rsidRPr="00007717" w:rsidRDefault="003601B5" w:rsidP="003601B5">
      <w:pPr>
        <w:spacing w:line="360" w:lineRule="auto"/>
        <w:contextualSpacing/>
        <w:jc w:val="both"/>
        <w:rPr>
          <w:rFonts w:eastAsia="Times New Roman"/>
          <w:lang w:val="en-AU"/>
        </w:rPr>
      </w:pPr>
    </w:p>
    <w:p w14:paraId="42D67C5F" w14:textId="69F23C41" w:rsidR="002769C7" w:rsidRPr="00007717" w:rsidRDefault="002769C7" w:rsidP="003601B5">
      <w:pPr>
        <w:spacing w:line="360" w:lineRule="auto"/>
        <w:contextualSpacing/>
        <w:jc w:val="both"/>
        <w:rPr>
          <w:rFonts w:eastAsia="Times New Roman"/>
          <w:lang w:val="en-AU"/>
        </w:rPr>
      </w:pPr>
      <w:r w:rsidRPr="00007717">
        <w:rPr>
          <w:rFonts w:eastAsia="Times New Roman"/>
          <w:lang w:val="en-AU"/>
        </w:rPr>
        <w:lastRenderedPageBreak/>
        <w:t>Many text linguistic studies have contrasted discourse patterns of various kinds in different languages as well as English. Researchers analysing Arabic (Johnstone, 1986; Ostler, 1987), Chinese (E</w:t>
      </w:r>
      <w:r w:rsidR="00EA3BF7" w:rsidRPr="00007717">
        <w:rPr>
          <w:rFonts w:eastAsia="Times New Roman"/>
          <w:lang w:val="en-AU"/>
        </w:rPr>
        <w:t>ason, 1995; Li &amp; Thompson, 1982;</w:t>
      </w:r>
      <w:r w:rsidRPr="00007717">
        <w:rPr>
          <w:rFonts w:eastAsia="Times New Roman"/>
          <w:lang w:val="en-AU"/>
        </w:rPr>
        <w:t xml:space="preserve"> </w:t>
      </w:r>
      <w:proofErr w:type="spellStart"/>
      <w:r w:rsidRPr="00007717">
        <w:rPr>
          <w:rFonts w:eastAsia="Times New Roman"/>
          <w:lang w:val="en-AU"/>
        </w:rPr>
        <w:t>Matelene</w:t>
      </w:r>
      <w:proofErr w:type="spellEnd"/>
      <w:r w:rsidRPr="00007717">
        <w:rPr>
          <w:rFonts w:eastAsia="Times New Roman"/>
          <w:lang w:val="en-AU"/>
        </w:rPr>
        <w:t>, 1995), Hindi (</w:t>
      </w:r>
      <w:proofErr w:type="spellStart"/>
      <w:r w:rsidRPr="00007717">
        <w:rPr>
          <w:rFonts w:eastAsia="Times New Roman"/>
          <w:lang w:val="en-AU"/>
        </w:rPr>
        <w:t>Kachru</w:t>
      </w:r>
      <w:proofErr w:type="spellEnd"/>
      <w:r w:rsidRPr="00007717">
        <w:rPr>
          <w:rFonts w:eastAsia="Times New Roman"/>
          <w:lang w:val="en-AU"/>
        </w:rPr>
        <w:t xml:space="preserve">, 1983) and Japanese (Hinds, 1980, 1983; Hirose &amp; Sasaki, 1994; Kobayashi, 1984) claim that these languages have their own characteristic rhetorical organisations of expository and argumentative prose. </w:t>
      </w:r>
      <w:r w:rsidR="00DA6C24" w:rsidRPr="00007717">
        <w:rPr>
          <w:rFonts w:eastAsia="Times New Roman"/>
          <w:lang w:val="en-AU"/>
        </w:rPr>
        <w:t xml:space="preserve">Two of the most </w:t>
      </w:r>
      <w:r w:rsidRPr="00007717">
        <w:rPr>
          <w:rFonts w:eastAsia="Times New Roman"/>
          <w:lang w:val="en-AU"/>
        </w:rPr>
        <w:t>researched</w:t>
      </w:r>
      <w:r w:rsidR="00DA6C24" w:rsidRPr="00007717">
        <w:rPr>
          <w:rFonts w:eastAsia="Times New Roman"/>
          <w:lang w:val="en-AU"/>
        </w:rPr>
        <w:t xml:space="preserve"> areas</w:t>
      </w:r>
      <w:r w:rsidRPr="00007717">
        <w:rPr>
          <w:rFonts w:eastAsia="Times New Roman"/>
          <w:lang w:val="en-AU"/>
        </w:rPr>
        <w:t xml:space="preserve"> in CR and text lin</w:t>
      </w:r>
      <w:r w:rsidR="00DA6C24" w:rsidRPr="00007717">
        <w:rPr>
          <w:rFonts w:eastAsia="Times New Roman"/>
          <w:lang w:val="en-AU"/>
        </w:rPr>
        <w:t>guistics are</w:t>
      </w:r>
      <w:r w:rsidRPr="00007717">
        <w:rPr>
          <w:rFonts w:eastAsia="Times New Roman"/>
          <w:lang w:val="en-AU"/>
        </w:rPr>
        <w:t xml:space="preserve"> </w:t>
      </w:r>
      <w:r w:rsidR="004B3AF5">
        <w:rPr>
          <w:rFonts w:eastAsia="Times New Roman"/>
          <w:lang w:val="en-AU"/>
        </w:rPr>
        <w:t xml:space="preserve">the </w:t>
      </w:r>
      <w:r w:rsidRPr="00007717">
        <w:rPr>
          <w:rFonts w:eastAsia="Times New Roman"/>
          <w:lang w:val="en-AU"/>
        </w:rPr>
        <w:t>differen</w:t>
      </w:r>
      <w:r w:rsidR="004B3AF5">
        <w:rPr>
          <w:rFonts w:eastAsia="Times New Roman"/>
          <w:lang w:val="en-AU"/>
        </w:rPr>
        <w:t>ces</w:t>
      </w:r>
      <w:r w:rsidRPr="00007717">
        <w:rPr>
          <w:rFonts w:eastAsia="Times New Roman"/>
          <w:lang w:val="en-AU"/>
        </w:rPr>
        <w:t xml:space="preserve"> between inductive and deductive patterns of organising text</w:t>
      </w:r>
      <w:r w:rsidR="00DA6C24" w:rsidRPr="00007717">
        <w:rPr>
          <w:rFonts w:eastAsia="Times New Roman"/>
          <w:lang w:val="en-AU"/>
        </w:rPr>
        <w:t xml:space="preserve"> and how the reader/writer responsibility in a specific culture affects the </w:t>
      </w:r>
      <w:r w:rsidR="009A4FF2">
        <w:rPr>
          <w:rFonts w:eastAsia="Times New Roman"/>
          <w:lang w:val="en-AU"/>
        </w:rPr>
        <w:t>writer</w:t>
      </w:r>
      <w:r w:rsidR="00DA6C24" w:rsidRPr="00007717">
        <w:rPr>
          <w:rFonts w:eastAsia="Times New Roman"/>
          <w:lang w:val="en-AU"/>
        </w:rPr>
        <w:t>s’ composition.</w:t>
      </w:r>
      <w:r w:rsidRPr="00007717">
        <w:rPr>
          <w:rFonts w:eastAsia="Times New Roman"/>
          <w:lang w:val="en-AU"/>
        </w:rPr>
        <w:t xml:space="preserve"> Influential studies in the area of early CR taking the first two approaches have provided support </w:t>
      </w:r>
      <w:r w:rsidR="004B3AF5">
        <w:rPr>
          <w:rFonts w:eastAsia="Times New Roman"/>
          <w:lang w:val="en-AU"/>
        </w:rPr>
        <w:t xml:space="preserve">for </w:t>
      </w:r>
      <w:r w:rsidRPr="00007717">
        <w:rPr>
          <w:rFonts w:eastAsia="Times New Roman"/>
          <w:lang w:val="en-AU"/>
        </w:rPr>
        <w:t>the claim that culture does have a significant impact on the writing product.</w:t>
      </w:r>
      <w:r w:rsidR="005A1C2A" w:rsidRPr="00007717">
        <w:rPr>
          <w:rFonts w:eastAsia="Times New Roman"/>
          <w:lang w:val="en-AU"/>
        </w:rPr>
        <w:t xml:space="preserve"> </w:t>
      </w:r>
      <w:r w:rsidRPr="00007717">
        <w:rPr>
          <w:rFonts w:eastAsia="Times New Roman"/>
          <w:lang w:val="en-AU"/>
        </w:rPr>
        <w:t xml:space="preserve">This traditional concept of CR has been criticised, challenging both the hypothesis as well as </w:t>
      </w:r>
      <w:r w:rsidR="004B3AF5">
        <w:rPr>
          <w:rFonts w:eastAsia="Times New Roman"/>
          <w:lang w:val="en-AU"/>
        </w:rPr>
        <w:t xml:space="preserve">taking issue with </w:t>
      </w:r>
      <w:r w:rsidRPr="00007717">
        <w:rPr>
          <w:rFonts w:eastAsia="Times New Roman"/>
          <w:lang w:val="en-AU"/>
        </w:rPr>
        <w:t>methodological issues. CR studies of writing have now expand</w:t>
      </w:r>
      <w:r w:rsidR="005747F4" w:rsidRPr="00007717">
        <w:rPr>
          <w:rFonts w:eastAsia="Times New Roman"/>
          <w:lang w:val="en-AU"/>
        </w:rPr>
        <w:t xml:space="preserve">ed the type of writing analysis and </w:t>
      </w:r>
      <w:r w:rsidRPr="00007717">
        <w:rPr>
          <w:rFonts w:eastAsia="Times New Roman"/>
          <w:lang w:val="en-AU"/>
        </w:rPr>
        <w:t>have acknowledged the complexities of cultural, social and educational factors affecting a writing situation. Connor</w:t>
      </w:r>
      <w:r w:rsidR="005A1C2A" w:rsidRPr="00007717">
        <w:rPr>
          <w:rFonts w:eastAsia="Times New Roman"/>
          <w:lang w:val="en-AU"/>
        </w:rPr>
        <w:t xml:space="preserve"> </w:t>
      </w:r>
      <w:r w:rsidR="008857D6" w:rsidRPr="008857D6">
        <w:rPr>
          <w:rFonts w:eastAsia="Times New Roman"/>
          <w:lang w:val="en-AU"/>
        </w:rPr>
        <w:t>(2008)</w:t>
      </w:r>
      <w:r w:rsidRPr="008857D6">
        <w:rPr>
          <w:rFonts w:eastAsia="Times New Roman"/>
          <w:lang w:val="en-AU"/>
        </w:rPr>
        <w:t>,</w:t>
      </w:r>
      <w:r w:rsidRPr="00007717">
        <w:rPr>
          <w:rFonts w:eastAsia="Times New Roman"/>
          <w:lang w:val="en-AU"/>
        </w:rPr>
        <w:t xml:space="preserve"> in order to theorise the new CR and set the agenda for practical research applications, incorporated Fairclough’s (1992) text in context theory. Through Fairclough, CR considers writing as a socially constructed activity and process. When doing research in writing, this theory postulates that the researcher not only examines the text, but also the “discursive and social practices” surrounding the text</w:t>
      </w:r>
      <w:r w:rsidR="00723C0A">
        <w:rPr>
          <w:rFonts w:eastAsia="Times New Roman"/>
          <w:lang w:val="en-AU"/>
        </w:rPr>
        <w:t xml:space="preserve"> (Connor, 2008)</w:t>
      </w:r>
      <w:r w:rsidRPr="00007717">
        <w:rPr>
          <w:rFonts w:eastAsia="Times New Roman"/>
          <w:lang w:val="en-AU"/>
        </w:rPr>
        <w:t>. Further, Conn</w:t>
      </w:r>
      <w:r w:rsidR="00533AA1">
        <w:rPr>
          <w:rFonts w:eastAsia="Times New Roman"/>
          <w:lang w:val="en-AU"/>
        </w:rPr>
        <w:t>or (2008) suggest</w:t>
      </w:r>
      <w:r w:rsidRPr="00007717">
        <w:rPr>
          <w:rFonts w:eastAsia="Times New Roman"/>
          <w:lang w:val="en-AU"/>
        </w:rPr>
        <w:t xml:space="preserve">s a model that posits various overlapping </w:t>
      </w:r>
      <w:r w:rsidR="00533AA1">
        <w:rPr>
          <w:rFonts w:eastAsia="Times New Roman"/>
          <w:lang w:val="en-AU"/>
        </w:rPr>
        <w:t>cultures</w:t>
      </w:r>
      <w:r w:rsidR="00EB4B71">
        <w:rPr>
          <w:rFonts w:eastAsia="Times New Roman"/>
          <w:lang w:val="en-AU"/>
        </w:rPr>
        <w:t xml:space="preserve"> </w:t>
      </w:r>
      <w:r w:rsidR="00533AA1">
        <w:rPr>
          <w:rFonts w:eastAsia="Times New Roman"/>
          <w:lang w:val="en-AU"/>
        </w:rPr>
        <w:t>in which national and cultural features of writing are embedded and cannot be isolated</w:t>
      </w:r>
      <w:r w:rsidR="00EB4B71">
        <w:rPr>
          <w:rFonts w:eastAsia="Times New Roman"/>
          <w:lang w:val="en-AU"/>
        </w:rPr>
        <w:t xml:space="preserve">. Connor’s (2008) take on CR </w:t>
      </w:r>
      <w:r w:rsidR="00533AA1">
        <w:rPr>
          <w:rFonts w:eastAsia="Times New Roman"/>
          <w:lang w:val="en-AU"/>
        </w:rPr>
        <w:t xml:space="preserve"> is a valuable insight</w:t>
      </w:r>
      <w:r w:rsidRPr="00007717">
        <w:rPr>
          <w:rFonts w:eastAsia="Times New Roman"/>
          <w:lang w:val="en-AU"/>
        </w:rPr>
        <w:t xml:space="preserve"> for the present study in that it provides an understanding of the complexity of interacting cultures in an educational setting. </w:t>
      </w:r>
    </w:p>
    <w:p w14:paraId="396E165D" w14:textId="697DC187" w:rsidR="002769C7" w:rsidRPr="00007717" w:rsidRDefault="002769C7" w:rsidP="003601B5">
      <w:pPr>
        <w:keepNext/>
        <w:widowControl w:val="0"/>
        <w:spacing w:before="100" w:beforeAutospacing="1" w:after="100" w:afterAutospacing="1" w:line="360" w:lineRule="auto"/>
        <w:contextualSpacing/>
        <w:jc w:val="both"/>
        <w:rPr>
          <w:rFonts w:eastAsia="Times New Roman"/>
          <w:bCs/>
          <w:lang w:val="en-AU"/>
        </w:rPr>
      </w:pPr>
    </w:p>
    <w:p w14:paraId="61B8A265" w14:textId="59503395" w:rsidR="003601B5" w:rsidRDefault="00C52403" w:rsidP="003601B5">
      <w:pPr>
        <w:keepNext/>
        <w:spacing w:before="240" w:after="120" w:line="360" w:lineRule="auto"/>
        <w:contextualSpacing/>
        <w:jc w:val="both"/>
        <w:rPr>
          <w:rFonts w:eastAsia="Times New Roman"/>
          <w:b/>
          <w:lang w:val="en-AU"/>
        </w:rPr>
      </w:pPr>
      <w:bookmarkStart w:id="0" w:name="_Toc192341814"/>
      <w:bookmarkStart w:id="1" w:name="_Toc191087935"/>
      <w:r>
        <w:rPr>
          <w:rFonts w:eastAsia="Times New Roman"/>
          <w:b/>
          <w:lang w:val="en-AU"/>
        </w:rPr>
        <w:t xml:space="preserve">2.1 </w:t>
      </w:r>
      <w:r w:rsidRPr="00BC19FC">
        <w:rPr>
          <w:rFonts w:eastAsia="Times New Roman"/>
          <w:b/>
          <w:lang w:val="en-AU"/>
        </w:rPr>
        <w:t xml:space="preserve">Genre-Contrastive </w:t>
      </w:r>
      <w:r w:rsidR="00F04AB3" w:rsidRPr="00BC19FC">
        <w:rPr>
          <w:rFonts w:eastAsia="Times New Roman"/>
          <w:b/>
          <w:lang w:val="en-AU"/>
        </w:rPr>
        <w:t>Rhetoric Theory – Implications f</w:t>
      </w:r>
      <w:r w:rsidRPr="00BC19FC">
        <w:rPr>
          <w:rFonts w:eastAsia="Times New Roman"/>
          <w:b/>
          <w:lang w:val="en-AU"/>
        </w:rPr>
        <w:t xml:space="preserve">or </w:t>
      </w:r>
      <w:r w:rsidR="00C15533">
        <w:rPr>
          <w:rFonts w:eastAsia="Times New Roman"/>
          <w:b/>
          <w:lang w:val="en-AU"/>
        </w:rPr>
        <w:t>t</w:t>
      </w:r>
      <w:r w:rsidRPr="00BC19FC">
        <w:rPr>
          <w:rFonts w:eastAsia="Times New Roman"/>
          <w:b/>
          <w:lang w:val="en-AU"/>
        </w:rPr>
        <w:t>he Study</w:t>
      </w:r>
      <w:bookmarkEnd w:id="0"/>
      <w:bookmarkEnd w:id="1"/>
    </w:p>
    <w:p w14:paraId="5BE573FE" w14:textId="77777777" w:rsidR="003601B5" w:rsidRPr="003601B5" w:rsidRDefault="003601B5" w:rsidP="003601B5">
      <w:pPr>
        <w:keepNext/>
        <w:spacing w:before="240" w:after="120" w:line="360" w:lineRule="auto"/>
        <w:contextualSpacing/>
        <w:jc w:val="both"/>
        <w:rPr>
          <w:rFonts w:eastAsia="Times New Roman"/>
          <w:b/>
          <w:lang w:val="en-AU"/>
        </w:rPr>
      </w:pPr>
    </w:p>
    <w:p w14:paraId="792971AC" w14:textId="4A942348" w:rsidR="007225C1" w:rsidRPr="00DD1946" w:rsidRDefault="002769C7" w:rsidP="003601B5">
      <w:pPr>
        <w:spacing w:after="0" w:line="360" w:lineRule="auto"/>
        <w:contextualSpacing/>
        <w:jc w:val="both"/>
        <w:rPr>
          <w:rFonts w:eastAsia="Times New Roman"/>
          <w:lang w:val="en-AU"/>
        </w:rPr>
      </w:pPr>
      <w:r w:rsidRPr="00007717">
        <w:rPr>
          <w:rFonts w:eastAsia="Times New Roman"/>
          <w:lang w:val="en-AU"/>
        </w:rPr>
        <w:t xml:space="preserve">In addition to the expansion of the concept of genre and the definition of culture, CR has moved to emphasise the social situation of writing. Mirroring the concept of genre, writing is regarded as socially situated in that it has to correspond to the norms and expectations of its community. Therefore, viewing genre through the CR lens of </w:t>
      </w:r>
      <w:r w:rsidR="00094576">
        <w:rPr>
          <w:rFonts w:eastAsia="Times New Roman"/>
          <w:lang w:val="en-AU"/>
        </w:rPr>
        <w:t>“</w:t>
      </w:r>
      <w:r w:rsidRPr="00007717">
        <w:rPr>
          <w:rFonts w:eastAsia="Times New Roman"/>
          <w:lang w:val="en-AU"/>
        </w:rPr>
        <w:t>context and culture</w:t>
      </w:r>
      <w:r w:rsidR="00094576">
        <w:rPr>
          <w:rFonts w:eastAsia="Times New Roman"/>
          <w:lang w:val="en-AU"/>
        </w:rPr>
        <w:t>”</w:t>
      </w:r>
      <w:r w:rsidRPr="00007717">
        <w:rPr>
          <w:rFonts w:eastAsia="Times New Roman"/>
          <w:lang w:val="en-AU"/>
        </w:rPr>
        <w:t xml:space="preserve"> assists in looking at context as </w:t>
      </w:r>
      <w:r w:rsidR="00206FE2">
        <w:rPr>
          <w:rFonts w:eastAsia="Times New Roman"/>
          <w:lang w:val="en-AU"/>
        </w:rPr>
        <w:t>multi-layered</w:t>
      </w:r>
      <w:r w:rsidRPr="00007717">
        <w:rPr>
          <w:rFonts w:eastAsia="Times New Roman"/>
          <w:lang w:val="en-AU"/>
        </w:rPr>
        <w:t>. Although the initial impetus of CR, which was to assess cultural influence in discourse, is seen as stereotyping Western peoples and other users of English, it is still useful, especially when it is applied</w:t>
      </w:r>
      <w:r w:rsidR="005747F4" w:rsidRPr="00007717">
        <w:rPr>
          <w:rFonts w:eastAsia="Times New Roman"/>
          <w:lang w:val="en-AU"/>
        </w:rPr>
        <w:t xml:space="preserve"> to a genre written by non-native speakers </w:t>
      </w:r>
      <w:r w:rsidR="007C488F">
        <w:rPr>
          <w:rFonts w:eastAsia="Times New Roman"/>
          <w:lang w:val="en-AU"/>
        </w:rPr>
        <w:t xml:space="preserve">and </w:t>
      </w:r>
      <w:r w:rsidR="005747F4" w:rsidRPr="00007717">
        <w:rPr>
          <w:rFonts w:eastAsia="Times New Roman"/>
          <w:lang w:val="en-AU"/>
        </w:rPr>
        <w:t>when it</w:t>
      </w:r>
      <w:r w:rsidRPr="00007717">
        <w:rPr>
          <w:rFonts w:eastAsia="Times New Roman"/>
          <w:lang w:val="en-AU"/>
        </w:rPr>
        <w:t xml:space="preserve"> involves the institutional context. The present study is grounded in the current understanding of genre and CR, including not just the big culture relationship to text but also the relationship </w:t>
      </w:r>
      <w:r w:rsidRPr="00007717">
        <w:rPr>
          <w:rFonts w:eastAsia="Times New Roman"/>
          <w:lang w:val="en-AU"/>
        </w:rPr>
        <w:lastRenderedPageBreak/>
        <w:t>of the text to the context in which it is produced. Context will be looked at in terms of a number of layers</w:t>
      </w:r>
      <w:r w:rsidR="002161F3">
        <w:rPr>
          <w:rFonts w:eastAsia="Times New Roman"/>
          <w:lang w:val="en-AU"/>
        </w:rPr>
        <w:t xml:space="preserve"> –</w:t>
      </w:r>
      <w:r w:rsidR="00FE1CA5" w:rsidRPr="00007717">
        <w:rPr>
          <w:rFonts w:eastAsia="Times New Roman"/>
          <w:lang w:val="en-AU"/>
        </w:rPr>
        <w:t xml:space="preserve"> the big culture which is the sociocultural elements and the small culture </w:t>
      </w:r>
      <w:r w:rsidR="005747F4" w:rsidRPr="00007717">
        <w:rPr>
          <w:rFonts w:eastAsia="Times New Roman"/>
          <w:lang w:val="en-AU"/>
        </w:rPr>
        <w:t>in which</w:t>
      </w:r>
      <w:r w:rsidRPr="00007717">
        <w:rPr>
          <w:rFonts w:eastAsia="Times New Roman"/>
          <w:lang w:val="en-AU"/>
        </w:rPr>
        <w:t xml:space="preserve"> </w:t>
      </w:r>
      <w:r w:rsidR="00FE1CA5" w:rsidRPr="00007717">
        <w:rPr>
          <w:rFonts w:eastAsia="Times New Roman"/>
          <w:lang w:val="en-AU"/>
        </w:rPr>
        <w:t xml:space="preserve">we have several </w:t>
      </w:r>
      <w:r w:rsidR="00EB4B71" w:rsidRPr="00007717">
        <w:rPr>
          <w:rFonts w:eastAsia="Times New Roman"/>
          <w:lang w:val="en-AU"/>
        </w:rPr>
        <w:t>levels</w:t>
      </w:r>
      <w:r w:rsidR="00FE1CA5" w:rsidRPr="00007717">
        <w:rPr>
          <w:rFonts w:eastAsia="Times New Roman"/>
          <w:lang w:val="en-AU"/>
        </w:rPr>
        <w:t xml:space="preserve"> of context. </w:t>
      </w:r>
      <w:proofErr w:type="spellStart"/>
      <w:r w:rsidR="00DD1946" w:rsidRPr="00DD1946">
        <w:rPr>
          <w:rFonts w:eastAsia="Times New Roman"/>
          <w:lang w:val="en-AU"/>
        </w:rPr>
        <w:t>Samraj</w:t>
      </w:r>
      <w:proofErr w:type="spellEnd"/>
      <w:r w:rsidR="00DD1946" w:rsidRPr="00DD1946">
        <w:rPr>
          <w:rFonts w:eastAsia="Times New Roman"/>
          <w:lang w:val="en-AU"/>
        </w:rPr>
        <w:t xml:space="preserve"> (2002a, p. 165) presents a useful model of the relationship between academic writing and the context that infl</w:t>
      </w:r>
      <w:r w:rsidR="00533AA1">
        <w:rPr>
          <w:rFonts w:eastAsia="Times New Roman"/>
          <w:lang w:val="en-AU"/>
        </w:rPr>
        <w:t>uences the writing (see Figure 1</w:t>
      </w:r>
      <w:r w:rsidR="00DD1946" w:rsidRPr="00DD1946">
        <w:rPr>
          <w:rFonts w:eastAsia="Times New Roman"/>
          <w:lang w:val="en-AU"/>
        </w:rPr>
        <w:t xml:space="preserve">). This model specifically addresses writings by students taking a course at an educational institution. </w:t>
      </w:r>
      <w:r w:rsidR="00FE1CA5" w:rsidRPr="00DD1946">
        <w:rPr>
          <w:rFonts w:eastAsia="Times New Roman"/>
          <w:lang w:val="en-AU"/>
        </w:rPr>
        <w:t>T</w:t>
      </w:r>
      <w:r w:rsidRPr="00DD1946">
        <w:rPr>
          <w:rFonts w:eastAsia="Times New Roman"/>
          <w:lang w:val="en-AU"/>
        </w:rPr>
        <w:t xml:space="preserve">he highest level of context that appears to influence academic writing is the academic institution. </w:t>
      </w:r>
      <w:r w:rsidR="00DD1946" w:rsidRPr="00DD1946">
        <w:rPr>
          <w:rFonts w:eastAsia="Times New Roman"/>
          <w:lang w:val="en-AU"/>
        </w:rPr>
        <w:t xml:space="preserve">The academic discipline forms a contextual level below this. The next level of the model is the context of the course which, according to </w:t>
      </w:r>
      <w:proofErr w:type="spellStart"/>
      <w:r w:rsidR="00DD1946" w:rsidRPr="00DD1946">
        <w:rPr>
          <w:rFonts w:eastAsia="Times New Roman"/>
          <w:lang w:val="en-AU"/>
        </w:rPr>
        <w:t>Samraj</w:t>
      </w:r>
      <w:proofErr w:type="spellEnd"/>
      <w:r w:rsidR="00DD1946" w:rsidRPr="00DD1946">
        <w:rPr>
          <w:rFonts w:eastAsia="Times New Roman"/>
          <w:lang w:val="en-AU"/>
        </w:rPr>
        <w:t>, does not completely overlap with the discipline in terms of its value. A more specific context is that of task, and finally there is the context of each individual student in terms of the background and choices influencing the text produced. The present study</w:t>
      </w:r>
      <w:r w:rsidR="00241895">
        <w:rPr>
          <w:rFonts w:eastAsia="Times New Roman"/>
          <w:lang w:val="en-AU"/>
        </w:rPr>
        <w:t>,</w:t>
      </w:r>
      <w:r w:rsidR="00DD1946" w:rsidRPr="00DD1946">
        <w:rPr>
          <w:rFonts w:eastAsia="Times New Roman"/>
          <w:lang w:val="en-AU"/>
        </w:rPr>
        <w:t xml:space="preserve"> however</w:t>
      </w:r>
      <w:r w:rsidR="00241895">
        <w:rPr>
          <w:rFonts w:eastAsia="Times New Roman"/>
          <w:lang w:val="en-AU"/>
        </w:rPr>
        <w:t>,</w:t>
      </w:r>
      <w:r w:rsidR="00DD1946" w:rsidRPr="00DD1946">
        <w:rPr>
          <w:rFonts w:eastAsia="Times New Roman"/>
          <w:lang w:val="en-AU"/>
        </w:rPr>
        <w:t xml:space="preserve"> does not take into account the context of student as this requires a more in</w:t>
      </w:r>
      <w:r w:rsidR="00241895">
        <w:rPr>
          <w:rFonts w:eastAsia="Times New Roman"/>
          <w:lang w:val="en-AU"/>
        </w:rPr>
        <w:t>-</w:t>
      </w:r>
      <w:r w:rsidR="00DD1946" w:rsidRPr="00DD1946">
        <w:rPr>
          <w:rFonts w:eastAsia="Times New Roman"/>
          <w:lang w:val="en-AU"/>
        </w:rPr>
        <w:t>depth methodological evaluation.</w:t>
      </w:r>
    </w:p>
    <w:p w14:paraId="45FAC5C1" w14:textId="77777777" w:rsidR="007225C1" w:rsidRPr="00DD1946" w:rsidRDefault="00DD1946" w:rsidP="003601B5">
      <w:pPr>
        <w:spacing w:after="240" w:line="360" w:lineRule="auto"/>
        <w:ind w:firstLine="709"/>
        <w:contextualSpacing/>
        <w:jc w:val="both"/>
        <w:rPr>
          <w:rFonts w:eastAsia="Times New Roman"/>
          <w:lang w:val="en-AU"/>
        </w:rPr>
      </w:pPr>
      <w:r w:rsidRPr="00DD1946">
        <w:rPr>
          <w:rFonts w:eastAsia="Times New Roman"/>
          <w:noProof/>
          <w:lang w:val="en-MY" w:eastAsia="en-MY"/>
        </w:rPr>
        <mc:AlternateContent>
          <mc:Choice Requires="wpg">
            <w:drawing>
              <wp:anchor distT="0" distB="0" distL="114300" distR="114300" simplePos="0" relativeHeight="251668480" behindDoc="0" locked="0" layoutInCell="1" allowOverlap="1" wp14:anchorId="33FC1FDC" wp14:editId="4C8E535F">
                <wp:simplePos x="0" y="0"/>
                <wp:positionH relativeFrom="margin">
                  <wp:posOffset>1795780</wp:posOffset>
                </wp:positionH>
                <wp:positionV relativeFrom="paragraph">
                  <wp:posOffset>222250</wp:posOffset>
                </wp:positionV>
                <wp:extent cx="2105025" cy="2066925"/>
                <wp:effectExtent l="0" t="0" r="28575" b="28575"/>
                <wp:wrapNone/>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2066925"/>
                          <a:chOff x="3730" y="9180"/>
                          <a:chExt cx="3315" cy="3255"/>
                        </a:xfrm>
                      </wpg:grpSpPr>
                      <wps:wsp>
                        <wps:cNvPr id="30" name="Rectangle 12"/>
                        <wps:cNvSpPr>
                          <a:spLocks noChangeArrowheads="1"/>
                        </wps:cNvSpPr>
                        <wps:spPr bwMode="auto">
                          <a:xfrm>
                            <a:off x="3730" y="9180"/>
                            <a:ext cx="3315" cy="465"/>
                          </a:xfrm>
                          <a:prstGeom prst="rect">
                            <a:avLst/>
                          </a:prstGeom>
                          <a:solidFill>
                            <a:srgbClr val="FFFFFF"/>
                          </a:solidFill>
                          <a:ln w="9525">
                            <a:solidFill>
                              <a:srgbClr val="000000"/>
                            </a:solidFill>
                            <a:miter lim="800000"/>
                            <a:headEnd/>
                            <a:tailEnd/>
                          </a:ln>
                        </wps:spPr>
                        <wps:txbx>
                          <w:txbxContent>
                            <w:p w14:paraId="149874EE" w14:textId="77777777" w:rsidR="00EB52B1" w:rsidRPr="00DD1946" w:rsidRDefault="00EB52B1" w:rsidP="007225C1">
                              <w:pPr>
                                <w:jc w:val="center"/>
                                <w:rPr>
                                  <w:lang w:val="en-US"/>
                                </w:rPr>
                              </w:pPr>
                              <w:r w:rsidRPr="00DD1946">
                                <w:rPr>
                                  <w:lang w:val="en-US"/>
                                </w:rPr>
                                <w:t>Academic Institution</w:t>
                              </w:r>
                            </w:p>
                          </w:txbxContent>
                        </wps:txbx>
                        <wps:bodyPr rot="0" vert="horz" wrap="square" lIns="91440" tIns="45720" rIns="91440" bIns="45720" anchor="t" anchorCtr="0" upright="1">
                          <a:noAutofit/>
                        </wps:bodyPr>
                      </wps:wsp>
                      <wps:wsp>
                        <wps:cNvPr id="31" name="Rectangle 12"/>
                        <wps:cNvSpPr>
                          <a:spLocks noChangeArrowheads="1"/>
                        </wps:cNvSpPr>
                        <wps:spPr bwMode="auto">
                          <a:xfrm>
                            <a:off x="3960" y="9645"/>
                            <a:ext cx="2895" cy="465"/>
                          </a:xfrm>
                          <a:prstGeom prst="rect">
                            <a:avLst/>
                          </a:prstGeom>
                          <a:solidFill>
                            <a:srgbClr val="FFFFFF"/>
                          </a:solidFill>
                          <a:ln w="9525">
                            <a:solidFill>
                              <a:srgbClr val="000000"/>
                            </a:solidFill>
                            <a:miter lim="800000"/>
                            <a:headEnd/>
                            <a:tailEnd/>
                          </a:ln>
                        </wps:spPr>
                        <wps:txbx>
                          <w:txbxContent>
                            <w:p w14:paraId="722F0018" w14:textId="77777777" w:rsidR="00EB52B1" w:rsidRPr="00DD1946" w:rsidRDefault="00EB52B1" w:rsidP="007225C1">
                              <w:pPr>
                                <w:jc w:val="center"/>
                                <w:rPr>
                                  <w:lang w:val="en-US"/>
                                </w:rPr>
                              </w:pPr>
                              <w:r w:rsidRPr="00DD1946">
                                <w:rPr>
                                  <w:lang w:val="en-US"/>
                                </w:rPr>
                                <w:t>Discipline</w:t>
                              </w:r>
                            </w:p>
                          </w:txbxContent>
                        </wps:txbx>
                        <wps:bodyPr rot="0" vert="horz" wrap="square" lIns="91440" tIns="45720" rIns="91440" bIns="45720" anchor="t" anchorCtr="0" upright="1">
                          <a:noAutofit/>
                        </wps:bodyPr>
                      </wps:wsp>
                      <wps:wsp>
                        <wps:cNvPr id="129" name="Rectangle 14"/>
                        <wps:cNvSpPr>
                          <a:spLocks noChangeArrowheads="1"/>
                        </wps:cNvSpPr>
                        <wps:spPr bwMode="auto">
                          <a:xfrm>
                            <a:off x="4260" y="10110"/>
                            <a:ext cx="2355" cy="465"/>
                          </a:xfrm>
                          <a:prstGeom prst="rect">
                            <a:avLst/>
                          </a:prstGeom>
                          <a:solidFill>
                            <a:srgbClr val="FFFFFF"/>
                          </a:solidFill>
                          <a:ln w="9525">
                            <a:solidFill>
                              <a:srgbClr val="000000"/>
                            </a:solidFill>
                            <a:miter lim="800000"/>
                            <a:headEnd/>
                            <a:tailEnd/>
                          </a:ln>
                        </wps:spPr>
                        <wps:txbx>
                          <w:txbxContent>
                            <w:p w14:paraId="3E80C092" w14:textId="77777777" w:rsidR="00EB52B1" w:rsidRPr="00D84E17" w:rsidRDefault="00EB52B1" w:rsidP="007225C1">
                              <w:pPr>
                                <w:jc w:val="center"/>
                                <w:rPr>
                                  <w:lang w:val="en-US"/>
                                </w:rPr>
                              </w:pPr>
                              <w:r w:rsidRPr="00D84E17">
                                <w:rPr>
                                  <w:lang w:val="en-US"/>
                                </w:rPr>
                                <w:t>Course</w:t>
                              </w:r>
                            </w:p>
                          </w:txbxContent>
                        </wps:txbx>
                        <wps:bodyPr rot="0" vert="horz" wrap="square" lIns="91440" tIns="45720" rIns="91440" bIns="45720" anchor="t" anchorCtr="0" upright="1">
                          <a:noAutofit/>
                        </wps:bodyPr>
                      </wps:wsp>
                      <wps:wsp>
                        <wps:cNvPr id="137" name="Rectangle 15"/>
                        <wps:cNvSpPr>
                          <a:spLocks noChangeArrowheads="1"/>
                        </wps:cNvSpPr>
                        <wps:spPr bwMode="auto">
                          <a:xfrm>
                            <a:off x="4515" y="10575"/>
                            <a:ext cx="1905" cy="465"/>
                          </a:xfrm>
                          <a:prstGeom prst="rect">
                            <a:avLst/>
                          </a:prstGeom>
                          <a:solidFill>
                            <a:srgbClr val="FFFFFF"/>
                          </a:solidFill>
                          <a:ln w="9525">
                            <a:solidFill>
                              <a:srgbClr val="000000"/>
                            </a:solidFill>
                            <a:miter lim="800000"/>
                            <a:headEnd/>
                            <a:tailEnd/>
                          </a:ln>
                        </wps:spPr>
                        <wps:txbx>
                          <w:txbxContent>
                            <w:p w14:paraId="7F4D3AC3" w14:textId="77777777" w:rsidR="00EB52B1" w:rsidRPr="00D84E17" w:rsidRDefault="00EB52B1" w:rsidP="007225C1">
                              <w:pPr>
                                <w:jc w:val="center"/>
                                <w:rPr>
                                  <w:lang w:val="en-US"/>
                                </w:rPr>
                              </w:pPr>
                              <w:r w:rsidRPr="00D84E17">
                                <w:rPr>
                                  <w:lang w:val="en-US"/>
                                </w:rPr>
                                <w:t>Task</w:t>
                              </w:r>
                            </w:p>
                          </w:txbxContent>
                        </wps:txbx>
                        <wps:bodyPr rot="0" vert="horz" wrap="square" lIns="91440" tIns="45720" rIns="91440" bIns="45720" anchor="t" anchorCtr="0" upright="1">
                          <a:noAutofit/>
                        </wps:bodyPr>
                      </wps:wsp>
                      <wps:wsp>
                        <wps:cNvPr id="138" name="Rectangle 15"/>
                        <wps:cNvSpPr>
                          <a:spLocks noChangeArrowheads="1"/>
                        </wps:cNvSpPr>
                        <wps:spPr bwMode="auto">
                          <a:xfrm>
                            <a:off x="4770" y="11040"/>
                            <a:ext cx="1470" cy="465"/>
                          </a:xfrm>
                          <a:prstGeom prst="rect">
                            <a:avLst/>
                          </a:prstGeom>
                          <a:solidFill>
                            <a:srgbClr val="FFFFFF"/>
                          </a:solidFill>
                          <a:ln w="9525">
                            <a:solidFill>
                              <a:srgbClr val="000000"/>
                            </a:solidFill>
                            <a:miter lim="800000"/>
                            <a:headEnd/>
                            <a:tailEnd/>
                          </a:ln>
                        </wps:spPr>
                        <wps:txbx>
                          <w:txbxContent>
                            <w:p w14:paraId="782ADAF3" w14:textId="77777777" w:rsidR="00EB52B1" w:rsidRPr="00D84E17" w:rsidRDefault="00EB52B1" w:rsidP="007225C1">
                              <w:pPr>
                                <w:jc w:val="center"/>
                                <w:rPr>
                                  <w:lang w:val="en-US"/>
                                </w:rPr>
                              </w:pPr>
                              <w:r w:rsidRPr="00D84E17">
                                <w:rPr>
                                  <w:lang w:val="en-US"/>
                                </w:rPr>
                                <w:t>Student</w:t>
                              </w:r>
                            </w:p>
                          </w:txbxContent>
                        </wps:txbx>
                        <wps:bodyPr rot="0" vert="horz" wrap="square" lIns="91440" tIns="45720" rIns="91440" bIns="45720" anchor="t" anchorCtr="0" upright="1">
                          <a:noAutofit/>
                        </wps:bodyPr>
                      </wps:wsp>
                      <wps:wsp>
                        <wps:cNvPr id="141" name="Rectangle 17"/>
                        <wps:cNvSpPr>
                          <a:spLocks noChangeArrowheads="1"/>
                        </wps:cNvSpPr>
                        <wps:spPr bwMode="auto">
                          <a:xfrm>
                            <a:off x="5040" y="11970"/>
                            <a:ext cx="960" cy="465"/>
                          </a:xfrm>
                          <a:prstGeom prst="rect">
                            <a:avLst/>
                          </a:prstGeom>
                          <a:solidFill>
                            <a:srgbClr val="FFFFFF"/>
                          </a:solidFill>
                          <a:ln w="9525">
                            <a:solidFill>
                              <a:srgbClr val="000000"/>
                            </a:solidFill>
                            <a:miter lim="800000"/>
                            <a:headEnd/>
                            <a:tailEnd/>
                          </a:ln>
                        </wps:spPr>
                        <wps:txbx>
                          <w:txbxContent>
                            <w:p w14:paraId="75D2FC14" w14:textId="77777777" w:rsidR="00EB52B1" w:rsidRPr="00D84E17" w:rsidRDefault="00EB52B1" w:rsidP="007225C1">
                              <w:pPr>
                                <w:jc w:val="center"/>
                                <w:rPr>
                                  <w:lang w:val="en-US"/>
                                </w:rPr>
                              </w:pPr>
                              <w:r w:rsidRPr="00D84E17">
                                <w:rPr>
                                  <w:lang w:val="en-US"/>
                                </w:rPr>
                                <w:t>Text</w:t>
                              </w:r>
                            </w:p>
                          </w:txbxContent>
                        </wps:txbx>
                        <wps:bodyPr rot="0" vert="horz" wrap="square" lIns="91440" tIns="45720" rIns="91440" bIns="45720" anchor="t" anchorCtr="0" upright="1">
                          <a:noAutofit/>
                        </wps:bodyPr>
                      </wps:wsp>
                      <wps:wsp>
                        <wps:cNvPr id="142" name="AutoShape 18"/>
                        <wps:cNvCnPr>
                          <a:cxnSpLocks noChangeShapeType="1"/>
                        </wps:cNvCnPr>
                        <wps:spPr bwMode="auto">
                          <a:xfrm>
                            <a:off x="5475" y="11520"/>
                            <a:ext cx="0" cy="43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C1FDC" id="Group 11" o:spid="_x0000_s1026" style="position:absolute;left:0;text-align:left;margin-left:141.4pt;margin-top:17.5pt;width:165.75pt;height:162.75pt;z-index:251668480;mso-position-horizontal-relative:margin" coordorigin="3730,9180" coordsize="3315,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">
                <v:rect id="Rectangle 12" o:spid="_x0000_s1027" style="position:absolute;left:3730;top:9180;width:33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14:paraId="149874EE" w14:textId="77777777" w:rsidR="00EB52B1" w:rsidRPr="00DD1946" w:rsidRDefault="00EB52B1" w:rsidP="007225C1">
                        <w:pPr>
                          <w:jc w:val="center"/>
                          <w:rPr>
                            <w:lang w:val="en-US"/>
                          </w:rPr>
                        </w:pPr>
                        <w:r w:rsidRPr="00DD1946">
                          <w:rPr>
                            <w:lang w:val="en-US"/>
                          </w:rPr>
                          <w:t>Academic Institution</w:t>
                        </w:r>
                      </w:p>
                    </w:txbxContent>
                  </v:textbox>
                </v:rect>
                <v:rect id="Rectangle 12" o:spid="_x0000_s1028" style="position:absolute;left:3960;top:9645;width:289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14:paraId="722F0018" w14:textId="77777777" w:rsidR="00EB52B1" w:rsidRPr="00DD1946" w:rsidRDefault="00EB52B1" w:rsidP="007225C1">
                        <w:pPr>
                          <w:jc w:val="center"/>
                          <w:rPr>
                            <w:lang w:val="en-US"/>
                          </w:rPr>
                        </w:pPr>
                        <w:r w:rsidRPr="00DD1946">
                          <w:rPr>
                            <w:lang w:val="en-US"/>
                          </w:rPr>
                          <w:t>Discipline</w:t>
                        </w:r>
                      </w:p>
                    </w:txbxContent>
                  </v:textbox>
                </v:rect>
                <v:rect id="Rectangle 14" o:spid="_x0000_s1029" style="position:absolute;left:4260;top:10110;width:23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14:paraId="3E80C092" w14:textId="77777777" w:rsidR="00EB52B1" w:rsidRPr="00D84E17" w:rsidRDefault="00EB52B1" w:rsidP="007225C1">
                        <w:pPr>
                          <w:jc w:val="center"/>
                          <w:rPr>
                            <w:lang w:val="en-US"/>
                          </w:rPr>
                        </w:pPr>
                        <w:r w:rsidRPr="00D84E17">
                          <w:rPr>
                            <w:lang w:val="en-US"/>
                          </w:rPr>
                          <w:t>Course</w:t>
                        </w:r>
                      </w:p>
                    </w:txbxContent>
                  </v:textbox>
                </v:rect>
                <v:rect id="Rectangle 15" o:spid="_x0000_s1030" style="position:absolute;left:4515;top:10575;width:19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14:paraId="7F4D3AC3" w14:textId="77777777" w:rsidR="00EB52B1" w:rsidRPr="00D84E17" w:rsidRDefault="00EB52B1" w:rsidP="007225C1">
                        <w:pPr>
                          <w:jc w:val="center"/>
                          <w:rPr>
                            <w:lang w:val="en-US"/>
                          </w:rPr>
                        </w:pPr>
                        <w:r w:rsidRPr="00D84E17">
                          <w:rPr>
                            <w:lang w:val="en-US"/>
                          </w:rPr>
                          <w:t>Task</w:t>
                        </w:r>
                      </w:p>
                    </w:txbxContent>
                  </v:textbox>
                </v:rect>
                <v:rect id="Rectangle 15" o:spid="_x0000_s1031" style="position:absolute;left:4770;top:11040;width:147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14:paraId="782ADAF3" w14:textId="77777777" w:rsidR="00EB52B1" w:rsidRPr="00D84E17" w:rsidRDefault="00EB52B1" w:rsidP="007225C1">
                        <w:pPr>
                          <w:jc w:val="center"/>
                          <w:rPr>
                            <w:lang w:val="en-US"/>
                          </w:rPr>
                        </w:pPr>
                        <w:r w:rsidRPr="00D84E17">
                          <w:rPr>
                            <w:lang w:val="en-US"/>
                          </w:rPr>
                          <w:t>Student</w:t>
                        </w:r>
                      </w:p>
                    </w:txbxContent>
                  </v:textbox>
                </v:rect>
                <v:rect id="Rectangle 17" o:spid="_x0000_s1032" style="position:absolute;left:5040;top:11970;width:96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14:paraId="75D2FC14" w14:textId="77777777" w:rsidR="00EB52B1" w:rsidRPr="00D84E17" w:rsidRDefault="00EB52B1" w:rsidP="007225C1">
                        <w:pPr>
                          <w:jc w:val="center"/>
                          <w:rPr>
                            <w:lang w:val="en-US"/>
                          </w:rPr>
                        </w:pPr>
                        <w:r w:rsidRPr="00D84E17">
                          <w:rPr>
                            <w:lang w:val="en-US"/>
                          </w:rPr>
                          <w:t>Text</w:t>
                        </w:r>
                      </w:p>
                    </w:txbxContent>
                  </v:textbox>
                </v:rect>
                <v:shapetype id="_x0000_t32" coordsize="21600,21600" o:spt="32" o:oned="t" path="m,l21600,21600e" filled="f">
                  <v:path arrowok="t" fillok="f" o:connecttype="none"/>
                  <o:lock v:ext="edit" shapetype="t"/>
                </v:shapetype>
                <v:shape id="AutoShape 18" o:spid="_x0000_s1033" type="#_x0000_t32" style="position:absolute;left:5475;top:1152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w10:wrap anchorx="margin"/>
              </v:group>
            </w:pict>
          </mc:Fallback>
        </mc:AlternateContent>
      </w:r>
    </w:p>
    <w:p w14:paraId="408147AB" w14:textId="77777777" w:rsidR="007225C1" w:rsidRPr="00DD1946" w:rsidRDefault="007225C1" w:rsidP="003601B5">
      <w:pPr>
        <w:spacing w:after="240" w:line="360" w:lineRule="auto"/>
        <w:ind w:firstLine="709"/>
        <w:contextualSpacing/>
        <w:jc w:val="both"/>
        <w:rPr>
          <w:rFonts w:eastAsia="Times New Roman"/>
          <w:lang w:val="en-AU"/>
        </w:rPr>
      </w:pPr>
    </w:p>
    <w:p w14:paraId="3AA73AB2" w14:textId="77777777" w:rsidR="007225C1" w:rsidRPr="00DD1946" w:rsidRDefault="007225C1" w:rsidP="003601B5">
      <w:pPr>
        <w:spacing w:after="240" w:line="360" w:lineRule="auto"/>
        <w:ind w:firstLine="709"/>
        <w:contextualSpacing/>
        <w:jc w:val="both"/>
        <w:rPr>
          <w:rFonts w:eastAsia="Times New Roman"/>
          <w:lang w:val="en-AU"/>
        </w:rPr>
      </w:pPr>
    </w:p>
    <w:p w14:paraId="3C8394C2" w14:textId="77777777" w:rsidR="007225C1" w:rsidRPr="00DD1946" w:rsidRDefault="007225C1" w:rsidP="003601B5">
      <w:pPr>
        <w:spacing w:after="240" w:line="360" w:lineRule="auto"/>
        <w:ind w:firstLine="709"/>
        <w:contextualSpacing/>
        <w:jc w:val="both"/>
        <w:rPr>
          <w:rFonts w:eastAsia="Times New Roman"/>
          <w:lang w:val="en-AU"/>
        </w:rPr>
      </w:pPr>
    </w:p>
    <w:p w14:paraId="1EEEA501" w14:textId="77777777" w:rsidR="002769C7" w:rsidRPr="00007717" w:rsidRDefault="002769C7" w:rsidP="003601B5">
      <w:pPr>
        <w:spacing w:after="240" w:line="360" w:lineRule="auto"/>
        <w:ind w:firstLine="709"/>
        <w:contextualSpacing/>
        <w:jc w:val="both"/>
        <w:rPr>
          <w:rFonts w:eastAsia="Times New Roman"/>
          <w:lang w:val="en-AU"/>
        </w:rPr>
      </w:pPr>
    </w:p>
    <w:p w14:paraId="443CD8A0" w14:textId="77777777" w:rsidR="007225C1" w:rsidRDefault="007225C1" w:rsidP="003601B5">
      <w:pPr>
        <w:keepNext/>
        <w:spacing w:before="120" w:after="240" w:line="360" w:lineRule="auto"/>
        <w:ind w:left="709" w:hanging="709"/>
        <w:contextualSpacing/>
        <w:jc w:val="both"/>
        <w:outlineLvl w:val="2"/>
        <w:rPr>
          <w:rFonts w:eastAsia="Times New Roman"/>
          <w:b/>
          <w:lang w:val="en-AU"/>
        </w:rPr>
      </w:pPr>
    </w:p>
    <w:p w14:paraId="6D4F53FB" w14:textId="77777777" w:rsidR="007225C1" w:rsidRDefault="007225C1" w:rsidP="003601B5">
      <w:pPr>
        <w:keepNext/>
        <w:spacing w:before="120" w:after="240" w:line="360" w:lineRule="auto"/>
        <w:ind w:left="709" w:hanging="709"/>
        <w:contextualSpacing/>
        <w:jc w:val="both"/>
        <w:outlineLvl w:val="2"/>
        <w:rPr>
          <w:rFonts w:eastAsia="Times New Roman"/>
          <w:b/>
          <w:lang w:val="en-AU"/>
        </w:rPr>
      </w:pPr>
    </w:p>
    <w:p w14:paraId="1755A691" w14:textId="77777777" w:rsidR="00F04AB3" w:rsidRDefault="00F04AB3" w:rsidP="003601B5">
      <w:pPr>
        <w:widowControl w:val="0"/>
        <w:spacing w:after="0" w:line="360" w:lineRule="auto"/>
        <w:contextualSpacing/>
        <w:jc w:val="both"/>
        <w:rPr>
          <w:rFonts w:eastAsia="Times New Roman"/>
          <w:bCs/>
          <w:i/>
          <w:lang w:val="en-AU"/>
        </w:rPr>
      </w:pPr>
    </w:p>
    <w:p w14:paraId="11838A5B" w14:textId="77777777" w:rsidR="003601B5" w:rsidRDefault="003601B5" w:rsidP="003601B5">
      <w:pPr>
        <w:widowControl w:val="0"/>
        <w:spacing w:after="0" w:line="360" w:lineRule="auto"/>
        <w:contextualSpacing/>
        <w:jc w:val="center"/>
        <w:rPr>
          <w:rFonts w:eastAsia="Times New Roman"/>
          <w:bCs/>
          <w:i/>
          <w:lang w:val="en-AU"/>
        </w:rPr>
      </w:pPr>
    </w:p>
    <w:p w14:paraId="7D9014FD" w14:textId="1424A3EA" w:rsidR="0034684D" w:rsidRDefault="00533AA1" w:rsidP="003601B5">
      <w:pPr>
        <w:widowControl w:val="0"/>
        <w:spacing w:after="0" w:line="360" w:lineRule="auto"/>
        <w:contextualSpacing/>
        <w:jc w:val="center"/>
        <w:rPr>
          <w:rFonts w:eastAsia="Times New Roman"/>
          <w:bCs/>
          <w:lang w:val="en-AU"/>
        </w:rPr>
      </w:pPr>
      <w:r>
        <w:rPr>
          <w:rFonts w:eastAsia="Times New Roman"/>
          <w:bCs/>
          <w:i/>
          <w:lang w:val="en-AU"/>
        </w:rPr>
        <w:t>Figure 1</w:t>
      </w:r>
      <w:r w:rsidR="00675784">
        <w:rPr>
          <w:rFonts w:eastAsia="Times New Roman"/>
          <w:bCs/>
          <w:i/>
          <w:lang w:val="en-AU"/>
        </w:rPr>
        <w:t>:</w:t>
      </w:r>
      <w:r w:rsidR="0034684D" w:rsidRPr="0034684D">
        <w:rPr>
          <w:rFonts w:eastAsia="Times New Roman"/>
          <w:bCs/>
          <w:i/>
          <w:lang w:val="en-AU"/>
        </w:rPr>
        <w:t xml:space="preserve"> </w:t>
      </w:r>
      <w:r w:rsidR="00675784">
        <w:rPr>
          <w:rFonts w:eastAsia="Times New Roman"/>
          <w:bCs/>
          <w:lang w:val="en-AU"/>
        </w:rPr>
        <w:t>Layers of context</w:t>
      </w:r>
      <w:r w:rsidR="00337EBE">
        <w:rPr>
          <w:rFonts w:eastAsia="Times New Roman"/>
          <w:bCs/>
          <w:lang w:val="en-AU"/>
        </w:rPr>
        <w:t xml:space="preserve"> (</w:t>
      </w:r>
      <w:proofErr w:type="spellStart"/>
      <w:r w:rsidR="00675784">
        <w:rPr>
          <w:rFonts w:eastAsia="Times New Roman"/>
          <w:bCs/>
          <w:lang w:val="en-AU"/>
        </w:rPr>
        <w:t>Samraj</w:t>
      </w:r>
      <w:proofErr w:type="spellEnd"/>
      <w:r w:rsidR="00675784">
        <w:rPr>
          <w:rFonts w:eastAsia="Times New Roman"/>
          <w:bCs/>
          <w:lang w:val="en-AU"/>
        </w:rPr>
        <w:t>, 2002a, p. 165</w:t>
      </w:r>
      <w:r w:rsidR="00337EBE">
        <w:rPr>
          <w:rFonts w:eastAsia="Times New Roman"/>
          <w:bCs/>
          <w:lang w:val="en-AU"/>
        </w:rPr>
        <w:t>)</w:t>
      </w:r>
    </w:p>
    <w:p w14:paraId="1B8222BA" w14:textId="77777777" w:rsidR="00C52403" w:rsidRPr="00C52403" w:rsidRDefault="00C52403" w:rsidP="003601B5">
      <w:pPr>
        <w:widowControl w:val="0"/>
        <w:spacing w:after="0" w:line="360" w:lineRule="auto"/>
        <w:contextualSpacing/>
        <w:jc w:val="both"/>
        <w:rPr>
          <w:rFonts w:eastAsia="Times New Roman"/>
          <w:bCs/>
          <w:lang w:val="en-AU"/>
        </w:rPr>
      </w:pPr>
    </w:p>
    <w:p w14:paraId="6A7AF3F0" w14:textId="1F2831A7" w:rsidR="002769C7" w:rsidRPr="003601B5" w:rsidRDefault="00C52403" w:rsidP="003601B5">
      <w:pPr>
        <w:pStyle w:val="ListParagraph"/>
        <w:keepNext/>
        <w:numPr>
          <w:ilvl w:val="1"/>
          <w:numId w:val="11"/>
        </w:numPr>
        <w:spacing w:before="240" w:after="120" w:line="360" w:lineRule="auto"/>
        <w:ind w:left="360"/>
        <w:jc w:val="both"/>
        <w:rPr>
          <w:rFonts w:eastAsia="Times New Roman"/>
          <w:b/>
          <w:lang w:val="en-AU"/>
        </w:rPr>
      </w:pPr>
      <w:r w:rsidRPr="003601B5">
        <w:rPr>
          <w:rFonts w:eastAsia="Times New Roman"/>
          <w:b/>
          <w:lang w:val="en-AU"/>
        </w:rPr>
        <w:t>Related Studies</w:t>
      </w:r>
    </w:p>
    <w:p w14:paraId="74709C46" w14:textId="77777777" w:rsidR="003601B5" w:rsidRPr="003601B5" w:rsidRDefault="003601B5" w:rsidP="003601B5">
      <w:pPr>
        <w:pStyle w:val="ListParagraph"/>
        <w:keepNext/>
        <w:spacing w:before="240" w:after="120" w:line="360" w:lineRule="auto"/>
        <w:jc w:val="both"/>
        <w:rPr>
          <w:rFonts w:eastAsia="Times New Roman"/>
          <w:b/>
          <w:bCs/>
          <w:lang w:val="en-AU"/>
        </w:rPr>
      </w:pPr>
    </w:p>
    <w:p w14:paraId="09ED2B23" w14:textId="09FA3AB2" w:rsidR="00A72D7D" w:rsidRDefault="0037636E" w:rsidP="003601B5">
      <w:pPr>
        <w:spacing w:line="360" w:lineRule="auto"/>
        <w:contextualSpacing/>
        <w:jc w:val="both"/>
        <w:rPr>
          <w:rFonts w:eastAsia="Times New Roman"/>
          <w:lang w:val="en-AU"/>
        </w:rPr>
      </w:pPr>
      <w:r w:rsidRPr="00007717">
        <w:rPr>
          <w:rFonts w:eastAsia="Times New Roman"/>
          <w:lang w:val="en-AU"/>
        </w:rPr>
        <w:t>Man</w:t>
      </w:r>
      <w:r w:rsidR="000C554F">
        <w:rPr>
          <w:rFonts w:eastAsia="Times New Roman"/>
          <w:lang w:val="en-AU"/>
        </w:rPr>
        <w:t>y contrastive move-based studies look</w:t>
      </w:r>
      <w:r w:rsidR="00ED3FA7">
        <w:rPr>
          <w:rFonts w:eastAsia="Times New Roman"/>
          <w:lang w:val="en-AU"/>
        </w:rPr>
        <w:t xml:space="preserve"> at </w:t>
      </w:r>
      <w:r w:rsidR="000C554F">
        <w:rPr>
          <w:rFonts w:eastAsia="Times New Roman"/>
          <w:lang w:val="en-AU"/>
        </w:rPr>
        <w:t>research article (RA</w:t>
      </w:r>
      <w:r w:rsidRPr="00007717">
        <w:rPr>
          <w:rFonts w:eastAsia="Times New Roman"/>
          <w:lang w:val="en-AU"/>
        </w:rPr>
        <w:t>)</w:t>
      </w:r>
      <w:r w:rsidR="00ED3FA7">
        <w:rPr>
          <w:rFonts w:eastAsia="Times New Roman"/>
          <w:lang w:val="en-AU"/>
        </w:rPr>
        <w:t xml:space="preserve"> sections</w:t>
      </w:r>
      <w:r w:rsidR="00ED3FA7" w:rsidRPr="00ED3FA7">
        <w:rPr>
          <w:rFonts w:eastAsia="Times New Roman"/>
          <w:lang w:val="en-AU"/>
        </w:rPr>
        <w:t xml:space="preserve"> </w:t>
      </w:r>
      <w:r w:rsidR="001B0781">
        <w:rPr>
          <w:rFonts w:eastAsia="Times New Roman"/>
          <w:lang w:val="en-AU"/>
        </w:rPr>
        <w:t>(</w:t>
      </w:r>
      <w:proofErr w:type="spellStart"/>
      <w:r w:rsidR="00E75F52">
        <w:rPr>
          <w:rFonts w:eastAsia="Times New Roman"/>
          <w:lang w:val="en-AU"/>
        </w:rPr>
        <w:t>Meurer</w:t>
      </w:r>
      <w:proofErr w:type="spellEnd"/>
      <w:r w:rsidR="00E75F52">
        <w:rPr>
          <w:rFonts w:eastAsia="Times New Roman"/>
          <w:lang w:val="en-AU"/>
        </w:rPr>
        <w:t xml:space="preserve"> &amp;</w:t>
      </w:r>
      <w:r w:rsidR="002C0B46">
        <w:rPr>
          <w:rFonts w:eastAsia="Times New Roman"/>
          <w:lang w:val="en-AU"/>
        </w:rPr>
        <w:t xml:space="preserve"> </w:t>
      </w:r>
      <w:proofErr w:type="spellStart"/>
      <w:r w:rsidR="002C0B46">
        <w:rPr>
          <w:rFonts w:eastAsia="Times New Roman"/>
          <w:lang w:val="en-AU"/>
        </w:rPr>
        <w:t>Dellagnelo</w:t>
      </w:r>
      <w:proofErr w:type="spellEnd"/>
      <w:r w:rsidR="002C0B46">
        <w:rPr>
          <w:rFonts w:eastAsia="Times New Roman"/>
          <w:lang w:val="en-AU"/>
        </w:rPr>
        <w:t>, 2008</w:t>
      </w:r>
      <w:r w:rsidR="001B0781">
        <w:rPr>
          <w:rFonts w:eastAsia="Times New Roman"/>
          <w:lang w:val="en-AU"/>
        </w:rPr>
        <w:t>;</w:t>
      </w:r>
      <w:r w:rsidR="001B0781" w:rsidRPr="001B0781">
        <w:rPr>
          <w:rFonts w:eastAsia="Times New Roman"/>
          <w:lang w:val="en-AU"/>
        </w:rPr>
        <w:t xml:space="preserve"> </w:t>
      </w:r>
      <w:r w:rsidR="001B0781" w:rsidRPr="001B0781">
        <w:rPr>
          <w:rFonts w:eastAsia="Times New Roman"/>
          <w:lang w:val="en-AU"/>
        </w:rPr>
        <w:t>Amirian et al.</w:t>
      </w:r>
      <w:r w:rsidR="001B0781">
        <w:rPr>
          <w:rFonts w:eastAsia="Times New Roman"/>
          <w:lang w:val="en-AU"/>
        </w:rPr>
        <w:t>,</w:t>
      </w:r>
      <w:r w:rsidR="001B0781" w:rsidRPr="001B0781">
        <w:rPr>
          <w:rFonts w:eastAsia="Times New Roman"/>
          <w:lang w:val="en-AU"/>
        </w:rPr>
        <w:t xml:space="preserve"> 2008</w:t>
      </w:r>
      <w:r w:rsidR="002C0B46">
        <w:rPr>
          <w:rFonts w:eastAsia="Times New Roman"/>
          <w:lang w:val="en-AU"/>
        </w:rPr>
        <w:t>; Morales, 2012</w:t>
      </w:r>
      <w:r w:rsidR="00EB6443">
        <w:rPr>
          <w:rFonts w:eastAsia="Times New Roman"/>
          <w:lang w:val="en-AU"/>
        </w:rPr>
        <w:t>;</w:t>
      </w:r>
      <w:r w:rsidR="00EB6443" w:rsidRPr="00EB6443">
        <w:rPr>
          <w:rFonts w:eastAsia="Times New Roman"/>
          <w:lang w:val="en-AU"/>
        </w:rPr>
        <w:t xml:space="preserve"> </w:t>
      </w:r>
      <w:proofErr w:type="spellStart"/>
      <w:r w:rsidR="00EB6443">
        <w:rPr>
          <w:rFonts w:eastAsia="Times New Roman"/>
          <w:lang w:val="en-AU"/>
        </w:rPr>
        <w:t>Amnuai</w:t>
      </w:r>
      <w:proofErr w:type="spellEnd"/>
      <w:r w:rsidR="00EB6443">
        <w:rPr>
          <w:rFonts w:eastAsia="Times New Roman"/>
          <w:lang w:val="en-AU"/>
        </w:rPr>
        <w:t xml:space="preserve"> &amp; </w:t>
      </w:r>
      <w:proofErr w:type="spellStart"/>
      <w:r w:rsidR="00EB6443">
        <w:rPr>
          <w:rFonts w:eastAsia="Times New Roman"/>
          <w:lang w:val="en-AU"/>
        </w:rPr>
        <w:t>Wannaruk</w:t>
      </w:r>
      <w:proofErr w:type="spellEnd"/>
      <w:r w:rsidR="00EB6443">
        <w:rPr>
          <w:rFonts w:eastAsia="Times New Roman"/>
          <w:lang w:val="en-AU"/>
        </w:rPr>
        <w:t>, 2013</w:t>
      </w:r>
      <w:r w:rsidR="001B0781">
        <w:rPr>
          <w:rFonts w:eastAsia="Times New Roman"/>
          <w:lang w:val="en-AU"/>
        </w:rPr>
        <w:t>)</w:t>
      </w:r>
      <w:r w:rsidR="002C0B46">
        <w:rPr>
          <w:rFonts w:eastAsia="Times New Roman"/>
          <w:lang w:val="en-AU"/>
        </w:rPr>
        <w:t xml:space="preserve">. </w:t>
      </w:r>
      <w:r w:rsidR="00A362C1">
        <w:rPr>
          <w:rFonts w:eastAsia="Times New Roman"/>
          <w:lang w:val="en-AU"/>
        </w:rPr>
        <w:t xml:space="preserve">A remarkable number of cross-cultural move-based research on </w:t>
      </w:r>
      <w:r w:rsidR="00A362C1">
        <w:rPr>
          <w:rFonts w:eastAsia="Times New Roman"/>
          <w:lang w:val="en-AU"/>
        </w:rPr>
        <w:t>research article introductions</w:t>
      </w:r>
      <w:r w:rsidR="00A362C1">
        <w:rPr>
          <w:rFonts w:eastAsia="Times New Roman"/>
          <w:lang w:val="en-AU"/>
        </w:rPr>
        <w:t xml:space="preserve"> (RAIs)</w:t>
      </w:r>
      <w:r w:rsidR="00A362C1">
        <w:rPr>
          <w:rFonts w:eastAsia="Times New Roman"/>
          <w:lang w:val="en-AU"/>
        </w:rPr>
        <w:t xml:space="preserve"> </w:t>
      </w:r>
      <w:r w:rsidR="00A362C1">
        <w:rPr>
          <w:rFonts w:eastAsia="Times New Roman"/>
          <w:lang w:val="en-AU"/>
        </w:rPr>
        <w:t xml:space="preserve">have also been conducted </w:t>
      </w:r>
      <w:r w:rsidR="00A362C1">
        <w:rPr>
          <w:rFonts w:eastAsia="Times New Roman"/>
          <w:lang w:val="en-AU"/>
        </w:rPr>
        <w:t>(</w:t>
      </w:r>
      <w:r w:rsidR="00A362C1" w:rsidRPr="00007717">
        <w:rPr>
          <w:rFonts w:eastAsia="Times New Roman"/>
          <w:lang w:val="en-AU"/>
        </w:rPr>
        <w:t xml:space="preserve">Zhang </w:t>
      </w:r>
      <w:r w:rsidR="00A362C1">
        <w:rPr>
          <w:rFonts w:eastAsia="Times New Roman"/>
          <w:lang w:val="en-AU"/>
        </w:rPr>
        <w:t>&amp;</w:t>
      </w:r>
      <w:r w:rsidR="00A362C1" w:rsidRPr="00007717">
        <w:rPr>
          <w:rFonts w:eastAsia="Times New Roman"/>
          <w:lang w:val="en-AU"/>
        </w:rPr>
        <w:t xml:space="preserve"> Hu, 2010</w:t>
      </w:r>
      <w:r w:rsidR="00EB6443">
        <w:rPr>
          <w:rFonts w:eastAsia="Times New Roman"/>
          <w:lang w:val="en-AU"/>
        </w:rPr>
        <w:t>; Sheldon, 2011</w:t>
      </w:r>
      <w:r w:rsidR="00A362C1">
        <w:rPr>
          <w:rFonts w:eastAsia="Times New Roman"/>
          <w:lang w:val="en-AU"/>
        </w:rPr>
        <w:t>; Martin &amp; Pérez, 2014</w:t>
      </w:r>
      <w:r w:rsidR="00A362C1" w:rsidRPr="00007717">
        <w:rPr>
          <w:rFonts w:eastAsia="Times New Roman"/>
          <w:lang w:val="en-AU"/>
        </w:rPr>
        <w:t>).</w:t>
      </w:r>
      <w:r w:rsidR="00A362C1">
        <w:rPr>
          <w:rFonts w:eastAsia="Times New Roman"/>
          <w:lang w:val="en-AU"/>
        </w:rPr>
        <w:t xml:space="preserve"> </w:t>
      </w:r>
      <w:r w:rsidR="002769C7" w:rsidRPr="00007717">
        <w:rPr>
          <w:rFonts w:eastAsia="Times New Roman"/>
          <w:lang w:val="en-AU"/>
        </w:rPr>
        <w:t>One common finding from cross-cultural studies is that the structures of introductions vary in terms of moves and steps, the</w:t>
      </w:r>
      <w:r w:rsidR="009C1856">
        <w:rPr>
          <w:rFonts w:eastAsia="Times New Roman"/>
          <w:lang w:val="en-AU"/>
        </w:rPr>
        <w:t>ir</w:t>
      </w:r>
      <w:r w:rsidR="002769C7" w:rsidRPr="00007717">
        <w:rPr>
          <w:rFonts w:eastAsia="Times New Roman"/>
          <w:lang w:val="en-AU"/>
        </w:rPr>
        <w:t xml:space="preserve"> frequency and the</w:t>
      </w:r>
      <w:r w:rsidR="009C1856">
        <w:rPr>
          <w:rFonts w:eastAsia="Times New Roman"/>
          <w:lang w:val="en-AU"/>
        </w:rPr>
        <w:t>ir</w:t>
      </w:r>
      <w:r w:rsidR="002769C7" w:rsidRPr="00007717">
        <w:rPr>
          <w:rFonts w:eastAsia="Times New Roman"/>
          <w:lang w:val="en-AU"/>
        </w:rPr>
        <w:t xml:space="preserve"> sequence.</w:t>
      </w:r>
      <w:r w:rsidR="00DD7210">
        <w:rPr>
          <w:rFonts w:eastAsia="Times New Roman"/>
          <w:lang w:val="en-AU"/>
        </w:rPr>
        <w:t xml:space="preserve"> These studies also </w:t>
      </w:r>
      <w:r w:rsidR="00DD7210" w:rsidRPr="00007717">
        <w:rPr>
          <w:rFonts w:eastAsia="Times New Roman"/>
          <w:lang w:val="en-AU"/>
        </w:rPr>
        <w:t xml:space="preserve">assist us in understanding the relationship between the </w:t>
      </w:r>
      <w:r w:rsidR="00DD7210">
        <w:rPr>
          <w:rFonts w:eastAsia="Times New Roman"/>
          <w:lang w:val="en-AU"/>
        </w:rPr>
        <w:t>multi-layered</w:t>
      </w:r>
      <w:r w:rsidR="00DD7210" w:rsidRPr="00007717">
        <w:rPr>
          <w:rFonts w:eastAsia="Times New Roman"/>
          <w:lang w:val="en-AU"/>
        </w:rPr>
        <w:t xml:space="preserve"> context of the academic setting and Introductio</w:t>
      </w:r>
      <w:r w:rsidR="00DD7210">
        <w:rPr>
          <w:rFonts w:eastAsia="Times New Roman"/>
          <w:lang w:val="en-AU"/>
        </w:rPr>
        <w:t xml:space="preserve">ns- </w:t>
      </w:r>
      <w:r w:rsidR="00B82F8C" w:rsidRPr="00007717">
        <w:rPr>
          <w:rFonts w:eastAsia="Times New Roman"/>
          <w:lang w:val="en-AU"/>
        </w:rPr>
        <w:t>that culture does, to so</w:t>
      </w:r>
      <w:r w:rsidR="00F113E5" w:rsidRPr="00007717">
        <w:rPr>
          <w:rFonts w:eastAsia="Times New Roman"/>
          <w:lang w:val="en-AU"/>
        </w:rPr>
        <w:t>me extent, shape the research space</w:t>
      </w:r>
      <w:r w:rsidR="00B82F8C" w:rsidRPr="00007717">
        <w:rPr>
          <w:rFonts w:eastAsia="Times New Roman"/>
          <w:lang w:val="en-AU"/>
        </w:rPr>
        <w:t>.</w:t>
      </w:r>
      <w:r w:rsidR="00DD7210">
        <w:rPr>
          <w:rFonts w:eastAsia="Times New Roman"/>
          <w:lang w:val="en-AU"/>
        </w:rPr>
        <w:t xml:space="preserve"> </w:t>
      </w:r>
      <w:r w:rsidR="00CC3884" w:rsidRPr="00F65328">
        <w:rPr>
          <w:rFonts w:eastAsia="Times New Roman"/>
          <w:lang w:val="en-AU"/>
        </w:rPr>
        <w:t>Several</w:t>
      </w:r>
      <w:r w:rsidR="00F65328" w:rsidRPr="00F65328">
        <w:rPr>
          <w:rFonts w:eastAsia="Times New Roman"/>
          <w:lang w:val="en-AU"/>
        </w:rPr>
        <w:t xml:space="preserve"> genre studies </w:t>
      </w:r>
      <w:r w:rsidR="00F65328" w:rsidRPr="00F65328">
        <w:rPr>
          <w:rFonts w:eastAsia="Times New Roman"/>
          <w:lang w:val="en-AU"/>
        </w:rPr>
        <w:lastRenderedPageBreak/>
        <w:t>of thesis introductions, though limited, provide an overview of organisational moves and steps in different settings and languages</w:t>
      </w:r>
      <w:r w:rsidR="00F65328">
        <w:rPr>
          <w:rFonts w:eastAsia="Times New Roman"/>
          <w:lang w:val="en-AU"/>
        </w:rPr>
        <w:t xml:space="preserve"> (</w:t>
      </w:r>
      <w:r w:rsidR="00C06B83">
        <w:rPr>
          <w:rFonts w:eastAsia="Times New Roman"/>
          <w:lang w:val="en-AU"/>
        </w:rPr>
        <w:t xml:space="preserve">Bunton, 2002; </w:t>
      </w:r>
      <w:proofErr w:type="spellStart"/>
      <w:r w:rsidR="00F65328">
        <w:rPr>
          <w:rFonts w:eastAsia="Times New Roman"/>
          <w:lang w:val="en-AU"/>
        </w:rPr>
        <w:t>Arulandu</w:t>
      </w:r>
      <w:proofErr w:type="spellEnd"/>
      <w:r w:rsidR="00F65328">
        <w:rPr>
          <w:rFonts w:eastAsia="Times New Roman"/>
          <w:lang w:val="en-AU"/>
        </w:rPr>
        <w:t xml:space="preserve">, 2005; </w:t>
      </w:r>
      <w:proofErr w:type="spellStart"/>
      <w:r w:rsidR="00F65328">
        <w:rPr>
          <w:rFonts w:eastAsia="Times New Roman"/>
          <w:lang w:val="en-AU"/>
        </w:rPr>
        <w:t>Samraj</w:t>
      </w:r>
      <w:proofErr w:type="spellEnd"/>
      <w:r w:rsidR="00F65328">
        <w:rPr>
          <w:rFonts w:eastAsia="Times New Roman"/>
          <w:lang w:val="en-AU"/>
        </w:rPr>
        <w:t>, 2002b, 2008;</w:t>
      </w:r>
      <w:r w:rsidR="00F65328" w:rsidRPr="00F65328">
        <w:rPr>
          <w:rFonts w:eastAsia="Times New Roman"/>
          <w:lang w:val="en-AU"/>
        </w:rPr>
        <w:t xml:space="preserve"> Soler-</w:t>
      </w:r>
      <w:proofErr w:type="spellStart"/>
      <w:r w:rsidR="00C06B83">
        <w:rPr>
          <w:rFonts w:eastAsia="Times New Roman"/>
          <w:lang w:val="en-AU"/>
        </w:rPr>
        <w:t>Monreal</w:t>
      </w:r>
      <w:proofErr w:type="spellEnd"/>
      <w:r w:rsidR="00C06B83">
        <w:rPr>
          <w:rFonts w:eastAsia="Times New Roman"/>
          <w:lang w:val="en-AU"/>
        </w:rPr>
        <w:t xml:space="preserve"> et al.,2011; </w:t>
      </w:r>
      <w:bookmarkStart w:id="2" w:name="_Hlk477292126"/>
      <w:r w:rsidR="00C06B83">
        <w:rPr>
          <w:rFonts w:eastAsia="Times New Roman"/>
          <w:lang w:val="en-AU"/>
        </w:rPr>
        <w:t xml:space="preserve">Nguyen &amp; </w:t>
      </w:r>
      <w:proofErr w:type="spellStart"/>
      <w:r w:rsidR="00C06B83">
        <w:rPr>
          <w:rFonts w:eastAsia="Times New Roman"/>
          <w:lang w:val="en-AU"/>
        </w:rPr>
        <w:t>Pramoolsook</w:t>
      </w:r>
      <w:proofErr w:type="spellEnd"/>
      <w:r w:rsidR="00C06B83">
        <w:rPr>
          <w:rFonts w:eastAsia="Times New Roman"/>
          <w:lang w:val="en-AU"/>
        </w:rPr>
        <w:t>, 2014b</w:t>
      </w:r>
      <w:bookmarkEnd w:id="2"/>
      <w:r w:rsidR="00F65328" w:rsidRPr="00F65328">
        <w:rPr>
          <w:rFonts w:eastAsia="Times New Roman"/>
          <w:lang w:val="en-AU"/>
        </w:rPr>
        <w:t>)</w:t>
      </w:r>
      <w:r w:rsidR="00C06B83">
        <w:rPr>
          <w:rFonts w:eastAsia="Times New Roman"/>
          <w:lang w:val="en-AU"/>
        </w:rPr>
        <w:t xml:space="preserve">. </w:t>
      </w:r>
      <w:r w:rsidR="00614551">
        <w:rPr>
          <w:rFonts w:eastAsia="Times New Roman"/>
          <w:lang w:val="en-AU"/>
        </w:rPr>
        <w:t>Even though t</w:t>
      </w:r>
      <w:r w:rsidR="00C06B83" w:rsidRPr="00C06B83">
        <w:rPr>
          <w:rFonts w:eastAsia="Times New Roman"/>
          <w:lang w:val="en-AU"/>
        </w:rPr>
        <w:t>he aim of these studies was to identify the organisational structure of the thesis introductory chap</w:t>
      </w:r>
      <w:r w:rsidR="00614551">
        <w:rPr>
          <w:rFonts w:eastAsia="Times New Roman"/>
          <w:lang w:val="en-AU"/>
        </w:rPr>
        <w:t>ter at the move and step level, t</w:t>
      </w:r>
      <w:r w:rsidR="00C06B83" w:rsidRPr="00C06B83">
        <w:rPr>
          <w:rFonts w:eastAsia="Times New Roman"/>
          <w:lang w:val="en-AU"/>
        </w:rPr>
        <w:t xml:space="preserve">here was also some identification of the social and cultural context as influencing factors of moves and steps, but only minimally so. </w:t>
      </w:r>
      <w:r w:rsidR="00023057">
        <w:rPr>
          <w:rFonts w:eastAsia="Times New Roman"/>
          <w:lang w:val="en-AU"/>
        </w:rPr>
        <w:t xml:space="preserve">For instance, </w:t>
      </w:r>
      <w:bookmarkStart w:id="3" w:name="_Hlk477293786"/>
      <w:r w:rsidR="00023057">
        <w:rPr>
          <w:rFonts w:eastAsia="Times New Roman"/>
          <w:lang w:val="en-AU"/>
        </w:rPr>
        <w:t xml:space="preserve">Nguyen &amp; </w:t>
      </w:r>
      <w:proofErr w:type="spellStart"/>
      <w:r w:rsidR="00023057">
        <w:rPr>
          <w:rFonts w:eastAsia="Times New Roman"/>
          <w:lang w:val="en-AU"/>
        </w:rPr>
        <w:t>Pramoolsook</w:t>
      </w:r>
      <w:proofErr w:type="spellEnd"/>
      <w:r w:rsidR="00023057" w:rsidRPr="00023057">
        <w:rPr>
          <w:rFonts w:eastAsia="Times New Roman"/>
          <w:lang w:val="en-AU"/>
        </w:rPr>
        <w:t xml:space="preserve"> </w:t>
      </w:r>
      <w:r w:rsidR="00023057">
        <w:rPr>
          <w:rFonts w:eastAsia="Times New Roman"/>
          <w:lang w:val="en-AU"/>
        </w:rPr>
        <w:t>(</w:t>
      </w:r>
      <w:r w:rsidR="00023057" w:rsidRPr="00023057">
        <w:rPr>
          <w:rFonts w:eastAsia="Times New Roman"/>
          <w:lang w:val="en-AU"/>
        </w:rPr>
        <w:t>2014b</w:t>
      </w:r>
      <w:bookmarkEnd w:id="3"/>
      <w:r w:rsidR="00023057">
        <w:rPr>
          <w:rFonts w:eastAsia="Times New Roman"/>
          <w:lang w:val="en-AU"/>
        </w:rPr>
        <w:t>)</w:t>
      </w:r>
      <w:r w:rsidR="00023057" w:rsidRPr="00023057">
        <w:rPr>
          <w:rFonts w:eastAsia="Times New Roman"/>
          <w:lang w:val="en-AU"/>
        </w:rPr>
        <w:t xml:space="preserve"> </w:t>
      </w:r>
      <w:r w:rsidR="00136743">
        <w:rPr>
          <w:rFonts w:eastAsia="Times New Roman"/>
          <w:lang w:val="en-AU"/>
        </w:rPr>
        <w:t>looks at the rhetorical structure of intr</w:t>
      </w:r>
      <w:r w:rsidR="00CC3884">
        <w:rPr>
          <w:rFonts w:eastAsia="Times New Roman"/>
          <w:lang w:val="en-AU"/>
        </w:rPr>
        <w:t xml:space="preserve">oductions </w:t>
      </w:r>
      <w:r w:rsidR="00EF7C2A">
        <w:rPr>
          <w:rFonts w:eastAsia="Times New Roman"/>
          <w:lang w:val="en-AU"/>
        </w:rPr>
        <w:t>in twelve Master’s these</w:t>
      </w:r>
      <w:r w:rsidR="00023057">
        <w:rPr>
          <w:rFonts w:eastAsia="Times New Roman"/>
          <w:lang w:val="en-AU"/>
        </w:rPr>
        <w:t xml:space="preserve">s </w:t>
      </w:r>
      <w:r w:rsidR="00CC3884">
        <w:rPr>
          <w:rFonts w:eastAsia="Times New Roman"/>
          <w:lang w:val="en-AU"/>
        </w:rPr>
        <w:t>by novice Vietnamese</w:t>
      </w:r>
      <w:r w:rsidR="00023057">
        <w:rPr>
          <w:rFonts w:eastAsia="Times New Roman"/>
          <w:lang w:val="en-AU"/>
        </w:rPr>
        <w:t xml:space="preserve"> and they found that </w:t>
      </w:r>
      <w:r w:rsidR="00EF7C2A">
        <w:rPr>
          <w:rFonts w:eastAsia="Times New Roman"/>
          <w:lang w:val="en-AU"/>
        </w:rPr>
        <w:t>the</w:t>
      </w:r>
      <w:r w:rsidR="00EF7C2A" w:rsidRPr="00EF7C2A">
        <w:rPr>
          <w:rFonts w:eastAsia="Times New Roman"/>
          <w:lang w:val="en-AU"/>
        </w:rPr>
        <w:t xml:space="preserve"> multi</w:t>
      </w:r>
      <w:r w:rsidR="00EF7C2A">
        <w:rPr>
          <w:rFonts w:eastAsia="Times New Roman"/>
          <w:lang w:val="en-AU"/>
        </w:rPr>
        <w:t xml:space="preserve">-layers of academic context, in their case the </w:t>
      </w:r>
      <w:r w:rsidR="00544135">
        <w:rPr>
          <w:rFonts w:eastAsia="Times New Roman"/>
          <w:lang w:val="en-AU"/>
        </w:rPr>
        <w:t xml:space="preserve">discipline, </w:t>
      </w:r>
      <w:r w:rsidR="00544135" w:rsidRPr="00EF7C2A">
        <w:rPr>
          <w:rFonts w:eastAsia="Times New Roman"/>
          <w:lang w:val="en-AU"/>
        </w:rPr>
        <w:t>influenced</w:t>
      </w:r>
      <w:r w:rsidR="00EF7C2A">
        <w:rPr>
          <w:rFonts w:eastAsia="Times New Roman"/>
          <w:lang w:val="en-AU"/>
        </w:rPr>
        <w:t xml:space="preserve"> the </w:t>
      </w:r>
      <w:r w:rsidR="00544135">
        <w:rPr>
          <w:rFonts w:eastAsia="Times New Roman"/>
          <w:lang w:val="en-AU"/>
        </w:rPr>
        <w:t xml:space="preserve">use </w:t>
      </w:r>
      <w:r w:rsidR="0024360D">
        <w:rPr>
          <w:rFonts w:eastAsia="Times New Roman"/>
          <w:lang w:val="en-AU"/>
        </w:rPr>
        <w:t>of Move</w:t>
      </w:r>
      <w:r w:rsidR="00544135">
        <w:rPr>
          <w:rFonts w:eastAsia="Times New Roman"/>
          <w:lang w:val="en-AU"/>
        </w:rPr>
        <w:t xml:space="preserve"> 2: Establishing the Niche. They also discovered that the most favoured Move 2 is Step 1B- Indicating and Problem and Need because ‘</w:t>
      </w:r>
      <w:r w:rsidR="00544135" w:rsidRPr="00544135">
        <w:rPr>
          <w:rFonts w:eastAsia="Times New Roman"/>
          <w:lang w:val="en-AU"/>
        </w:rPr>
        <w:t>this step is likely to be the easiest way for these writers to argue for the relevance of their current study</w:t>
      </w:r>
      <w:r w:rsidR="00544135">
        <w:rPr>
          <w:rFonts w:eastAsia="Times New Roman"/>
          <w:lang w:val="en-AU"/>
        </w:rPr>
        <w:t xml:space="preserve">’ </w:t>
      </w:r>
      <w:r w:rsidR="00544135" w:rsidRPr="00544135">
        <w:rPr>
          <w:rFonts w:eastAsia="Times New Roman"/>
          <w:lang w:val="en-AU"/>
        </w:rPr>
        <w:t xml:space="preserve">Nguyen &amp; </w:t>
      </w:r>
      <w:proofErr w:type="spellStart"/>
      <w:r w:rsidR="00544135" w:rsidRPr="00544135">
        <w:rPr>
          <w:rFonts w:eastAsia="Times New Roman"/>
          <w:lang w:val="en-AU"/>
        </w:rPr>
        <w:t>Pramoolsook</w:t>
      </w:r>
      <w:proofErr w:type="spellEnd"/>
      <w:r w:rsidR="00544135" w:rsidRPr="00544135">
        <w:rPr>
          <w:rFonts w:eastAsia="Times New Roman"/>
          <w:lang w:val="en-AU"/>
        </w:rPr>
        <w:t xml:space="preserve"> (2014b</w:t>
      </w:r>
      <w:r w:rsidR="00544135">
        <w:rPr>
          <w:rFonts w:eastAsia="Times New Roman"/>
          <w:lang w:val="en-AU"/>
        </w:rPr>
        <w:t>, p. 68).</w:t>
      </w:r>
    </w:p>
    <w:p w14:paraId="4345ADE8" w14:textId="77777777" w:rsidR="003601B5" w:rsidRPr="00007717" w:rsidRDefault="003601B5" w:rsidP="003601B5">
      <w:pPr>
        <w:spacing w:line="360" w:lineRule="auto"/>
        <w:contextualSpacing/>
        <w:jc w:val="both"/>
        <w:rPr>
          <w:rFonts w:eastAsia="Times New Roman"/>
          <w:lang w:val="en-AU"/>
        </w:rPr>
      </w:pPr>
    </w:p>
    <w:p w14:paraId="6A9C953C" w14:textId="34B94B5A" w:rsidR="002769C7" w:rsidRPr="00007717" w:rsidRDefault="002769C7" w:rsidP="003601B5">
      <w:pPr>
        <w:spacing w:line="360" w:lineRule="auto"/>
        <w:contextualSpacing/>
        <w:jc w:val="both"/>
        <w:rPr>
          <w:rFonts w:eastAsia="Times New Roman"/>
          <w:lang w:val="en-AU"/>
        </w:rPr>
      </w:pPr>
      <w:r w:rsidRPr="00007717">
        <w:rPr>
          <w:rFonts w:eastAsia="Times New Roman"/>
          <w:lang w:val="en-AU"/>
        </w:rPr>
        <w:t>One of the earliest studies to analyse the structure of academic research utilising the CARS model in Malaysia was conducted by Ahmad (1997</w:t>
      </w:r>
      <w:r w:rsidR="00F47080" w:rsidRPr="00007717">
        <w:rPr>
          <w:rFonts w:eastAsia="Times New Roman"/>
          <w:lang w:val="en-AU"/>
        </w:rPr>
        <w:t xml:space="preserve">). </w:t>
      </w:r>
      <w:r w:rsidR="00614551">
        <w:rPr>
          <w:rFonts w:eastAsia="Times New Roman"/>
          <w:lang w:val="en-AU"/>
        </w:rPr>
        <w:t xml:space="preserve">Her </w:t>
      </w:r>
      <w:r w:rsidRPr="00007717">
        <w:rPr>
          <w:rFonts w:eastAsia="Times New Roman"/>
          <w:lang w:val="en-AU"/>
        </w:rPr>
        <w:t xml:space="preserve">analysis of </w:t>
      </w:r>
      <w:r w:rsidR="0024360D">
        <w:rPr>
          <w:rFonts w:eastAsia="Times New Roman"/>
          <w:lang w:val="en-AU"/>
        </w:rPr>
        <w:t xml:space="preserve">Move 2 </w:t>
      </w:r>
      <w:r w:rsidRPr="00007717">
        <w:rPr>
          <w:rFonts w:eastAsia="Times New Roman"/>
          <w:lang w:val="en-AU"/>
        </w:rPr>
        <w:t>provides insights into how the writers establish the niche of their study, whether they are simply addressing a gap or employing a more critical evaluation of a niche. Ahmad r</w:t>
      </w:r>
      <w:r w:rsidR="0024360D">
        <w:rPr>
          <w:rFonts w:eastAsia="Times New Roman"/>
          <w:lang w:val="en-AU"/>
        </w:rPr>
        <w:t>eported that the articles simply</w:t>
      </w:r>
      <w:r w:rsidRPr="00007717">
        <w:rPr>
          <w:rFonts w:eastAsia="Times New Roman"/>
          <w:lang w:val="en-AU"/>
        </w:rPr>
        <w:t xml:space="preserve"> described and summarised, and rarely criticised or evaluated previous work. This means that the writers were merely using previous literature as the main source of establishing territory but did not review and ev</w:t>
      </w:r>
      <w:r w:rsidR="00093EB3" w:rsidRPr="00007717">
        <w:rPr>
          <w:rFonts w:eastAsia="Times New Roman"/>
          <w:lang w:val="en-AU"/>
        </w:rPr>
        <w:t>al</w:t>
      </w:r>
      <w:r w:rsidR="0024360D">
        <w:rPr>
          <w:rFonts w:eastAsia="Times New Roman"/>
          <w:lang w:val="en-AU"/>
        </w:rPr>
        <w:t>uate previous work critically which</w:t>
      </w:r>
      <w:r w:rsidRPr="00007717">
        <w:rPr>
          <w:rFonts w:eastAsia="Times New Roman"/>
          <w:lang w:val="en-AU"/>
        </w:rPr>
        <w:t xml:space="preserve"> were deemed “evasive and d</w:t>
      </w:r>
      <w:r w:rsidR="0024360D">
        <w:rPr>
          <w:rFonts w:eastAsia="Times New Roman"/>
          <w:lang w:val="en-AU"/>
        </w:rPr>
        <w:t xml:space="preserve">iffident” (Ahmad, 1997, p. 292). </w:t>
      </w:r>
      <w:r w:rsidRPr="00007717">
        <w:rPr>
          <w:rFonts w:eastAsia="Times New Roman"/>
          <w:lang w:val="en-AU"/>
        </w:rPr>
        <w:t xml:space="preserve">The basis of the findings pointed to a lack of pressure and competitiveness amongst the academic community. </w:t>
      </w:r>
      <w:r w:rsidR="00C27837">
        <w:rPr>
          <w:rFonts w:eastAsia="Times New Roman"/>
          <w:lang w:val="en-AU"/>
        </w:rPr>
        <w:t>A more recent study was done by Lim (2012). Using mixed-method approach, he investigated how experienced writers use rhetorical steps and linguistic choices to establish the niche of management research articles.</w:t>
      </w:r>
      <w:r w:rsidR="008451E0">
        <w:rPr>
          <w:rFonts w:eastAsia="Times New Roman"/>
          <w:lang w:val="en-AU"/>
        </w:rPr>
        <w:t xml:space="preserve"> He revealed that ‘indicating a gap’ and ‘adding to what is known’ were created using various persuasive communicative</w:t>
      </w:r>
      <w:r w:rsidR="005503BB">
        <w:rPr>
          <w:rFonts w:eastAsia="Times New Roman"/>
          <w:lang w:val="en-AU"/>
        </w:rPr>
        <w:t xml:space="preserve"> devices. His study is crucial as it informs us of the difficulties in coding the moves and its importance of having some clear criteria of moves and steps so as to have a distinct line of demarcation.</w:t>
      </w:r>
    </w:p>
    <w:p w14:paraId="632D692F" w14:textId="77777777" w:rsidR="003601B5" w:rsidRDefault="003601B5" w:rsidP="003601B5">
      <w:pPr>
        <w:spacing w:line="360" w:lineRule="auto"/>
        <w:contextualSpacing/>
        <w:jc w:val="both"/>
        <w:rPr>
          <w:rFonts w:eastAsia="Times New Roman"/>
          <w:lang w:val="en-AU"/>
        </w:rPr>
      </w:pPr>
    </w:p>
    <w:p w14:paraId="14160F7E" w14:textId="058AF1CA" w:rsidR="00EA3BF7" w:rsidRDefault="00DB798E" w:rsidP="003601B5">
      <w:pPr>
        <w:spacing w:line="360" w:lineRule="auto"/>
        <w:contextualSpacing/>
        <w:jc w:val="both"/>
        <w:rPr>
          <w:rFonts w:eastAsia="Times New Roman"/>
          <w:lang w:val="en-AU"/>
        </w:rPr>
      </w:pPr>
      <w:r w:rsidRPr="00007717">
        <w:rPr>
          <w:rFonts w:eastAsia="Times New Roman"/>
          <w:lang w:val="en-AU"/>
        </w:rPr>
        <w:t>The above studies</w:t>
      </w:r>
      <w:r w:rsidR="0024360D">
        <w:rPr>
          <w:rFonts w:eastAsia="Times New Roman"/>
          <w:lang w:val="en-AU"/>
        </w:rPr>
        <w:t xml:space="preserve"> </w:t>
      </w:r>
      <w:r w:rsidRPr="00007717">
        <w:rPr>
          <w:rFonts w:eastAsia="Times New Roman"/>
          <w:lang w:val="en-AU"/>
        </w:rPr>
        <w:t xml:space="preserve">inform us </w:t>
      </w:r>
      <w:r w:rsidR="004F4DA6">
        <w:rPr>
          <w:rFonts w:eastAsia="Times New Roman"/>
          <w:lang w:val="en-AU"/>
        </w:rPr>
        <w:t xml:space="preserve">about </w:t>
      </w:r>
      <w:r w:rsidRPr="00007717">
        <w:rPr>
          <w:rFonts w:eastAsia="Times New Roman"/>
          <w:lang w:val="en-AU"/>
        </w:rPr>
        <w:t>the interrelation between moves and steps analysis and the context</w:t>
      </w:r>
      <w:r w:rsidR="004F4DA6">
        <w:rPr>
          <w:rFonts w:eastAsia="Times New Roman"/>
          <w:lang w:val="en-AU"/>
        </w:rPr>
        <w:t>,</w:t>
      </w:r>
      <w:r w:rsidRPr="00007717">
        <w:rPr>
          <w:rFonts w:eastAsia="Times New Roman"/>
          <w:lang w:val="en-AU"/>
        </w:rPr>
        <w:t xml:space="preserve"> particularly how ESL writers create a space for their research. </w:t>
      </w:r>
      <w:r w:rsidR="00172D51" w:rsidRPr="00007717">
        <w:rPr>
          <w:rFonts w:eastAsia="Times New Roman"/>
          <w:lang w:val="en-AU"/>
        </w:rPr>
        <w:t>The overall results of the above studies show that the context of writers</w:t>
      </w:r>
      <w:r w:rsidR="004F4DA6">
        <w:rPr>
          <w:rFonts w:eastAsia="Times New Roman"/>
          <w:lang w:val="en-AU"/>
        </w:rPr>
        <w:t>,</w:t>
      </w:r>
      <w:r w:rsidR="00172D51" w:rsidRPr="00007717">
        <w:rPr>
          <w:rFonts w:eastAsia="Times New Roman"/>
          <w:lang w:val="en-AU"/>
        </w:rPr>
        <w:t xml:space="preserve"> particularly </w:t>
      </w:r>
      <w:r w:rsidR="004F4DA6">
        <w:rPr>
          <w:rFonts w:eastAsia="Times New Roman"/>
          <w:lang w:val="en-AU"/>
        </w:rPr>
        <w:t xml:space="preserve">of </w:t>
      </w:r>
      <w:r w:rsidR="00172D51" w:rsidRPr="00007717">
        <w:rPr>
          <w:rFonts w:eastAsia="Times New Roman"/>
          <w:lang w:val="en-AU"/>
        </w:rPr>
        <w:t>ESL/EFL</w:t>
      </w:r>
      <w:r w:rsidR="004F4DA6">
        <w:rPr>
          <w:rFonts w:eastAsia="Times New Roman"/>
          <w:lang w:val="en-AU"/>
        </w:rPr>
        <w:t xml:space="preserve"> writers,</w:t>
      </w:r>
      <w:r w:rsidR="00172D51" w:rsidRPr="00007717">
        <w:rPr>
          <w:rFonts w:eastAsia="Times New Roman"/>
          <w:lang w:val="en-AU"/>
        </w:rPr>
        <w:t xml:space="preserve"> influence</w:t>
      </w:r>
      <w:r w:rsidR="004F4DA6">
        <w:rPr>
          <w:rFonts w:eastAsia="Times New Roman"/>
          <w:lang w:val="en-AU"/>
        </w:rPr>
        <w:t>s</w:t>
      </w:r>
      <w:r w:rsidR="00172D51" w:rsidRPr="00007717">
        <w:rPr>
          <w:rFonts w:eastAsia="Times New Roman"/>
          <w:lang w:val="en-AU"/>
        </w:rPr>
        <w:t xml:space="preserve"> the way </w:t>
      </w:r>
      <w:r w:rsidR="004F4DA6">
        <w:rPr>
          <w:rFonts w:eastAsia="Times New Roman"/>
          <w:lang w:val="en-AU"/>
        </w:rPr>
        <w:t xml:space="preserve">in which </w:t>
      </w:r>
      <w:r w:rsidR="00093EB3" w:rsidRPr="00007717">
        <w:rPr>
          <w:rFonts w:eastAsia="Times New Roman"/>
          <w:lang w:val="en-AU"/>
        </w:rPr>
        <w:t>they create their research niche</w:t>
      </w:r>
      <w:r w:rsidR="00172D51" w:rsidRPr="00007717">
        <w:rPr>
          <w:rFonts w:eastAsia="Times New Roman"/>
          <w:lang w:val="en-AU"/>
        </w:rPr>
        <w:t xml:space="preserve">. </w:t>
      </w:r>
      <w:r w:rsidR="00784C91" w:rsidRPr="00007717">
        <w:rPr>
          <w:rFonts w:eastAsia="Times New Roman"/>
          <w:lang w:val="en-AU"/>
        </w:rPr>
        <w:t>As studies o</w:t>
      </w:r>
      <w:r w:rsidR="004F4DA6">
        <w:rPr>
          <w:rFonts w:eastAsia="Times New Roman"/>
          <w:lang w:val="en-AU"/>
        </w:rPr>
        <w:t>f</w:t>
      </w:r>
      <w:r w:rsidR="00784C91" w:rsidRPr="00007717">
        <w:rPr>
          <w:rFonts w:eastAsia="Times New Roman"/>
          <w:lang w:val="en-AU"/>
        </w:rPr>
        <w:t xml:space="preserve"> </w:t>
      </w:r>
      <w:r w:rsidR="004F4DA6">
        <w:rPr>
          <w:rFonts w:eastAsia="Times New Roman"/>
          <w:lang w:val="en-AU"/>
        </w:rPr>
        <w:t xml:space="preserve">the influence of </w:t>
      </w:r>
      <w:r w:rsidR="00784C91" w:rsidRPr="00007717">
        <w:rPr>
          <w:rFonts w:eastAsia="Times New Roman"/>
          <w:lang w:val="en-AU"/>
        </w:rPr>
        <w:t>context on niche establishment in thesis introduct</w:t>
      </w:r>
      <w:r w:rsidR="008857D6">
        <w:rPr>
          <w:rFonts w:eastAsia="Times New Roman"/>
          <w:lang w:val="en-AU"/>
        </w:rPr>
        <w:t>ions are lacking in Malaysia,</w:t>
      </w:r>
      <w:r w:rsidR="00933F56" w:rsidRPr="00007717">
        <w:rPr>
          <w:rFonts w:eastAsia="Times New Roman"/>
          <w:lang w:val="en-AU"/>
        </w:rPr>
        <w:t xml:space="preserve"> </w:t>
      </w:r>
      <w:r w:rsidR="002769C7" w:rsidRPr="00C52403">
        <w:rPr>
          <w:rFonts w:eastAsia="Times New Roman"/>
          <w:lang w:val="en-AU"/>
        </w:rPr>
        <w:t>the present</w:t>
      </w:r>
      <w:r w:rsidR="008857D6" w:rsidRPr="00C52403">
        <w:rPr>
          <w:rFonts w:eastAsia="Times New Roman"/>
          <w:lang w:val="en-AU"/>
        </w:rPr>
        <w:t xml:space="preserve"> study attempts </w:t>
      </w:r>
      <w:r w:rsidR="008857D6" w:rsidRPr="00C52403">
        <w:rPr>
          <w:rFonts w:eastAsia="Times New Roman"/>
          <w:lang w:val="en-AU"/>
        </w:rPr>
        <w:lastRenderedPageBreak/>
        <w:t>to analyse</w:t>
      </w:r>
      <w:r w:rsidR="00C52403" w:rsidRPr="00C52403">
        <w:rPr>
          <w:rFonts w:eastAsia="Times New Roman"/>
          <w:lang w:val="en-AU"/>
        </w:rPr>
        <w:t xml:space="preserve"> </w:t>
      </w:r>
      <w:r w:rsidR="00EA3BF7" w:rsidRPr="00C52403">
        <w:rPr>
          <w:rFonts w:eastAsia="Times New Roman"/>
          <w:lang w:val="en-AU"/>
        </w:rPr>
        <w:t xml:space="preserve">how contexts of several layers explain </w:t>
      </w:r>
      <w:r w:rsidR="002B6EA9" w:rsidRPr="00C52403">
        <w:rPr>
          <w:rFonts w:eastAsia="Times New Roman"/>
          <w:lang w:val="en-AU"/>
        </w:rPr>
        <w:t>the rhetorical moves</w:t>
      </w:r>
      <w:r w:rsidR="004F4DA6">
        <w:rPr>
          <w:rFonts w:eastAsia="Times New Roman"/>
          <w:lang w:val="en-AU"/>
        </w:rPr>
        <w:t>,</w:t>
      </w:r>
      <w:r w:rsidR="002B6EA9" w:rsidRPr="00C52403">
        <w:rPr>
          <w:rFonts w:eastAsia="Times New Roman"/>
          <w:lang w:val="en-AU"/>
        </w:rPr>
        <w:t xml:space="preserve"> specifically whe</w:t>
      </w:r>
      <w:r w:rsidR="004F4DA6">
        <w:rPr>
          <w:rFonts w:eastAsia="Times New Roman"/>
          <w:lang w:val="en-AU"/>
        </w:rPr>
        <w:t>n</w:t>
      </w:r>
      <w:r w:rsidR="002B6EA9" w:rsidRPr="00C52403">
        <w:rPr>
          <w:rFonts w:eastAsia="Times New Roman"/>
          <w:lang w:val="en-AU"/>
        </w:rPr>
        <w:t xml:space="preserve"> writers create</w:t>
      </w:r>
      <w:r w:rsidR="008857D6" w:rsidRPr="00C52403">
        <w:rPr>
          <w:rFonts w:eastAsia="Times New Roman"/>
          <w:lang w:val="en-AU"/>
        </w:rPr>
        <w:t xml:space="preserve"> their research niche</w:t>
      </w:r>
      <w:r w:rsidR="002B6EA9" w:rsidRPr="00C52403">
        <w:rPr>
          <w:rFonts w:eastAsia="Times New Roman"/>
          <w:lang w:val="en-AU"/>
        </w:rPr>
        <w:t xml:space="preserve"> in the introductory chapter</w:t>
      </w:r>
      <w:r w:rsidR="00C52403">
        <w:rPr>
          <w:rFonts w:eastAsia="Times New Roman"/>
          <w:lang w:val="en-AU"/>
        </w:rPr>
        <w:t>.</w:t>
      </w:r>
    </w:p>
    <w:p w14:paraId="2171078D" w14:textId="77777777" w:rsidR="003601B5" w:rsidRDefault="003601B5" w:rsidP="003601B5">
      <w:pPr>
        <w:keepNext/>
        <w:spacing w:before="240" w:after="120" w:line="360" w:lineRule="auto"/>
        <w:contextualSpacing/>
        <w:jc w:val="both"/>
        <w:rPr>
          <w:rFonts w:eastAsia="Times New Roman"/>
          <w:b/>
          <w:lang w:val="en-AU"/>
        </w:rPr>
      </w:pPr>
    </w:p>
    <w:p w14:paraId="2D5D0F72" w14:textId="7A643B0C" w:rsidR="002E3D31" w:rsidRPr="003601B5" w:rsidRDefault="003601B5" w:rsidP="003601B5">
      <w:pPr>
        <w:pStyle w:val="ListParagraph"/>
        <w:keepNext/>
        <w:numPr>
          <w:ilvl w:val="0"/>
          <w:numId w:val="11"/>
        </w:numPr>
        <w:spacing w:before="240" w:after="120" w:line="360" w:lineRule="auto"/>
        <w:ind w:left="180" w:hanging="180"/>
        <w:jc w:val="both"/>
        <w:rPr>
          <w:b/>
        </w:rPr>
      </w:pPr>
      <w:r>
        <w:rPr>
          <w:b/>
        </w:rPr>
        <w:t xml:space="preserve"> </w:t>
      </w:r>
      <w:r w:rsidR="006025CD" w:rsidRPr="003601B5">
        <w:rPr>
          <w:b/>
        </w:rPr>
        <w:t>Methodology</w:t>
      </w:r>
    </w:p>
    <w:p w14:paraId="083B817F" w14:textId="77777777" w:rsidR="003601B5" w:rsidRPr="003601B5" w:rsidRDefault="003601B5" w:rsidP="003601B5">
      <w:pPr>
        <w:pStyle w:val="ListParagraph"/>
        <w:keepNext/>
        <w:spacing w:before="240" w:after="120" w:line="360" w:lineRule="auto"/>
        <w:jc w:val="both"/>
        <w:rPr>
          <w:b/>
        </w:rPr>
      </w:pPr>
    </w:p>
    <w:p w14:paraId="66264481" w14:textId="10120533" w:rsidR="00876498" w:rsidRDefault="00C52403" w:rsidP="003601B5">
      <w:pPr>
        <w:keepNext/>
        <w:spacing w:before="240" w:after="120" w:line="360" w:lineRule="auto"/>
        <w:contextualSpacing/>
        <w:jc w:val="both"/>
        <w:rPr>
          <w:b/>
        </w:rPr>
      </w:pPr>
      <w:r>
        <w:rPr>
          <w:b/>
        </w:rPr>
        <w:t>3.1</w:t>
      </w:r>
      <w:r w:rsidR="00337EBE">
        <w:rPr>
          <w:b/>
        </w:rPr>
        <w:t xml:space="preserve"> </w:t>
      </w:r>
      <w:r>
        <w:rPr>
          <w:b/>
        </w:rPr>
        <w:t>Research Approach</w:t>
      </w:r>
    </w:p>
    <w:p w14:paraId="1D57A748" w14:textId="77777777" w:rsidR="00951A3C" w:rsidRDefault="00951A3C" w:rsidP="003601B5">
      <w:pPr>
        <w:keepNext/>
        <w:spacing w:before="240" w:after="120" w:line="360" w:lineRule="auto"/>
        <w:contextualSpacing/>
        <w:jc w:val="both"/>
        <w:rPr>
          <w:b/>
        </w:rPr>
      </w:pPr>
    </w:p>
    <w:p w14:paraId="7628740E" w14:textId="3B6732C3" w:rsidR="00555AEA" w:rsidRDefault="00C52403" w:rsidP="003601B5">
      <w:pPr>
        <w:spacing w:line="360" w:lineRule="auto"/>
        <w:contextualSpacing/>
        <w:jc w:val="both"/>
        <w:rPr>
          <w:rFonts w:eastAsia="Times New Roman"/>
          <w:lang w:val="en-AU"/>
        </w:rPr>
      </w:pPr>
      <w:r w:rsidRPr="00C52403">
        <w:rPr>
          <w:rFonts w:eastAsia="Times New Roman"/>
          <w:lang w:val="en-AU"/>
        </w:rPr>
        <w:t xml:space="preserve">This </w:t>
      </w:r>
      <w:r w:rsidR="003D77A9">
        <w:rPr>
          <w:rFonts w:eastAsia="Times New Roman"/>
          <w:lang w:val="en-AU"/>
        </w:rPr>
        <w:t xml:space="preserve">case </w:t>
      </w:r>
      <w:r w:rsidRPr="00C52403">
        <w:rPr>
          <w:rFonts w:eastAsia="Times New Roman"/>
          <w:lang w:val="en-AU"/>
        </w:rPr>
        <w:t xml:space="preserve">study employs aspects of both qualitative and quantitative approaches to research. According to </w:t>
      </w:r>
      <w:bookmarkStart w:id="4" w:name="OLE_LINK3"/>
      <w:bookmarkStart w:id="5" w:name="OLE_LINK4"/>
      <w:r w:rsidRPr="00C52403">
        <w:rPr>
          <w:rFonts w:eastAsia="Times New Roman"/>
          <w:lang w:val="en-AU"/>
        </w:rPr>
        <w:t>Croker (2009)</w:t>
      </w:r>
      <w:bookmarkEnd w:id="4"/>
      <w:bookmarkEnd w:id="5"/>
      <w:r w:rsidRPr="00C52403">
        <w:rPr>
          <w:rFonts w:eastAsia="Times New Roman"/>
          <w:lang w:val="en-AU"/>
        </w:rPr>
        <w:t xml:space="preserve">, when little is known about a phenomenon or even when the existing research is limited, qualitative research is very useful for the exploration of possible patterns and underlying processes. But it also uses quantitative tools for coding, measurement, mapping and describing the moves and steps employed by </w:t>
      </w:r>
      <w:r w:rsidR="00E473E1">
        <w:rPr>
          <w:rFonts w:eastAsia="Times New Roman"/>
          <w:lang w:val="en-AU"/>
        </w:rPr>
        <w:t xml:space="preserve">writers </w:t>
      </w:r>
      <w:r w:rsidRPr="00C52403">
        <w:rPr>
          <w:rFonts w:eastAsia="Times New Roman"/>
          <w:lang w:val="en-AU"/>
        </w:rPr>
        <w:t xml:space="preserve">to accomplish their communicative purposes. This study adopts constructivist and naturalistic perspectives. </w:t>
      </w:r>
      <w:bookmarkStart w:id="6" w:name="OLE_LINK5"/>
      <w:bookmarkStart w:id="7" w:name="OLE_LINK6"/>
      <w:bookmarkStart w:id="8" w:name="OLE_LINK11"/>
      <w:bookmarkStart w:id="9" w:name="OLE_LINK12"/>
      <w:r w:rsidRPr="00C52403">
        <w:rPr>
          <w:rFonts w:eastAsia="Times New Roman"/>
          <w:lang w:val="en-AU"/>
        </w:rPr>
        <w:t>Hammersley</w:t>
      </w:r>
      <w:bookmarkEnd w:id="6"/>
      <w:bookmarkEnd w:id="7"/>
      <w:r w:rsidRPr="00C52403">
        <w:rPr>
          <w:rFonts w:eastAsia="Times New Roman"/>
          <w:lang w:val="en-AU"/>
        </w:rPr>
        <w:t xml:space="preserve"> and Atkinson (1983)</w:t>
      </w:r>
      <w:bookmarkEnd w:id="8"/>
      <w:bookmarkEnd w:id="9"/>
      <w:r w:rsidRPr="00C52403">
        <w:rPr>
          <w:rFonts w:eastAsia="Times New Roman"/>
          <w:lang w:val="en-AU"/>
        </w:rPr>
        <w:t xml:space="preserve">, cited in </w:t>
      </w:r>
      <w:bookmarkStart w:id="10" w:name="OLE_LINK7"/>
      <w:bookmarkStart w:id="11" w:name="OLE_LINK8"/>
      <w:r w:rsidRPr="00C52403">
        <w:rPr>
          <w:rFonts w:eastAsia="Times New Roman"/>
          <w:lang w:val="en-AU"/>
        </w:rPr>
        <w:t>Bunton (2002)</w:t>
      </w:r>
      <w:bookmarkEnd w:id="10"/>
      <w:bookmarkEnd w:id="11"/>
      <w:r w:rsidRPr="00C52403">
        <w:rPr>
          <w:rFonts w:eastAsia="Times New Roman"/>
          <w:lang w:val="en-AU"/>
        </w:rPr>
        <w:t>, say that “naturalism proposes that, as far as possible, the social world should be studied in its ‘natural state’, undisturbed by the researcher”. Based on this, this study looked a</w:t>
      </w:r>
      <w:r w:rsidR="00915BC0">
        <w:rPr>
          <w:rFonts w:eastAsia="Times New Roman"/>
          <w:lang w:val="en-AU"/>
        </w:rPr>
        <w:t>t naturally occurring texts, doctoral</w:t>
      </w:r>
      <w:r w:rsidRPr="00C52403">
        <w:rPr>
          <w:rFonts w:eastAsia="Times New Roman"/>
          <w:lang w:val="en-AU"/>
        </w:rPr>
        <w:t xml:space="preserve"> theses which had been submitted, examined and confirmed. There was no intervention during the writing process.</w:t>
      </w:r>
    </w:p>
    <w:p w14:paraId="7EDD150A" w14:textId="77777777" w:rsidR="003601B5" w:rsidRDefault="003601B5" w:rsidP="003601B5">
      <w:pPr>
        <w:spacing w:line="360" w:lineRule="auto"/>
        <w:contextualSpacing/>
        <w:jc w:val="both"/>
        <w:rPr>
          <w:rFonts w:eastAsia="Times New Roman"/>
          <w:lang w:val="en-AU"/>
        </w:rPr>
      </w:pPr>
    </w:p>
    <w:p w14:paraId="3BEA8E5F" w14:textId="77777777" w:rsidR="00C52403" w:rsidRDefault="00A55F63" w:rsidP="003601B5">
      <w:pPr>
        <w:keepNext/>
        <w:spacing w:before="240" w:after="120" w:line="360" w:lineRule="auto"/>
        <w:contextualSpacing/>
        <w:jc w:val="both"/>
        <w:rPr>
          <w:b/>
        </w:rPr>
      </w:pPr>
      <w:r>
        <w:rPr>
          <w:b/>
        </w:rPr>
        <w:t>3.2 Corpus Selection and Data Analysis Procedure</w:t>
      </w:r>
    </w:p>
    <w:p w14:paraId="602909FD" w14:textId="77777777" w:rsidR="003601B5" w:rsidRPr="00007717" w:rsidRDefault="003601B5" w:rsidP="003601B5">
      <w:pPr>
        <w:keepNext/>
        <w:spacing w:before="240" w:after="120" w:line="360" w:lineRule="auto"/>
        <w:contextualSpacing/>
        <w:jc w:val="both"/>
        <w:rPr>
          <w:b/>
        </w:rPr>
      </w:pPr>
    </w:p>
    <w:p w14:paraId="3064AF59" w14:textId="6A72D673" w:rsidR="00876498" w:rsidRPr="00383CF7" w:rsidRDefault="00383CF7" w:rsidP="003601B5">
      <w:pPr>
        <w:spacing w:line="360" w:lineRule="auto"/>
        <w:contextualSpacing/>
        <w:jc w:val="both"/>
      </w:pPr>
      <w:r>
        <w:t>Eight theses were chosen from</w:t>
      </w:r>
      <w:r w:rsidR="00A55F63">
        <w:t xml:space="preserve"> three</w:t>
      </w:r>
      <w:r w:rsidR="00876498" w:rsidRPr="00007717">
        <w:t xml:space="preserve"> </w:t>
      </w:r>
      <w:r w:rsidR="00A55F63">
        <w:t xml:space="preserve">research </w:t>
      </w:r>
      <w:r w:rsidR="00876498" w:rsidRPr="00007717">
        <w:t>universities</w:t>
      </w:r>
      <w:r>
        <w:t xml:space="preserve"> in Malaysia</w:t>
      </w:r>
      <w:r w:rsidR="00876498" w:rsidRPr="00007717">
        <w:t xml:space="preserve"> because the research community of the three universities was well establi</w:t>
      </w:r>
      <w:r w:rsidR="00A72D7D" w:rsidRPr="00007717">
        <w:t>shed</w:t>
      </w:r>
      <w:r w:rsidR="00876498" w:rsidRPr="00007717">
        <w:t xml:space="preserve">. </w:t>
      </w:r>
      <w:r w:rsidR="007A0517">
        <w:t xml:space="preserve">It is important to note that </w:t>
      </w:r>
      <w:r w:rsidR="007A0517">
        <w:rPr>
          <w:lang w:val="en-AU"/>
        </w:rPr>
        <w:t>t</w:t>
      </w:r>
      <w:r w:rsidR="007A0517" w:rsidRPr="007A0517">
        <w:rPr>
          <w:lang w:val="en-AU"/>
        </w:rPr>
        <w:t xml:space="preserve">he three universities participating in this study are </w:t>
      </w:r>
      <w:bookmarkStart w:id="12" w:name="OLE_LINK69"/>
      <w:bookmarkStart w:id="13" w:name="OLE_LINK70"/>
      <w:r w:rsidR="007A0517" w:rsidRPr="007A0517">
        <w:rPr>
          <w:lang w:val="en-AU"/>
        </w:rPr>
        <w:t xml:space="preserve">further under the jurisdiction of the Department </w:t>
      </w:r>
      <w:bookmarkEnd w:id="12"/>
      <w:bookmarkEnd w:id="13"/>
      <w:r w:rsidR="007A0517" w:rsidRPr="007A0517">
        <w:rPr>
          <w:lang w:val="en-AU"/>
        </w:rPr>
        <w:t xml:space="preserve">of Higher Education, an organisation that regulates the nation’s higher educational institutions, i.e., both public and private higher education in Malaysia. Its vision follows that of the ministry: to develop Malaysian Higher Educational Institutions as centres of academic excellence to an international standard. Therefore, to ensure the higher education sector’s vision is in line with the ministry’s and consequently, the government’s, the Department of Higher Education coordinates the policies, funding and activities. </w:t>
      </w:r>
      <w:r w:rsidR="00915BC0">
        <w:rPr>
          <w:lang w:val="en-AU"/>
        </w:rPr>
        <w:t>The doctoral</w:t>
      </w:r>
      <w:r w:rsidR="00567988">
        <w:rPr>
          <w:lang w:val="en-AU"/>
        </w:rPr>
        <w:t xml:space="preserve"> candidature of the thesis writers are funded by the ministry after a careful and thorough selection. </w:t>
      </w:r>
      <w:r w:rsidRPr="00383CF7">
        <w:rPr>
          <w:lang w:val="en-AU"/>
        </w:rPr>
        <w:t xml:space="preserve">The two disciplines selected were social sciences and humanities. This was not only to make the corpora as similar as possible but also because of the prominent variation in textual patterns. </w:t>
      </w:r>
      <w:r>
        <w:rPr>
          <w:lang w:val="en-AU"/>
        </w:rPr>
        <w:t>Also e</w:t>
      </w:r>
      <w:r w:rsidRPr="00383CF7">
        <w:rPr>
          <w:lang w:val="en-AU"/>
        </w:rPr>
        <w:t xml:space="preserve">choing </w:t>
      </w:r>
      <w:bookmarkStart w:id="14" w:name="OLE_LINK85"/>
      <w:bookmarkStart w:id="15" w:name="OLE_LINK86"/>
      <w:bookmarkStart w:id="16" w:name="OLE_LINK87"/>
      <w:bookmarkStart w:id="17" w:name="OLE_LINK88"/>
      <w:proofErr w:type="spellStart"/>
      <w:r w:rsidRPr="00383CF7">
        <w:rPr>
          <w:lang w:val="en-AU"/>
        </w:rPr>
        <w:t>Duszak</w:t>
      </w:r>
      <w:bookmarkEnd w:id="14"/>
      <w:bookmarkEnd w:id="15"/>
      <w:proofErr w:type="spellEnd"/>
      <w:r w:rsidRPr="00383CF7">
        <w:rPr>
          <w:lang w:val="en-AU"/>
        </w:rPr>
        <w:t xml:space="preserve"> </w:t>
      </w:r>
      <w:r w:rsidRPr="00383CF7">
        <w:rPr>
          <w:lang w:val="en-AU"/>
        </w:rPr>
        <w:lastRenderedPageBreak/>
        <w:t>(1997, p. 11)</w:t>
      </w:r>
      <w:bookmarkEnd w:id="16"/>
      <w:bookmarkEnd w:id="17"/>
      <w:r w:rsidRPr="00383CF7">
        <w:rPr>
          <w:lang w:val="en-AU"/>
        </w:rPr>
        <w:t xml:space="preserve">, the communication styles in the humanities and the social sciences “respond strongly to language and culture-bound </w:t>
      </w:r>
      <w:proofErr w:type="spellStart"/>
      <w:r w:rsidRPr="00383CF7">
        <w:rPr>
          <w:lang w:val="en-AU"/>
        </w:rPr>
        <w:t>discoursal</w:t>
      </w:r>
      <w:proofErr w:type="spellEnd"/>
      <w:r w:rsidRPr="00383CF7">
        <w:rPr>
          <w:lang w:val="en-AU"/>
        </w:rPr>
        <w:t xml:space="preserve"> preferences and constraints”. The areas of studies were then restricted to English or Educational Studies</w:t>
      </w:r>
      <w:r>
        <w:rPr>
          <w:lang w:val="en-AU"/>
        </w:rPr>
        <w:t xml:space="preserve">. </w:t>
      </w:r>
      <w:r w:rsidRPr="00383CF7">
        <w:rPr>
          <w:lang w:val="en-AU"/>
        </w:rPr>
        <w:t>In addition to considering the fields, only recent</w:t>
      </w:r>
      <w:r w:rsidR="003435D9">
        <w:rPr>
          <w:lang w:val="en-AU"/>
        </w:rPr>
        <w:t>ly graduated</w:t>
      </w:r>
      <w:r w:rsidRPr="00383CF7">
        <w:rPr>
          <w:lang w:val="en-AU"/>
        </w:rPr>
        <w:t xml:space="preserve"> postgraduat</w:t>
      </w:r>
      <w:r>
        <w:rPr>
          <w:lang w:val="en-AU"/>
        </w:rPr>
        <w:t xml:space="preserve">e students </w:t>
      </w:r>
      <w:r w:rsidRPr="00383CF7">
        <w:rPr>
          <w:lang w:val="en-AU"/>
        </w:rPr>
        <w:t xml:space="preserve">were selected. This must be taken into consideration since the temporal factor might also affect the rhetorical configuration of texts </w:t>
      </w:r>
      <w:bookmarkStart w:id="18" w:name="OLE_LINK91"/>
      <w:r w:rsidRPr="00383CF7">
        <w:rPr>
          <w:lang w:val="en-AU"/>
        </w:rPr>
        <w:t>(</w:t>
      </w:r>
      <w:bookmarkStart w:id="19" w:name="OLE_LINK89"/>
      <w:bookmarkStart w:id="20" w:name="OLE_LINK90"/>
      <w:r w:rsidRPr="00383CF7">
        <w:rPr>
          <w:lang w:val="en-AU"/>
        </w:rPr>
        <w:t>Moreno</w:t>
      </w:r>
      <w:bookmarkEnd w:id="19"/>
      <w:bookmarkEnd w:id="20"/>
      <w:r w:rsidRPr="00383CF7">
        <w:rPr>
          <w:lang w:val="en-AU"/>
        </w:rPr>
        <w:t>, 2008)</w:t>
      </w:r>
      <w:bookmarkEnd w:id="18"/>
      <w:r w:rsidRPr="00383CF7">
        <w:rPr>
          <w:lang w:val="en-AU"/>
        </w:rPr>
        <w:t xml:space="preserve"> since genres are fluid and not of a fixed nature.</w:t>
      </w:r>
    </w:p>
    <w:p w14:paraId="366D67F2" w14:textId="77777777" w:rsidR="00951A3C" w:rsidRDefault="00951A3C" w:rsidP="00951A3C">
      <w:pPr>
        <w:spacing w:line="360" w:lineRule="auto"/>
        <w:contextualSpacing/>
        <w:jc w:val="both"/>
      </w:pPr>
    </w:p>
    <w:p w14:paraId="2DB71CCE" w14:textId="552F7C7E" w:rsidR="003D77A9" w:rsidRDefault="00A55F63" w:rsidP="00951A3C">
      <w:pPr>
        <w:spacing w:line="360" w:lineRule="auto"/>
        <w:contextualSpacing/>
        <w:jc w:val="both"/>
      </w:pPr>
      <w:r w:rsidRPr="00B02B70">
        <w:t xml:space="preserve">This study primarily takes a top-down approach when coding, based on meaning. However, to code a text segment the function of which is uncertain, a bottom-up approach is used for confirmation, and reference is made to several linguistic features. Since the study is derived from Swales’s perspective on genre, the unit of analysis should realise the communicative purpose of the text. </w:t>
      </w:r>
      <w:r w:rsidR="0012255E" w:rsidRPr="00B02B70">
        <w:rPr>
          <w:lang w:val="en-AU"/>
        </w:rPr>
        <w:t>This can be realised flexibly in a clause, a sentence, several sentences and paragraphs.</w:t>
      </w:r>
      <w:r w:rsidRPr="00B02B70">
        <w:t xml:space="preserve"> </w:t>
      </w:r>
    </w:p>
    <w:p w14:paraId="1E397559" w14:textId="77777777" w:rsidR="00951A3C" w:rsidRDefault="00951A3C" w:rsidP="00951A3C">
      <w:pPr>
        <w:spacing w:line="360" w:lineRule="auto"/>
        <w:contextualSpacing/>
        <w:jc w:val="both"/>
      </w:pPr>
    </w:p>
    <w:p w14:paraId="12EFFB2A" w14:textId="51421627" w:rsidR="00591B29" w:rsidRPr="00591B29" w:rsidRDefault="00A55F63" w:rsidP="00591B29">
      <w:pPr>
        <w:spacing w:line="360" w:lineRule="auto"/>
        <w:contextualSpacing/>
        <w:jc w:val="both"/>
        <w:rPr>
          <w:lang w:val="en-AU"/>
        </w:rPr>
      </w:pPr>
      <w:r w:rsidRPr="00B02B70">
        <w:t>This study exa</w:t>
      </w:r>
      <w:r w:rsidR="00915BC0">
        <w:t>mined the moves and steps of doctoral</w:t>
      </w:r>
      <w:r w:rsidRPr="00B02B70">
        <w:t xml:space="preserve"> theses through Kwan’s (2006) and Lewin et al.’s (2001) semantic-functional approach</w:t>
      </w:r>
      <w:r w:rsidR="00AC3CBD" w:rsidRPr="00B02B70">
        <w:t xml:space="preserve"> as well as </w:t>
      </w:r>
      <w:proofErr w:type="spellStart"/>
      <w:r w:rsidR="00AC3CBD" w:rsidRPr="00B02B70">
        <w:rPr>
          <w:rFonts w:eastAsia="Times New Roman"/>
          <w:lang w:val="en-AU"/>
        </w:rPr>
        <w:t>Samraj’s</w:t>
      </w:r>
      <w:proofErr w:type="spellEnd"/>
      <w:r w:rsidR="00AC3CBD" w:rsidRPr="00B02B70">
        <w:rPr>
          <w:rFonts w:eastAsia="Times New Roman"/>
          <w:lang w:val="en-AU"/>
        </w:rPr>
        <w:t xml:space="preserve"> (2002) concept of the “real world”</w:t>
      </w:r>
      <w:r w:rsidR="00B02B70" w:rsidRPr="00B02B70">
        <w:rPr>
          <w:rFonts w:eastAsia="Times New Roman"/>
          <w:lang w:val="en-AU"/>
        </w:rPr>
        <w:t xml:space="preserve"> </w:t>
      </w:r>
      <w:r w:rsidR="003D77A9">
        <w:rPr>
          <w:rFonts w:eastAsia="Times New Roman"/>
          <w:lang w:val="en-AU"/>
        </w:rPr>
        <w:t xml:space="preserve">which </w:t>
      </w:r>
      <w:r w:rsidR="00B02B70" w:rsidRPr="00B02B70">
        <w:rPr>
          <w:rFonts w:eastAsia="Times New Roman"/>
          <w:lang w:val="en-AU"/>
        </w:rPr>
        <w:t>concern</w:t>
      </w:r>
      <w:r w:rsidR="009D639A">
        <w:rPr>
          <w:rFonts w:eastAsia="Times New Roman"/>
          <w:lang w:val="en-AU"/>
        </w:rPr>
        <w:t>ed</w:t>
      </w:r>
      <w:r w:rsidR="00B02B70" w:rsidRPr="00B02B70">
        <w:rPr>
          <w:rFonts w:eastAsia="Times New Roman"/>
          <w:lang w:val="en-AU"/>
        </w:rPr>
        <w:t xml:space="preserve"> </w:t>
      </w:r>
      <w:r w:rsidR="009D639A">
        <w:rPr>
          <w:rFonts w:eastAsia="Times New Roman"/>
          <w:lang w:val="en-AU"/>
        </w:rPr>
        <w:t xml:space="preserve">with </w:t>
      </w:r>
      <w:r w:rsidR="00B02B70" w:rsidRPr="00B02B70">
        <w:rPr>
          <w:rFonts w:eastAsia="Times New Roman"/>
          <w:lang w:val="en-AU"/>
        </w:rPr>
        <w:t>the importance of the topic being discussed</w:t>
      </w:r>
      <w:r w:rsidR="00AC3CBD" w:rsidRPr="00B02B70">
        <w:rPr>
          <w:rFonts w:eastAsia="Times New Roman"/>
          <w:lang w:val="en-AU"/>
        </w:rPr>
        <w:t xml:space="preserve"> and the “research world knowledge”</w:t>
      </w:r>
      <w:r w:rsidR="00B02B70" w:rsidRPr="00B02B70">
        <w:t xml:space="preserve">, </w:t>
      </w:r>
      <w:r w:rsidR="00B02B70" w:rsidRPr="00B02B70">
        <w:rPr>
          <w:rFonts w:eastAsia="Times New Roman"/>
          <w:lang w:val="en-AU"/>
        </w:rPr>
        <w:t xml:space="preserve">assertions about active research activity in the area concerned. </w:t>
      </w:r>
      <w:r w:rsidRPr="00B02B70">
        <w:t xml:space="preserve">The semantic approach to coding, according to Kwan, is </w:t>
      </w:r>
      <w:r w:rsidR="00E61F1B">
        <w:t xml:space="preserve">an </w:t>
      </w:r>
      <w:r w:rsidRPr="00B02B70">
        <w:t>analysis through recurring ideational elements that can categorise a move or a step. According to Lewin et al. (2001, p. 30), every move should contain at least one of the following participants: a research (product or producer); the phenomena being studied; and/or the population affected by the phenomena where each participant should bear some form of “attribute”. They note that selecting the semantic term “attribute” would allow coding to include all descriptions, regardless of their grammatical class. In classifying Moves 1 and 2 through the semantic approach, Lewin et al. (2001) identified two basic categories, common to the two moves of the CARS (1990) model but realised variably in them. The first is “participants” and the second is “claim</w:t>
      </w:r>
      <w:r w:rsidRPr="004454F2">
        <w:t>”.</w:t>
      </w:r>
      <w:r w:rsidR="0012255E" w:rsidRPr="004454F2">
        <w:t xml:space="preserve"> </w:t>
      </w:r>
      <w:r w:rsidR="0012255E" w:rsidRPr="004454F2">
        <w:rPr>
          <w:lang w:val="en-AU"/>
        </w:rPr>
        <w:t>While coding following the semantic a</w:t>
      </w:r>
      <w:r w:rsidR="006D16D3">
        <w:rPr>
          <w:lang w:val="en-AU"/>
        </w:rPr>
        <w:t>pproach, we</w:t>
      </w:r>
      <w:r w:rsidR="0012255E" w:rsidRPr="004454F2">
        <w:rPr>
          <w:lang w:val="en-AU"/>
        </w:rPr>
        <w:t xml:space="preserve"> also tend to refer to linguistic clues such as</w:t>
      </w:r>
      <w:r w:rsidR="00876F0C" w:rsidRPr="004454F2">
        <w:rPr>
          <w:lang w:val="en-AU"/>
        </w:rPr>
        <w:t xml:space="preserve"> conjunctions. F</w:t>
      </w:r>
      <w:r w:rsidR="0012255E" w:rsidRPr="004454F2">
        <w:rPr>
          <w:lang w:val="en-AU"/>
        </w:rPr>
        <w:t>ixed formulaic as well as discourse clues, including the sub-headings</w:t>
      </w:r>
      <w:r w:rsidR="009D639A" w:rsidRPr="004454F2">
        <w:rPr>
          <w:lang w:val="en-AU"/>
        </w:rPr>
        <w:t>,</w:t>
      </w:r>
      <w:r w:rsidR="00876F0C" w:rsidRPr="004454F2">
        <w:rPr>
          <w:lang w:val="en-AU"/>
        </w:rPr>
        <w:t xml:space="preserve"> are also employed</w:t>
      </w:r>
      <w:r w:rsidR="0012255E" w:rsidRPr="00B02B70">
        <w:rPr>
          <w:lang w:val="en-AU"/>
        </w:rPr>
        <w:t>. Although they do not explicitly and directly signal the boundary of units, they facilitate their identification, to some extent, by providing important information for the analyst to understand and so identify the communicative purpose of the segment of a text.</w:t>
      </w:r>
      <w:r w:rsidR="00591B29">
        <w:rPr>
          <w:lang w:val="en-AU"/>
        </w:rPr>
        <w:t xml:space="preserve"> </w:t>
      </w:r>
      <w:r w:rsidR="00591B29" w:rsidRPr="00591B29">
        <w:rPr>
          <w:lang w:val="en-AU"/>
        </w:rPr>
        <w:t xml:space="preserve">Therefore, based on the pilot coding on three theses (38%), we discovered that the niche of the study can be derived in five different ways: </w:t>
      </w:r>
    </w:p>
    <w:p w14:paraId="21A7C532" w14:textId="78C9161D" w:rsidR="00A55F63" w:rsidRDefault="00A55F63" w:rsidP="003601B5">
      <w:pPr>
        <w:spacing w:line="360" w:lineRule="auto"/>
        <w:contextualSpacing/>
        <w:jc w:val="both"/>
      </w:pPr>
    </w:p>
    <w:p w14:paraId="390DC75D" w14:textId="3CECCC5D" w:rsidR="007823E2" w:rsidRPr="007823E2" w:rsidRDefault="004E660A" w:rsidP="007823E2">
      <w:pPr>
        <w:spacing w:line="360" w:lineRule="auto"/>
        <w:ind w:left="1416" w:firstLine="708"/>
        <w:contextualSpacing/>
        <w:rPr>
          <w:i/>
        </w:rPr>
      </w:pPr>
      <w:r w:rsidRPr="007823E2">
        <w:rPr>
          <w:i/>
        </w:rPr>
        <w:lastRenderedPageBreak/>
        <w:t>Move 2: Establishing Niche</w:t>
      </w:r>
    </w:p>
    <w:p w14:paraId="599996F0" w14:textId="604E5B34" w:rsidR="004E660A" w:rsidRDefault="004E660A" w:rsidP="007823E2">
      <w:pPr>
        <w:spacing w:line="360" w:lineRule="auto"/>
        <w:ind w:left="2124" w:firstLine="708"/>
        <w:contextualSpacing/>
      </w:pPr>
      <w:r>
        <w:t>via</w:t>
      </w:r>
    </w:p>
    <w:p w14:paraId="74406AE6" w14:textId="77777777" w:rsidR="004E660A" w:rsidRDefault="004E660A" w:rsidP="007823E2">
      <w:pPr>
        <w:spacing w:line="360" w:lineRule="auto"/>
        <w:ind w:left="1416" w:firstLine="708"/>
        <w:contextualSpacing/>
      </w:pPr>
      <w:r>
        <w:t>M2s1a: Indicating Gap</w:t>
      </w:r>
    </w:p>
    <w:p w14:paraId="6651E11B" w14:textId="77777777" w:rsidR="004E660A" w:rsidRDefault="004E660A" w:rsidP="007823E2">
      <w:pPr>
        <w:spacing w:line="360" w:lineRule="auto"/>
        <w:ind w:left="1416" w:firstLine="708"/>
        <w:contextualSpacing/>
      </w:pPr>
      <w:r>
        <w:t>M2s1b: Indicating Need and Problem</w:t>
      </w:r>
    </w:p>
    <w:p w14:paraId="6E35A3D8" w14:textId="77777777" w:rsidR="004E660A" w:rsidRDefault="004E660A" w:rsidP="007823E2">
      <w:pPr>
        <w:spacing w:line="360" w:lineRule="auto"/>
        <w:ind w:left="1416" w:firstLine="708"/>
        <w:contextualSpacing/>
      </w:pPr>
      <w:r>
        <w:t>M2s1c: Counter Claim</w:t>
      </w:r>
    </w:p>
    <w:p w14:paraId="1ADB89E9" w14:textId="77777777" w:rsidR="004E660A" w:rsidRDefault="004E660A" w:rsidP="007823E2">
      <w:pPr>
        <w:spacing w:line="360" w:lineRule="auto"/>
        <w:ind w:left="1416" w:firstLine="708"/>
        <w:contextualSpacing/>
      </w:pPr>
      <w:r>
        <w:t>M2s1d: Extending/ Continuing Tradition</w:t>
      </w:r>
    </w:p>
    <w:p w14:paraId="5D9B669F" w14:textId="41ED49E0" w:rsidR="00591B29" w:rsidRDefault="004E660A" w:rsidP="007823E2">
      <w:pPr>
        <w:spacing w:line="360" w:lineRule="auto"/>
        <w:ind w:left="1416" w:firstLine="708"/>
        <w:contextualSpacing/>
      </w:pPr>
      <w:r>
        <w:t>M2s1e: Question-raising</w:t>
      </w:r>
    </w:p>
    <w:p w14:paraId="2DBCC771" w14:textId="13D92DAA" w:rsidR="00591B29" w:rsidRDefault="00591B29" w:rsidP="003601B5">
      <w:pPr>
        <w:spacing w:line="360" w:lineRule="auto"/>
        <w:contextualSpacing/>
        <w:jc w:val="both"/>
      </w:pPr>
    </w:p>
    <w:p w14:paraId="3C44DD2A" w14:textId="12FC1A35" w:rsidR="00D606C8" w:rsidRDefault="00A55F63" w:rsidP="003601B5">
      <w:pPr>
        <w:keepNext/>
        <w:spacing w:before="240" w:after="120" w:line="360" w:lineRule="auto"/>
        <w:contextualSpacing/>
        <w:jc w:val="both"/>
        <w:rPr>
          <w:b/>
        </w:rPr>
      </w:pPr>
      <w:r w:rsidRPr="00F62FBD">
        <w:rPr>
          <w:b/>
        </w:rPr>
        <w:t>4</w:t>
      </w:r>
      <w:r w:rsidR="008252FE">
        <w:rPr>
          <w:b/>
        </w:rPr>
        <w:t>.</w:t>
      </w:r>
      <w:r w:rsidR="00337EBE">
        <w:t xml:space="preserve"> </w:t>
      </w:r>
      <w:r w:rsidR="004402EB">
        <w:rPr>
          <w:b/>
        </w:rPr>
        <w:t xml:space="preserve">Findings </w:t>
      </w:r>
    </w:p>
    <w:p w14:paraId="3EFA95D6" w14:textId="77777777" w:rsidR="003601B5" w:rsidRDefault="003601B5" w:rsidP="003601B5">
      <w:pPr>
        <w:keepNext/>
        <w:spacing w:before="240" w:after="120" w:line="360" w:lineRule="auto"/>
        <w:contextualSpacing/>
        <w:jc w:val="both"/>
        <w:rPr>
          <w:b/>
        </w:rPr>
      </w:pPr>
    </w:p>
    <w:p w14:paraId="77030F0A" w14:textId="7535EFCB" w:rsidR="00723C0A" w:rsidRDefault="00723C0A" w:rsidP="003601B5">
      <w:pPr>
        <w:keepNext/>
        <w:spacing w:before="240" w:after="120" w:line="360" w:lineRule="auto"/>
        <w:contextualSpacing/>
        <w:jc w:val="both"/>
        <w:rPr>
          <w:b/>
        </w:rPr>
      </w:pPr>
      <w:r w:rsidRPr="00753955">
        <w:rPr>
          <w:b/>
        </w:rPr>
        <w:t>4.</w:t>
      </w:r>
      <w:r>
        <w:rPr>
          <w:b/>
        </w:rPr>
        <w:t xml:space="preserve">1 </w:t>
      </w:r>
      <w:r w:rsidRPr="00753955">
        <w:rPr>
          <w:b/>
        </w:rPr>
        <w:t xml:space="preserve">Frequency </w:t>
      </w:r>
      <w:r>
        <w:rPr>
          <w:b/>
        </w:rPr>
        <w:t>D</w:t>
      </w:r>
      <w:r w:rsidRPr="00753955">
        <w:rPr>
          <w:b/>
        </w:rPr>
        <w:t xml:space="preserve">istribution of </w:t>
      </w:r>
      <w:r>
        <w:rPr>
          <w:b/>
        </w:rPr>
        <w:t>S</w:t>
      </w:r>
      <w:r w:rsidRPr="00753955">
        <w:rPr>
          <w:b/>
        </w:rPr>
        <w:t>teps in Move 2</w:t>
      </w:r>
    </w:p>
    <w:p w14:paraId="27DEC477" w14:textId="77777777" w:rsidR="003601B5" w:rsidRPr="00753955" w:rsidRDefault="003601B5" w:rsidP="003601B5">
      <w:pPr>
        <w:keepNext/>
        <w:spacing w:before="240" w:after="120" w:line="360" w:lineRule="auto"/>
        <w:contextualSpacing/>
        <w:jc w:val="both"/>
        <w:rPr>
          <w:b/>
        </w:rPr>
      </w:pPr>
    </w:p>
    <w:p w14:paraId="4B64FC94" w14:textId="295A44A4" w:rsidR="00723C0A" w:rsidRDefault="00723C0A" w:rsidP="003601B5">
      <w:pPr>
        <w:spacing w:after="0" w:line="360" w:lineRule="auto"/>
        <w:contextualSpacing/>
        <w:jc w:val="both"/>
      </w:pPr>
      <w:r>
        <w:t>As described, t</w:t>
      </w:r>
      <w:r w:rsidRPr="00007717">
        <w:t xml:space="preserve">here are five ways </w:t>
      </w:r>
      <w:r>
        <w:t xml:space="preserve">in which </w:t>
      </w:r>
      <w:r w:rsidRPr="00007717">
        <w:t>the writers establish the niche strategies</w:t>
      </w:r>
      <w:r>
        <w:t>:</w:t>
      </w:r>
      <w:r w:rsidRPr="00007717">
        <w:t xml:space="preserve"> M2s1a: Indicating gap; M2s1b: Indicating problem and need; M</w:t>
      </w:r>
      <w:r w:rsidR="00760ABF">
        <w:t>2s1c: Counter-c</w:t>
      </w:r>
      <w:r w:rsidRPr="00007717">
        <w:t>laim; M2s1d: Continuing tradition; and M2s1</w:t>
      </w:r>
      <w:r w:rsidR="007823E2">
        <w:t>e: Question-raising. Figure 2</w:t>
      </w:r>
      <w:r w:rsidRPr="00007717">
        <w:t xml:space="preserve"> indicates the percentages of Move 2 steps accounted for by each of these steps.</w:t>
      </w:r>
    </w:p>
    <w:p w14:paraId="7C3A8836" w14:textId="77777777" w:rsidR="00723C0A" w:rsidRPr="00007717" w:rsidRDefault="00723C0A" w:rsidP="003601B5">
      <w:pPr>
        <w:spacing w:after="0" w:line="360" w:lineRule="auto"/>
        <w:contextualSpacing/>
        <w:jc w:val="both"/>
      </w:pPr>
    </w:p>
    <w:p w14:paraId="6C8886A3" w14:textId="77777777" w:rsidR="00723C0A" w:rsidRPr="00007717" w:rsidRDefault="00723C0A" w:rsidP="003601B5">
      <w:pPr>
        <w:spacing w:line="360" w:lineRule="auto"/>
        <w:contextualSpacing/>
        <w:jc w:val="center"/>
      </w:pPr>
      <w:r w:rsidRPr="00007717">
        <w:rPr>
          <w:noProof/>
          <w:lang w:val="en-MY" w:eastAsia="en-MY"/>
        </w:rPr>
        <w:drawing>
          <wp:inline distT="0" distB="0" distL="0" distR="0" wp14:anchorId="5F4F5341" wp14:editId="53814097">
            <wp:extent cx="4470400" cy="2254250"/>
            <wp:effectExtent l="0" t="0" r="6350" b="1270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1A569F" w14:textId="4F9744BC" w:rsidR="00723C0A" w:rsidRPr="00007717" w:rsidRDefault="007823E2" w:rsidP="003601B5">
      <w:pPr>
        <w:spacing w:after="0" w:line="360" w:lineRule="auto"/>
        <w:contextualSpacing/>
        <w:jc w:val="center"/>
      </w:pPr>
      <w:r>
        <w:rPr>
          <w:i/>
        </w:rPr>
        <w:t>Figure 2</w:t>
      </w:r>
      <w:r w:rsidR="00723C0A" w:rsidRPr="00077CC4">
        <w:rPr>
          <w:i/>
        </w:rPr>
        <w:t>:</w:t>
      </w:r>
      <w:r w:rsidR="00723C0A">
        <w:t xml:space="preserve"> </w:t>
      </w:r>
      <w:r w:rsidR="00723C0A" w:rsidRPr="00007717">
        <w:t>Percentage occurrences (%) of Move 2 steps</w:t>
      </w:r>
    </w:p>
    <w:p w14:paraId="2823DCB4" w14:textId="77777777" w:rsidR="003601B5" w:rsidRDefault="003601B5" w:rsidP="003601B5">
      <w:pPr>
        <w:spacing w:line="360" w:lineRule="auto"/>
        <w:contextualSpacing/>
        <w:jc w:val="both"/>
      </w:pPr>
    </w:p>
    <w:p w14:paraId="0A7DC02C" w14:textId="5CCA0090" w:rsidR="00723C0A" w:rsidRDefault="002B1A2B" w:rsidP="003601B5">
      <w:pPr>
        <w:spacing w:line="360" w:lineRule="auto"/>
        <w:contextualSpacing/>
        <w:jc w:val="both"/>
        <w:rPr>
          <w:lang w:val="en-MY"/>
        </w:rPr>
      </w:pPr>
      <w:r>
        <w:t>Based on Figure 2</w:t>
      </w:r>
      <w:r w:rsidR="00723C0A">
        <w:t xml:space="preserve">, </w:t>
      </w:r>
      <w:r w:rsidR="00723C0A" w:rsidRPr="00007717">
        <w:t xml:space="preserve">Step M2s1b: Indicating problem and need, occurred most </w:t>
      </w:r>
      <w:r w:rsidR="00723C0A">
        <w:t xml:space="preserve">frequently </w:t>
      </w:r>
      <w:r w:rsidR="00723C0A" w:rsidRPr="00007717">
        <w:t xml:space="preserve">with </w:t>
      </w:r>
      <w:r w:rsidR="00723C0A">
        <w:t>64%</w:t>
      </w:r>
      <w:r w:rsidR="00723C0A" w:rsidRPr="00007717">
        <w:t xml:space="preserve"> of all Move 2 steps. Indicating a gap </w:t>
      </w:r>
      <w:r w:rsidR="00723C0A">
        <w:t>wa</w:t>
      </w:r>
      <w:r w:rsidR="00723C0A" w:rsidRPr="00007717">
        <w:t xml:space="preserve">s the second </w:t>
      </w:r>
      <w:r w:rsidR="00723C0A">
        <w:t xml:space="preserve">most frequent </w:t>
      </w:r>
      <w:r w:rsidR="00723C0A" w:rsidRPr="00007717">
        <w:t>step, followed by M2s1c</w:t>
      </w:r>
      <w:r w:rsidR="00723C0A">
        <w:t>,</w:t>
      </w:r>
      <w:r w:rsidR="00723C0A" w:rsidRPr="00007717">
        <w:t xml:space="preserve"> a step where a writer </w:t>
      </w:r>
      <w:r w:rsidR="00723C0A" w:rsidRPr="00BC19FC">
        <w:t>makes counter-claims</w:t>
      </w:r>
      <w:r w:rsidR="00723C0A" w:rsidRPr="00007717">
        <w:t xml:space="preserve"> against some published studies. The least </w:t>
      </w:r>
      <w:r w:rsidR="00723C0A">
        <w:t xml:space="preserve">frequent step of Move 2 is M2s1d which is Continuing Tradition. </w:t>
      </w:r>
      <w:r w:rsidR="00723C0A">
        <w:rPr>
          <w:lang w:val="en-MY"/>
        </w:rPr>
        <w:t>Next,</w:t>
      </w:r>
      <w:r w:rsidR="00723C0A" w:rsidRPr="009F7CC4">
        <w:rPr>
          <w:lang w:val="en-MY"/>
        </w:rPr>
        <w:t xml:space="preserve"> the preferred step in each thesis</w:t>
      </w:r>
      <w:r w:rsidR="007823E2">
        <w:rPr>
          <w:lang w:val="en-MY"/>
        </w:rPr>
        <w:t xml:space="preserve"> is shown in Figure 3</w:t>
      </w:r>
      <w:r w:rsidR="00723C0A">
        <w:rPr>
          <w:lang w:val="en-MY"/>
        </w:rPr>
        <w:t>.</w:t>
      </w:r>
    </w:p>
    <w:p w14:paraId="02D6A635" w14:textId="77777777" w:rsidR="003601B5" w:rsidRDefault="003601B5" w:rsidP="003601B5">
      <w:pPr>
        <w:spacing w:line="360" w:lineRule="auto"/>
        <w:contextualSpacing/>
        <w:jc w:val="both"/>
        <w:rPr>
          <w:lang w:val="en-MY"/>
        </w:rPr>
      </w:pPr>
    </w:p>
    <w:p w14:paraId="15420997" w14:textId="77777777" w:rsidR="00723C0A" w:rsidRDefault="00723C0A" w:rsidP="003601B5">
      <w:pPr>
        <w:spacing w:line="360" w:lineRule="auto"/>
        <w:ind w:firstLine="708"/>
        <w:contextualSpacing/>
        <w:jc w:val="both"/>
        <w:rPr>
          <w:lang w:val="en-MY"/>
        </w:rPr>
      </w:pPr>
      <w:r w:rsidRPr="00F75759">
        <w:rPr>
          <w:rFonts w:ascii="Book Antiqua" w:hAnsi="Book Antiqua"/>
          <w:noProof/>
          <w:lang w:val="en-MY" w:eastAsia="en-MY"/>
        </w:rPr>
        <w:lastRenderedPageBreak/>
        <w:drawing>
          <wp:inline distT="0" distB="0" distL="0" distR="0" wp14:anchorId="21E71BD0" wp14:editId="77DDF59C">
            <wp:extent cx="5238750" cy="2533650"/>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A46230" w14:textId="7E8443DE" w:rsidR="00A31639" w:rsidRDefault="007823E2" w:rsidP="003601B5">
      <w:pPr>
        <w:spacing w:line="360" w:lineRule="auto"/>
        <w:ind w:firstLine="708"/>
        <w:contextualSpacing/>
        <w:jc w:val="center"/>
        <w:rPr>
          <w:lang w:val="en-MY"/>
        </w:rPr>
      </w:pPr>
      <w:r>
        <w:rPr>
          <w:lang w:val="en-MY"/>
        </w:rPr>
        <w:t>Figure 3</w:t>
      </w:r>
      <w:r w:rsidR="00A31639">
        <w:rPr>
          <w:lang w:val="en-MY"/>
        </w:rPr>
        <w:t>: Percentage occurrence of Move 2 steps</w:t>
      </w:r>
    </w:p>
    <w:p w14:paraId="7FB2F74C" w14:textId="77777777" w:rsidR="003601B5" w:rsidRDefault="003601B5" w:rsidP="003601B5">
      <w:pPr>
        <w:spacing w:line="360" w:lineRule="auto"/>
        <w:contextualSpacing/>
        <w:jc w:val="both"/>
        <w:rPr>
          <w:lang w:val="en-MY"/>
        </w:rPr>
      </w:pPr>
    </w:p>
    <w:p w14:paraId="2176A2C6" w14:textId="3DB5FB57" w:rsidR="00723C0A" w:rsidRPr="009F7CC4" w:rsidRDefault="00723C0A" w:rsidP="003601B5">
      <w:pPr>
        <w:spacing w:line="360" w:lineRule="auto"/>
        <w:contextualSpacing/>
        <w:jc w:val="both"/>
        <w:rPr>
          <w:lang w:val="en-MY"/>
        </w:rPr>
      </w:pPr>
      <w:r>
        <w:rPr>
          <w:lang w:val="en-MY"/>
        </w:rPr>
        <w:t>F</w:t>
      </w:r>
      <w:r w:rsidRPr="002C035E">
        <w:rPr>
          <w:lang w:val="en-MY"/>
        </w:rPr>
        <w:t xml:space="preserve">igure </w:t>
      </w:r>
      <w:r w:rsidR="007823E2">
        <w:rPr>
          <w:lang w:val="en-MY"/>
        </w:rPr>
        <w:t>3</w:t>
      </w:r>
      <w:r>
        <w:rPr>
          <w:lang w:val="en-MY"/>
        </w:rPr>
        <w:t xml:space="preserve"> </w:t>
      </w:r>
      <w:r w:rsidRPr="002C035E">
        <w:rPr>
          <w:lang w:val="en-MY"/>
        </w:rPr>
        <w:t xml:space="preserve">clearly shows that all writers employed problem and need indication as the main strategy when establishing a niche for their topic. Seven of eight writers utilised this step in more than </w:t>
      </w:r>
      <w:r>
        <w:rPr>
          <w:lang w:val="en-MY"/>
        </w:rPr>
        <w:t xml:space="preserve">50% </w:t>
      </w:r>
      <w:r w:rsidRPr="002C035E">
        <w:rPr>
          <w:lang w:val="en-MY"/>
        </w:rPr>
        <w:t>of their overall strategies.</w:t>
      </w:r>
      <w:r>
        <w:rPr>
          <w:lang w:val="en-MY"/>
        </w:rPr>
        <w:t xml:space="preserve"> Another apparent</w:t>
      </w:r>
      <w:r w:rsidRPr="009F7CC4">
        <w:rPr>
          <w:lang w:val="en-MY"/>
        </w:rPr>
        <w:t xml:space="preserve"> </w:t>
      </w:r>
      <w:r w:rsidR="00A31639">
        <w:rPr>
          <w:lang w:val="en-MY"/>
        </w:rPr>
        <w:t>finding</w:t>
      </w:r>
      <w:r>
        <w:rPr>
          <w:lang w:val="en-MY"/>
        </w:rPr>
        <w:t xml:space="preserve"> based on Figure 4 is that </w:t>
      </w:r>
      <w:r w:rsidRPr="009F7CC4">
        <w:rPr>
          <w:lang w:val="en-MY"/>
        </w:rPr>
        <w:t xml:space="preserve">all thesis writers did not depend solely on one strategy when establishing their particular niche. The majority of the introductory chapters (6 out of 8) employed three steps of Move 2. </w:t>
      </w:r>
    </w:p>
    <w:p w14:paraId="57975383" w14:textId="77777777" w:rsidR="007823E2" w:rsidRDefault="007823E2" w:rsidP="003601B5">
      <w:pPr>
        <w:keepNext/>
        <w:spacing w:before="240" w:after="120" w:line="360" w:lineRule="auto"/>
        <w:contextualSpacing/>
        <w:jc w:val="both"/>
        <w:rPr>
          <w:b/>
        </w:rPr>
      </w:pPr>
    </w:p>
    <w:p w14:paraId="553EE0EF" w14:textId="0242CBF6" w:rsidR="00753955" w:rsidRDefault="00AC3CBD" w:rsidP="003601B5">
      <w:pPr>
        <w:keepNext/>
        <w:spacing w:before="240" w:after="120" w:line="360" w:lineRule="auto"/>
        <w:contextualSpacing/>
        <w:jc w:val="both"/>
        <w:rPr>
          <w:b/>
        </w:rPr>
      </w:pPr>
      <w:r>
        <w:rPr>
          <w:b/>
        </w:rPr>
        <w:t>4.1</w:t>
      </w:r>
      <w:r w:rsidR="00337EBE">
        <w:rPr>
          <w:b/>
        </w:rPr>
        <w:t xml:space="preserve"> </w:t>
      </w:r>
      <w:r w:rsidR="00753955" w:rsidRPr="00753955">
        <w:rPr>
          <w:b/>
        </w:rPr>
        <w:t xml:space="preserve">Linguistic </w:t>
      </w:r>
      <w:r w:rsidR="00BA4209">
        <w:rPr>
          <w:b/>
        </w:rPr>
        <w:t>R</w:t>
      </w:r>
      <w:r w:rsidR="00753955" w:rsidRPr="00753955">
        <w:rPr>
          <w:b/>
        </w:rPr>
        <w:t>eali</w:t>
      </w:r>
      <w:r w:rsidR="00BA4209">
        <w:rPr>
          <w:b/>
        </w:rPr>
        <w:t>s</w:t>
      </w:r>
      <w:r w:rsidR="00753955" w:rsidRPr="00753955">
        <w:rPr>
          <w:b/>
        </w:rPr>
        <w:t>ations</w:t>
      </w:r>
      <w:r w:rsidR="00E66FF7">
        <w:rPr>
          <w:b/>
        </w:rPr>
        <w:t xml:space="preserve"> via </w:t>
      </w:r>
      <w:r w:rsidR="00BA4209">
        <w:rPr>
          <w:b/>
        </w:rPr>
        <w:t>S</w:t>
      </w:r>
      <w:r w:rsidR="00E66FF7">
        <w:rPr>
          <w:b/>
        </w:rPr>
        <w:t xml:space="preserve">emantic </w:t>
      </w:r>
      <w:r w:rsidR="00BA4209">
        <w:rPr>
          <w:b/>
        </w:rPr>
        <w:t>A</w:t>
      </w:r>
      <w:r w:rsidR="00E66FF7">
        <w:rPr>
          <w:b/>
        </w:rPr>
        <w:t>nalysis</w:t>
      </w:r>
      <w:r w:rsidR="00753955" w:rsidRPr="00753955">
        <w:rPr>
          <w:b/>
        </w:rPr>
        <w:t xml:space="preserve"> of </w:t>
      </w:r>
      <w:r w:rsidR="00BA4209">
        <w:rPr>
          <w:b/>
        </w:rPr>
        <w:t>N</w:t>
      </w:r>
      <w:r w:rsidR="00753955" w:rsidRPr="00753955">
        <w:rPr>
          <w:b/>
        </w:rPr>
        <w:t xml:space="preserve">iche </w:t>
      </w:r>
      <w:r w:rsidR="00BA4209">
        <w:rPr>
          <w:b/>
        </w:rPr>
        <w:t>E</w:t>
      </w:r>
      <w:r w:rsidR="00753955" w:rsidRPr="00753955">
        <w:rPr>
          <w:b/>
        </w:rPr>
        <w:t>stablishments</w:t>
      </w:r>
    </w:p>
    <w:p w14:paraId="70BA044E" w14:textId="77777777" w:rsidR="003601B5" w:rsidRDefault="003601B5" w:rsidP="003601B5">
      <w:pPr>
        <w:keepNext/>
        <w:spacing w:after="0" w:line="360" w:lineRule="auto"/>
        <w:contextualSpacing/>
        <w:outlineLvl w:val="2"/>
        <w:rPr>
          <w:rFonts w:eastAsia="Times New Roman"/>
          <w:b/>
          <w:bCs/>
          <w:i/>
          <w:lang w:val="en-AU"/>
        </w:rPr>
      </w:pPr>
    </w:p>
    <w:p w14:paraId="68481095" w14:textId="77777777" w:rsidR="00753955" w:rsidRDefault="00753955" w:rsidP="003601B5">
      <w:pPr>
        <w:keepNext/>
        <w:spacing w:after="0" w:line="360" w:lineRule="auto"/>
        <w:contextualSpacing/>
        <w:outlineLvl w:val="2"/>
        <w:rPr>
          <w:rFonts w:eastAsia="Times New Roman"/>
          <w:b/>
          <w:bCs/>
          <w:i/>
          <w:lang w:val="en-AU"/>
        </w:rPr>
      </w:pPr>
      <w:r w:rsidRPr="00CC1B61">
        <w:rPr>
          <w:rFonts w:eastAsia="Times New Roman"/>
          <w:b/>
          <w:bCs/>
          <w:i/>
          <w:lang w:val="en-AU"/>
        </w:rPr>
        <w:t>Move 2 Step 1a (M2s1a): Indicating a Gap</w:t>
      </w:r>
    </w:p>
    <w:p w14:paraId="0FC619B9" w14:textId="77777777" w:rsidR="003601B5" w:rsidRPr="00443940" w:rsidRDefault="003601B5" w:rsidP="003601B5">
      <w:pPr>
        <w:keepNext/>
        <w:spacing w:after="0" w:line="360" w:lineRule="auto"/>
        <w:contextualSpacing/>
        <w:outlineLvl w:val="2"/>
        <w:rPr>
          <w:rFonts w:eastAsia="Times New Roman"/>
          <w:bCs/>
          <w:lang w:val="en-AU"/>
        </w:rPr>
      </w:pPr>
    </w:p>
    <w:p w14:paraId="2FB10337" w14:textId="0F7D0C2F" w:rsidR="00443940" w:rsidRDefault="00443940" w:rsidP="003601B5">
      <w:pPr>
        <w:spacing w:line="360" w:lineRule="auto"/>
        <w:contextualSpacing/>
        <w:jc w:val="both"/>
        <w:rPr>
          <w:rFonts w:eastAsia="Times New Roman"/>
          <w:lang w:val="en-AU"/>
        </w:rPr>
      </w:pPr>
      <w:r w:rsidRPr="00BC19FC">
        <w:rPr>
          <w:rFonts w:eastAsia="Times New Roman"/>
          <w:lang w:val="en-AU"/>
        </w:rPr>
        <w:t xml:space="preserve">In the present study a statement of gap indication suggests nonexistence, scarcity, or paucity of the research world. An M2s1a statement </w:t>
      </w:r>
      <w:bookmarkStart w:id="21" w:name="OLE_LINK302"/>
      <w:bookmarkStart w:id="22" w:name="OLE_LINK303"/>
      <w:r w:rsidRPr="00BC19FC">
        <w:rPr>
          <w:rFonts w:eastAsia="Times New Roman"/>
          <w:lang w:val="en-AU"/>
        </w:rPr>
        <w:t>is indicated by quantifiers</w:t>
      </w:r>
      <w:bookmarkEnd w:id="21"/>
      <w:bookmarkEnd w:id="22"/>
      <w:r w:rsidRPr="00BC19FC">
        <w:rPr>
          <w:rFonts w:eastAsia="Times New Roman"/>
          <w:lang w:val="en-AU"/>
        </w:rPr>
        <w:t>, for instance, negative quantifiers, “bad” quantifiers that show negation, and negative polarity items. Statements indicating a gap can sometimes be implied.</w:t>
      </w:r>
    </w:p>
    <w:p w14:paraId="3DD58308" w14:textId="77777777" w:rsidR="003601B5" w:rsidRPr="00BC19FC" w:rsidRDefault="003601B5" w:rsidP="003601B5">
      <w:pPr>
        <w:spacing w:line="360" w:lineRule="auto"/>
        <w:contextualSpacing/>
        <w:jc w:val="both"/>
        <w:rPr>
          <w:rFonts w:eastAsia="Times New Roman"/>
          <w:lang w:val="en-AU"/>
        </w:rPr>
      </w:pPr>
    </w:p>
    <w:p w14:paraId="34D51BB7" w14:textId="38C1C351" w:rsidR="00753955" w:rsidRDefault="00753955" w:rsidP="003601B5">
      <w:pPr>
        <w:spacing w:line="360" w:lineRule="auto"/>
        <w:contextualSpacing/>
        <w:jc w:val="both"/>
        <w:rPr>
          <w:rFonts w:eastAsia="Times New Roman"/>
          <w:lang w:val="en-AU"/>
        </w:rPr>
      </w:pPr>
      <w:r w:rsidRPr="00443940">
        <w:rPr>
          <w:rFonts w:eastAsia="Times New Roman"/>
          <w:lang w:val="en-AU"/>
        </w:rPr>
        <w:t>In identifying Move 2 Step 1a: Indicating</w:t>
      </w:r>
      <w:r w:rsidRPr="00443940">
        <w:rPr>
          <w:rFonts w:eastAsia="Times New Roman"/>
          <w:i/>
          <w:lang w:val="en-AU"/>
        </w:rPr>
        <w:t xml:space="preserve"> </w:t>
      </w:r>
      <w:r w:rsidRPr="00443940">
        <w:rPr>
          <w:rFonts w:eastAsia="Times New Roman"/>
          <w:lang w:val="en-AU"/>
        </w:rPr>
        <w:t xml:space="preserve">a gap as the niche establishment, some linguistic clues were referred to. According to </w:t>
      </w:r>
      <w:bookmarkStart w:id="23" w:name="OLE_LINK282"/>
      <w:bookmarkStart w:id="24" w:name="OLE_LINK283"/>
      <w:bookmarkStart w:id="25" w:name="OLE_LINK284"/>
      <w:bookmarkStart w:id="26" w:name="OLE_LINK285"/>
      <w:proofErr w:type="spellStart"/>
      <w:r w:rsidRPr="00443940">
        <w:rPr>
          <w:rFonts w:eastAsia="Times New Roman"/>
          <w:lang w:val="en-AU"/>
        </w:rPr>
        <w:t>Werle</w:t>
      </w:r>
      <w:bookmarkEnd w:id="23"/>
      <w:bookmarkEnd w:id="24"/>
      <w:proofErr w:type="spellEnd"/>
      <w:r w:rsidRPr="00443940">
        <w:rPr>
          <w:rFonts w:eastAsia="Times New Roman"/>
          <w:lang w:val="en-AU"/>
        </w:rPr>
        <w:t xml:space="preserve"> (2007</w:t>
      </w:r>
      <w:bookmarkEnd w:id="25"/>
      <w:bookmarkEnd w:id="26"/>
      <w:r w:rsidRPr="00443940">
        <w:rPr>
          <w:rFonts w:eastAsia="Times New Roman"/>
          <w:lang w:val="en-AU"/>
        </w:rPr>
        <w:t xml:space="preserve">, p. 4), a sentence that expresses nonexistence can be derived in different ways: through negative quantifiers alone or through polarity items. The negative quantifiers that express nonexistence are the English “no” series, for example, </w:t>
      </w:r>
      <w:r w:rsidRPr="00443940">
        <w:rPr>
          <w:rFonts w:eastAsia="Times New Roman"/>
          <w:i/>
          <w:lang w:val="en-AU"/>
        </w:rPr>
        <w:t xml:space="preserve">no, nothing, no one/nobody </w:t>
      </w:r>
      <w:r w:rsidRPr="00443940">
        <w:rPr>
          <w:rFonts w:eastAsia="Times New Roman"/>
          <w:lang w:val="en-AU"/>
        </w:rPr>
        <w:t xml:space="preserve">and </w:t>
      </w:r>
      <w:r w:rsidRPr="00443940">
        <w:rPr>
          <w:rFonts w:eastAsia="Times New Roman"/>
          <w:i/>
          <w:lang w:val="en-AU"/>
        </w:rPr>
        <w:t>never.</w:t>
      </w:r>
      <w:r w:rsidRPr="00443940">
        <w:rPr>
          <w:rFonts w:eastAsia="Times New Roman"/>
          <w:lang w:val="en-AU"/>
        </w:rPr>
        <w:t xml:space="preserve"> Negative polarity items (</w:t>
      </w:r>
      <w:bookmarkStart w:id="27" w:name="OLE_LINK286"/>
      <w:bookmarkStart w:id="28" w:name="OLE_LINK287"/>
      <w:bookmarkStart w:id="29" w:name="OLE_LINK288"/>
      <w:bookmarkStart w:id="30" w:name="OLE_LINK289"/>
      <w:r w:rsidRPr="00443940">
        <w:rPr>
          <w:rFonts w:eastAsia="Times New Roman"/>
          <w:lang w:val="en-AU"/>
        </w:rPr>
        <w:t>Cruse</w:t>
      </w:r>
      <w:bookmarkEnd w:id="27"/>
      <w:bookmarkEnd w:id="28"/>
      <w:r w:rsidRPr="00443940">
        <w:rPr>
          <w:rFonts w:eastAsia="Times New Roman"/>
          <w:lang w:val="en-AU"/>
        </w:rPr>
        <w:t>, 2004</w:t>
      </w:r>
      <w:bookmarkEnd w:id="29"/>
      <w:bookmarkEnd w:id="30"/>
      <w:r w:rsidRPr="00443940">
        <w:rPr>
          <w:rFonts w:eastAsia="Times New Roman"/>
          <w:lang w:val="en-AU"/>
        </w:rPr>
        <w:t xml:space="preserve">, p. 308) are expressions such as </w:t>
      </w:r>
      <w:r w:rsidRPr="00443940">
        <w:rPr>
          <w:rFonts w:eastAsia="Times New Roman"/>
          <w:i/>
          <w:lang w:val="en-AU"/>
        </w:rPr>
        <w:t xml:space="preserve">anyone, anything, ever </w:t>
      </w:r>
      <w:r w:rsidRPr="00443940">
        <w:rPr>
          <w:rFonts w:eastAsia="Times New Roman"/>
          <w:lang w:val="en-AU"/>
        </w:rPr>
        <w:t xml:space="preserve">or </w:t>
      </w:r>
      <w:r w:rsidRPr="00443940">
        <w:rPr>
          <w:rFonts w:eastAsia="Times New Roman"/>
          <w:i/>
          <w:lang w:val="en-AU"/>
        </w:rPr>
        <w:t>any.</w:t>
      </w:r>
      <w:r w:rsidR="00CC1B61">
        <w:rPr>
          <w:rFonts w:eastAsia="Times New Roman"/>
          <w:lang w:val="en-AU"/>
        </w:rPr>
        <w:t xml:space="preserve"> </w:t>
      </w:r>
      <w:r w:rsidR="00443940" w:rsidRPr="00443940">
        <w:rPr>
          <w:rFonts w:eastAsia="Times New Roman"/>
          <w:lang w:val="en-AU"/>
        </w:rPr>
        <w:t xml:space="preserve">An example of a </w:t>
      </w:r>
      <w:r w:rsidRPr="00443940">
        <w:rPr>
          <w:rFonts w:eastAsia="Times New Roman"/>
          <w:lang w:val="en-AU"/>
        </w:rPr>
        <w:t>negative</w:t>
      </w:r>
      <w:r w:rsidR="00443940" w:rsidRPr="00443940">
        <w:rPr>
          <w:rFonts w:eastAsia="Times New Roman"/>
          <w:lang w:val="en-AU"/>
        </w:rPr>
        <w:t xml:space="preserve"> quantifier is </w:t>
      </w:r>
      <w:r w:rsidR="004E4DC4">
        <w:rPr>
          <w:rFonts w:eastAsia="Times New Roman"/>
          <w:lang w:val="en-AU"/>
        </w:rPr>
        <w:t xml:space="preserve">shown </w:t>
      </w:r>
      <w:r w:rsidR="00443940" w:rsidRPr="00443940">
        <w:rPr>
          <w:rFonts w:eastAsia="Times New Roman"/>
          <w:lang w:val="en-AU"/>
        </w:rPr>
        <w:t>below:</w:t>
      </w:r>
    </w:p>
    <w:p w14:paraId="6E9500F0" w14:textId="77777777" w:rsidR="00CC1B61" w:rsidRPr="00443940" w:rsidRDefault="00CC1B61" w:rsidP="003601B5">
      <w:pPr>
        <w:spacing w:after="0" w:line="360" w:lineRule="auto"/>
        <w:ind w:firstLine="709"/>
        <w:contextualSpacing/>
        <w:jc w:val="both"/>
        <w:rPr>
          <w:rFonts w:eastAsia="Times New Roman"/>
          <w:lang w:val="en-AU"/>
        </w:rPr>
      </w:pPr>
    </w:p>
    <w:p w14:paraId="6551DFA3" w14:textId="77777777" w:rsidR="00753955" w:rsidRDefault="00753955" w:rsidP="003601B5">
      <w:pPr>
        <w:spacing w:after="0" w:line="360" w:lineRule="auto"/>
        <w:ind w:left="709"/>
        <w:contextualSpacing/>
        <w:jc w:val="both"/>
        <w:rPr>
          <w:rFonts w:eastAsia="Times New Roman"/>
          <w:lang w:val="en-AU"/>
        </w:rPr>
      </w:pPr>
      <w:r w:rsidRPr="00443940">
        <w:rPr>
          <w:rFonts w:eastAsia="Times New Roman"/>
          <w:b/>
          <w:lang w:val="en-AU"/>
        </w:rPr>
        <w:t>However</w:t>
      </w:r>
      <w:r w:rsidRPr="00443940">
        <w:rPr>
          <w:rFonts w:eastAsia="Times New Roman"/>
          <w:lang w:val="en-AU"/>
        </w:rPr>
        <w:t>, most</w:t>
      </w:r>
      <w:r w:rsidRPr="00443940">
        <w:rPr>
          <w:rFonts w:eastAsia="Times New Roman"/>
          <w:b/>
          <w:lang w:val="en-AU"/>
        </w:rPr>
        <w:t xml:space="preserve"> </w:t>
      </w:r>
      <w:r w:rsidRPr="00443940">
        <w:rPr>
          <w:rFonts w:eastAsia="Times New Roman"/>
          <w:lang w:val="en-AU"/>
        </w:rPr>
        <w:t>studies on language learning strategies have been classroom-based. (Thesis 2)</w:t>
      </w:r>
    </w:p>
    <w:p w14:paraId="4310A5EB" w14:textId="77777777" w:rsidR="003601B5" w:rsidRDefault="003601B5" w:rsidP="003601B5">
      <w:pPr>
        <w:spacing w:after="0" w:line="360" w:lineRule="auto"/>
        <w:contextualSpacing/>
        <w:jc w:val="both"/>
        <w:rPr>
          <w:rFonts w:eastAsia="Times New Roman"/>
          <w:lang w:val="en-AU"/>
        </w:rPr>
      </w:pPr>
    </w:p>
    <w:p w14:paraId="61453ECA" w14:textId="7C6EBBD6" w:rsidR="00CC1B61" w:rsidRDefault="00753955" w:rsidP="003601B5">
      <w:pPr>
        <w:spacing w:after="0" w:line="360" w:lineRule="auto"/>
        <w:contextualSpacing/>
        <w:jc w:val="both"/>
        <w:rPr>
          <w:rFonts w:eastAsia="Times New Roman"/>
          <w:lang w:val="en-AU"/>
        </w:rPr>
      </w:pPr>
      <w:r w:rsidRPr="00443940">
        <w:rPr>
          <w:rFonts w:eastAsia="Times New Roman"/>
          <w:lang w:val="en-AU"/>
        </w:rPr>
        <w:t xml:space="preserve">The inclusion of “however” in the sentence above shows that the writer suggests there is a lack of language learning studies in other approaches besides the classroom-based approach and the writer wishes to fill in the gap Therefore, the sentence above can be coded as M2s1a. </w:t>
      </w:r>
      <w:r w:rsidR="00CC1B61">
        <w:rPr>
          <w:rFonts w:eastAsia="Times New Roman"/>
          <w:lang w:val="en-AU"/>
        </w:rPr>
        <w:t>It was also</w:t>
      </w:r>
      <w:r w:rsidRPr="00443940">
        <w:rPr>
          <w:rFonts w:eastAsia="Times New Roman"/>
          <w:lang w:val="en-AU"/>
        </w:rPr>
        <w:t xml:space="preserve"> found that the gap that the writer wants to fill can also be presented implicitly. There is no indication of any linguistic clues </w:t>
      </w:r>
      <w:bookmarkStart w:id="31" w:name="OLE_LINK300"/>
      <w:bookmarkStart w:id="32" w:name="OLE_LINK301"/>
      <w:r w:rsidRPr="00443940">
        <w:rPr>
          <w:rFonts w:eastAsia="Times New Roman"/>
          <w:lang w:val="en-AU"/>
        </w:rPr>
        <w:t xml:space="preserve">provided by the writer. </w:t>
      </w:r>
      <w:bookmarkEnd w:id="31"/>
      <w:bookmarkEnd w:id="32"/>
      <w:r w:rsidR="004E4DC4">
        <w:rPr>
          <w:rFonts w:eastAsia="Times New Roman"/>
          <w:lang w:val="en-AU"/>
        </w:rPr>
        <w:t xml:space="preserve">The </w:t>
      </w:r>
      <w:r w:rsidR="00CC1B61">
        <w:rPr>
          <w:rFonts w:eastAsia="Times New Roman"/>
          <w:lang w:val="en-AU"/>
        </w:rPr>
        <w:t>excerpt below shows that there are studies lacking in Malaysia as previous studies were done in other countries.</w:t>
      </w:r>
    </w:p>
    <w:p w14:paraId="3886B40F" w14:textId="16BE3C05" w:rsidR="00443940" w:rsidRPr="00443940" w:rsidRDefault="00443940" w:rsidP="003601B5">
      <w:pPr>
        <w:spacing w:after="0" w:line="360" w:lineRule="auto"/>
        <w:ind w:firstLine="709"/>
        <w:contextualSpacing/>
        <w:jc w:val="both"/>
        <w:rPr>
          <w:rFonts w:eastAsia="Times New Roman"/>
          <w:lang w:val="en-AU"/>
        </w:rPr>
      </w:pPr>
    </w:p>
    <w:p w14:paraId="22B673C6" w14:textId="77777777" w:rsidR="00753955" w:rsidRPr="00443940" w:rsidRDefault="00753955" w:rsidP="003601B5">
      <w:pPr>
        <w:widowControl w:val="0"/>
        <w:spacing w:after="0" w:line="360" w:lineRule="auto"/>
        <w:ind w:left="709" w:right="-46"/>
        <w:contextualSpacing/>
        <w:jc w:val="both"/>
        <w:rPr>
          <w:rFonts w:eastAsia="Calibri"/>
          <w:color w:val="000000"/>
          <w:lang w:val="en-AU"/>
        </w:rPr>
      </w:pPr>
      <w:r w:rsidRPr="00443940">
        <w:rPr>
          <w:rFonts w:eastAsia="Calibri"/>
          <w:color w:val="000000"/>
          <w:lang w:val="en-AU"/>
        </w:rPr>
        <w:t xml:space="preserve">It was also discovered that these studies </w:t>
      </w:r>
      <w:r w:rsidRPr="00443940">
        <w:rPr>
          <w:rFonts w:eastAsia="Calibri"/>
          <w:b/>
          <w:color w:val="000000"/>
          <w:lang w:val="en-AU"/>
        </w:rPr>
        <w:t>concentrated on Chinese university students</w:t>
      </w:r>
      <w:r w:rsidRPr="00443940">
        <w:rPr>
          <w:rFonts w:eastAsia="Calibri"/>
          <w:color w:val="000000"/>
          <w:lang w:val="en-AU"/>
        </w:rPr>
        <w:t xml:space="preserve"> such as in Hong Kong, China and Australia (</w:t>
      </w:r>
      <w:proofErr w:type="spellStart"/>
      <w:r w:rsidRPr="00443940">
        <w:rPr>
          <w:rFonts w:eastAsia="Calibri"/>
          <w:color w:val="000000"/>
          <w:lang w:val="en-AU"/>
        </w:rPr>
        <w:t>Gow</w:t>
      </w:r>
      <w:proofErr w:type="spellEnd"/>
      <w:r w:rsidRPr="00443940">
        <w:rPr>
          <w:rFonts w:eastAsia="Calibri"/>
          <w:color w:val="000000"/>
          <w:lang w:val="en-AU"/>
        </w:rPr>
        <w:t xml:space="preserve">, </w:t>
      </w:r>
      <w:proofErr w:type="spellStart"/>
      <w:r w:rsidRPr="00443940">
        <w:rPr>
          <w:rFonts w:eastAsia="Calibri"/>
          <w:color w:val="000000"/>
          <w:lang w:val="en-AU"/>
        </w:rPr>
        <w:t>Kember</w:t>
      </w:r>
      <w:proofErr w:type="spellEnd"/>
      <w:r w:rsidRPr="00443940">
        <w:rPr>
          <w:rFonts w:eastAsia="Calibri"/>
          <w:color w:val="000000"/>
          <w:lang w:val="en-AU"/>
        </w:rPr>
        <w:t xml:space="preserve"> &amp; Chow, 1991; </w:t>
      </w:r>
      <w:proofErr w:type="spellStart"/>
      <w:r w:rsidRPr="00443940">
        <w:rPr>
          <w:rFonts w:eastAsia="Calibri"/>
          <w:color w:val="000000"/>
          <w:lang w:val="en-AU"/>
        </w:rPr>
        <w:t>Kember</w:t>
      </w:r>
      <w:proofErr w:type="spellEnd"/>
      <w:r w:rsidRPr="00443940">
        <w:rPr>
          <w:rFonts w:eastAsia="Calibri"/>
          <w:color w:val="000000"/>
          <w:lang w:val="en-AU"/>
        </w:rPr>
        <w:t xml:space="preserve"> &amp; </w:t>
      </w:r>
      <w:proofErr w:type="spellStart"/>
      <w:r w:rsidRPr="00443940">
        <w:rPr>
          <w:rFonts w:eastAsia="Calibri"/>
          <w:color w:val="000000"/>
          <w:lang w:val="en-AU"/>
        </w:rPr>
        <w:t>Gow</w:t>
      </w:r>
      <w:proofErr w:type="spellEnd"/>
      <w:r w:rsidRPr="00443940">
        <w:rPr>
          <w:rFonts w:eastAsia="Calibri"/>
          <w:color w:val="000000"/>
          <w:lang w:val="en-AU"/>
        </w:rPr>
        <w:t>, 1994; Biggs, 1993).</w:t>
      </w:r>
    </w:p>
    <w:p w14:paraId="4C8441FB" w14:textId="77777777" w:rsidR="00776C5A" w:rsidRPr="00F75759" w:rsidRDefault="00776C5A" w:rsidP="003601B5">
      <w:pPr>
        <w:widowControl w:val="0"/>
        <w:spacing w:before="100" w:beforeAutospacing="1" w:after="0" w:line="360" w:lineRule="auto"/>
        <w:ind w:left="-11" w:right="-46"/>
        <w:contextualSpacing/>
        <w:jc w:val="both"/>
        <w:rPr>
          <w:rFonts w:ascii="Book Antiqua" w:eastAsia="Calibri" w:hAnsi="Book Antiqua"/>
          <w:color w:val="000000"/>
          <w:lang w:val="en-AU"/>
        </w:rPr>
      </w:pPr>
    </w:p>
    <w:p w14:paraId="08E405DD" w14:textId="77777777" w:rsidR="00753955" w:rsidRDefault="00753955" w:rsidP="003601B5">
      <w:pPr>
        <w:keepNext/>
        <w:spacing w:after="0" w:line="360" w:lineRule="auto"/>
        <w:ind w:left="709" w:hanging="709"/>
        <w:contextualSpacing/>
        <w:outlineLvl w:val="2"/>
        <w:rPr>
          <w:rFonts w:eastAsia="Times New Roman"/>
          <w:b/>
          <w:bCs/>
          <w:i/>
          <w:lang w:val="en-AU"/>
        </w:rPr>
      </w:pPr>
      <w:bookmarkStart w:id="33" w:name="_Toc192341848"/>
      <w:bookmarkStart w:id="34" w:name="_Toc191087969"/>
      <w:r w:rsidRPr="004454F2">
        <w:rPr>
          <w:rFonts w:eastAsia="Times New Roman"/>
          <w:b/>
          <w:bCs/>
          <w:i/>
          <w:lang w:val="en-AU"/>
        </w:rPr>
        <w:t>Move 2 Step 1b (M2s1b): Establishing Need and Problem</w:t>
      </w:r>
      <w:bookmarkEnd w:id="33"/>
      <w:bookmarkEnd w:id="34"/>
    </w:p>
    <w:p w14:paraId="2B441FAB" w14:textId="77777777" w:rsidR="003601B5" w:rsidRPr="00270BE7" w:rsidRDefault="003601B5" w:rsidP="003601B5">
      <w:pPr>
        <w:keepNext/>
        <w:spacing w:after="0" w:line="360" w:lineRule="auto"/>
        <w:ind w:left="709" w:hanging="709"/>
        <w:contextualSpacing/>
        <w:outlineLvl w:val="2"/>
        <w:rPr>
          <w:rFonts w:eastAsia="Times New Roman"/>
          <w:bCs/>
          <w:i/>
          <w:lang w:val="en-AU"/>
        </w:rPr>
      </w:pPr>
    </w:p>
    <w:p w14:paraId="2EC1B44C" w14:textId="08F5BFA5" w:rsidR="00E66FF7" w:rsidRDefault="00B1126E" w:rsidP="003601B5">
      <w:pPr>
        <w:spacing w:line="360" w:lineRule="auto"/>
        <w:contextualSpacing/>
        <w:jc w:val="both"/>
      </w:pPr>
      <w:r w:rsidRPr="00007717">
        <w:t>Previous researchers have various interpretations when describing step M2s1b, as it has embedded meanings. The word “problem” at one end sometimes shows the gap in the phenomenon (Kwan, 2006), but at other times it shows methodological problems in previous research. By not relying on the</w:t>
      </w:r>
      <w:r w:rsidR="007823E2">
        <w:t xml:space="preserve"> general meaning of “problem”, we</w:t>
      </w:r>
      <w:r w:rsidRPr="00007717">
        <w:t xml:space="preserve"> have differentiated between various criteria for the three steps</w:t>
      </w:r>
      <w:r w:rsidR="003846E9">
        <w:t xml:space="preserve">. </w:t>
      </w:r>
      <w:r w:rsidR="00E66FF7">
        <w:t xml:space="preserve">In this study, </w:t>
      </w:r>
      <w:r w:rsidR="00592238" w:rsidRPr="00592238">
        <w:t xml:space="preserve">Step M2s1b: Problem and need, encompasses both real-world and theoretical topics. The real-world problems and need statements </w:t>
      </w:r>
      <w:r w:rsidR="00270E01">
        <w:t xml:space="preserve">pertaining to </w:t>
      </w:r>
      <w:r w:rsidR="00592238" w:rsidRPr="00592238">
        <w:t>the real</w:t>
      </w:r>
      <w:r w:rsidR="00270E01">
        <w:t xml:space="preserve"> </w:t>
      </w:r>
      <w:r w:rsidR="00592238" w:rsidRPr="00592238">
        <w:t>world are the claims related to the current phenomenon of the theme/topic under study. The problematic and need statements of theoretical topics on the other hand display claims associated with the study’s theory or conceptual focus.</w:t>
      </w:r>
      <w:r w:rsidR="00E66FF7" w:rsidRPr="00E66FF7">
        <w:t xml:space="preserve"> </w:t>
      </w:r>
      <w:r w:rsidR="00E66FF7">
        <w:t>A</w:t>
      </w:r>
      <w:r w:rsidR="00E66FF7" w:rsidRPr="00E66FF7">
        <w:t xml:space="preserve"> more detailed conc</w:t>
      </w:r>
      <w:r w:rsidR="00E66FF7">
        <w:t xml:space="preserve">eption of this step </w:t>
      </w:r>
      <w:r w:rsidR="00270E01">
        <w:t xml:space="preserve">is shown </w:t>
      </w:r>
      <w:r w:rsidR="00E66FF7">
        <w:t>in Table 1</w:t>
      </w:r>
      <w:r w:rsidR="00E66FF7" w:rsidRPr="00E66FF7">
        <w:t>.</w:t>
      </w:r>
    </w:p>
    <w:p w14:paraId="582E8640" w14:textId="77777777" w:rsidR="00E66FF7" w:rsidRPr="00BC19FC" w:rsidRDefault="00E66FF7" w:rsidP="003601B5">
      <w:pPr>
        <w:spacing w:after="0" w:line="360" w:lineRule="auto"/>
        <w:contextualSpacing/>
        <w:rPr>
          <w:rFonts w:eastAsia="Calibri"/>
          <w:lang w:val="en-MY"/>
        </w:rPr>
      </w:pPr>
      <w:r w:rsidRPr="00BC19FC">
        <w:rPr>
          <w:rFonts w:eastAsia="Calibri"/>
          <w:lang w:val="en-MY"/>
        </w:rPr>
        <w:t>Table 1</w:t>
      </w:r>
    </w:p>
    <w:p w14:paraId="0BE11966" w14:textId="77777777" w:rsidR="00E66FF7" w:rsidRPr="00BC19FC" w:rsidRDefault="00E66FF7" w:rsidP="003601B5">
      <w:pPr>
        <w:spacing w:after="0" w:line="360" w:lineRule="auto"/>
        <w:contextualSpacing/>
        <w:rPr>
          <w:rFonts w:eastAsia="Calibri"/>
          <w:lang w:val="en-MY"/>
        </w:rPr>
      </w:pPr>
      <w:r w:rsidRPr="00BC19FC">
        <w:rPr>
          <w:rFonts w:eastAsia="Calibri"/>
          <w:i/>
          <w:lang w:val="en-MY"/>
        </w:rPr>
        <w:t>Different aspects of Problem and Need</w:t>
      </w:r>
    </w:p>
    <w:tbl>
      <w:tblPr>
        <w:tblStyle w:val="LightShading3"/>
        <w:tblW w:w="0" w:type="auto"/>
        <w:tblLook w:val="04A0" w:firstRow="1" w:lastRow="0" w:firstColumn="1" w:lastColumn="0" w:noHBand="0" w:noVBand="1"/>
      </w:tblPr>
      <w:tblGrid>
        <w:gridCol w:w="1784"/>
        <w:gridCol w:w="4261"/>
        <w:gridCol w:w="3027"/>
      </w:tblGrid>
      <w:tr w:rsidR="00E66FF7" w:rsidRPr="00BC19FC" w14:paraId="0541016F" w14:textId="77777777" w:rsidTr="00CA1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59810DB" w14:textId="77777777" w:rsidR="00E66FF7" w:rsidRPr="00BC19FC" w:rsidRDefault="00E66FF7" w:rsidP="003601B5">
            <w:pPr>
              <w:spacing w:before="40" w:after="40" w:line="360" w:lineRule="auto"/>
              <w:contextualSpacing/>
              <w:jc w:val="both"/>
              <w:rPr>
                <w:rFonts w:ascii="Times New Roman" w:eastAsiaTheme="minorHAnsi" w:hAnsi="Times New Roman" w:cs="Times New Roman"/>
                <w:color w:val="auto"/>
                <w:sz w:val="24"/>
                <w:szCs w:val="24"/>
                <w:lang w:eastAsia="en-US"/>
              </w:rPr>
            </w:pPr>
          </w:p>
        </w:tc>
        <w:tc>
          <w:tcPr>
            <w:tcW w:w="4352" w:type="dxa"/>
            <w:shd w:val="clear" w:color="auto" w:fill="auto"/>
          </w:tcPr>
          <w:p w14:paraId="45CB813E" w14:textId="77777777" w:rsidR="00E66FF7" w:rsidRPr="00BC19FC" w:rsidRDefault="00E66FF7" w:rsidP="003601B5">
            <w:pPr>
              <w:spacing w:before="40" w:after="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Categorisation</w:t>
            </w:r>
          </w:p>
        </w:tc>
        <w:tc>
          <w:tcPr>
            <w:tcW w:w="3081" w:type="dxa"/>
            <w:shd w:val="clear" w:color="auto" w:fill="auto"/>
          </w:tcPr>
          <w:p w14:paraId="2B29FFA4" w14:textId="77777777" w:rsidR="00E66FF7" w:rsidRPr="00BC19FC" w:rsidRDefault="00E66FF7" w:rsidP="003601B5">
            <w:pPr>
              <w:spacing w:before="40" w:after="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Description</w:t>
            </w:r>
          </w:p>
        </w:tc>
      </w:tr>
      <w:tr w:rsidR="00E66FF7" w:rsidRPr="00BC19FC" w14:paraId="35458141" w14:textId="77777777" w:rsidTr="00D7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14:paraId="29E0C469" w14:textId="77777777" w:rsidR="00E66FF7" w:rsidRPr="00BC19FC" w:rsidRDefault="00E66FF7" w:rsidP="003601B5">
            <w:pPr>
              <w:spacing w:line="360" w:lineRule="auto"/>
              <w:contextualSpacing/>
              <w:jc w:val="both"/>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w:t>
            </w:r>
          </w:p>
        </w:tc>
        <w:tc>
          <w:tcPr>
            <w:tcW w:w="4352" w:type="dxa"/>
            <w:shd w:val="clear" w:color="auto" w:fill="FFFFFF" w:themeFill="background1"/>
          </w:tcPr>
          <w:p w14:paraId="2EDBB5C1" w14:textId="77777777" w:rsidR="00E66FF7" w:rsidRPr="00BC19FC" w:rsidRDefault="00E66FF7" w:rsidP="003601B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Problematic scenario and theoretical topics</w:t>
            </w:r>
          </w:p>
        </w:tc>
        <w:tc>
          <w:tcPr>
            <w:tcW w:w="3081" w:type="dxa"/>
            <w:shd w:val="clear" w:color="auto" w:fill="FFFFFF" w:themeFill="background1"/>
          </w:tcPr>
          <w:p w14:paraId="3DD87D23" w14:textId="77777777" w:rsidR="00E66FF7" w:rsidRPr="00BC19FC" w:rsidRDefault="00E66FF7" w:rsidP="003601B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Explicit</w:t>
            </w:r>
          </w:p>
        </w:tc>
      </w:tr>
      <w:tr w:rsidR="00E66FF7" w:rsidRPr="00BC19FC" w14:paraId="436FD827" w14:textId="77777777" w:rsidTr="00D74047">
        <w:tc>
          <w:tcPr>
            <w:cnfStyle w:val="001000000000" w:firstRow="0" w:lastRow="0" w:firstColumn="1" w:lastColumn="0" w:oddVBand="0" w:evenVBand="0" w:oddHBand="0" w:evenHBand="0" w:firstRowFirstColumn="0" w:firstRowLastColumn="0" w:lastRowFirstColumn="0" w:lastRowLastColumn="0"/>
            <w:tcW w:w="1809" w:type="dxa"/>
          </w:tcPr>
          <w:p w14:paraId="467C76C6" w14:textId="77777777" w:rsidR="00E66FF7" w:rsidRPr="00BC19FC" w:rsidRDefault="00E66FF7" w:rsidP="003601B5">
            <w:pPr>
              <w:spacing w:line="360" w:lineRule="auto"/>
              <w:contextualSpacing/>
              <w:jc w:val="both"/>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lastRenderedPageBreak/>
              <w:t>Need</w:t>
            </w:r>
          </w:p>
        </w:tc>
        <w:tc>
          <w:tcPr>
            <w:tcW w:w="4352" w:type="dxa"/>
          </w:tcPr>
          <w:p w14:paraId="2FE573CE" w14:textId="342F0119" w:rsidR="00E66FF7" w:rsidRPr="00BC19FC" w:rsidRDefault="00E66FF7" w:rsidP="003601B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Problems of real</w:t>
            </w:r>
            <w:r w:rsidR="00270E01" w:rsidRPr="00BC19FC">
              <w:rPr>
                <w:rFonts w:ascii="Times New Roman" w:eastAsiaTheme="minorHAnsi" w:hAnsi="Times New Roman" w:cs="Times New Roman"/>
                <w:color w:val="auto"/>
                <w:sz w:val="24"/>
                <w:szCs w:val="24"/>
                <w:lang w:eastAsia="en-US"/>
              </w:rPr>
              <w:t>-</w:t>
            </w:r>
            <w:r w:rsidRPr="00BC19FC">
              <w:rPr>
                <w:rFonts w:ascii="Times New Roman" w:eastAsiaTheme="minorHAnsi" w:hAnsi="Times New Roman" w:cs="Times New Roman"/>
                <w:color w:val="auto"/>
                <w:sz w:val="24"/>
                <w:szCs w:val="24"/>
                <w:lang w:eastAsia="en-US"/>
              </w:rPr>
              <w:t>word and theoretical topics</w:t>
            </w:r>
          </w:p>
        </w:tc>
        <w:tc>
          <w:tcPr>
            <w:tcW w:w="3081" w:type="dxa"/>
          </w:tcPr>
          <w:p w14:paraId="10987291" w14:textId="6E549C89" w:rsidR="00E66FF7" w:rsidRPr="00BC19FC" w:rsidRDefault="00E66FF7"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Explicit (lexeme “need”</w:t>
            </w:r>
            <w:r w:rsidR="00F11D1F" w:rsidRPr="00BC19FC">
              <w:rPr>
                <w:rFonts w:ascii="Times New Roman" w:eastAsiaTheme="minorHAnsi" w:hAnsi="Times New Roman" w:cs="Times New Roman"/>
                <w:color w:val="auto"/>
                <w:sz w:val="24"/>
                <w:szCs w:val="24"/>
                <w:lang w:eastAsia="en-US"/>
              </w:rPr>
              <w:t>)</w:t>
            </w:r>
            <w:r w:rsidRPr="00BC19FC">
              <w:rPr>
                <w:rFonts w:ascii="Times New Roman" w:eastAsiaTheme="minorHAnsi" w:hAnsi="Times New Roman" w:cs="Times New Roman"/>
                <w:color w:val="auto"/>
                <w:sz w:val="24"/>
                <w:szCs w:val="24"/>
                <w:lang w:eastAsia="en-US"/>
              </w:rPr>
              <w:t xml:space="preserve"> and implied (lexeme “importance” and others</w:t>
            </w:r>
            <w:r w:rsidR="00F11D1F" w:rsidRPr="00BC19FC">
              <w:rPr>
                <w:rFonts w:ascii="Times New Roman" w:eastAsiaTheme="minorHAnsi" w:hAnsi="Times New Roman" w:cs="Times New Roman"/>
                <w:color w:val="auto"/>
                <w:sz w:val="24"/>
                <w:szCs w:val="24"/>
                <w:lang w:eastAsia="en-US"/>
              </w:rPr>
              <w:t>)</w:t>
            </w:r>
          </w:p>
        </w:tc>
      </w:tr>
    </w:tbl>
    <w:p w14:paraId="6F7FBC5C" w14:textId="77777777" w:rsidR="003601B5" w:rsidRDefault="003601B5" w:rsidP="003601B5">
      <w:pPr>
        <w:keepNext/>
        <w:spacing w:after="0" w:line="360" w:lineRule="auto"/>
        <w:contextualSpacing/>
        <w:outlineLvl w:val="2"/>
        <w:rPr>
          <w:rFonts w:eastAsia="Times New Roman"/>
          <w:b/>
          <w:bCs/>
          <w:lang w:val="en-AU"/>
        </w:rPr>
      </w:pPr>
      <w:bookmarkStart w:id="35" w:name="_Toc192341849"/>
      <w:bookmarkStart w:id="36" w:name="_Toc191087970"/>
    </w:p>
    <w:p w14:paraId="63530E7E" w14:textId="43164569" w:rsidR="00753955" w:rsidRDefault="00753955" w:rsidP="003601B5">
      <w:pPr>
        <w:keepNext/>
        <w:spacing w:after="0" w:line="360" w:lineRule="auto"/>
        <w:contextualSpacing/>
        <w:outlineLvl w:val="2"/>
        <w:rPr>
          <w:rFonts w:eastAsia="Times New Roman"/>
          <w:b/>
          <w:bCs/>
          <w:lang w:val="en-AU"/>
        </w:rPr>
      </w:pPr>
      <w:r w:rsidRPr="00270BE7">
        <w:rPr>
          <w:rFonts w:eastAsia="Times New Roman"/>
          <w:b/>
          <w:bCs/>
          <w:lang w:val="en-AU"/>
        </w:rPr>
        <w:t>Move 2 Step 1c (M2s1c): Counter-</w:t>
      </w:r>
      <w:r w:rsidR="00760ABF">
        <w:rPr>
          <w:rFonts w:eastAsia="Times New Roman"/>
          <w:b/>
          <w:bCs/>
          <w:lang w:val="en-AU"/>
        </w:rPr>
        <w:t>c</w:t>
      </w:r>
      <w:r w:rsidRPr="00270BE7">
        <w:rPr>
          <w:rFonts w:eastAsia="Times New Roman"/>
          <w:b/>
          <w:bCs/>
          <w:lang w:val="en-AU"/>
        </w:rPr>
        <w:t>laim</w:t>
      </w:r>
      <w:bookmarkEnd w:id="35"/>
      <w:bookmarkEnd w:id="36"/>
    </w:p>
    <w:p w14:paraId="4140E9A4" w14:textId="77777777" w:rsidR="003601B5" w:rsidRDefault="003601B5" w:rsidP="003601B5">
      <w:pPr>
        <w:spacing w:after="0" w:line="360" w:lineRule="auto"/>
        <w:contextualSpacing/>
        <w:jc w:val="both"/>
        <w:rPr>
          <w:rFonts w:eastAsia="Times New Roman"/>
          <w:bCs/>
          <w:lang w:val="en-AU"/>
        </w:rPr>
      </w:pPr>
      <w:bookmarkStart w:id="37" w:name="OLE_LINK306"/>
    </w:p>
    <w:p w14:paraId="045FEC5E" w14:textId="77777777" w:rsidR="00753955" w:rsidRDefault="00753955" w:rsidP="003601B5">
      <w:pPr>
        <w:spacing w:after="0" w:line="360" w:lineRule="auto"/>
        <w:contextualSpacing/>
        <w:jc w:val="both"/>
        <w:rPr>
          <w:rFonts w:eastAsia="Times New Roman"/>
          <w:lang w:val="en-AU"/>
        </w:rPr>
      </w:pPr>
      <w:r w:rsidRPr="00270BE7">
        <w:rPr>
          <w:rFonts w:eastAsia="Times New Roman"/>
          <w:lang w:val="en-AU"/>
        </w:rPr>
        <w:t xml:space="preserve">The description of a counter-claim in this study </w:t>
      </w:r>
      <w:bookmarkEnd w:id="37"/>
      <w:r w:rsidRPr="00270BE7">
        <w:rPr>
          <w:rFonts w:eastAsia="Times New Roman"/>
          <w:lang w:val="en-AU"/>
        </w:rPr>
        <w:t xml:space="preserve">was consistent with Kwan’s criteria. </w:t>
      </w:r>
      <w:r w:rsidR="00CC1B61" w:rsidRPr="00BC19FC">
        <w:rPr>
          <w:rFonts w:eastAsia="Times New Roman"/>
          <w:lang w:val="en-AU"/>
        </w:rPr>
        <w:t>Counter-claiming statements in the present study show defects in a specific research-oriented practice. The defects can display negative evaluations</w:t>
      </w:r>
      <w:r w:rsidR="00E66FF7" w:rsidRPr="00BC19FC">
        <w:rPr>
          <w:rFonts w:eastAsia="Times New Roman"/>
          <w:lang w:val="en-AU"/>
        </w:rPr>
        <w:t xml:space="preserve"> </w:t>
      </w:r>
      <w:r w:rsidR="00CC1B61" w:rsidRPr="00BC19FC">
        <w:rPr>
          <w:rFonts w:eastAsia="Times New Roman"/>
          <w:lang w:val="en-AU"/>
        </w:rPr>
        <w:t>(e.g., limitations, shortcomings) of research design (e.g., theory, data collection) as well as presenting negative evaluations (e.g., insufficient) of research outcomes/results.</w:t>
      </w:r>
      <w:r w:rsidR="00CC1B61" w:rsidRPr="00270BE7">
        <w:rPr>
          <w:rFonts w:eastAsia="Times New Roman"/>
          <w:i/>
          <w:lang w:val="en-AU"/>
        </w:rPr>
        <w:t xml:space="preserve"> </w:t>
      </w:r>
      <w:r w:rsidR="00CC1B61" w:rsidRPr="00270BE7">
        <w:rPr>
          <w:rFonts w:eastAsia="Times New Roman"/>
          <w:lang w:val="en-AU"/>
        </w:rPr>
        <w:t>Below is an example of this step.</w:t>
      </w:r>
      <w:r w:rsidR="00292656">
        <w:rPr>
          <w:rFonts w:eastAsia="Times New Roman"/>
          <w:lang w:val="en-AU"/>
        </w:rPr>
        <w:t xml:space="preserve"> </w:t>
      </w:r>
    </w:p>
    <w:p w14:paraId="6EFB7789" w14:textId="16B3D5B7" w:rsidR="00776C5A" w:rsidRPr="00270BE7" w:rsidRDefault="00776C5A" w:rsidP="003601B5">
      <w:pPr>
        <w:spacing w:after="0" w:line="360" w:lineRule="auto"/>
        <w:ind w:firstLine="709"/>
        <w:contextualSpacing/>
        <w:jc w:val="both"/>
        <w:rPr>
          <w:rFonts w:eastAsia="Times New Roman"/>
          <w:lang w:val="en-AU"/>
        </w:rPr>
      </w:pPr>
    </w:p>
    <w:p w14:paraId="4025B51C" w14:textId="77777777" w:rsidR="00753955" w:rsidRPr="00270BE7" w:rsidRDefault="00753955" w:rsidP="003601B5">
      <w:pPr>
        <w:spacing w:after="0" w:line="360" w:lineRule="auto"/>
        <w:ind w:left="709" w:right="-45"/>
        <w:contextualSpacing/>
        <w:jc w:val="both"/>
        <w:rPr>
          <w:rFonts w:eastAsia="Times New Roman"/>
          <w:lang w:val="en-AU"/>
        </w:rPr>
      </w:pPr>
      <w:r w:rsidRPr="00270BE7">
        <w:rPr>
          <w:rFonts w:eastAsia="Times New Roman"/>
          <w:lang w:val="en-AU"/>
        </w:rPr>
        <w:t>Her study, however</w:t>
      </w:r>
      <w:r w:rsidRPr="00776C5A">
        <w:rPr>
          <w:rFonts w:eastAsia="Times New Roman"/>
          <w:b/>
          <w:lang w:val="en-AU"/>
        </w:rPr>
        <w:t>, only examines one aspect of the workplace domain</w:t>
      </w:r>
      <w:r w:rsidRPr="00270BE7">
        <w:rPr>
          <w:rFonts w:eastAsia="Times New Roman"/>
          <w:lang w:val="en-AU"/>
        </w:rPr>
        <w:t>: the interview context.</w:t>
      </w:r>
    </w:p>
    <w:p w14:paraId="01A1D435" w14:textId="7C75D8A9" w:rsidR="00753955" w:rsidRPr="00270BE7" w:rsidRDefault="00753955" w:rsidP="003601B5">
      <w:pPr>
        <w:widowControl w:val="0"/>
        <w:spacing w:after="0" w:line="360" w:lineRule="auto"/>
        <w:ind w:left="1440" w:right="-46"/>
        <w:contextualSpacing/>
        <w:jc w:val="right"/>
        <w:rPr>
          <w:rFonts w:eastAsia="Times New Roman"/>
          <w:lang w:val="en-AU"/>
        </w:rPr>
      </w:pPr>
    </w:p>
    <w:p w14:paraId="3856B159" w14:textId="77777777" w:rsidR="00753955" w:rsidRPr="00270BE7" w:rsidRDefault="00753955" w:rsidP="003601B5">
      <w:pPr>
        <w:keepNext/>
        <w:spacing w:after="0" w:line="360" w:lineRule="auto"/>
        <w:ind w:left="709" w:hanging="709"/>
        <w:contextualSpacing/>
        <w:outlineLvl w:val="2"/>
        <w:rPr>
          <w:rFonts w:eastAsia="Times New Roman"/>
          <w:bCs/>
          <w:i/>
          <w:lang w:val="en-AU"/>
        </w:rPr>
      </w:pPr>
      <w:bookmarkStart w:id="38" w:name="_Toc192341850"/>
      <w:bookmarkStart w:id="39" w:name="_Toc191087971"/>
      <w:r w:rsidRPr="00270BE7">
        <w:rPr>
          <w:rFonts w:eastAsia="Times New Roman"/>
          <w:b/>
          <w:bCs/>
          <w:i/>
          <w:lang w:val="en-AU"/>
        </w:rPr>
        <w:t>Move 2 Step 1d (M2s1d): Continuing Tradition</w:t>
      </w:r>
      <w:bookmarkEnd w:id="38"/>
      <w:bookmarkEnd w:id="39"/>
    </w:p>
    <w:p w14:paraId="70DE70BB" w14:textId="0C1A82FC" w:rsidR="00753955" w:rsidRPr="00270BE7" w:rsidRDefault="00753955" w:rsidP="003601B5">
      <w:pPr>
        <w:spacing w:after="0" w:line="360" w:lineRule="auto"/>
        <w:contextualSpacing/>
        <w:jc w:val="both"/>
        <w:rPr>
          <w:rFonts w:eastAsia="Times New Roman"/>
          <w:i/>
          <w:lang w:val="en-AU"/>
        </w:rPr>
      </w:pPr>
      <w:r w:rsidRPr="00270BE7">
        <w:rPr>
          <w:rFonts w:eastAsia="Times New Roman"/>
          <w:lang w:val="en-AU"/>
        </w:rPr>
        <w:t xml:space="preserve">Kwan’s (2005) classification of continuing tradition as a strategy in establishing a niche is proven to be workable for the theses in the preliminary coding. </w:t>
      </w:r>
      <w:r w:rsidR="00270BE7" w:rsidRPr="00BC19FC">
        <w:rPr>
          <w:rFonts w:eastAsia="Times New Roman"/>
          <w:lang w:val="en-AU"/>
        </w:rPr>
        <w:t>Following Kwan</w:t>
      </w:r>
      <w:r w:rsidR="00270BE7" w:rsidRPr="00270BE7">
        <w:rPr>
          <w:rFonts w:eastAsia="Times New Roman"/>
          <w:i/>
          <w:lang w:val="en-AU"/>
        </w:rPr>
        <w:t xml:space="preserve">, </w:t>
      </w:r>
      <w:r w:rsidR="00270BE7" w:rsidRPr="00BC19FC">
        <w:rPr>
          <w:rFonts w:eastAsia="Times New Roman"/>
          <w:lang w:val="en-AU"/>
        </w:rPr>
        <w:t>continuing tradition is “the claiming of the extension of the line of research or an application of a particular established practice</w:t>
      </w:r>
      <w:r w:rsidR="003846E9">
        <w:rPr>
          <w:rFonts w:eastAsia="Times New Roman"/>
          <w:lang w:val="en-AU"/>
        </w:rPr>
        <w:t xml:space="preserve">” </w:t>
      </w:r>
      <w:r w:rsidR="00270BE7" w:rsidRPr="00BC19FC">
        <w:rPr>
          <w:rFonts w:eastAsia="Times New Roman"/>
          <w:lang w:val="en-AU"/>
        </w:rPr>
        <w:t>(Kwan, 2002). In other words, the proposed study may extend previous research’s research design, theory, setting or instruments.</w:t>
      </w:r>
      <w:r w:rsidR="00270BE7" w:rsidRPr="00270BE7">
        <w:rPr>
          <w:rFonts w:eastAsia="Times New Roman"/>
          <w:i/>
          <w:lang w:val="en-AU"/>
        </w:rPr>
        <w:t xml:space="preserve"> </w:t>
      </w:r>
      <w:r w:rsidRPr="00270BE7">
        <w:rPr>
          <w:rFonts w:eastAsia="Times New Roman"/>
          <w:lang w:val="en-AU"/>
        </w:rPr>
        <w:t xml:space="preserve">The excerpt from </w:t>
      </w:r>
      <w:r w:rsidR="00CC1B61" w:rsidRPr="00270BE7">
        <w:rPr>
          <w:rFonts w:eastAsia="Calibri"/>
          <w:lang w:val="en-AU"/>
        </w:rPr>
        <w:t>Thesis 1</w:t>
      </w:r>
      <w:r w:rsidRPr="00270BE7">
        <w:rPr>
          <w:rFonts w:eastAsia="Calibri"/>
          <w:lang w:val="en-AU"/>
        </w:rPr>
        <w:t xml:space="preserve"> shows that </w:t>
      </w:r>
      <w:r w:rsidRPr="00270BE7">
        <w:rPr>
          <w:rFonts w:eastAsia="Times New Roman"/>
          <w:lang w:val="en-AU"/>
        </w:rPr>
        <w:t>the author follows the previous study, which is similar but carried out in a different context (continuation of previous research). The lexical item</w:t>
      </w:r>
      <w:r w:rsidRPr="00270BE7">
        <w:rPr>
          <w:rFonts w:eastAsia="Calibri"/>
          <w:lang w:val="en-AU"/>
        </w:rPr>
        <w:t xml:space="preserve"> </w:t>
      </w:r>
      <w:r w:rsidRPr="00270BE7">
        <w:rPr>
          <w:rFonts w:eastAsia="Times New Roman"/>
          <w:lang w:val="en-AU"/>
        </w:rPr>
        <w:t>“this” refers to the context and “basis” is used to distinguish the function of this statement.</w:t>
      </w:r>
    </w:p>
    <w:p w14:paraId="2097B397" w14:textId="77777777" w:rsidR="00CC1B61" w:rsidRPr="00270BE7" w:rsidRDefault="00CC1B61" w:rsidP="003601B5">
      <w:pPr>
        <w:widowControl w:val="0"/>
        <w:spacing w:after="0" w:line="360" w:lineRule="auto"/>
        <w:ind w:left="720" w:hanging="11"/>
        <w:contextualSpacing/>
        <w:jc w:val="both"/>
        <w:rPr>
          <w:rFonts w:eastAsia="Times New Roman"/>
          <w:b/>
          <w:lang w:val="en-AU"/>
        </w:rPr>
      </w:pPr>
    </w:p>
    <w:p w14:paraId="76D172DB" w14:textId="77777777" w:rsidR="00753955" w:rsidRPr="00270BE7" w:rsidRDefault="00753955" w:rsidP="003601B5">
      <w:pPr>
        <w:widowControl w:val="0"/>
        <w:spacing w:after="0" w:line="360" w:lineRule="auto"/>
        <w:ind w:left="720" w:hanging="11"/>
        <w:contextualSpacing/>
        <w:jc w:val="both"/>
        <w:rPr>
          <w:rFonts w:eastAsia="Calibri"/>
          <w:lang w:val="en-AU"/>
        </w:rPr>
      </w:pPr>
      <w:r w:rsidRPr="00270BE7">
        <w:rPr>
          <w:rFonts w:eastAsia="Calibri"/>
          <w:lang w:val="en-AU"/>
        </w:rPr>
        <w:t xml:space="preserve">In fact, </w:t>
      </w:r>
      <w:r w:rsidRPr="00270BE7">
        <w:rPr>
          <w:rFonts w:eastAsia="Calibri"/>
          <w:b/>
          <w:lang w:val="en-AU"/>
        </w:rPr>
        <w:t>this forms the basis</w:t>
      </w:r>
      <w:r w:rsidRPr="00270BE7">
        <w:rPr>
          <w:rFonts w:eastAsia="Calibri"/>
          <w:lang w:val="en-AU"/>
        </w:rPr>
        <w:t xml:space="preserve"> for the research interest of the present study. </w:t>
      </w:r>
    </w:p>
    <w:p w14:paraId="5C3034F1" w14:textId="77777777" w:rsidR="00753955" w:rsidRPr="00270BE7" w:rsidRDefault="00753955" w:rsidP="003601B5">
      <w:pPr>
        <w:widowControl w:val="0"/>
        <w:spacing w:after="0" w:line="360" w:lineRule="auto"/>
        <w:ind w:left="720" w:firstLine="720"/>
        <w:contextualSpacing/>
        <w:jc w:val="right"/>
        <w:rPr>
          <w:rFonts w:eastAsia="Calibri"/>
          <w:lang w:val="en-AU"/>
        </w:rPr>
      </w:pPr>
    </w:p>
    <w:p w14:paraId="406BE548" w14:textId="77777777" w:rsidR="00753955" w:rsidRDefault="00753955" w:rsidP="003601B5">
      <w:pPr>
        <w:keepNext/>
        <w:spacing w:after="0" w:line="360" w:lineRule="auto"/>
        <w:ind w:left="709" w:hanging="709"/>
        <w:contextualSpacing/>
        <w:outlineLvl w:val="2"/>
        <w:rPr>
          <w:rFonts w:eastAsia="Times New Roman"/>
          <w:b/>
          <w:bCs/>
          <w:i/>
          <w:lang w:val="en-AU"/>
        </w:rPr>
      </w:pPr>
      <w:bookmarkStart w:id="40" w:name="_Toc192341851"/>
      <w:bookmarkStart w:id="41" w:name="_Toc191087972"/>
      <w:r w:rsidRPr="00270BE7">
        <w:rPr>
          <w:rFonts w:eastAsia="Times New Roman"/>
          <w:b/>
          <w:bCs/>
          <w:i/>
          <w:lang w:val="en-AU"/>
        </w:rPr>
        <w:t>Move 2 Step 1e (M2s1e): Question Raising</w:t>
      </w:r>
      <w:bookmarkEnd w:id="40"/>
      <w:bookmarkEnd w:id="41"/>
    </w:p>
    <w:p w14:paraId="240053EE" w14:textId="77777777" w:rsidR="003601B5" w:rsidRPr="00270BE7" w:rsidRDefault="003601B5" w:rsidP="003601B5">
      <w:pPr>
        <w:keepNext/>
        <w:spacing w:after="0" w:line="360" w:lineRule="auto"/>
        <w:ind w:left="709" w:hanging="709"/>
        <w:contextualSpacing/>
        <w:outlineLvl w:val="2"/>
        <w:rPr>
          <w:rFonts w:eastAsia="Times New Roman"/>
          <w:bCs/>
          <w:i/>
          <w:lang w:val="en-AU"/>
        </w:rPr>
      </w:pPr>
    </w:p>
    <w:p w14:paraId="0647CBEF" w14:textId="67C43CF0" w:rsidR="00753955" w:rsidRPr="00270BE7" w:rsidRDefault="00753955" w:rsidP="003601B5">
      <w:pPr>
        <w:spacing w:after="0" w:line="360" w:lineRule="auto"/>
        <w:contextualSpacing/>
        <w:jc w:val="both"/>
        <w:rPr>
          <w:rFonts w:eastAsia="Times New Roman"/>
          <w:lang w:val="en-AU"/>
        </w:rPr>
      </w:pPr>
      <w:r w:rsidRPr="00270BE7">
        <w:rPr>
          <w:rFonts w:eastAsia="Times New Roman"/>
          <w:lang w:val="en-AU"/>
        </w:rPr>
        <w:t xml:space="preserve">Another step that has so far received less attention is question raising. Swales (1990) and </w:t>
      </w:r>
      <w:bookmarkStart w:id="42" w:name="OLE_LINK309"/>
      <w:bookmarkStart w:id="43" w:name="OLE_LINK310"/>
      <w:proofErr w:type="spellStart"/>
      <w:r w:rsidRPr="00270BE7">
        <w:rPr>
          <w:rFonts w:eastAsia="Times New Roman"/>
          <w:lang w:val="en-AU"/>
        </w:rPr>
        <w:t>Jogthong</w:t>
      </w:r>
      <w:bookmarkEnd w:id="42"/>
      <w:bookmarkEnd w:id="43"/>
      <w:proofErr w:type="spellEnd"/>
      <w:r w:rsidRPr="00270BE7">
        <w:rPr>
          <w:rFonts w:eastAsia="Times New Roman"/>
          <w:lang w:val="en-AU"/>
        </w:rPr>
        <w:t xml:space="preserve"> (2001) claim both direct (</w:t>
      </w:r>
      <w:proofErr w:type="spellStart"/>
      <w:r w:rsidRPr="00270BE7">
        <w:rPr>
          <w:rFonts w:eastAsia="Times New Roman"/>
          <w:lang w:val="en-AU"/>
        </w:rPr>
        <w:t>i</w:t>
      </w:r>
      <w:proofErr w:type="spellEnd"/>
      <w:r w:rsidRPr="00270BE7">
        <w:rPr>
          <w:rFonts w:eastAsia="Times New Roman"/>
          <w:lang w:val="en-AU"/>
        </w:rPr>
        <w:t>) and indirect (i</w:t>
      </w:r>
      <w:r w:rsidR="003846E9">
        <w:rPr>
          <w:rFonts w:eastAsia="Times New Roman"/>
          <w:lang w:val="en-AU"/>
        </w:rPr>
        <w:t>i</w:t>
      </w:r>
      <w:r w:rsidRPr="00270BE7">
        <w:rPr>
          <w:rFonts w:eastAsia="Times New Roman"/>
          <w:lang w:val="en-AU"/>
        </w:rPr>
        <w:t xml:space="preserve">) questions </w:t>
      </w:r>
      <w:bookmarkStart w:id="44" w:name="OLE_LINK311"/>
      <w:bookmarkStart w:id="45" w:name="OLE_LINK312"/>
      <w:r w:rsidRPr="00270BE7">
        <w:rPr>
          <w:rFonts w:eastAsia="Times New Roman"/>
          <w:lang w:val="en-AU"/>
        </w:rPr>
        <w:t>as a means of question-raising in establishing a niche of the study</w:t>
      </w:r>
      <w:bookmarkEnd w:id="44"/>
      <w:bookmarkEnd w:id="45"/>
      <w:r w:rsidRPr="00270BE7">
        <w:rPr>
          <w:rFonts w:eastAsia="Times New Roman"/>
          <w:lang w:val="en-AU"/>
        </w:rPr>
        <w:t xml:space="preserve">. Distinguishing question-raising by direct and indirect questions is inadequate because the issue in question should create the central purpose of the study instead of being information of knowledge background. Cruse (2004) provides a more </w:t>
      </w:r>
      <w:r w:rsidRPr="00270BE7">
        <w:rPr>
          <w:rFonts w:eastAsia="Times New Roman"/>
          <w:lang w:val="en-AU"/>
        </w:rPr>
        <w:lastRenderedPageBreak/>
        <w:t xml:space="preserve">useful interpretation of question raising. He suggests that the two items comprising “question raising” should be the “asking feature” and “what is asked”, which involves a proposition. In order for a statement of question raising to be the central purpose of the study, the “answer-value” is derived </w:t>
      </w:r>
      <w:r w:rsidR="00BC620E">
        <w:rPr>
          <w:rFonts w:eastAsia="Times New Roman"/>
          <w:lang w:val="en-AU"/>
        </w:rPr>
        <w:t>from</w:t>
      </w:r>
      <w:r w:rsidR="00BC620E" w:rsidRPr="00270BE7">
        <w:rPr>
          <w:rFonts w:eastAsia="Times New Roman"/>
          <w:lang w:val="en-AU"/>
        </w:rPr>
        <w:t xml:space="preserve"> </w:t>
      </w:r>
      <w:r w:rsidRPr="00270BE7">
        <w:rPr>
          <w:rFonts w:eastAsia="Times New Roman"/>
          <w:lang w:val="en-AU"/>
        </w:rPr>
        <w:t>the writer’s results sect</w:t>
      </w:r>
      <w:r w:rsidR="00776C5A">
        <w:rPr>
          <w:rFonts w:eastAsia="Times New Roman"/>
          <w:lang w:val="en-AU"/>
        </w:rPr>
        <w:t>ion. The excerpt</w:t>
      </w:r>
      <w:r w:rsidRPr="00270BE7">
        <w:rPr>
          <w:rFonts w:eastAsia="Times New Roman"/>
          <w:lang w:val="en-AU"/>
        </w:rPr>
        <w:t xml:space="preserve"> below is taken from Thesis 2 to illuminate this point.</w:t>
      </w:r>
    </w:p>
    <w:tbl>
      <w:tblPr>
        <w:tblStyle w:val="TableGrid"/>
        <w:tblpPr w:leftFromText="180" w:rightFromText="180" w:vertAnchor="text" w:horzAnchor="margin" w:tblpY="499"/>
        <w:tblW w:w="0" w:type="auto"/>
        <w:tblLook w:val="04A0" w:firstRow="1" w:lastRow="0" w:firstColumn="1" w:lastColumn="0" w:noHBand="0" w:noVBand="1"/>
      </w:tblPr>
      <w:tblGrid>
        <w:gridCol w:w="5609"/>
        <w:gridCol w:w="3453"/>
      </w:tblGrid>
      <w:tr w:rsidR="009F7CC4" w:rsidRPr="00F75759" w14:paraId="0D06003D" w14:textId="77777777" w:rsidTr="00BC19FC">
        <w:tc>
          <w:tcPr>
            <w:tcW w:w="5609" w:type="dxa"/>
          </w:tcPr>
          <w:p w14:paraId="0B673BF6" w14:textId="77777777" w:rsidR="009F7CC4" w:rsidRPr="00BC19FC" w:rsidRDefault="009F7CC4" w:rsidP="003601B5">
            <w:pPr>
              <w:widowControl w:val="0"/>
              <w:spacing w:line="360" w:lineRule="auto"/>
              <w:contextualSpacing/>
              <w:rPr>
                <w:rFonts w:ascii="Times New Roman" w:eastAsia="Times New Roman" w:hAnsi="Times New Roman" w:cs="Times New Roman"/>
                <w:sz w:val="24"/>
                <w:szCs w:val="24"/>
              </w:rPr>
            </w:pPr>
            <w:r w:rsidRPr="00BC19FC">
              <w:rPr>
                <w:rFonts w:ascii="Times New Roman" w:hAnsi="Times New Roman"/>
                <w:color w:val="000000"/>
              </w:rPr>
              <w:t xml:space="preserve">While there is a shared consensus about the functions and goals of higher education, </w:t>
            </w:r>
            <w:r w:rsidRPr="00BC19FC">
              <w:rPr>
                <w:rFonts w:ascii="Times New Roman" w:hAnsi="Times New Roman"/>
                <w:i/>
                <w:color w:val="000000"/>
              </w:rPr>
              <w:t>there is much debate,</w:t>
            </w:r>
            <w:r w:rsidRPr="00BC19FC">
              <w:rPr>
                <w:rFonts w:ascii="Times New Roman" w:hAnsi="Times New Roman"/>
                <w:color w:val="000000"/>
              </w:rPr>
              <w:t xml:space="preserve"> as will be presented in the next section, </w:t>
            </w:r>
            <w:r w:rsidRPr="00BC19FC">
              <w:rPr>
                <w:rFonts w:ascii="Times New Roman" w:hAnsi="Times New Roman"/>
                <w:i/>
                <w:color w:val="000000"/>
              </w:rPr>
              <w:t>as to whether</w:t>
            </w:r>
            <w:r w:rsidRPr="00BC19FC">
              <w:rPr>
                <w:rFonts w:ascii="Times New Roman" w:hAnsi="Times New Roman"/>
                <w:color w:val="000000"/>
              </w:rPr>
              <w:t xml:space="preserve"> these students are accomplishing the intended objectives.</w:t>
            </w:r>
          </w:p>
        </w:tc>
        <w:tc>
          <w:tcPr>
            <w:tcW w:w="3453" w:type="dxa"/>
          </w:tcPr>
          <w:p w14:paraId="1273FF52" w14:textId="77777777" w:rsidR="009F7CC4" w:rsidRPr="00BC19FC" w:rsidRDefault="009F7CC4" w:rsidP="003601B5">
            <w:pPr>
              <w:widowControl w:val="0"/>
              <w:spacing w:line="360" w:lineRule="auto"/>
              <w:contextualSpacing/>
              <w:jc w:val="both"/>
              <w:rPr>
                <w:rFonts w:ascii="Times New Roman" w:eastAsia="Times New Roman" w:hAnsi="Times New Roman" w:cs="Times New Roman"/>
                <w:sz w:val="24"/>
                <w:szCs w:val="24"/>
              </w:rPr>
            </w:pPr>
            <w:r w:rsidRPr="00BC19FC">
              <w:rPr>
                <w:rFonts w:ascii="Times New Roman" w:eastAsia="Times New Roman" w:hAnsi="Times New Roman"/>
              </w:rPr>
              <w:t>-Asking feature: indirect</w:t>
            </w:r>
          </w:p>
          <w:p w14:paraId="0716B40D" w14:textId="77777777" w:rsidR="009F7CC4" w:rsidRPr="00BC19FC" w:rsidRDefault="009F7CC4" w:rsidP="003601B5">
            <w:pPr>
              <w:widowControl w:val="0"/>
              <w:spacing w:line="360" w:lineRule="auto"/>
              <w:contextualSpacing/>
              <w:rPr>
                <w:rFonts w:ascii="Times New Roman" w:eastAsia="Times New Roman" w:hAnsi="Times New Roman" w:cs="Times New Roman"/>
                <w:sz w:val="24"/>
                <w:szCs w:val="24"/>
              </w:rPr>
            </w:pPr>
            <w:r w:rsidRPr="00BC19FC">
              <w:rPr>
                <w:rFonts w:ascii="Times New Roman" w:eastAsia="Times New Roman" w:hAnsi="Times New Roman"/>
              </w:rPr>
              <w:t>-What is asked (the answer to the question “Whether students accomplish the objectives of higher education” will be answered later in the “Result” section.</w:t>
            </w:r>
          </w:p>
        </w:tc>
      </w:tr>
    </w:tbl>
    <w:p w14:paraId="3A43C966" w14:textId="51C3811A" w:rsidR="00753955" w:rsidRPr="00F75759" w:rsidRDefault="00753955" w:rsidP="003601B5">
      <w:pPr>
        <w:spacing w:after="240" w:line="360" w:lineRule="auto"/>
        <w:contextualSpacing/>
        <w:jc w:val="both"/>
        <w:rPr>
          <w:rFonts w:ascii="Book Antiqua" w:eastAsia="Times New Roman" w:hAnsi="Book Antiqua"/>
          <w:b/>
          <w:lang w:val="en-AU"/>
        </w:rPr>
      </w:pPr>
    </w:p>
    <w:p w14:paraId="559EB5A2" w14:textId="77777777" w:rsidR="003601B5" w:rsidRDefault="003601B5" w:rsidP="003601B5">
      <w:pPr>
        <w:widowControl w:val="0"/>
        <w:spacing w:before="100" w:beforeAutospacing="1" w:after="100" w:afterAutospacing="1" w:line="360" w:lineRule="auto"/>
        <w:contextualSpacing/>
        <w:jc w:val="both"/>
        <w:rPr>
          <w:rFonts w:eastAsia="Times New Roman"/>
          <w:lang w:val="en-AU"/>
        </w:rPr>
      </w:pPr>
    </w:p>
    <w:p w14:paraId="55923275" w14:textId="5C3475AE" w:rsidR="00753955" w:rsidRPr="00BC19FC" w:rsidRDefault="00753955" w:rsidP="003601B5">
      <w:pPr>
        <w:widowControl w:val="0"/>
        <w:spacing w:before="100" w:beforeAutospacing="1" w:after="100" w:afterAutospacing="1" w:line="360" w:lineRule="auto"/>
        <w:contextualSpacing/>
        <w:jc w:val="both"/>
        <w:rPr>
          <w:rFonts w:eastAsia="Times New Roman"/>
          <w:lang w:val="en-AU"/>
        </w:rPr>
      </w:pPr>
      <w:r w:rsidRPr="00BC19FC">
        <w:rPr>
          <w:rFonts w:eastAsia="Times New Roman"/>
          <w:lang w:val="en-AU"/>
        </w:rPr>
        <w:t>Therefore, for the purpose of the present study, the semantic features of question-raising</w:t>
      </w:r>
      <w:r w:rsidR="00BC620E" w:rsidRPr="00BC19FC">
        <w:rPr>
          <w:rFonts w:eastAsia="Times New Roman"/>
          <w:lang w:val="en-AU"/>
        </w:rPr>
        <w:t>,</w:t>
      </w:r>
      <w:r w:rsidRPr="00BC19FC">
        <w:rPr>
          <w:rFonts w:eastAsia="Times New Roman"/>
          <w:lang w:val="en-AU"/>
        </w:rPr>
        <w:t xml:space="preserve"> must include an asking feature, which can be direct or indirect questions, and “what is asked”, that is, what the writer’s research tries to address.</w:t>
      </w:r>
    </w:p>
    <w:p w14:paraId="574D692B" w14:textId="77777777" w:rsidR="00E1697E" w:rsidRDefault="00E1697E" w:rsidP="003601B5">
      <w:pPr>
        <w:keepNext/>
        <w:spacing w:before="240" w:after="120" w:line="360" w:lineRule="auto"/>
        <w:contextualSpacing/>
        <w:jc w:val="both"/>
        <w:rPr>
          <w:b/>
        </w:rPr>
      </w:pPr>
    </w:p>
    <w:p w14:paraId="2BB40CA1" w14:textId="09E46D63" w:rsidR="006A11F6" w:rsidRDefault="00694942" w:rsidP="003601B5">
      <w:pPr>
        <w:keepNext/>
        <w:spacing w:before="240" w:after="120" w:line="360" w:lineRule="auto"/>
        <w:contextualSpacing/>
        <w:jc w:val="both"/>
        <w:rPr>
          <w:b/>
        </w:rPr>
      </w:pPr>
      <w:r w:rsidRPr="006A11F6">
        <w:rPr>
          <w:b/>
        </w:rPr>
        <w:t>4.</w:t>
      </w:r>
      <w:r w:rsidR="00205C65">
        <w:rPr>
          <w:b/>
        </w:rPr>
        <w:t>3</w:t>
      </w:r>
      <w:r w:rsidR="00337EBE">
        <w:t xml:space="preserve"> </w:t>
      </w:r>
      <w:r w:rsidR="006A11F6" w:rsidRPr="00BC19FC">
        <w:rPr>
          <w:b/>
        </w:rPr>
        <w:t>Value of Step</w:t>
      </w:r>
    </w:p>
    <w:p w14:paraId="72501FE7" w14:textId="77777777" w:rsidR="003601B5" w:rsidRDefault="003601B5" w:rsidP="003601B5">
      <w:pPr>
        <w:keepNext/>
        <w:spacing w:before="240" w:after="120" w:line="360" w:lineRule="auto"/>
        <w:contextualSpacing/>
        <w:jc w:val="both"/>
      </w:pPr>
    </w:p>
    <w:p w14:paraId="3555502F" w14:textId="18D6949B" w:rsidR="006A11F6" w:rsidRDefault="006A11F6" w:rsidP="003601B5">
      <w:pPr>
        <w:spacing w:line="360" w:lineRule="auto"/>
        <w:contextualSpacing/>
        <w:jc w:val="both"/>
      </w:pPr>
      <w:r>
        <w:t xml:space="preserve">This section presents only </w:t>
      </w:r>
      <w:r w:rsidR="0048306D">
        <w:t>M2s1a: Indicating a Gap</w:t>
      </w:r>
      <w:r w:rsidR="00B53EBD">
        <w:t xml:space="preserve"> and</w:t>
      </w:r>
      <w:r w:rsidR="0048306D">
        <w:t xml:space="preserve"> </w:t>
      </w:r>
      <w:r w:rsidRPr="006A11F6">
        <w:t xml:space="preserve">M2s1b: Indicating problem </w:t>
      </w:r>
      <w:r w:rsidR="0048306D">
        <w:t>as these step</w:t>
      </w:r>
      <w:r w:rsidR="005B5D1C">
        <w:t>s</w:t>
      </w:r>
      <w:r w:rsidR="0048306D">
        <w:t xml:space="preserve"> </w:t>
      </w:r>
      <w:r w:rsidR="00B46C66">
        <w:t xml:space="preserve">occured with the greatest frequency </w:t>
      </w:r>
      <w:r w:rsidR="004454F2">
        <w:t xml:space="preserve">(see Figure 3) </w:t>
      </w:r>
      <w:r w:rsidR="0048306D">
        <w:t>and almost all writers used these stategies</w:t>
      </w:r>
      <w:r>
        <w:t xml:space="preserve"> in creating their research niche.</w:t>
      </w:r>
    </w:p>
    <w:p w14:paraId="24F1F0CB" w14:textId="2B3766C4" w:rsidR="00232AEE" w:rsidRDefault="00B53EBD" w:rsidP="003601B5">
      <w:pPr>
        <w:spacing w:line="360" w:lineRule="auto"/>
        <w:contextualSpacing/>
        <w:jc w:val="both"/>
        <w:rPr>
          <w:i/>
        </w:rPr>
      </w:pPr>
      <w:r>
        <w:rPr>
          <w:i/>
        </w:rPr>
        <w:t>a)</w:t>
      </w:r>
      <w:r w:rsidR="00232AEE" w:rsidRPr="00BC19FC">
        <w:rPr>
          <w:i/>
        </w:rPr>
        <w:t>M2s1b: Indicating problem and need</w:t>
      </w:r>
    </w:p>
    <w:p w14:paraId="3BA0A741" w14:textId="77777777" w:rsidR="003601B5" w:rsidRPr="006A11F6" w:rsidRDefault="003601B5" w:rsidP="003601B5">
      <w:pPr>
        <w:spacing w:line="360" w:lineRule="auto"/>
        <w:contextualSpacing/>
        <w:jc w:val="both"/>
      </w:pPr>
    </w:p>
    <w:p w14:paraId="70AF6DCA" w14:textId="3100B782" w:rsidR="00232AEE" w:rsidRDefault="00694942" w:rsidP="003601B5">
      <w:pPr>
        <w:spacing w:line="360" w:lineRule="auto"/>
        <w:contextualSpacing/>
        <w:jc w:val="both"/>
      </w:pPr>
      <w:r>
        <w:t xml:space="preserve">As mentioned, </w:t>
      </w:r>
      <w:r w:rsidR="00232AEE" w:rsidRPr="00694942">
        <w:t>M2s1b is an obligatory and a major step</w:t>
      </w:r>
      <w:r w:rsidR="00232AEE" w:rsidRPr="00007717">
        <w:t xml:space="preserve"> in the Malaysian writers’ thesis Introductions. As seen in</w:t>
      </w:r>
      <w:r w:rsidR="0048306D">
        <w:t xml:space="preserve"> Figure 4</w:t>
      </w:r>
      <w:r w:rsidR="00232AEE" w:rsidRPr="00007717">
        <w:t xml:space="preserve">, this step was used by all writers and their dependence on this particular step was obvious. Therefore, it was not surprising that this move </w:t>
      </w:r>
      <w:r w:rsidR="00F24A01">
        <w:t xml:space="preserve">accounts for 64% </w:t>
      </w:r>
      <w:r w:rsidR="00232AEE" w:rsidRPr="00007717">
        <w:t>of the total steps involving Move 2. Building on this</w:t>
      </w:r>
      <w:r w:rsidR="007823E2">
        <w:t xml:space="preserve"> theme, we</w:t>
      </w:r>
      <w:r w:rsidR="00232AEE" w:rsidRPr="00007717">
        <w:t xml:space="preserve"> found that seven theses employed this step, more than </w:t>
      </w:r>
      <w:r w:rsidR="008755BF">
        <w:t xml:space="preserve">50% </w:t>
      </w:r>
      <w:r w:rsidR="00232AEE" w:rsidRPr="00007717">
        <w:t xml:space="preserve">of the total steps used. The </w:t>
      </w:r>
      <w:r w:rsidR="00232AEE" w:rsidRPr="00BC19FC">
        <w:t xml:space="preserve">highest </w:t>
      </w:r>
      <w:r w:rsidR="00B46C66" w:rsidRPr="00BC19FC">
        <w:t xml:space="preserve">frequency of </w:t>
      </w:r>
      <w:r w:rsidR="00232AEE" w:rsidRPr="00BC19FC">
        <w:t xml:space="preserve">occurrence </w:t>
      </w:r>
      <w:r w:rsidR="00232AEE" w:rsidRPr="00007717">
        <w:t>of step M2</w:t>
      </w:r>
      <w:r w:rsidR="00B46C66">
        <w:t>s1</w:t>
      </w:r>
      <w:r w:rsidR="00232AEE" w:rsidRPr="00007717">
        <w:t xml:space="preserve">b were in Thesis 1, where </w:t>
      </w:r>
      <w:r w:rsidR="006B78AB">
        <w:t xml:space="preserve">86% </w:t>
      </w:r>
      <w:r w:rsidR="00232AEE" w:rsidRPr="00007717">
        <w:t xml:space="preserve">of the total steps were dedicated to the writer presenting the problem of the study and a positive justification for the need of the study. The </w:t>
      </w:r>
      <w:r w:rsidR="00232AEE" w:rsidRPr="00BC19FC">
        <w:t xml:space="preserve">lowest </w:t>
      </w:r>
      <w:r w:rsidR="008E4C81" w:rsidRPr="00BC19FC">
        <w:t xml:space="preserve">frequency of </w:t>
      </w:r>
      <w:r w:rsidR="00232AEE" w:rsidRPr="00BC19FC">
        <w:t>occurrence</w:t>
      </w:r>
      <w:r w:rsidR="00232AEE" w:rsidRPr="00007717">
        <w:t xml:space="preserve"> of this step can be found in Thesis 7. The writer dedicated only </w:t>
      </w:r>
      <w:r w:rsidR="00AD624E">
        <w:t xml:space="preserve">44% </w:t>
      </w:r>
      <w:r w:rsidR="00232AEE" w:rsidRPr="00007717">
        <w:t xml:space="preserve">of this step to establishing the niche. </w:t>
      </w:r>
    </w:p>
    <w:p w14:paraId="520B8F3C" w14:textId="77777777" w:rsidR="003601B5" w:rsidRDefault="003601B5" w:rsidP="003601B5">
      <w:pPr>
        <w:spacing w:line="360" w:lineRule="auto"/>
        <w:contextualSpacing/>
        <w:jc w:val="both"/>
      </w:pPr>
    </w:p>
    <w:p w14:paraId="1513DA9E" w14:textId="77777777" w:rsidR="00232AEE" w:rsidRDefault="00232AEE" w:rsidP="003601B5">
      <w:pPr>
        <w:spacing w:line="360" w:lineRule="auto"/>
        <w:contextualSpacing/>
        <w:jc w:val="both"/>
      </w:pPr>
      <w:r w:rsidRPr="00007717">
        <w:lastRenderedPageBreak/>
        <w:t>The attention given to indicating the problem and need when establishing the niche of</w:t>
      </w:r>
      <w:r w:rsidR="00F87CCB">
        <w:t xml:space="preserve"> their studies differ. Table 2</w:t>
      </w:r>
      <w:r w:rsidRPr="00007717">
        <w:t xml:space="preserve"> below shows that Malaysian introductory chapters employed more statements of needs than statements of problems in Move 2.</w:t>
      </w:r>
    </w:p>
    <w:p w14:paraId="2082D128" w14:textId="77777777" w:rsidR="003601B5" w:rsidRPr="00007717" w:rsidRDefault="003601B5" w:rsidP="003601B5">
      <w:pPr>
        <w:spacing w:line="360" w:lineRule="auto"/>
        <w:contextualSpacing/>
        <w:jc w:val="both"/>
      </w:pPr>
    </w:p>
    <w:p w14:paraId="35B6992B" w14:textId="77777777" w:rsidR="00694942" w:rsidRPr="00BC19FC" w:rsidRDefault="00F87CCB" w:rsidP="003601B5">
      <w:pPr>
        <w:spacing w:after="0" w:line="360" w:lineRule="auto"/>
        <w:contextualSpacing/>
        <w:rPr>
          <w:rFonts w:eastAsia="Calibri"/>
          <w:lang w:val="en-MY"/>
        </w:rPr>
      </w:pPr>
      <w:r w:rsidRPr="00BC19FC">
        <w:rPr>
          <w:rFonts w:eastAsia="Calibri"/>
          <w:lang w:val="en-MY"/>
        </w:rPr>
        <w:t>Table 2</w:t>
      </w:r>
    </w:p>
    <w:p w14:paraId="391EE22F" w14:textId="77777777" w:rsidR="00694942" w:rsidRPr="00BC19FC" w:rsidRDefault="00694942" w:rsidP="003601B5">
      <w:pPr>
        <w:spacing w:after="0" w:line="360" w:lineRule="auto"/>
        <w:contextualSpacing/>
        <w:rPr>
          <w:rFonts w:eastAsia="Calibri"/>
          <w:i/>
          <w:lang w:val="en-MY"/>
        </w:rPr>
      </w:pPr>
      <w:r w:rsidRPr="00BC19FC">
        <w:rPr>
          <w:rFonts w:eastAsia="Calibri"/>
          <w:i/>
          <w:lang w:val="en-MY"/>
        </w:rPr>
        <w:t>Occurrences of statements of problems and needs</w:t>
      </w:r>
    </w:p>
    <w:tbl>
      <w:tblPr>
        <w:tblStyle w:val="LightShading3"/>
        <w:tblW w:w="0" w:type="auto"/>
        <w:tblLook w:val="04A0" w:firstRow="1" w:lastRow="0" w:firstColumn="1" w:lastColumn="0" w:noHBand="0" w:noVBand="1"/>
      </w:tblPr>
      <w:tblGrid>
        <w:gridCol w:w="1563"/>
        <w:gridCol w:w="1575"/>
        <w:gridCol w:w="1428"/>
        <w:gridCol w:w="1316"/>
      </w:tblGrid>
      <w:tr w:rsidR="00694942" w:rsidRPr="00694942" w14:paraId="732C6D18" w14:textId="77777777" w:rsidTr="008D65BB">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563" w:type="dxa"/>
            <w:shd w:val="clear" w:color="auto" w:fill="auto"/>
          </w:tcPr>
          <w:p w14:paraId="70D7FD90" w14:textId="77777777" w:rsidR="00694942" w:rsidRPr="00BC19FC" w:rsidRDefault="00694942" w:rsidP="003601B5">
            <w:pPr>
              <w:spacing w:before="40" w:after="40" w:line="360" w:lineRule="auto"/>
              <w:contextualSpacing/>
              <w:jc w:val="center"/>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Step M2s1b</w:t>
            </w:r>
          </w:p>
        </w:tc>
        <w:tc>
          <w:tcPr>
            <w:tcW w:w="1575" w:type="dxa"/>
            <w:shd w:val="clear" w:color="auto" w:fill="auto"/>
          </w:tcPr>
          <w:p w14:paraId="29276B02"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Problem</w:t>
            </w:r>
          </w:p>
        </w:tc>
        <w:tc>
          <w:tcPr>
            <w:tcW w:w="1428" w:type="dxa"/>
            <w:shd w:val="clear" w:color="auto" w:fill="auto"/>
          </w:tcPr>
          <w:p w14:paraId="68410291"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Need</w:t>
            </w:r>
          </w:p>
        </w:tc>
        <w:tc>
          <w:tcPr>
            <w:tcW w:w="1316" w:type="dxa"/>
            <w:shd w:val="clear" w:color="auto" w:fill="auto"/>
          </w:tcPr>
          <w:p w14:paraId="210C6286"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Total</w:t>
            </w:r>
          </w:p>
        </w:tc>
      </w:tr>
      <w:tr w:rsidR="00694942" w:rsidRPr="00694942" w14:paraId="3F101C31" w14:textId="77777777" w:rsidTr="00BC1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A621753" w14:textId="77777777" w:rsidR="00694942" w:rsidRPr="00BC19FC" w:rsidRDefault="00694942" w:rsidP="003601B5">
            <w:pPr>
              <w:spacing w:line="360" w:lineRule="auto"/>
              <w:contextualSpacing/>
              <w:jc w:val="center"/>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Occurrences</w:t>
            </w:r>
          </w:p>
        </w:tc>
        <w:tc>
          <w:tcPr>
            <w:tcW w:w="0" w:type="dxa"/>
            <w:shd w:val="clear" w:color="auto" w:fill="auto"/>
          </w:tcPr>
          <w:p w14:paraId="70258A50"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36</w:t>
            </w:r>
          </w:p>
        </w:tc>
        <w:tc>
          <w:tcPr>
            <w:tcW w:w="0" w:type="dxa"/>
            <w:shd w:val="clear" w:color="auto" w:fill="auto"/>
          </w:tcPr>
          <w:p w14:paraId="6B3823FC"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44</w:t>
            </w:r>
          </w:p>
        </w:tc>
        <w:tc>
          <w:tcPr>
            <w:tcW w:w="0" w:type="dxa"/>
            <w:shd w:val="clear" w:color="auto" w:fill="auto"/>
          </w:tcPr>
          <w:p w14:paraId="63C95D60"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80</w:t>
            </w:r>
          </w:p>
        </w:tc>
      </w:tr>
    </w:tbl>
    <w:p w14:paraId="6816685A" w14:textId="77777777" w:rsidR="00232AEE" w:rsidRPr="00007717" w:rsidRDefault="00232AEE" w:rsidP="003601B5">
      <w:pPr>
        <w:spacing w:line="360" w:lineRule="auto"/>
        <w:contextualSpacing/>
        <w:jc w:val="both"/>
      </w:pPr>
    </w:p>
    <w:p w14:paraId="3EAE3BC2" w14:textId="669304B2" w:rsidR="00232AEE" w:rsidRPr="00B108EC" w:rsidRDefault="00B108EC" w:rsidP="003601B5">
      <w:pPr>
        <w:spacing w:line="360" w:lineRule="auto"/>
        <w:contextualSpacing/>
        <w:jc w:val="both"/>
        <w:rPr>
          <w:i/>
        </w:rPr>
      </w:pPr>
      <w:r w:rsidRPr="00B108EC">
        <w:rPr>
          <w:i/>
        </w:rPr>
        <w:t xml:space="preserve"> </w:t>
      </w:r>
      <w:r w:rsidR="00232AEE" w:rsidRPr="00B108EC">
        <w:rPr>
          <w:i/>
        </w:rPr>
        <w:t>M2s1b: Problems</w:t>
      </w:r>
    </w:p>
    <w:p w14:paraId="3D374D01" w14:textId="1E8E37A4" w:rsidR="00232AEE" w:rsidRPr="00007717" w:rsidRDefault="00232AEE" w:rsidP="003601B5">
      <w:pPr>
        <w:spacing w:line="360" w:lineRule="auto"/>
        <w:contextualSpacing/>
        <w:jc w:val="both"/>
      </w:pPr>
      <w:r w:rsidRPr="00007717">
        <w:t>All eight theses showed similar types of problem statements: they either portrayed the current problematic real</w:t>
      </w:r>
      <w:r w:rsidR="008E4C81">
        <w:t>-</w:t>
      </w:r>
      <w:r w:rsidRPr="00007717">
        <w:t>world</w:t>
      </w:r>
      <w:r w:rsidR="008E4C81">
        <w:t xml:space="preserve"> phenomenon</w:t>
      </w:r>
      <w:r w:rsidRPr="00007717">
        <w:t xml:space="preserve"> or presented any shortcomings in the underpinned theory or concept of the study. </w:t>
      </w:r>
      <w:r w:rsidR="00F87CCB">
        <w:t>However, 81%</w:t>
      </w:r>
      <w:r w:rsidRPr="00007717">
        <w:t xml:space="preserve"> of problem statements were dedicated to those of the real</w:t>
      </w:r>
      <w:r w:rsidR="00AD624E">
        <w:t xml:space="preserve"> </w:t>
      </w:r>
      <w:r w:rsidRPr="00007717">
        <w:t xml:space="preserve">world. For example, </w:t>
      </w:r>
      <w:r w:rsidR="008E4C81">
        <w:t>the w</w:t>
      </w:r>
      <w:r w:rsidRPr="00007717">
        <w:t>riter</w:t>
      </w:r>
      <w:r w:rsidR="008E4C81">
        <w:t xml:space="preserve"> of Thesis</w:t>
      </w:r>
      <w:r w:rsidRPr="00007717">
        <w:t xml:space="preserve"> 2 used her observation</w:t>
      </w:r>
      <w:r w:rsidR="008E6B78">
        <w:t>s</w:t>
      </w:r>
      <w:r w:rsidRPr="00007717">
        <w:t xml:space="preserve"> during teaching to point to the current problematic situation of students </w:t>
      </w:r>
      <w:r w:rsidR="008E6B78">
        <w:t xml:space="preserve">at </w:t>
      </w:r>
      <w:r w:rsidRPr="00007717">
        <w:t xml:space="preserve">the National University of Malaysia, where her research was located. A lengthy description on the students’ difficulties in </w:t>
      </w:r>
      <w:r w:rsidR="008E6B78">
        <w:t xml:space="preserve">the </w:t>
      </w:r>
      <w:r w:rsidRPr="00007717">
        <w:t>ESL classroom was provided to establish the ni</w:t>
      </w:r>
      <w:r w:rsidR="00B108EC">
        <w:t>che. The extract</w:t>
      </w:r>
      <w:r w:rsidRPr="00007717">
        <w:t xml:space="preserve"> from her introductory chapter proves this point:</w:t>
      </w:r>
    </w:p>
    <w:p w14:paraId="0D91FCCD" w14:textId="486A1B2F" w:rsidR="00B108EC" w:rsidRPr="00E1697E" w:rsidRDefault="00232AEE" w:rsidP="00E1697E">
      <w:pPr>
        <w:spacing w:after="0" w:line="360" w:lineRule="auto"/>
        <w:ind w:left="709" w:right="432"/>
        <w:contextualSpacing/>
        <w:jc w:val="both"/>
        <w:rPr>
          <w:sz w:val="22"/>
          <w:szCs w:val="22"/>
        </w:rPr>
      </w:pPr>
      <w:r w:rsidRPr="00E1697E">
        <w:rPr>
          <w:sz w:val="22"/>
          <w:szCs w:val="22"/>
        </w:rPr>
        <w:t>In the researcher’s personal experiences of teaching English to second language learners (1), she also discovered similar encounters within the reading context. One problem that confronted the students was when they were not familiar with the words in the text (2). The lack of vocabulary knowledge acted as a barrier ... Throughout the reading of the text, these students may have needed to stop their reading many times to attend to unknown words. As a result, the reading process becomes a slow and stressful experience. Due to these experiences, many students often ignored the words that they did not know and continued reading. However, when they stumbled across many unknown words, comprehension of the text broke down and finally the reading is ceased (3).</w:t>
      </w:r>
      <w:r w:rsidR="00B108EC" w:rsidRPr="00E1697E">
        <w:rPr>
          <w:sz w:val="22"/>
          <w:szCs w:val="22"/>
        </w:rPr>
        <w:t xml:space="preserve"> </w:t>
      </w:r>
      <w:r w:rsidR="00042B82" w:rsidRPr="00E1697E">
        <w:rPr>
          <w:sz w:val="22"/>
          <w:szCs w:val="22"/>
        </w:rPr>
        <w:t>(Thesis 2)</w:t>
      </w:r>
    </w:p>
    <w:p w14:paraId="44AAFA58" w14:textId="77777777" w:rsidR="003601B5" w:rsidRDefault="003601B5" w:rsidP="003601B5">
      <w:pPr>
        <w:spacing w:line="360" w:lineRule="auto"/>
        <w:contextualSpacing/>
        <w:jc w:val="both"/>
      </w:pPr>
    </w:p>
    <w:p w14:paraId="18E2C35A" w14:textId="77777777" w:rsidR="00232AEE" w:rsidRPr="00007717" w:rsidRDefault="00232AEE" w:rsidP="003601B5">
      <w:pPr>
        <w:spacing w:line="360" w:lineRule="auto"/>
        <w:contextualSpacing/>
        <w:jc w:val="both"/>
      </w:pPr>
      <w:r w:rsidRPr="00007717">
        <w:t xml:space="preserve">In (1), the writer relates the problem of her study by presenting her own personal experience when teaching ESL students. Following that, she claimed the main problem of students’ difficulty in reading was unfamiliarity with vocabularies (2). The bulk of the discussion is the detailed situation in her classroom during the reading activity. Because these scenarios are so challenging, the students will eventually disregard reading (3). </w:t>
      </w:r>
    </w:p>
    <w:p w14:paraId="6E52CA6C" w14:textId="77777777" w:rsidR="003601B5" w:rsidRDefault="003601B5" w:rsidP="003601B5">
      <w:pPr>
        <w:spacing w:line="360" w:lineRule="auto"/>
        <w:contextualSpacing/>
        <w:jc w:val="both"/>
      </w:pPr>
    </w:p>
    <w:p w14:paraId="4E6D0FDD" w14:textId="77777777" w:rsidR="00232AEE" w:rsidRPr="00007717" w:rsidRDefault="00232AEE" w:rsidP="003601B5">
      <w:pPr>
        <w:spacing w:line="360" w:lineRule="auto"/>
        <w:contextualSpacing/>
        <w:jc w:val="both"/>
      </w:pPr>
      <w:r w:rsidRPr="00007717">
        <w:lastRenderedPageBreak/>
        <w:t xml:space="preserve">Presenting current problems that exist in school classrooms in Malaysia is common. Thesis 5 </w:t>
      </w:r>
      <w:r w:rsidR="00B108EC">
        <w:t xml:space="preserve">for instance </w:t>
      </w:r>
      <w:r w:rsidRPr="00007717">
        <w:t>associated the failure of meaning-making in literature to two current phenomena in the literature classroom: the teaching situation and the attitudes of teachers.</w:t>
      </w:r>
    </w:p>
    <w:p w14:paraId="490665A7" w14:textId="77777777" w:rsidR="00B108EC" w:rsidRDefault="00B108EC" w:rsidP="003601B5">
      <w:pPr>
        <w:spacing w:line="360" w:lineRule="auto"/>
        <w:contextualSpacing/>
        <w:jc w:val="both"/>
      </w:pPr>
    </w:p>
    <w:p w14:paraId="1576A5BE" w14:textId="77777777" w:rsidR="00232AEE" w:rsidRPr="00AA3FC5" w:rsidRDefault="00232AEE" w:rsidP="00AA3FC5">
      <w:pPr>
        <w:spacing w:after="0" w:line="360" w:lineRule="auto"/>
        <w:ind w:left="709" w:right="432"/>
        <w:contextualSpacing/>
        <w:jc w:val="both"/>
        <w:rPr>
          <w:sz w:val="22"/>
        </w:rPr>
      </w:pPr>
      <w:r w:rsidRPr="00AA3FC5">
        <w:rPr>
          <w:sz w:val="22"/>
        </w:rPr>
        <w:t>Brown explains the autonomy over choice of instruction as a sense of “ownership” (1987:95) that is the teaching of the subject knowledge-what a teacher does in a classroom. Brown states that the teaching of literature entails three factors:</w:t>
      </w:r>
    </w:p>
    <w:p w14:paraId="03C116FC" w14:textId="77777777" w:rsidR="00232AEE" w:rsidRPr="00AA3FC5" w:rsidRDefault="00232AEE" w:rsidP="00AA3FC5">
      <w:pPr>
        <w:spacing w:after="0" w:line="360" w:lineRule="auto"/>
        <w:ind w:left="993" w:right="432" w:hanging="284"/>
        <w:contextualSpacing/>
        <w:jc w:val="both"/>
        <w:rPr>
          <w:sz w:val="22"/>
        </w:rPr>
      </w:pPr>
      <w:r w:rsidRPr="00AA3FC5">
        <w:rPr>
          <w:sz w:val="22"/>
        </w:rPr>
        <w:t>1.</w:t>
      </w:r>
      <w:r w:rsidRPr="00AA3FC5">
        <w:rPr>
          <w:sz w:val="22"/>
        </w:rPr>
        <w:tab/>
        <w:t>Choice over material and response to it.</w:t>
      </w:r>
    </w:p>
    <w:p w14:paraId="219B746D" w14:textId="77777777" w:rsidR="00232AEE" w:rsidRPr="00AA3FC5" w:rsidRDefault="00232AEE" w:rsidP="00AA3FC5">
      <w:pPr>
        <w:spacing w:after="0" w:line="360" w:lineRule="auto"/>
        <w:ind w:left="993" w:right="432" w:hanging="284"/>
        <w:contextualSpacing/>
        <w:jc w:val="both"/>
        <w:rPr>
          <w:sz w:val="22"/>
        </w:rPr>
      </w:pPr>
      <w:r w:rsidRPr="00AA3FC5">
        <w:rPr>
          <w:sz w:val="22"/>
        </w:rPr>
        <w:t>2.</w:t>
      </w:r>
      <w:r w:rsidRPr="00AA3FC5">
        <w:rPr>
          <w:sz w:val="22"/>
        </w:rPr>
        <w:tab/>
        <w:t>The life experience brought to the work.</w:t>
      </w:r>
    </w:p>
    <w:p w14:paraId="63CE39E2" w14:textId="77777777" w:rsidR="00232AEE" w:rsidRPr="00AA3FC5" w:rsidRDefault="00232AEE" w:rsidP="00AA3FC5">
      <w:pPr>
        <w:spacing w:after="0" w:line="360" w:lineRule="auto"/>
        <w:ind w:left="993" w:right="432" w:hanging="284"/>
        <w:contextualSpacing/>
        <w:jc w:val="both"/>
        <w:rPr>
          <w:sz w:val="22"/>
        </w:rPr>
      </w:pPr>
      <w:r w:rsidRPr="00AA3FC5">
        <w:rPr>
          <w:sz w:val="22"/>
        </w:rPr>
        <w:t>3.</w:t>
      </w:r>
      <w:r w:rsidRPr="00AA3FC5">
        <w:rPr>
          <w:sz w:val="22"/>
        </w:rPr>
        <w:tab/>
        <w:t>The cumulative experience to literature.</w:t>
      </w:r>
    </w:p>
    <w:p w14:paraId="798F8D75" w14:textId="52305D18" w:rsidR="00232AEE" w:rsidRPr="00AA3FC5" w:rsidRDefault="00232AEE" w:rsidP="00AA3FC5">
      <w:pPr>
        <w:spacing w:after="0" w:line="360" w:lineRule="auto"/>
        <w:ind w:left="709" w:right="432"/>
        <w:contextualSpacing/>
        <w:jc w:val="both"/>
        <w:rPr>
          <w:sz w:val="22"/>
          <w:u w:val="single"/>
        </w:rPr>
      </w:pPr>
      <w:r w:rsidRPr="00AA3FC5">
        <w:rPr>
          <w:sz w:val="22"/>
          <w:u w:val="single"/>
        </w:rPr>
        <w:t>Unfortunately, the power of choice in text selection does not belong to the teachers.</w:t>
      </w:r>
      <w:r w:rsidR="00E23304" w:rsidRPr="00AA3FC5">
        <w:rPr>
          <w:sz w:val="22"/>
        </w:rPr>
        <w:t xml:space="preserve"> (Thesis 5)</w:t>
      </w:r>
    </w:p>
    <w:p w14:paraId="6B921D68" w14:textId="77777777" w:rsidR="00E1697E" w:rsidRDefault="00E1697E" w:rsidP="00E1697E">
      <w:pPr>
        <w:spacing w:line="360" w:lineRule="auto"/>
        <w:contextualSpacing/>
        <w:jc w:val="both"/>
      </w:pPr>
    </w:p>
    <w:p w14:paraId="71199C4E" w14:textId="77777777" w:rsidR="00232AEE" w:rsidRDefault="00232AEE" w:rsidP="00E1697E">
      <w:pPr>
        <w:spacing w:line="360" w:lineRule="auto"/>
        <w:contextualSpacing/>
        <w:jc w:val="both"/>
      </w:pPr>
      <w:r w:rsidRPr="00007717">
        <w:t>Initially, the writer provided some background information on how the teacher should “own” a literary text in order to have a successful literature classroom. She then pointed out the decline of meaning-making was occurring because teachers did not have the freedom to choose literature texts the</w:t>
      </w:r>
      <w:r w:rsidR="00B108EC">
        <w:t>y can relate to</w:t>
      </w:r>
      <w:r w:rsidR="00867096">
        <w:t xml:space="preserve"> (see underlined)</w:t>
      </w:r>
      <w:r w:rsidRPr="00007717">
        <w:t>. Writer 5 continues her description of the inabilities of teachers to relate to the literature texts. The teachers could not teach literature because they were uncertain of the meaning of the literary text. In the end, the literature classroom failed.</w:t>
      </w:r>
    </w:p>
    <w:p w14:paraId="792C83DF" w14:textId="77777777" w:rsidR="003601B5" w:rsidRDefault="003601B5" w:rsidP="003601B5">
      <w:pPr>
        <w:spacing w:line="360" w:lineRule="auto"/>
        <w:contextualSpacing/>
        <w:jc w:val="both"/>
        <w:rPr>
          <w:lang w:val="en-MY"/>
        </w:rPr>
      </w:pPr>
    </w:p>
    <w:p w14:paraId="7E8E5498" w14:textId="59E16D3B" w:rsidR="00867096" w:rsidRDefault="00867096" w:rsidP="003601B5">
      <w:pPr>
        <w:spacing w:line="360" w:lineRule="auto"/>
        <w:contextualSpacing/>
        <w:jc w:val="both"/>
        <w:rPr>
          <w:lang w:val="en-MY"/>
        </w:rPr>
      </w:pPr>
      <w:r w:rsidRPr="00867096">
        <w:rPr>
          <w:lang w:val="en-MY"/>
        </w:rPr>
        <w:t xml:space="preserve">Besides </w:t>
      </w:r>
      <w:r w:rsidRPr="006E5E3B">
        <w:t>describing</w:t>
      </w:r>
      <w:r w:rsidRPr="00867096">
        <w:rPr>
          <w:lang w:val="en-MY"/>
        </w:rPr>
        <w:t xml:space="preserve"> the current problematic situation of the real world as the niche of the study, writers also pointed out problems in the theory or concept of the themes under study. To explain this further, an excerpt from Thesis 2 is provided. The underlined concerned the themes of the reading approaches. They were the main aspects to consider when investigating reading comprehension.</w:t>
      </w:r>
    </w:p>
    <w:p w14:paraId="3BCBFEEB" w14:textId="77777777" w:rsidR="003601B5" w:rsidRPr="00867096" w:rsidRDefault="003601B5" w:rsidP="003601B5">
      <w:pPr>
        <w:spacing w:line="360" w:lineRule="auto"/>
        <w:contextualSpacing/>
        <w:jc w:val="both"/>
        <w:rPr>
          <w:lang w:val="en-MY"/>
        </w:rPr>
      </w:pPr>
    </w:p>
    <w:p w14:paraId="35503997" w14:textId="59EBCB66" w:rsidR="00867096" w:rsidRPr="00AA3FC5" w:rsidRDefault="00867096" w:rsidP="00AA3FC5">
      <w:pPr>
        <w:spacing w:after="0" w:line="360" w:lineRule="auto"/>
        <w:ind w:left="706" w:right="432"/>
        <w:contextualSpacing/>
        <w:jc w:val="both"/>
        <w:rPr>
          <w:sz w:val="22"/>
          <w:lang w:val="en-MY"/>
        </w:rPr>
      </w:pPr>
      <w:r w:rsidRPr="00AA3FC5">
        <w:rPr>
          <w:sz w:val="22"/>
          <w:lang w:val="en-MY"/>
        </w:rPr>
        <w:t xml:space="preserve">Other factors such as </w:t>
      </w:r>
      <w:r w:rsidRPr="00AA3FC5">
        <w:rPr>
          <w:sz w:val="22"/>
          <w:u w:val="single"/>
          <w:lang w:val="en-MY"/>
        </w:rPr>
        <w:t>poor reading strategy knowledge, perceptions of reading, interest, past experiences and lack of vocabulary knowledge (1)</w:t>
      </w:r>
      <w:r w:rsidRPr="00AA3FC5">
        <w:rPr>
          <w:sz w:val="22"/>
          <w:lang w:val="en-MY"/>
        </w:rPr>
        <w:t xml:space="preserve"> are those often mentioned by researches [</w:t>
      </w:r>
      <w:r w:rsidRPr="00AA3FC5">
        <w:rPr>
          <w:i/>
          <w:sz w:val="22"/>
          <w:lang w:val="en-MY"/>
        </w:rPr>
        <w:t>sic</w:t>
      </w:r>
      <w:r w:rsidRPr="00AA3FC5">
        <w:rPr>
          <w:sz w:val="22"/>
          <w:lang w:val="en-MY"/>
        </w:rPr>
        <w:t>] as contributing toward the Malaysian students’ problems in approaching reading (</w:t>
      </w:r>
      <w:proofErr w:type="spellStart"/>
      <w:r w:rsidRPr="00AA3FC5">
        <w:rPr>
          <w:sz w:val="22"/>
          <w:lang w:val="en-MY"/>
        </w:rPr>
        <w:t>Ramaiah</w:t>
      </w:r>
      <w:proofErr w:type="spellEnd"/>
      <w:r w:rsidRPr="00AA3FC5">
        <w:rPr>
          <w:sz w:val="22"/>
          <w:lang w:val="en-MY"/>
        </w:rPr>
        <w:t xml:space="preserve"> &amp; Nambiar, 1993; </w:t>
      </w:r>
      <w:proofErr w:type="spellStart"/>
      <w:r w:rsidRPr="00AA3FC5">
        <w:rPr>
          <w:sz w:val="22"/>
          <w:lang w:val="en-MY"/>
        </w:rPr>
        <w:t>Ramaiah</w:t>
      </w:r>
      <w:proofErr w:type="spellEnd"/>
      <w:r w:rsidRPr="00AA3FC5">
        <w:rPr>
          <w:sz w:val="22"/>
          <w:lang w:val="en-MY"/>
        </w:rPr>
        <w:t xml:space="preserve">, 1997; </w:t>
      </w:r>
      <w:proofErr w:type="spellStart"/>
      <w:r w:rsidRPr="00AA3FC5">
        <w:rPr>
          <w:sz w:val="22"/>
          <w:lang w:val="en-MY"/>
        </w:rPr>
        <w:t>Faizah</w:t>
      </w:r>
      <w:proofErr w:type="spellEnd"/>
      <w:r w:rsidRPr="00AA3FC5">
        <w:rPr>
          <w:sz w:val="22"/>
          <w:lang w:val="en-MY"/>
        </w:rPr>
        <w:t xml:space="preserve"> et al., 2002, Wong &amp; </w:t>
      </w:r>
      <w:proofErr w:type="spellStart"/>
      <w:r w:rsidRPr="00AA3FC5">
        <w:rPr>
          <w:sz w:val="22"/>
          <w:lang w:val="en-MY"/>
        </w:rPr>
        <w:t>Mardziah</w:t>
      </w:r>
      <w:proofErr w:type="spellEnd"/>
      <w:r w:rsidRPr="00AA3FC5">
        <w:rPr>
          <w:sz w:val="22"/>
          <w:lang w:val="en-MY"/>
        </w:rPr>
        <w:t>, 2003).</w:t>
      </w:r>
      <w:r w:rsidR="002E5DD2" w:rsidRPr="00AA3FC5">
        <w:rPr>
          <w:sz w:val="22"/>
          <w:lang w:val="en-MY"/>
        </w:rPr>
        <w:t xml:space="preserve"> (Thesis 2)</w:t>
      </w:r>
    </w:p>
    <w:p w14:paraId="127E6C41" w14:textId="47E7A3D5" w:rsidR="00232AEE" w:rsidRPr="00867096" w:rsidRDefault="00232AEE" w:rsidP="003601B5">
      <w:pPr>
        <w:spacing w:line="360" w:lineRule="auto"/>
        <w:contextualSpacing/>
        <w:jc w:val="both"/>
        <w:rPr>
          <w:i/>
        </w:rPr>
      </w:pPr>
      <w:r w:rsidRPr="00867096">
        <w:rPr>
          <w:i/>
        </w:rPr>
        <w:t>M2s1b: Need</w:t>
      </w:r>
    </w:p>
    <w:p w14:paraId="170BBBA1" w14:textId="58340CFF" w:rsidR="000E1DA3" w:rsidRPr="000E1DA3" w:rsidRDefault="00867096" w:rsidP="003601B5">
      <w:pPr>
        <w:spacing w:after="0" w:line="360" w:lineRule="auto"/>
        <w:contextualSpacing/>
        <w:jc w:val="both"/>
        <w:rPr>
          <w:lang w:val="en-MY"/>
        </w:rPr>
      </w:pPr>
      <w:r w:rsidRPr="00867096">
        <w:rPr>
          <w:lang w:val="en-MY"/>
        </w:rPr>
        <w:t xml:space="preserve">Another common attribute of M2s1b is </w:t>
      </w:r>
      <w:r w:rsidR="003A4A4B">
        <w:rPr>
          <w:lang w:val="en-MY"/>
        </w:rPr>
        <w:t xml:space="preserve">a </w:t>
      </w:r>
      <w:r w:rsidRPr="00867096">
        <w:rPr>
          <w:lang w:val="en-MY"/>
        </w:rPr>
        <w:t xml:space="preserve">statement of needs. </w:t>
      </w:r>
      <w:r w:rsidR="00F87CCB">
        <w:t>Table 2</w:t>
      </w:r>
      <w:r w:rsidR="00232AEE" w:rsidRPr="00007717">
        <w:t xml:space="preserve"> above shows that statements of need as the strategy for establishing a niche are more prevalent than those of </w:t>
      </w:r>
      <w:r w:rsidR="00232AEE" w:rsidRPr="00007717">
        <w:lastRenderedPageBreak/>
        <w:t xml:space="preserve">problems. Justification of need for the study also revolved around the real-world phenomenon and the theoretical topics phenomenon; they were presented </w:t>
      </w:r>
      <w:r w:rsidR="00F87CCB">
        <w:t>both explicitly and implicitly.</w:t>
      </w:r>
      <w:r w:rsidR="00232AEE" w:rsidRPr="00007717">
        <w:t xml:space="preserve"> </w:t>
      </w:r>
      <w:r w:rsidR="000E1DA3">
        <w:rPr>
          <w:lang w:val="en-MY"/>
        </w:rPr>
        <w:t>Table 3</w:t>
      </w:r>
      <w:r w:rsidR="000E1DA3" w:rsidRPr="000E1DA3">
        <w:rPr>
          <w:lang w:val="en-MY"/>
        </w:rPr>
        <w:t xml:space="preserve"> summarises the detailed findings of Move 2 “need” statements. </w:t>
      </w:r>
    </w:p>
    <w:p w14:paraId="3829C3F0" w14:textId="77777777" w:rsidR="000E1DA3" w:rsidRPr="000E1DA3" w:rsidRDefault="000E1DA3" w:rsidP="003601B5">
      <w:pPr>
        <w:spacing w:after="0" w:line="360" w:lineRule="auto"/>
        <w:contextualSpacing/>
        <w:jc w:val="both"/>
        <w:rPr>
          <w:lang w:val="en-MY"/>
        </w:rPr>
      </w:pPr>
    </w:p>
    <w:p w14:paraId="354EADB9" w14:textId="77777777" w:rsidR="000E1DA3" w:rsidRPr="000E1DA3" w:rsidRDefault="000E1DA3" w:rsidP="003601B5">
      <w:pPr>
        <w:spacing w:after="0" w:line="360" w:lineRule="auto"/>
        <w:contextualSpacing/>
        <w:jc w:val="both"/>
        <w:rPr>
          <w:lang w:val="en-MY"/>
        </w:rPr>
      </w:pPr>
      <w:r>
        <w:rPr>
          <w:lang w:val="en-MY"/>
        </w:rPr>
        <w:t>Table 3</w:t>
      </w:r>
    </w:p>
    <w:p w14:paraId="266B5C63" w14:textId="77777777" w:rsidR="000E1DA3" w:rsidRPr="000E1DA3" w:rsidRDefault="000E1DA3" w:rsidP="003601B5">
      <w:pPr>
        <w:spacing w:after="0" w:line="360" w:lineRule="auto"/>
        <w:contextualSpacing/>
        <w:jc w:val="both"/>
        <w:rPr>
          <w:i/>
          <w:lang w:val="en-MY"/>
        </w:rPr>
      </w:pPr>
      <w:r w:rsidRPr="000E1DA3">
        <w:rPr>
          <w:i/>
          <w:lang w:val="en-MY"/>
        </w:rPr>
        <w:t>Detailed findings of M21sb: Need statements</w:t>
      </w:r>
    </w:p>
    <w:tbl>
      <w:tblPr>
        <w:tblW w:w="0" w:type="auto"/>
        <w:tblLook w:val="04A0" w:firstRow="1" w:lastRow="0" w:firstColumn="1" w:lastColumn="0" w:noHBand="0" w:noVBand="1"/>
      </w:tblPr>
      <w:tblGrid>
        <w:gridCol w:w="3024"/>
        <w:gridCol w:w="3016"/>
        <w:gridCol w:w="3032"/>
      </w:tblGrid>
      <w:tr w:rsidR="000E1DA3" w:rsidRPr="000E1DA3" w14:paraId="74B0845F" w14:textId="77777777" w:rsidTr="008D65BB">
        <w:tc>
          <w:tcPr>
            <w:tcW w:w="3080" w:type="dxa"/>
            <w:shd w:val="clear" w:color="auto" w:fill="auto"/>
          </w:tcPr>
          <w:p w14:paraId="7FC4150F" w14:textId="77777777" w:rsidR="000E1DA3" w:rsidRPr="000E1DA3" w:rsidRDefault="000E1DA3" w:rsidP="003601B5">
            <w:pPr>
              <w:spacing w:after="0" w:line="360" w:lineRule="auto"/>
              <w:contextualSpacing/>
              <w:jc w:val="both"/>
              <w:rPr>
                <w:b/>
                <w:bCs/>
                <w:lang w:val="en-AU"/>
              </w:rPr>
            </w:pPr>
          </w:p>
        </w:tc>
        <w:tc>
          <w:tcPr>
            <w:tcW w:w="3081" w:type="dxa"/>
            <w:shd w:val="clear" w:color="auto" w:fill="auto"/>
          </w:tcPr>
          <w:p w14:paraId="2068CB26" w14:textId="77777777" w:rsidR="000E1DA3" w:rsidRPr="000E1DA3" w:rsidRDefault="000E1DA3" w:rsidP="003601B5">
            <w:pPr>
              <w:spacing w:after="0" w:line="360" w:lineRule="auto"/>
              <w:contextualSpacing/>
              <w:jc w:val="both"/>
              <w:rPr>
                <w:b/>
                <w:bCs/>
                <w:lang w:val="en-AU"/>
              </w:rPr>
            </w:pPr>
            <w:r w:rsidRPr="000E1DA3">
              <w:rPr>
                <w:b/>
                <w:bCs/>
                <w:lang w:val="en-AU"/>
              </w:rPr>
              <w:t xml:space="preserve">Explicit </w:t>
            </w:r>
          </w:p>
        </w:tc>
        <w:tc>
          <w:tcPr>
            <w:tcW w:w="3081" w:type="dxa"/>
            <w:shd w:val="clear" w:color="auto" w:fill="auto"/>
          </w:tcPr>
          <w:p w14:paraId="6F463D74" w14:textId="77777777" w:rsidR="000E1DA3" w:rsidRPr="000E1DA3" w:rsidRDefault="000E1DA3" w:rsidP="003601B5">
            <w:pPr>
              <w:spacing w:after="0" w:line="360" w:lineRule="auto"/>
              <w:contextualSpacing/>
              <w:jc w:val="both"/>
              <w:rPr>
                <w:b/>
                <w:bCs/>
                <w:lang w:val="en-AU"/>
              </w:rPr>
            </w:pPr>
            <w:r w:rsidRPr="000E1DA3">
              <w:rPr>
                <w:b/>
                <w:bCs/>
                <w:lang w:val="en-AU"/>
              </w:rPr>
              <w:t>Implied</w:t>
            </w:r>
          </w:p>
        </w:tc>
      </w:tr>
      <w:tr w:rsidR="000E1DA3" w:rsidRPr="000E1DA3" w14:paraId="67E3B2A8" w14:textId="77777777" w:rsidTr="00D74047">
        <w:tc>
          <w:tcPr>
            <w:tcW w:w="3080" w:type="dxa"/>
            <w:tcBorders>
              <w:top w:val="single" w:sz="8" w:space="0" w:color="000000" w:themeColor="text1"/>
              <w:bottom w:val="single" w:sz="4" w:space="0" w:color="auto"/>
            </w:tcBorders>
            <w:shd w:val="clear" w:color="auto" w:fill="FFFFFF" w:themeFill="background1"/>
          </w:tcPr>
          <w:p w14:paraId="6A6B34F3" w14:textId="21F4A1F3" w:rsidR="000E1DA3" w:rsidRPr="000E1DA3" w:rsidRDefault="000E1DA3" w:rsidP="003601B5">
            <w:pPr>
              <w:spacing w:after="0" w:line="360" w:lineRule="auto"/>
              <w:contextualSpacing/>
              <w:rPr>
                <w:b/>
                <w:bCs/>
                <w:lang w:val="en-AU"/>
              </w:rPr>
            </w:pPr>
            <w:r w:rsidRPr="000E1DA3">
              <w:rPr>
                <w:b/>
                <w:bCs/>
                <w:lang w:val="en-AU"/>
              </w:rPr>
              <w:t>Need</w:t>
            </w:r>
            <w:r w:rsidR="002E5DD2">
              <w:rPr>
                <w:b/>
                <w:bCs/>
                <w:lang w:val="en-AU"/>
              </w:rPr>
              <w:t xml:space="preserve"> </w:t>
            </w:r>
            <w:r w:rsidRPr="000E1DA3">
              <w:rPr>
                <w:b/>
                <w:bCs/>
                <w:lang w:val="en-AU"/>
              </w:rPr>
              <w:t>(real world and theoretical topics)</w:t>
            </w:r>
          </w:p>
        </w:tc>
        <w:tc>
          <w:tcPr>
            <w:tcW w:w="3081" w:type="dxa"/>
            <w:tcBorders>
              <w:top w:val="single" w:sz="8" w:space="0" w:color="000000" w:themeColor="text1"/>
              <w:bottom w:val="single" w:sz="4" w:space="0" w:color="auto"/>
            </w:tcBorders>
            <w:shd w:val="clear" w:color="auto" w:fill="FFFFFF" w:themeFill="background1"/>
          </w:tcPr>
          <w:p w14:paraId="2DDB451D" w14:textId="77777777" w:rsidR="000E1DA3" w:rsidRPr="000E1DA3" w:rsidRDefault="000E1DA3" w:rsidP="003601B5">
            <w:pPr>
              <w:spacing w:after="0" w:line="360" w:lineRule="auto"/>
              <w:contextualSpacing/>
              <w:jc w:val="both"/>
              <w:rPr>
                <w:lang w:val="en-AU"/>
              </w:rPr>
            </w:pPr>
            <w:r w:rsidRPr="000E1DA3">
              <w:rPr>
                <w:lang w:val="en-AU"/>
              </w:rPr>
              <w:t xml:space="preserve">Lexical word </w:t>
            </w:r>
            <w:r w:rsidRPr="000E1DA3">
              <w:rPr>
                <w:i/>
                <w:lang w:val="en-AU"/>
              </w:rPr>
              <w:t>need</w:t>
            </w:r>
          </w:p>
          <w:p w14:paraId="4FF74685" w14:textId="77777777" w:rsidR="000E1DA3" w:rsidRPr="000E1DA3" w:rsidRDefault="000E1DA3" w:rsidP="003601B5">
            <w:pPr>
              <w:spacing w:after="0" w:line="360" w:lineRule="auto"/>
              <w:contextualSpacing/>
              <w:jc w:val="both"/>
              <w:rPr>
                <w:lang w:val="en-AU"/>
              </w:rPr>
            </w:pPr>
          </w:p>
        </w:tc>
        <w:tc>
          <w:tcPr>
            <w:tcW w:w="3081" w:type="dxa"/>
            <w:tcBorders>
              <w:top w:val="single" w:sz="8" w:space="0" w:color="000000" w:themeColor="text1"/>
              <w:bottom w:val="single" w:sz="4" w:space="0" w:color="auto"/>
            </w:tcBorders>
            <w:shd w:val="clear" w:color="auto" w:fill="FFFFFF" w:themeFill="background1"/>
          </w:tcPr>
          <w:p w14:paraId="5C59461D" w14:textId="3D71CD17" w:rsidR="000E1DA3" w:rsidRPr="000E1DA3" w:rsidRDefault="006E5E3B" w:rsidP="003601B5">
            <w:pPr>
              <w:tabs>
                <w:tab w:val="left" w:pos="1777"/>
              </w:tabs>
              <w:spacing w:after="0" w:line="360" w:lineRule="auto"/>
              <w:contextualSpacing/>
              <w:jc w:val="both"/>
              <w:rPr>
                <w:lang w:val="en-AU"/>
              </w:rPr>
            </w:pPr>
            <w:r w:rsidRPr="000E1DA3">
              <w:rPr>
                <w:i/>
                <w:lang w:val="en-AU"/>
              </w:rPr>
              <w:t>I</w:t>
            </w:r>
            <w:r w:rsidR="000E1DA3" w:rsidRPr="000E1DA3">
              <w:rPr>
                <w:i/>
                <w:lang w:val="en-AU"/>
              </w:rPr>
              <w:t>mportance</w:t>
            </w:r>
            <w:r>
              <w:rPr>
                <w:lang w:val="en-AU"/>
              </w:rPr>
              <w:tab/>
            </w:r>
            <w:r w:rsidR="000E1DA3" w:rsidRPr="000E1DA3">
              <w:rPr>
                <w:lang w:val="en-AU"/>
              </w:rPr>
              <w:t>Others</w:t>
            </w:r>
          </w:p>
        </w:tc>
      </w:tr>
    </w:tbl>
    <w:p w14:paraId="2549B4FE" w14:textId="77777777" w:rsidR="00F87CCB" w:rsidRDefault="00F87CCB" w:rsidP="003601B5">
      <w:pPr>
        <w:spacing w:after="0" w:line="360" w:lineRule="auto"/>
        <w:contextualSpacing/>
        <w:jc w:val="both"/>
      </w:pPr>
    </w:p>
    <w:p w14:paraId="17B14593" w14:textId="56F80AD7" w:rsidR="00232AEE" w:rsidRDefault="00E61F1B" w:rsidP="00E1697E">
      <w:pPr>
        <w:spacing w:line="360" w:lineRule="auto"/>
        <w:contextualSpacing/>
        <w:jc w:val="both"/>
      </w:pPr>
      <w:r>
        <w:t>The most preferred</w:t>
      </w:r>
      <w:r w:rsidR="008E4C81">
        <w:t xml:space="preserve"> </w:t>
      </w:r>
      <w:r w:rsidR="00232AEE" w:rsidRPr="00007717">
        <w:t xml:space="preserve">way </w:t>
      </w:r>
      <w:r w:rsidR="008E4C81">
        <w:t>in showing need statem</w:t>
      </w:r>
      <w:r>
        <w:t>e</w:t>
      </w:r>
      <w:r w:rsidR="008E4C81">
        <w:t xml:space="preserve">nts </w:t>
      </w:r>
      <w:r w:rsidR="00232AEE" w:rsidRPr="00007717">
        <w:t xml:space="preserve">was by explicitly using the word </w:t>
      </w:r>
      <w:r w:rsidR="008E4C81">
        <w:t>“</w:t>
      </w:r>
      <w:r w:rsidR="00232AEE" w:rsidRPr="00007717">
        <w:t>need</w:t>
      </w:r>
      <w:r w:rsidR="008E4C81">
        <w:t>”</w:t>
      </w:r>
      <w:r w:rsidR="00232AEE" w:rsidRPr="00007717">
        <w:t>. The writer of Thesis 8, for instanc</w:t>
      </w:r>
      <w:r w:rsidR="00F87CCB">
        <w:t>e, used need in most of her niche</w:t>
      </w:r>
      <w:r w:rsidR="00232AEE" w:rsidRPr="00007717">
        <w:t xml:space="preserve"> statements to show the magnitude of “essential” and “worth” of a study.</w:t>
      </w:r>
    </w:p>
    <w:p w14:paraId="515EC137" w14:textId="77777777" w:rsidR="00E1697E" w:rsidRPr="00007717" w:rsidRDefault="00E1697E" w:rsidP="00E1697E">
      <w:pPr>
        <w:spacing w:line="360" w:lineRule="auto"/>
        <w:contextualSpacing/>
        <w:jc w:val="both"/>
      </w:pPr>
    </w:p>
    <w:p w14:paraId="06C6CEF4" w14:textId="77777777" w:rsidR="00232AEE" w:rsidRPr="00007717" w:rsidRDefault="00232AEE" w:rsidP="003601B5">
      <w:pPr>
        <w:spacing w:line="360" w:lineRule="auto"/>
        <w:ind w:left="1134" w:hanging="426"/>
        <w:contextualSpacing/>
        <w:jc w:val="both"/>
      </w:pPr>
      <w:r w:rsidRPr="00007717">
        <w:t>i)</w:t>
      </w:r>
      <w:r w:rsidRPr="00007717">
        <w:tab/>
        <w:t xml:space="preserve">Therefore, Malaysian ESL learners </w:t>
      </w:r>
      <w:r w:rsidRPr="000E1DA3">
        <w:rPr>
          <w:u w:val="single"/>
        </w:rPr>
        <w:t>need</w:t>
      </w:r>
      <w:r w:rsidRPr="000E1DA3">
        <w:rPr>
          <w:i/>
        </w:rPr>
        <w:t xml:space="preserve"> </w:t>
      </w:r>
      <w:r w:rsidRPr="00007717">
        <w:t>to understand how modals should be learned to attain mastery of the use of modals in their language;</w:t>
      </w:r>
    </w:p>
    <w:p w14:paraId="13FE231C" w14:textId="77777777" w:rsidR="00232AEE" w:rsidRPr="00007717" w:rsidRDefault="00232AEE" w:rsidP="003601B5">
      <w:pPr>
        <w:spacing w:line="360" w:lineRule="auto"/>
        <w:ind w:left="1134" w:hanging="426"/>
        <w:contextualSpacing/>
        <w:jc w:val="both"/>
      </w:pPr>
      <w:r w:rsidRPr="00007717">
        <w:t>ii)</w:t>
      </w:r>
      <w:r w:rsidRPr="00007717">
        <w:tab/>
        <w:t xml:space="preserve">Gill (2002) feels that there is a </w:t>
      </w:r>
      <w:r w:rsidRPr="000E1DA3">
        <w:rPr>
          <w:u w:val="single"/>
        </w:rPr>
        <w:t>need</w:t>
      </w:r>
      <w:r w:rsidRPr="00007717">
        <w:t xml:space="preserve"> to further research Malaysian English so that the results can be well disseminated and used to inform teachers and teacher trainers.</w:t>
      </w:r>
    </w:p>
    <w:p w14:paraId="1795B30E" w14:textId="33FEACDB" w:rsidR="00232AEE" w:rsidRDefault="00232AEE" w:rsidP="003601B5">
      <w:pPr>
        <w:spacing w:line="360" w:lineRule="auto"/>
        <w:ind w:left="1134" w:hanging="426"/>
        <w:contextualSpacing/>
        <w:jc w:val="both"/>
      </w:pPr>
      <w:r w:rsidRPr="00007717">
        <w:t>iii)</w:t>
      </w:r>
      <w:r w:rsidRPr="00007717">
        <w:tab/>
        <w:t>However, in order to be understood, there must be a standard variety that is acceptable internationally and that is what the formal Malaysian English is.</w:t>
      </w:r>
      <w:r w:rsidR="006E5E3B">
        <w:t xml:space="preserve"> </w:t>
      </w:r>
      <w:r w:rsidRPr="00007717">
        <w:t xml:space="preserve">Therefore, ESL learners </w:t>
      </w:r>
      <w:r w:rsidRPr="000E1DA3">
        <w:rPr>
          <w:u w:val="single"/>
        </w:rPr>
        <w:t>need</w:t>
      </w:r>
      <w:r w:rsidRPr="00007717">
        <w:t xml:space="preserve"> to master the use of modals with regard to the accepted Standard Malaysian English that is understood in the country and internationally.</w:t>
      </w:r>
      <w:r w:rsidR="00E23304">
        <w:t xml:space="preserve"> (Thesis 8)</w:t>
      </w:r>
    </w:p>
    <w:p w14:paraId="3B273E69" w14:textId="77777777" w:rsidR="00E1697E" w:rsidRDefault="00E1697E" w:rsidP="003601B5">
      <w:pPr>
        <w:spacing w:line="360" w:lineRule="auto"/>
        <w:ind w:left="1134" w:hanging="426"/>
        <w:contextualSpacing/>
        <w:jc w:val="both"/>
      </w:pPr>
    </w:p>
    <w:p w14:paraId="6D6EA778" w14:textId="37B2F81C" w:rsidR="00232AEE" w:rsidRDefault="00F87CCB" w:rsidP="003601B5">
      <w:pPr>
        <w:spacing w:line="360" w:lineRule="auto"/>
        <w:contextualSpacing/>
        <w:jc w:val="both"/>
      </w:pPr>
      <w:r>
        <w:t>There are also many</w:t>
      </w:r>
      <w:r w:rsidR="00232AEE" w:rsidRPr="00007717">
        <w:t xml:space="preserve"> </w:t>
      </w:r>
      <w:r w:rsidR="00E61F1B">
        <w:t>need statements</w:t>
      </w:r>
      <w:r w:rsidR="00232AEE" w:rsidRPr="00007717">
        <w:t xml:space="preserve"> </w:t>
      </w:r>
      <w:r>
        <w:t xml:space="preserve">that </w:t>
      </w:r>
      <w:r w:rsidR="00232AEE" w:rsidRPr="00007717">
        <w:t>were done implicitly. Similar to the results found in Samraj’s study, most of t</w:t>
      </w:r>
      <w:r>
        <w:t>he implied need statements in this</w:t>
      </w:r>
      <w:r w:rsidR="00232AEE" w:rsidRPr="00007717">
        <w:t xml:space="preserve"> research showed the importance and the benefit of the study, leading to an implicit justification of the research. Excerpts from Thesis 4 and Thesis 5 below used the word </w:t>
      </w:r>
      <w:r w:rsidR="0048306D">
        <w:t>‘</w:t>
      </w:r>
      <w:r w:rsidR="00232AEE" w:rsidRPr="00007717">
        <w:t>important</w:t>
      </w:r>
      <w:r w:rsidR="0048306D">
        <w:t>’</w:t>
      </w:r>
      <w:r w:rsidR="00232AEE" w:rsidRPr="00007717">
        <w:t xml:space="preserve"> to signify the need of the study.</w:t>
      </w:r>
    </w:p>
    <w:p w14:paraId="2761DFA5" w14:textId="77777777" w:rsidR="003601B5" w:rsidRPr="00007717" w:rsidRDefault="003601B5" w:rsidP="003601B5">
      <w:pPr>
        <w:spacing w:line="360" w:lineRule="auto"/>
        <w:contextualSpacing/>
        <w:jc w:val="both"/>
      </w:pPr>
    </w:p>
    <w:p w14:paraId="1BFF4F6C" w14:textId="2C9691BE" w:rsidR="003601B5" w:rsidRPr="00007717" w:rsidRDefault="00232AEE" w:rsidP="003601B5">
      <w:pPr>
        <w:spacing w:line="360" w:lineRule="auto"/>
        <w:ind w:left="708"/>
        <w:contextualSpacing/>
        <w:jc w:val="both"/>
      </w:pPr>
      <w:r w:rsidRPr="00007717">
        <w:t xml:space="preserve">The </w:t>
      </w:r>
      <w:r w:rsidRPr="0048306D">
        <w:rPr>
          <w:u w:val="single"/>
        </w:rPr>
        <w:t>importance</w:t>
      </w:r>
      <w:r w:rsidRPr="00007717">
        <w:t xml:space="preserve"> of understanding the teachers’ be</w:t>
      </w:r>
      <w:r w:rsidR="00F87CCB">
        <w:t>lief system is crucial</w:t>
      </w:r>
      <w:r w:rsidRPr="00007717">
        <w:t xml:space="preserve"> in order to relate and comprehend practices in the classroom. (Thesis 4)</w:t>
      </w:r>
    </w:p>
    <w:p w14:paraId="402C07DC" w14:textId="77777777" w:rsidR="00232AEE" w:rsidRDefault="00232AEE" w:rsidP="003601B5">
      <w:pPr>
        <w:spacing w:line="360" w:lineRule="auto"/>
        <w:ind w:left="708"/>
        <w:contextualSpacing/>
        <w:jc w:val="both"/>
      </w:pPr>
      <w:r w:rsidRPr="00007717">
        <w:lastRenderedPageBreak/>
        <w:t xml:space="preserve">Hence, further investigation on all four dimensions of creativity namely: Process (creative process), Person (personality attributes), Press (school and home environment) and Product are equally </w:t>
      </w:r>
      <w:r w:rsidRPr="0048306D">
        <w:rPr>
          <w:u w:val="single"/>
        </w:rPr>
        <w:t>important</w:t>
      </w:r>
      <w:r w:rsidRPr="00007717">
        <w:t>. (Thesis 5)</w:t>
      </w:r>
    </w:p>
    <w:p w14:paraId="1849BD69" w14:textId="77777777" w:rsidR="003601B5" w:rsidRDefault="003601B5" w:rsidP="003601B5">
      <w:pPr>
        <w:spacing w:line="360" w:lineRule="auto"/>
        <w:contextualSpacing/>
        <w:jc w:val="both"/>
      </w:pPr>
    </w:p>
    <w:p w14:paraId="74366261" w14:textId="77777777" w:rsidR="00232AEE" w:rsidRPr="00007717" w:rsidRDefault="00232AEE" w:rsidP="003601B5">
      <w:pPr>
        <w:spacing w:line="360" w:lineRule="auto"/>
        <w:contextualSpacing/>
        <w:jc w:val="both"/>
      </w:pPr>
      <w:r w:rsidRPr="00007717">
        <w:t>One fascinating characteristic of a need statement in Move 2 is the common depiction of patriotic</w:t>
      </w:r>
      <w:r w:rsidR="0047004E">
        <w:t xml:space="preserve"> obligation. Nine</w:t>
      </w:r>
      <w:r w:rsidRPr="00007717">
        <w:t xml:space="preserve"> occurrences </w:t>
      </w:r>
      <w:r w:rsidR="0047004E">
        <w:t xml:space="preserve">were found </w:t>
      </w:r>
      <w:r w:rsidRPr="00007717">
        <w:t>where the writers explicitly expressed urgency and the importance of the study to their country. Examples taken from Thesi</w:t>
      </w:r>
      <w:r w:rsidR="0047004E">
        <w:t>s 4 and Thesis 5</w:t>
      </w:r>
      <w:r w:rsidRPr="00007717">
        <w:t xml:space="preserve"> are prov</w:t>
      </w:r>
      <w:r w:rsidR="0047004E">
        <w:t>ided below</w:t>
      </w:r>
      <w:r w:rsidRPr="00007717">
        <w:t>:</w:t>
      </w:r>
    </w:p>
    <w:p w14:paraId="65690CCF" w14:textId="54C987E7" w:rsidR="00DC09C7" w:rsidRDefault="00232AEE" w:rsidP="003601B5">
      <w:pPr>
        <w:pStyle w:val="ListParagraph"/>
        <w:numPr>
          <w:ilvl w:val="0"/>
          <w:numId w:val="9"/>
        </w:numPr>
        <w:spacing w:line="360" w:lineRule="auto"/>
        <w:ind w:left="1134" w:hanging="424"/>
        <w:jc w:val="both"/>
      </w:pPr>
      <w:r w:rsidRPr="00007717">
        <w:t xml:space="preserve">The main focus that needs to be addressed is the teaching strategies and techniques that could </w:t>
      </w:r>
      <w:r w:rsidRPr="0048306D">
        <w:rPr>
          <w:u w:val="single"/>
        </w:rPr>
        <w:t>help our Malaysian teachers be better teachers</w:t>
      </w:r>
      <w:r w:rsidRPr="00007717">
        <w:t xml:space="preserve">, and how we can help teachers to improve their subject knowledge, pedagogical knowledge and practical knowledge. </w:t>
      </w:r>
      <w:r w:rsidR="00D20106">
        <w:t>(Thesis 4)</w:t>
      </w:r>
    </w:p>
    <w:p w14:paraId="014E0177" w14:textId="77777777" w:rsidR="00232AEE" w:rsidRPr="00007717" w:rsidRDefault="00232AEE" w:rsidP="003601B5">
      <w:pPr>
        <w:spacing w:line="360" w:lineRule="auto"/>
        <w:ind w:left="1134" w:hanging="424"/>
        <w:contextualSpacing/>
        <w:jc w:val="both"/>
      </w:pPr>
      <w:r w:rsidRPr="00007717">
        <w:t>(i)</w:t>
      </w:r>
      <w:r w:rsidRPr="00007717">
        <w:tab/>
        <w:t xml:space="preserve">... a study on the Malaysian children’s creativity has been found necessary to </w:t>
      </w:r>
      <w:r w:rsidRPr="0048306D">
        <w:rPr>
          <w:u w:val="single"/>
        </w:rPr>
        <w:t>help establish the Malaysian creativity profile</w:t>
      </w:r>
      <w:r w:rsidRPr="00007717">
        <w:t>.</w:t>
      </w:r>
    </w:p>
    <w:p w14:paraId="5B84AA3E" w14:textId="2A889738" w:rsidR="00DC09C7" w:rsidRDefault="00232AEE" w:rsidP="003601B5">
      <w:pPr>
        <w:pStyle w:val="ListParagraph"/>
        <w:numPr>
          <w:ilvl w:val="0"/>
          <w:numId w:val="9"/>
        </w:numPr>
        <w:spacing w:line="360" w:lineRule="auto"/>
        <w:ind w:left="1134" w:hanging="424"/>
        <w:jc w:val="both"/>
      </w:pPr>
      <w:r w:rsidRPr="00007717">
        <w:t xml:space="preserve">As such, a study on Year Five children’s creativity is viewed necessary to substantiate the </w:t>
      </w:r>
      <w:r w:rsidRPr="0048306D">
        <w:rPr>
          <w:u w:val="single"/>
        </w:rPr>
        <w:t>body of knowledge on creativity in this country</w:t>
      </w:r>
      <w:r w:rsidRPr="00007717">
        <w:t xml:space="preserve">. </w:t>
      </w:r>
      <w:r w:rsidR="00D20106">
        <w:t>(Thesis 5)</w:t>
      </w:r>
    </w:p>
    <w:p w14:paraId="4149135D" w14:textId="77777777" w:rsidR="00B53EBD" w:rsidRPr="00BC19FC" w:rsidRDefault="00B53EBD" w:rsidP="003601B5">
      <w:pPr>
        <w:spacing w:line="360" w:lineRule="auto"/>
        <w:contextualSpacing/>
        <w:jc w:val="both"/>
        <w:rPr>
          <w:i/>
        </w:rPr>
      </w:pPr>
    </w:p>
    <w:p w14:paraId="6D407166" w14:textId="57DFD707" w:rsidR="00B53EBD" w:rsidRPr="00BC19FC" w:rsidRDefault="00B53EBD" w:rsidP="003601B5">
      <w:pPr>
        <w:spacing w:line="360" w:lineRule="auto"/>
        <w:contextualSpacing/>
        <w:jc w:val="both"/>
        <w:rPr>
          <w:i/>
        </w:rPr>
      </w:pPr>
      <w:r w:rsidRPr="00BC19FC">
        <w:rPr>
          <w:i/>
        </w:rPr>
        <w:t>b) M2s1a: Indicating a gap</w:t>
      </w:r>
    </w:p>
    <w:p w14:paraId="5C4B4C84" w14:textId="03E363FA" w:rsidR="00B53EBD" w:rsidRPr="00BC19FC" w:rsidRDefault="00B53EBD" w:rsidP="003601B5">
      <w:pPr>
        <w:spacing w:line="360" w:lineRule="auto"/>
        <w:contextualSpacing/>
        <w:jc w:val="both"/>
      </w:pPr>
      <w:r w:rsidRPr="00BC19FC">
        <w:t xml:space="preserve">Indicating a gap step another common strategy in establishing the niche of a study. It has been found in all move-step analysis studies, particularly with reference to academic research writing. This step is also an important strategy for Malaysian writers. Figure 3 above has indicated that this step was the second most common step used to launch the study’s niche. Table 4 below shows the importance of this step in individual theses.  </w:t>
      </w:r>
    </w:p>
    <w:p w14:paraId="7A6BF689" w14:textId="77777777" w:rsidR="006D16D3" w:rsidRDefault="006D16D3" w:rsidP="003601B5">
      <w:pPr>
        <w:spacing w:after="0" w:line="360" w:lineRule="auto"/>
        <w:contextualSpacing/>
      </w:pPr>
    </w:p>
    <w:p w14:paraId="164FEB40" w14:textId="77777777" w:rsidR="002B1A2B" w:rsidRDefault="002B1A2B" w:rsidP="003601B5">
      <w:pPr>
        <w:spacing w:after="0" w:line="360" w:lineRule="auto"/>
        <w:contextualSpacing/>
      </w:pPr>
    </w:p>
    <w:p w14:paraId="4FC34489" w14:textId="1B047D84" w:rsidR="00B53EBD" w:rsidRPr="00BC19FC" w:rsidRDefault="00B53EBD" w:rsidP="003601B5">
      <w:pPr>
        <w:spacing w:after="0" w:line="360" w:lineRule="auto"/>
        <w:contextualSpacing/>
      </w:pPr>
      <w:r w:rsidRPr="00BC19FC">
        <w:t xml:space="preserve">Table 4:  </w:t>
      </w:r>
    </w:p>
    <w:p w14:paraId="11291AC8" w14:textId="77777777" w:rsidR="00B53EBD" w:rsidRPr="00BC19FC" w:rsidRDefault="00B53EBD" w:rsidP="003601B5">
      <w:pPr>
        <w:spacing w:after="0" w:line="360" w:lineRule="auto"/>
        <w:contextualSpacing/>
        <w:rPr>
          <w:i/>
        </w:rPr>
      </w:pPr>
      <w:r w:rsidRPr="00BC19FC">
        <w:rPr>
          <w:i/>
        </w:rPr>
        <w:t xml:space="preserve">M2s1a Steps as a Percentage of Total Move 2 steps </w:t>
      </w:r>
    </w:p>
    <w:tbl>
      <w:tblPr>
        <w:tblStyle w:val="LightShading3"/>
        <w:tblW w:w="0" w:type="auto"/>
        <w:tblLook w:val="04A0" w:firstRow="1" w:lastRow="0" w:firstColumn="1" w:lastColumn="0" w:noHBand="0" w:noVBand="1"/>
      </w:tblPr>
      <w:tblGrid>
        <w:gridCol w:w="1403"/>
        <w:gridCol w:w="709"/>
        <w:gridCol w:w="746"/>
        <w:gridCol w:w="746"/>
        <w:gridCol w:w="746"/>
        <w:gridCol w:w="746"/>
        <w:gridCol w:w="708"/>
        <w:gridCol w:w="746"/>
        <w:gridCol w:w="746"/>
        <w:gridCol w:w="1043"/>
      </w:tblGrid>
      <w:tr w:rsidR="00B53EBD" w:rsidRPr="00BC19FC" w14:paraId="635765D4" w14:textId="77777777" w:rsidTr="003E2B1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70F52A6B"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Thesis</w:t>
            </w:r>
          </w:p>
        </w:tc>
        <w:tc>
          <w:tcPr>
            <w:tcW w:w="709" w:type="dxa"/>
            <w:shd w:val="clear" w:color="auto" w:fill="D9D9D9" w:themeFill="background1" w:themeFillShade="D9"/>
          </w:tcPr>
          <w:p w14:paraId="08693AD1"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T1</w:t>
            </w:r>
          </w:p>
        </w:tc>
        <w:tc>
          <w:tcPr>
            <w:tcW w:w="746" w:type="dxa"/>
            <w:shd w:val="clear" w:color="auto" w:fill="D9D9D9" w:themeFill="background1" w:themeFillShade="D9"/>
          </w:tcPr>
          <w:p w14:paraId="480225CA"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T2</w:t>
            </w:r>
          </w:p>
        </w:tc>
        <w:tc>
          <w:tcPr>
            <w:tcW w:w="746" w:type="dxa"/>
            <w:shd w:val="clear" w:color="auto" w:fill="D9D9D9" w:themeFill="background1" w:themeFillShade="D9"/>
          </w:tcPr>
          <w:p w14:paraId="15708343"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T3</w:t>
            </w:r>
          </w:p>
        </w:tc>
        <w:tc>
          <w:tcPr>
            <w:tcW w:w="746" w:type="dxa"/>
            <w:shd w:val="clear" w:color="auto" w:fill="D9D9D9" w:themeFill="background1" w:themeFillShade="D9"/>
          </w:tcPr>
          <w:p w14:paraId="186862C1"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T4</w:t>
            </w:r>
          </w:p>
        </w:tc>
        <w:tc>
          <w:tcPr>
            <w:tcW w:w="746" w:type="dxa"/>
            <w:shd w:val="clear" w:color="auto" w:fill="D9D9D9" w:themeFill="background1" w:themeFillShade="D9"/>
          </w:tcPr>
          <w:p w14:paraId="77A14F8A"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T5</w:t>
            </w:r>
          </w:p>
        </w:tc>
        <w:tc>
          <w:tcPr>
            <w:tcW w:w="708" w:type="dxa"/>
            <w:shd w:val="clear" w:color="auto" w:fill="D9D9D9" w:themeFill="background1" w:themeFillShade="D9"/>
          </w:tcPr>
          <w:p w14:paraId="027561A4"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T6</w:t>
            </w:r>
          </w:p>
        </w:tc>
        <w:tc>
          <w:tcPr>
            <w:tcW w:w="746" w:type="dxa"/>
            <w:shd w:val="clear" w:color="auto" w:fill="D9D9D9" w:themeFill="background1" w:themeFillShade="D9"/>
          </w:tcPr>
          <w:p w14:paraId="6C2F7178"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T7</w:t>
            </w:r>
          </w:p>
        </w:tc>
        <w:tc>
          <w:tcPr>
            <w:tcW w:w="746" w:type="dxa"/>
            <w:shd w:val="clear" w:color="auto" w:fill="D9D9D9" w:themeFill="background1" w:themeFillShade="D9"/>
          </w:tcPr>
          <w:p w14:paraId="7320FED5"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T8</w:t>
            </w:r>
          </w:p>
        </w:tc>
        <w:tc>
          <w:tcPr>
            <w:tcW w:w="1043" w:type="dxa"/>
            <w:shd w:val="clear" w:color="auto" w:fill="D9D9D9" w:themeFill="background1" w:themeFillShade="D9"/>
          </w:tcPr>
          <w:p w14:paraId="53DD140F"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Overall</w:t>
            </w:r>
          </w:p>
        </w:tc>
      </w:tr>
      <w:tr w:rsidR="00B53EBD" w:rsidRPr="00BC19FC" w14:paraId="355E64B5" w14:textId="77777777" w:rsidTr="003E2B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2AEA62D0"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Percentage</w:t>
            </w:r>
          </w:p>
        </w:tc>
        <w:tc>
          <w:tcPr>
            <w:tcW w:w="709" w:type="dxa"/>
            <w:shd w:val="clear" w:color="auto" w:fill="FFFFFF" w:themeFill="background1"/>
          </w:tcPr>
          <w:p w14:paraId="7CDD9582"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w:t>
            </w:r>
          </w:p>
        </w:tc>
        <w:tc>
          <w:tcPr>
            <w:tcW w:w="746" w:type="dxa"/>
            <w:shd w:val="clear" w:color="auto" w:fill="FFFFFF" w:themeFill="background1"/>
          </w:tcPr>
          <w:p w14:paraId="5BBD9529"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9.0</w:t>
            </w:r>
          </w:p>
        </w:tc>
        <w:tc>
          <w:tcPr>
            <w:tcW w:w="746" w:type="dxa"/>
            <w:shd w:val="clear" w:color="auto" w:fill="FFFFFF" w:themeFill="background1"/>
          </w:tcPr>
          <w:p w14:paraId="13102655"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14.0</w:t>
            </w:r>
          </w:p>
        </w:tc>
        <w:tc>
          <w:tcPr>
            <w:tcW w:w="746" w:type="dxa"/>
            <w:shd w:val="clear" w:color="auto" w:fill="FFFFFF" w:themeFill="background1"/>
          </w:tcPr>
          <w:p w14:paraId="6D9B3596"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14.0</w:t>
            </w:r>
          </w:p>
        </w:tc>
        <w:tc>
          <w:tcPr>
            <w:tcW w:w="746" w:type="dxa"/>
            <w:shd w:val="clear" w:color="auto" w:fill="FFFFFF" w:themeFill="background1"/>
          </w:tcPr>
          <w:p w14:paraId="7663A9DC"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23.0</w:t>
            </w:r>
          </w:p>
        </w:tc>
        <w:tc>
          <w:tcPr>
            <w:tcW w:w="708" w:type="dxa"/>
            <w:shd w:val="clear" w:color="auto" w:fill="FFFFFF" w:themeFill="background1"/>
          </w:tcPr>
          <w:p w14:paraId="68784C30"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w:t>
            </w:r>
          </w:p>
        </w:tc>
        <w:tc>
          <w:tcPr>
            <w:tcW w:w="746" w:type="dxa"/>
            <w:shd w:val="clear" w:color="auto" w:fill="FFFFFF" w:themeFill="background1"/>
          </w:tcPr>
          <w:p w14:paraId="6A0FC399"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36.0</w:t>
            </w:r>
          </w:p>
        </w:tc>
        <w:tc>
          <w:tcPr>
            <w:tcW w:w="746" w:type="dxa"/>
            <w:shd w:val="clear" w:color="auto" w:fill="FFFFFF" w:themeFill="background1"/>
          </w:tcPr>
          <w:p w14:paraId="79CFAF94"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4.0</w:t>
            </w:r>
          </w:p>
        </w:tc>
        <w:tc>
          <w:tcPr>
            <w:tcW w:w="1043" w:type="dxa"/>
            <w:shd w:val="clear" w:color="auto" w:fill="FFFFFF" w:themeFill="background1"/>
          </w:tcPr>
          <w:p w14:paraId="2F8FA94B"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100</w:t>
            </w:r>
          </w:p>
        </w:tc>
      </w:tr>
      <w:tr w:rsidR="00B53EBD" w:rsidRPr="00BC19FC" w14:paraId="295F3979" w14:textId="77777777" w:rsidTr="003E2B11">
        <w:trPr>
          <w:trHeight w:val="270"/>
        </w:trPr>
        <w:tc>
          <w:tcPr>
            <w:cnfStyle w:val="001000000000" w:firstRow="0" w:lastRow="0" w:firstColumn="1" w:lastColumn="0" w:oddVBand="0" w:evenVBand="0" w:oddHBand="0" w:evenHBand="0" w:firstRowFirstColumn="0" w:firstRowLastColumn="0" w:lastRowFirstColumn="0" w:lastRowLastColumn="0"/>
            <w:tcW w:w="1403" w:type="dxa"/>
          </w:tcPr>
          <w:p w14:paraId="014A5205"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Total (n)</w:t>
            </w:r>
          </w:p>
        </w:tc>
        <w:tc>
          <w:tcPr>
            <w:tcW w:w="709" w:type="dxa"/>
          </w:tcPr>
          <w:p w14:paraId="1B392A43"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0</w:t>
            </w:r>
          </w:p>
        </w:tc>
        <w:tc>
          <w:tcPr>
            <w:tcW w:w="746" w:type="dxa"/>
          </w:tcPr>
          <w:p w14:paraId="7B1718C4"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w:t>
            </w:r>
          </w:p>
        </w:tc>
        <w:tc>
          <w:tcPr>
            <w:tcW w:w="746" w:type="dxa"/>
          </w:tcPr>
          <w:p w14:paraId="401E070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w:t>
            </w:r>
          </w:p>
        </w:tc>
        <w:tc>
          <w:tcPr>
            <w:tcW w:w="746" w:type="dxa"/>
          </w:tcPr>
          <w:p w14:paraId="5B00AED2"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w:t>
            </w:r>
          </w:p>
        </w:tc>
        <w:tc>
          <w:tcPr>
            <w:tcW w:w="746" w:type="dxa"/>
          </w:tcPr>
          <w:p w14:paraId="443FA43A"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5</w:t>
            </w:r>
          </w:p>
        </w:tc>
        <w:tc>
          <w:tcPr>
            <w:tcW w:w="708" w:type="dxa"/>
          </w:tcPr>
          <w:p w14:paraId="588C1B2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0</w:t>
            </w:r>
          </w:p>
        </w:tc>
        <w:tc>
          <w:tcPr>
            <w:tcW w:w="746" w:type="dxa"/>
          </w:tcPr>
          <w:p w14:paraId="11FAE8C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8</w:t>
            </w:r>
          </w:p>
        </w:tc>
        <w:tc>
          <w:tcPr>
            <w:tcW w:w="746" w:type="dxa"/>
          </w:tcPr>
          <w:p w14:paraId="61C12848"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w:t>
            </w:r>
          </w:p>
        </w:tc>
        <w:tc>
          <w:tcPr>
            <w:tcW w:w="1043" w:type="dxa"/>
          </w:tcPr>
          <w:p w14:paraId="4A333403"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22</w:t>
            </w:r>
          </w:p>
        </w:tc>
      </w:tr>
    </w:tbl>
    <w:p w14:paraId="7E7DC762" w14:textId="77777777" w:rsidR="006D16D3" w:rsidRDefault="006D16D3" w:rsidP="003601B5">
      <w:pPr>
        <w:spacing w:after="0" w:line="360" w:lineRule="auto"/>
        <w:ind w:firstLine="708"/>
        <w:contextualSpacing/>
        <w:jc w:val="both"/>
      </w:pPr>
    </w:p>
    <w:p w14:paraId="314B4B42" w14:textId="4D2423C9" w:rsidR="004045E8" w:rsidRDefault="00B53EBD" w:rsidP="00E1697E">
      <w:pPr>
        <w:spacing w:after="0" w:line="360" w:lineRule="auto"/>
        <w:contextualSpacing/>
        <w:jc w:val="both"/>
        <w:rPr>
          <w:lang w:val="en-MY"/>
        </w:rPr>
      </w:pPr>
      <w:r w:rsidRPr="00BC19FC">
        <w:lastRenderedPageBreak/>
        <w:t>Six of the theses relied on gap indication, whic</w:t>
      </w:r>
      <w:r w:rsidR="00977A59" w:rsidRPr="00BC19FC">
        <w:t xml:space="preserve">h constituted </w:t>
      </w:r>
      <w:r w:rsidR="00977A59">
        <w:t>17%</w:t>
      </w:r>
      <w:r w:rsidRPr="00BC19FC">
        <w:t xml:space="preserve"> of the total steps used in the study. The highest occurrence of this step can be f</w:t>
      </w:r>
      <w:r w:rsidR="00977A59" w:rsidRPr="00BC19FC">
        <w:t>ound in Thesis 7 with 36%</w:t>
      </w:r>
      <w:r w:rsidRPr="00BC19FC">
        <w:t xml:space="preserve"> per cent. Twenty-three per cent of Move 2 steps in Thesis 5 were dedicated to M2s1a. Both Thesis 3 and Thesis 4 have the same M2s1a occurrence and only nine per cent of Move 2 was dedicated to M2s1a in</w:t>
      </w:r>
      <w:r w:rsidR="00977A59" w:rsidRPr="00BC19FC">
        <w:t xml:space="preserve"> Thesis 2. The lowest frequency</w:t>
      </w:r>
      <w:r w:rsidRPr="00BC19FC">
        <w:t xml:space="preserve"> occurrence of this step w</w:t>
      </w:r>
      <w:r w:rsidR="00977A59" w:rsidRPr="00BC19FC">
        <w:t>as found in Thesis 8 with only four</w:t>
      </w:r>
      <w:r w:rsidRPr="00BC19FC">
        <w:t xml:space="preserve"> per cent occurrence. Theses 1 and 6 did not employ this particular Move 2 step. </w:t>
      </w:r>
      <w:r w:rsidR="00977A59" w:rsidRPr="00977A59">
        <w:t xml:space="preserve">The </w:t>
      </w:r>
      <w:r w:rsidR="005B1A62">
        <w:t xml:space="preserve">linguistic </w:t>
      </w:r>
      <w:r w:rsidR="00977A59" w:rsidRPr="00977A59">
        <w:t>cr</w:t>
      </w:r>
      <w:r w:rsidR="005B1A62">
        <w:t>iteria discussed above</w:t>
      </w:r>
      <w:r w:rsidR="00977A59" w:rsidRPr="00977A59">
        <w:t xml:space="preserve"> can be applied to the </w:t>
      </w:r>
      <w:r w:rsidR="005B1A62">
        <w:t>rest of the theses</w:t>
      </w:r>
      <w:r w:rsidR="00977A59" w:rsidRPr="00977A59">
        <w:t>. All statements of gap indi</w:t>
      </w:r>
      <w:r w:rsidR="00977A59">
        <w:t>cation</w:t>
      </w:r>
      <w:r w:rsidR="00977A59" w:rsidRPr="00977A59">
        <w:t xml:space="preserve"> showed either non-existence or scarcity of research in the field. The writer</w:t>
      </w:r>
      <w:r w:rsidR="00977A59">
        <w:t>s</w:t>
      </w:r>
      <w:r w:rsidR="00977A59" w:rsidRPr="00977A59">
        <w:t xml:space="preserve"> used a combination of quantifiers: negative quantifiers and negative polarity, to show paucity of research.</w:t>
      </w:r>
    </w:p>
    <w:p w14:paraId="314F5687" w14:textId="77777777" w:rsidR="00E1697E" w:rsidRDefault="00E1697E" w:rsidP="003601B5">
      <w:pPr>
        <w:keepNext/>
        <w:spacing w:before="240" w:after="120" w:line="360" w:lineRule="auto"/>
        <w:contextualSpacing/>
        <w:jc w:val="both"/>
        <w:rPr>
          <w:b/>
        </w:rPr>
      </w:pPr>
    </w:p>
    <w:p w14:paraId="64CCE5B4" w14:textId="1CF86A2D" w:rsidR="00D606C8" w:rsidRDefault="00882063" w:rsidP="003601B5">
      <w:pPr>
        <w:keepNext/>
        <w:spacing w:before="240" w:after="120" w:line="360" w:lineRule="auto"/>
        <w:contextualSpacing/>
        <w:jc w:val="both"/>
        <w:rPr>
          <w:b/>
        </w:rPr>
      </w:pPr>
      <w:r w:rsidRPr="00882063">
        <w:rPr>
          <w:b/>
        </w:rPr>
        <w:t>5</w:t>
      </w:r>
      <w:r w:rsidR="00517F16">
        <w:rPr>
          <w:b/>
        </w:rPr>
        <w:t>.</w:t>
      </w:r>
      <w:r w:rsidR="00337EBE">
        <w:rPr>
          <w:b/>
        </w:rPr>
        <w:t xml:space="preserve"> </w:t>
      </w:r>
      <w:r w:rsidR="00F045CE">
        <w:rPr>
          <w:b/>
        </w:rPr>
        <w:t>Discussion</w:t>
      </w:r>
    </w:p>
    <w:p w14:paraId="4BB74685" w14:textId="77777777" w:rsidR="00E1697E" w:rsidRPr="00882063" w:rsidRDefault="00E1697E" w:rsidP="003601B5">
      <w:pPr>
        <w:keepNext/>
        <w:spacing w:before="240" w:after="120" w:line="360" w:lineRule="auto"/>
        <w:contextualSpacing/>
        <w:jc w:val="both"/>
        <w:rPr>
          <w:b/>
        </w:rPr>
      </w:pPr>
    </w:p>
    <w:p w14:paraId="23952294" w14:textId="3AC35170" w:rsidR="00D606C8" w:rsidRDefault="00D606C8" w:rsidP="003601B5">
      <w:pPr>
        <w:spacing w:line="360" w:lineRule="auto"/>
        <w:contextualSpacing/>
        <w:jc w:val="both"/>
      </w:pPr>
      <w:r w:rsidRPr="00007717">
        <w:t>Five steps have been identified when establishing a niche in the thesis’ introductory chapters</w:t>
      </w:r>
      <w:r w:rsidR="00743405">
        <w:t>:</w:t>
      </w:r>
      <w:r w:rsidRPr="00007717">
        <w:t xml:space="preserve"> M2s1a: Indicating a gap, M2s1b: Indicating problem and need, M2s1c: Counter-claim, M2s1d: Continuing a Tradition and M2s1e: Question-raising. The only step employed in all theses in the study was M2s1b but there were also </w:t>
      </w:r>
      <w:r w:rsidR="00743405">
        <w:t xml:space="preserve">frequent </w:t>
      </w:r>
      <w:r w:rsidRPr="00007717">
        <w:t xml:space="preserve">occurrences </w:t>
      </w:r>
      <w:r w:rsidR="00F94AB8">
        <w:t>of M2s1a and</w:t>
      </w:r>
      <w:r w:rsidRPr="00007717">
        <w:t xml:space="preserve"> M2s1c</w:t>
      </w:r>
      <w:r w:rsidR="00F94AB8">
        <w:t>.</w:t>
      </w:r>
      <w:r w:rsidRPr="00007717">
        <w:t xml:space="preserve"> </w:t>
      </w:r>
      <w:r w:rsidR="00882063">
        <w:t>As proposed earlier in the article, moves and their subsequent steps are influenced by</w:t>
      </w:r>
      <w:r w:rsidR="00937FC7">
        <w:t xml:space="preserve"> the multi-layered discourse community of</w:t>
      </w:r>
      <w:r w:rsidR="00882063">
        <w:t xml:space="preserve"> the genre. </w:t>
      </w:r>
      <w:r w:rsidR="00937FC7">
        <w:t>In the case of the present study, t</w:t>
      </w:r>
      <w:r w:rsidRPr="00007717">
        <w:t xml:space="preserve">he array of niche strategies in the introduction chapters might be attributed to the juxtaposition of the core purposes of the text itself. It has been acknowledged that writing a thesis in general is an arduous task for a novice writer because it is a combination of an argumentative text as well as a persuasive </w:t>
      </w:r>
      <w:r w:rsidR="007F1086">
        <w:t>one</w:t>
      </w:r>
      <w:r w:rsidRPr="00007717">
        <w:t>. Kamimura and Oi (1998) stated that as argumentative discourse, it should integrate rational and affective appeals.</w:t>
      </w:r>
      <w:r w:rsidR="006E5E3B">
        <w:t xml:space="preserve"> </w:t>
      </w:r>
      <w:r w:rsidRPr="00007717">
        <w:t xml:space="preserve">Therefore, a writer has to inform, refute and convince her audience about her position and claim that the research is worth doing. </w:t>
      </w:r>
    </w:p>
    <w:p w14:paraId="5FF42BCD" w14:textId="77777777" w:rsidR="003601B5" w:rsidRPr="00007717" w:rsidRDefault="003601B5" w:rsidP="003601B5">
      <w:pPr>
        <w:spacing w:line="360" w:lineRule="auto"/>
        <w:contextualSpacing/>
        <w:jc w:val="both"/>
      </w:pPr>
    </w:p>
    <w:p w14:paraId="2B5C48BB" w14:textId="33836DA6" w:rsidR="00D606C8" w:rsidRPr="00007717" w:rsidRDefault="00D606C8" w:rsidP="003601B5">
      <w:pPr>
        <w:spacing w:line="360" w:lineRule="auto"/>
        <w:contextualSpacing/>
        <w:jc w:val="both"/>
      </w:pPr>
      <w:r w:rsidRPr="00007717">
        <w:t xml:space="preserve">How do the acts of informing, refuting and convincing the readers affect a text’s variety of niche strategies? By </w:t>
      </w:r>
      <w:r w:rsidR="003F0FCB">
        <w:t xml:space="preserve">providing </w:t>
      </w:r>
      <w:r w:rsidRPr="00007717">
        <w:t xml:space="preserve">the reader background information on the topic under discussion or presenting the current scenario, the writer actually wants to argue a point. Three different strategies can be used to achieve the writer’s niche: indicating problem and need, counter-claiming previous studies, and indicating the gap. For example, Writer 4 spoke of the difficulties in non-native students’ writing approaches and processes. After a long description of the scenario, the writer indicated the </w:t>
      </w:r>
      <w:r w:rsidRPr="00BC19FC">
        <w:t>problem and the repercussions for the students and their country if this study was not carried out. The writer</w:t>
      </w:r>
      <w:r w:rsidR="00791F5D" w:rsidRPr="00BC19FC">
        <w:t xml:space="preserve"> of Thesis 4</w:t>
      </w:r>
      <w:r w:rsidRPr="00BC19FC">
        <w:t xml:space="preserve">, therefore, employed M2s1b: problem and need strategy. However, it was not enough to rely on the strategy above as the </w:t>
      </w:r>
      <w:r w:rsidRPr="00BC19FC">
        <w:lastRenderedPageBreak/>
        <w:t>arguments only evoked the emotional empathy of readers. The writer</w:t>
      </w:r>
      <w:r w:rsidR="00791F5D" w:rsidRPr="00BC19FC">
        <w:t xml:space="preserve"> of</w:t>
      </w:r>
      <w:r w:rsidR="00791F5D">
        <w:t xml:space="preserve">  Thesis 4</w:t>
      </w:r>
      <w:r w:rsidRPr="00007717">
        <w:t xml:space="preserve"> acknowledged that she had to include a more rational appeal.</w:t>
      </w:r>
    </w:p>
    <w:p w14:paraId="35413C54" w14:textId="77777777" w:rsidR="003601B5" w:rsidRDefault="003601B5" w:rsidP="003601B5">
      <w:pPr>
        <w:spacing w:line="360" w:lineRule="auto"/>
        <w:contextualSpacing/>
        <w:jc w:val="both"/>
      </w:pPr>
    </w:p>
    <w:p w14:paraId="0E5EF3EC" w14:textId="5E7C9F11" w:rsidR="00D606C8" w:rsidRPr="00007717" w:rsidRDefault="00D606C8" w:rsidP="003601B5">
      <w:pPr>
        <w:spacing w:line="360" w:lineRule="auto"/>
        <w:contextualSpacing/>
        <w:jc w:val="both"/>
      </w:pPr>
      <w:r w:rsidRPr="00007717">
        <w:t xml:space="preserve">One way to create a rational appeal is by refuting an argument that a writer disagrees with (Cavender &amp; Kahane, 1989). A writer may suggest that the results in previous studies are fallacious because of the shortcomings in the theories used, the perspective underlying the study, or even inappropriate methods (M2s1c). Writer 4 utilised this strategy. She informed the readers of the theories of L2 writing and then discussed the flaws in some of the theories, which were the teachers’ incorrect methods when </w:t>
      </w:r>
      <w:r w:rsidR="003F0FCB">
        <w:t>follow</w:t>
      </w:r>
      <w:r w:rsidRPr="00007717">
        <w:t xml:space="preserve">ing the process approach </w:t>
      </w:r>
      <w:r w:rsidR="003F0FCB">
        <w:t xml:space="preserve">to teaching </w:t>
      </w:r>
      <w:r w:rsidRPr="00007717">
        <w:t>in the writing class. To further strengthen her argument why her study was needed, she pointed out that such a study had not been done in Malaysia (M2s1a).</w:t>
      </w:r>
    </w:p>
    <w:p w14:paraId="126DD513" w14:textId="77777777" w:rsidR="00951A3C" w:rsidRDefault="00951A3C" w:rsidP="00951A3C">
      <w:pPr>
        <w:spacing w:line="360" w:lineRule="auto"/>
        <w:contextualSpacing/>
        <w:jc w:val="both"/>
      </w:pPr>
    </w:p>
    <w:p w14:paraId="6BC04ADF" w14:textId="7BBB1CF8" w:rsidR="00937FC7" w:rsidRDefault="00D606C8" w:rsidP="00951A3C">
      <w:pPr>
        <w:spacing w:line="360" w:lineRule="auto"/>
        <w:contextualSpacing/>
        <w:jc w:val="both"/>
      </w:pPr>
      <w:r w:rsidRPr="00007717">
        <w:t xml:space="preserve">As discussed </w:t>
      </w:r>
      <w:r w:rsidR="003F0FCB">
        <w:t>above</w:t>
      </w:r>
      <w:r w:rsidRPr="00007717">
        <w:t>, an introductory chapter is both argumentative and persuasive. Valid arguments have to be imparted. Persuading the readers to accept the claim is also important in writing an Introduction and it directly affects the writer’s strategies. A writer has to bear in mind who her audience is. In most cases, the main audience of a thesis is the examiners. In the case of the present study, the theses were written for a dual audience: the examiners and the people in the ministry who awarded them the schola</w:t>
      </w:r>
      <w:r w:rsidR="00937FC7">
        <w:t>rships.</w:t>
      </w:r>
      <w:r w:rsidR="006E5E3B">
        <w:t xml:space="preserve"> </w:t>
      </w:r>
      <w:r w:rsidR="00937FC7">
        <w:t>Almost all</w:t>
      </w:r>
      <w:r w:rsidRPr="00007717">
        <w:t xml:space="preserve"> of the write</w:t>
      </w:r>
      <w:r w:rsidR="00937FC7">
        <w:t>rs</w:t>
      </w:r>
      <w:r w:rsidRPr="00007717">
        <w:t xml:space="preserve"> had a special government scheme or scholarship to support them during their</w:t>
      </w:r>
      <w:r w:rsidR="00915BC0">
        <w:t xml:space="preserve"> doctoral</w:t>
      </w:r>
      <w:r w:rsidRPr="00007717">
        <w:t xml:space="preserve"> candidature. This scheme is given particularly to research that may contribute new knowledge in a particular field as well as to the betterment of the country. Therefore, it is common to read statements about the importance of their study to the country. </w:t>
      </w:r>
      <w:r w:rsidR="003A3C87">
        <w:t xml:space="preserve">In other words, </w:t>
      </w:r>
      <w:r w:rsidRPr="00007717">
        <w:t>the purpose of the Introduction is to galvanise the readers into action. This type of step, M2s1b: need, is apparent in the theses.</w:t>
      </w:r>
    </w:p>
    <w:p w14:paraId="5FB08868" w14:textId="77777777" w:rsidR="00951A3C" w:rsidRDefault="00951A3C" w:rsidP="00951A3C">
      <w:pPr>
        <w:spacing w:line="360" w:lineRule="auto"/>
        <w:contextualSpacing/>
        <w:jc w:val="both"/>
      </w:pPr>
    </w:p>
    <w:p w14:paraId="4B05384F" w14:textId="07FFFA5C" w:rsidR="00D606C8" w:rsidRPr="00007717" w:rsidRDefault="00937FC7" w:rsidP="00951A3C">
      <w:pPr>
        <w:spacing w:line="360" w:lineRule="auto"/>
        <w:contextualSpacing/>
        <w:jc w:val="both"/>
      </w:pPr>
      <w:r>
        <w:t>T</w:t>
      </w:r>
      <w:r w:rsidR="00D606C8" w:rsidRPr="00007717">
        <w:t xml:space="preserve">he </w:t>
      </w:r>
      <w:r>
        <w:t xml:space="preserve">analysis of the study also show </w:t>
      </w:r>
      <w:r w:rsidR="003A3C87">
        <w:t xml:space="preserve">that </w:t>
      </w:r>
      <w:r w:rsidR="00D606C8" w:rsidRPr="00007717">
        <w:t xml:space="preserve">attributes of statements of need regarding </w:t>
      </w:r>
      <w:r w:rsidR="00F26FA3">
        <w:t>Move 2 are considered to be</w:t>
      </w:r>
      <w:r w:rsidR="00D606C8" w:rsidRPr="00007717">
        <w:t xml:space="preserve"> patriotic. Unlike Move 2’s problem statement, which underscored the defects in the country’s educational policy, there is much signalling of patriotic obligation in the need statements. This statement type asserts the study is important to the country. Studies in the education and language fields are essential because the outcomes of these studies are hoped to contribute to the government’s nation building and transformation plan, which are considered a core agenda of the country. The idea of doing something for the sake and benefit of the country has been infused in every Malaysian’s way of life. This need-type statement is a powerful rhetorical tool in Malaysian writers’ attempts to establish their study’s niche.</w:t>
      </w:r>
    </w:p>
    <w:p w14:paraId="3C13D3C9" w14:textId="77777777" w:rsidR="00951A3C" w:rsidRDefault="00951A3C" w:rsidP="00951A3C">
      <w:pPr>
        <w:spacing w:line="360" w:lineRule="auto"/>
        <w:contextualSpacing/>
        <w:jc w:val="both"/>
      </w:pPr>
    </w:p>
    <w:p w14:paraId="224E0CBD" w14:textId="30D4CB17" w:rsidR="00D606C8" w:rsidRDefault="00D606C8" w:rsidP="00951A3C">
      <w:pPr>
        <w:spacing w:line="360" w:lineRule="auto"/>
        <w:contextualSpacing/>
        <w:jc w:val="both"/>
      </w:pPr>
      <w:r w:rsidRPr="00007717">
        <w:t xml:space="preserve">The third most </w:t>
      </w:r>
      <w:r w:rsidR="00284F2F">
        <w:t xml:space="preserve">commonly </w:t>
      </w:r>
      <w:r w:rsidRPr="00007717">
        <w:t>employed step when establishing the niche of the study in the introductory chapters in the present study was M2s1c: Counter</w:t>
      </w:r>
      <w:r w:rsidR="00791F5D">
        <w:t>- c</w:t>
      </w:r>
      <w:r w:rsidRPr="00007717">
        <w:t xml:space="preserve">laim. The importance of this step in other studies is inconsistent. Bunton (2002) and Arulandu (2005) found that thesis writers rarely used this step when establishing the niche of the study. They considered this step to be optional since it </w:t>
      </w:r>
      <w:r w:rsidR="00284F2F">
        <w:t>wa</w:t>
      </w:r>
      <w:r w:rsidRPr="00007717">
        <w:t xml:space="preserve">s only occasionally present. Salom-Monreal et al. (2008) on the other hand found that this step </w:t>
      </w:r>
      <w:r w:rsidR="00284F2F">
        <w:t>wa</w:t>
      </w:r>
      <w:r w:rsidRPr="00007717">
        <w:t xml:space="preserve">s used as much as the steps indicating gap indication and problem statement. </w:t>
      </w:r>
      <w:r w:rsidR="00937FC7">
        <w:t>It is also important to note that m</w:t>
      </w:r>
      <w:r w:rsidRPr="00007717">
        <w:t>any contrastive studies across cultures of RAIs show M2s1c is not a preferred step. The lack of focus on counter-claims by Chinese scholars in Zhang and Hu’s (2010) study has led them to claim that Chinese writers tend to avoid critical evaluation of other research. Some of the writers even employ self-citation as a way “to continue the research tradition” (p.</w:t>
      </w:r>
      <w:r w:rsidR="00EB52B1">
        <w:t xml:space="preserve"> </w:t>
      </w:r>
      <w:r w:rsidRPr="00007717">
        <w:t xml:space="preserve">88). They also suggest that Chinese writers prefer to offer a positive review. When they do criticise other studies, they mitigate their evaluative tone. Chinese writers were also found to </w:t>
      </w:r>
      <w:r w:rsidR="00EB52B1">
        <w:t>“</w:t>
      </w:r>
      <w:r w:rsidRPr="00007717">
        <w:t>understate their research to show their respect to other researchers, avoid criticism, or show honesty and modesty</w:t>
      </w:r>
      <w:r w:rsidR="00EB52B1">
        <w:t>”</w:t>
      </w:r>
      <w:r w:rsidRPr="00007717">
        <w:t xml:space="preserve"> (p. 87). </w:t>
      </w:r>
    </w:p>
    <w:p w14:paraId="3FB9202A" w14:textId="77777777" w:rsidR="00951A3C" w:rsidRDefault="00951A3C" w:rsidP="00951A3C">
      <w:pPr>
        <w:spacing w:line="360" w:lineRule="auto"/>
        <w:contextualSpacing/>
        <w:jc w:val="both"/>
      </w:pPr>
    </w:p>
    <w:p w14:paraId="274B6090" w14:textId="67F0C9A7" w:rsidR="00D606C8" w:rsidRPr="00007717" w:rsidRDefault="00D606C8" w:rsidP="00951A3C">
      <w:pPr>
        <w:spacing w:line="360" w:lineRule="auto"/>
        <w:contextualSpacing/>
        <w:jc w:val="both"/>
      </w:pPr>
      <w:r w:rsidRPr="00007717">
        <w:t xml:space="preserve">The </w:t>
      </w:r>
      <w:r w:rsidR="00716057">
        <w:t xml:space="preserve">rather </w:t>
      </w:r>
      <w:r w:rsidR="00131F8F">
        <w:t xml:space="preserve">frequent </w:t>
      </w:r>
      <w:r w:rsidRPr="00007717">
        <w:t>occurrence of M2s1c in the thesis’ introductory</w:t>
      </w:r>
      <w:r w:rsidR="00716057">
        <w:t xml:space="preserve"> chapter</w:t>
      </w:r>
      <w:r w:rsidR="00791F5D">
        <w:t>s</w:t>
      </w:r>
      <w:r w:rsidR="00716057">
        <w:t xml:space="preserve"> is probably due to the</w:t>
      </w:r>
      <w:r w:rsidRPr="00007717">
        <w:t xml:space="preserve"> fact that Malaysia has been promoting and encouraging students to be creative and critical citizens. Most educators at all levels, both in schools and universities, acknowledge the country’s vision. Teachers have implemented creative, critical and analytical thinking skills in their classrooms. Therefore, a valid alternative explanation for using the counter-claiming step, though moderate, is the influence of their supervisors. The supervisor(s) of non-native students in overseas universities may pay a lot of attention to the mechanics of thesis writing (Dong, 1998) but supervisors of non-native students in local Malaysian universities also put a premium on structuring the content. Realising the country’s vision, they are expected to encourage students to think critically.</w:t>
      </w:r>
      <w:r w:rsidR="006E5E3B">
        <w:t xml:space="preserve"> </w:t>
      </w:r>
      <w:r w:rsidRPr="00007717">
        <w:t xml:space="preserve">Also, since many Malaysian PhD supervisors are trained overseas (at one or more levels of their higher education) in </w:t>
      </w:r>
      <w:r w:rsidR="008F234B">
        <w:t>W</w:t>
      </w:r>
      <w:r w:rsidRPr="00007717">
        <w:t xml:space="preserve">estern universities, it is expected that the </w:t>
      </w:r>
      <w:r w:rsidR="008F234B">
        <w:t>W</w:t>
      </w:r>
      <w:r w:rsidRPr="00007717">
        <w:t xml:space="preserve">estern academic practice of the critical literature review </w:t>
      </w:r>
      <w:r w:rsidR="00915BC0">
        <w:t>was passed down to their own doctoral</w:t>
      </w:r>
      <w:r w:rsidRPr="00007717">
        <w:t xml:space="preserve"> students. More importantly, they also know that for the thesis to be accepted, it has to be evaluated by academics who are experienced research writers and specialists in the area where critical argument is an essential part of the style of a thesis. The importance of the supervisor in moulding a student’s thesis was also pointed out by Dong (1998) in his research on the role of supervisors and non-native students:</w:t>
      </w:r>
      <w:r w:rsidR="00716057">
        <w:t xml:space="preserve"> </w:t>
      </w:r>
      <w:r w:rsidR="00C253F8">
        <w:t>“</w:t>
      </w:r>
      <w:r w:rsidRPr="00007717">
        <w:t xml:space="preserve">The thesis/dissertation advisor has an </w:t>
      </w:r>
      <w:r w:rsidRPr="00007717">
        <w:lastRenderedPageBreak/>
        <w:t>important role to play in socializing the advisee into the disciplinary community through thesis/dissertation writing supervision</w:t>
      </w:r>
      <w:r w:rsidR="00C253F8">
        <w:t>”</w:t>
      </w:r>
      <w:r w:rsidRPr="00007717">
        <w:t xml:space="preserve"> (p. 370)</w:t>
      </w:r>
      <w:r w:rsidR="00C253F8">
        <w:t>.</w:t>
      </w:r>
    </w:p>
    <w:p w14:paraId="1A9404D5" w14:textId="77777777" w:rsidR="00951A3C" w:rsidRDefault="00951A3C" w:rsidP="00951A3C">
      <w:pPr>
        <w:spacing w:line="360" w:lineRule="auto"/>
        <w:contextualSpacing/>
        <w:jc w:val="both"/>
      </w:pPr>
    </w:p>
    <w:p w14:paraId="32CEC1A7" w14:textId="766A61E4" w:rsidR="0000636C" w:rsidRDefault="00D606C8" w:rsidP="00951A3C">
      <w:pPr>
        <w:spacing w:line="360" w:lineRule="auto"/>
        <w:contextualSpacing/>
        <w:jc w:val="both"/>
      </w:pPr>
      <w:r w:rsidRPr="00007717">
        <w:t>The discussions on the Move 2</w:t>
      </w:r>
      <w:r w:rsidR="0000636C">
        <w:t xml:space="preserve"> steps in the text samples</w:t>
      </w:r>
      <w:r w:rsidRPr="00007717">
        <w:t xml:space="preserve"> show the complexities when balancing what to include in terms of the appropriate claims and how to strategise writing in order to achieve the local purpose of Move 2. This helps establish the niche of the study. The Introductions were clearly shaped by the juxt</w:t>
      </w:r>
      <w:r w:rsidR="00915BC0">
        <w:t>aposition of the genre (i.e. doctoral</w:t>
      </w:r>
      <w:r w:rsidRPr="00007717">
        <w:t xml:space="preserve"> thesis), the task of this particular genre (i.e. argumentative and persuasive) and the writers’ backgrounds (i.e. lecturers, scholarship students, etc.)</w:t>
      </w:r>
    </w:p>
    <w:p w14:paraId="3B8A2B6F" w14:textId="77777777" w:rsidR="00951A3C" w:rsidRDefault="00951A3C" w:rsidP="00951A3C">
      <w:pPr>
        <w:spacing w:line="360" w:lineRule="auto"/>
        <w:contextualSpacing/>
        <w:jc w:val="both"/>
        <w:rPr>
          <w:b/>
        </w:rPr>
      </w:pPr>
    </w:p>
    <w:p w14:paraId="1C09D787" w14:textId="17E8E432" w:rsidR="0046368F" w:rsidRDefault="0065199A" w:rsidP="003601B5">
      <w:pPr>
        <w:keepNext/>
        <w:spacing w:before="240" w:after="120" w:line="360" w:lineRule="auto"/>
        <w:contextualSpacing/>
        <w:jc w:val="both"/>
        <w:rPr>
          <w:b/>
        </w:rPr>
      </w:pPr>
      <w:r w:rsidRPr="0065199A">
        <w:rPr>
          <w:b/>
        </w:rPr>
        <w:t>6</w:t>
      </w:r>
      <w:r w:rsidR="00517F16">
        <w:rPr>
          <w:b/>
        </w:rPr>
        <w:t>.</w:t>
      </w:r>
      <w:r w:rsidR="00337EBE">
        <w:rPr>
          <w:b/>
        </w:rPr>
        <w:t xml:space="preserve"> </w:t>
      </w:r>
      <w:r w:rsidR="00DA5D03">
        <w:rPr>
          <w:b/>
        </w:rPr>
        <w:t>Conclusion</w:t>
      </w:r>
    </w:p>
    <w:p w14:paraId="3EB102D0" w14:textId="77777777" w:rsidR="00951A3C" w:rsidRPr="0065199A" w:rsidRDefault="00951A3C" w:rsidP="003601B5">
      <w:pPr>
        <w:keepNext/>
        <w:spacing w:before="240" w:after="120" w:line="360" w:lineRule="auto"/>
        <w:contextualSpacing/>
        <w:jc w:val="both"/>
        <w:rPr>
          <w:b/>
        </w:rPr>
      </w:pPr>
    </w:p>
    <w:p w14:paraId="409E065F" w14:textId="41125CE4" w:rsidR="0046368F" w:rsidRPr="00007717" w:rsidRDefault="0046368F" w:rsidP="003601B5">
      <w:pPr>
        <w:spacing w:line="360" w:lineRule="auto"/>
        <w:contextualSpacing/>
        <w:jc w:val="both"/>
      </w:pPr>
      <w:r w:rsidRPr="00007717">
        <w:t xml:space="preserve">Paltridge (2007, p. 83) writes that the Introduction chapter to a thesis is of strategic importance as it “clearly signals the relationship between the specific topic of the thesis and the field of work into which the thesis is being inserted”’. The typical understanding of the structure and organisation to accomplish the mentioned purpose draws on Swales’ (1990) CARS model. The three moves are significant in achieving the communicative purpose of the genre. The strategies that shape the convention of the genre, however, operate within the discourse community in which the text is constructed. This study shows that they are not only formulated in the multi-layered contexts of an academic discourse community but also in socio-political and cultural </w:t>
      </w:r>
      <w:r w:rsidR="000F3DD5">
        <w:t xml:space="preserve">contexts </w:t>
      </w:r>
      <w:r w:rsidRPr="00007717">
        <w:t xml:space="preserve">as well. However, we have to be cautious in making direct assumptions </w:t>
      </w:r>
      <w:r w:rsidR="000F3DD5">
        <w:t xml:space="preserve">about </w:t>
      </w:r>
      <w:r w:rsidRPr="00007717">
        <w:t>the influence of national culture on a text so as not to be accused of falling into the ecological</w:t>
      </w:r>
      <w:r w:rsidR="00F26FA3">
        <w:t xml:space="preserve"> fallacy. For instance, we</w:t>
      </w:r>
      <w:r w:rsidR="00E57319">
        <w:t xml:space="preserve"> have, in the discussion section above</w:t>
      </w:r>
      <w:r w:rsidR="000F3DD5">
        <w:t>,</w:t>
      </w:r>
      <w:r w:rsidR="00E57319">
        <w:t xml:space="preserve"> presented some findings by previous researchers</w:t>
      </w:r>
      <w:r w:rsidRPr="00007717">
        <w:t xml:space="preserve"> </w:t>
      </w:r>
      <w:r w:rsidR="000F3DD5">
        <w:t xml:space="preserve">regarding </w:t>
      </w:r>
      <w:r w:rsidR="00E57319">
        <w:t>the lack of Move 2 in their</w:t>
      </w:r>
      <w:r w:rsidRPr="00007717">
        <w:t xml:space="preserve"> corpus</w:t>
      </w:r>
      <w:r w:rsidR="000F3DD5">
        <w:t xml:space="preserve">, who argued that this </w:t>
      </w:r>
      <w:r w:rsidRPr="00007717">
        <w:t xml:space="preserve">was </w:t>
      </w:r>
      <w:r w:rsidR="00E57319">
        <w:t>to a certain exten</w:t>
      </w:r>
      <w:r w:rsidR="000F3DD5">
        <w:t>t</w:t>
      </w:r>
      <w:r w:rsidR="00E57319">
        <w:t xml:space="preserve"> </w:t>
      </w:r>
      <w:r w:rsidRPr="00007717">
        <w:t xml:space="preserve">the result of </w:t>
      </w:r>
      <w:r w:rsidR="00E57319">
        <w:t>one’s religion.</w:t>
      </w:r>
      <w:r w:rsidR="00F26FA3">
        <w:t xml:space="preserve"> Our</w:t>
      </w:r>
      <w:r w:rsidRPr="00007717">
        <w:t xml:space="preserve"> suggestion for an explanation is </w:t>
      </w:r>
      <w:r w:rsidR="002B0885">
        <w:t xml:space="preserve">simpler, i.e. that </w:t>
      </w:r>
      <w:r w:rsidRPr="00007717">
        <w:t>a</w:t>
      </w:r>
      <w:r w:rsidR="00E57319">
        <w:t xml:space="preserve">t the national level social and </w:t>
      </w:r>
      <w:r w:rsidRPr="00007717">
        <w:t xml:space="preserve">political context </w:t>
      </w:r>
      <w:r w:rsidR="00E57319">
        <w:t xml:space="preserve">may </w:t>
      </w:r>
      <w:r w:rsidRPr="00007717">
        <w:t>also i</w:t>
      </w:r>
      <w:r w:rsidR="00E57319">
        <w:t>nfluence</w:t>
      </w:r>
      <w:r w:rsidRPr="00007717">
        <w:t xml:space="preserve"> the writers, in addition to the organisations and the members of the academic discourse community who are the gatekeepers of the discipline or area of the study. These influences could be analysed from a perspective of their interaction and recursive relationships.</w:t>
      </w:r>
      <w:r w:rsidR="006E5E3B">
        <w:t xml:space="preserve"> </w:t>
      </w:r>
      <w:r w:rsidRPr="00007717">
        <w:t xml:space="preserve">This would lead us to analyse the interactions of global and local interpretations of genre requirements, and how local cultural traditions and different disciplines create variations in how globally extensive </w:t>
      </w:r>
      <w:r w:rsidR="00631F15">
        <w:t>“</w:t>
      </w:r>
      <w:r w:rsidRPr="00007717">
        <w:t>genres</w:t>
      </w:r>
      <w:r w:rsidR="00631F15">
        <w:t>”</w:t>
      </w:r>
      <w:r w:rsidRPr="00007717">
        <w:t xml:space="preserve"> are reali</w:t>
      </w:r>
      <w:r w:rsidR="00631F15">
        <w:t>s</w:t>
      </w:r>
      <w:r w:rsidRPr="00007717">
        <w:t xml:space="preserve">ed in practice. Or they could be analysed from a hierarchical perspective, with a focus on the downward influence of government policy on institutional (university) policy and culture and so on down to the influence on individual writers. Extensive analysis in either of these two </w:t>
      </w:r>
      <w:r w:rsidRPr="00007717">
        <w:lastRenderedPageBreak/>
        <w:t>directions is not possible withi</w:t>
      </w:r>
      <w:r w:rsidR="00E57319">
        <w:t>n the constraints of this study</w:t>
      </w:r>
      <w:r w:rsidRPr="00007717">
        <w:t>, and will have to be taken up at a later stage.</w:t>
      </w:r>
      <w:r w:rsidR="006E5E3B">
        <w:t xml:space="preserve"> </w:t>
      </w:r>
    </w:p>
    <w:p w14:paraId="27C5B5F6" w14:textId="77777777" w:rsidR="00951A3C" w:rsidRDefault="00951A3C" w:rsidP="00951A3C">
      <w:pPr>
        <w:spacing w:line="360" w:lineRule="auto"/>
        <w:contextualSpacing/>
        <w:jc w:val="both"/>
      </w:pPr>
    </w:p>
    <w:p w14:paraId="09674A6C" w14:textId="19702B3E" w:rsidR="0046368F" w:rsidRDefault="0046368F" w:rsidP="00951A3C">
      <w:pPr>
        <w:spacing w:line="360" w:lineRule="auto"/>
        <w:contextualSpacing/>
        <w:jc w:val="both"/>
      </w:pPr>
      <w:r w:rsidRPr="00007717">
        <w:t xml:space="preserve">Prior (1994) notes that there is a broad authority running through curricula and examinations that shapes a genre. Prior’s concept of </w:t>
      </w:r>
      <w:r w:rsidR="009F1419">
        <w:t>“</w:t>
      </w:r>
      <w:r w:rsidRPr="00007717">
        <w:t>broad authority</w:t>
      </w:r>
      <w:r w:rsidR="009F1419">
        <w:t>”</w:t>
      </w:r>
      <w:r w:rsidRPr="00007717">
        <w:t xml:space="preserve"> can be inferred to mean the implementation of institutional policies in </w:t>
      </w:r>
      <w:r w:rsidR="00433819">
        <w:t>Malaysia. T</w:t>
      </w:r>
      <w:r w:rsidRPr="00007717">
        <w:t>he institutional policies in Malaysia are linked to various governmental organisations, hence the mission and vision of the country developed at the ministerial level are also integrated in the education system in Malaysia. It is therefore evident that a genre can be very much influenced by the socio-political elements of the country. The indirect influence of government policy on the construction of</w:t>
      </w:r>
      <w:r w:rsidR="00433819">
        <w:t xml:space="preserve"> need as indicated in their niche establisments</w:t>
      </w:r>
      <w:r w:rsidRPr="00007717">
        <w:t xml:space="preserve"> as well as the significance of the study is a case in point. It shows that education in Malaysia is a powerful political and cultural symbol. Azman and Ahmad (2006) say that,</w:t>
      </w:r>
    </w:p>
    <w:p w14:paraId="66E27462" w14:textId="77777777" w:rsidR="00951A3C" w:rsidRPr="00007717" w:rsidRDefault="00951A3C" w:rsidP="00951A3C">
      <w:pPr>
        <w:spacing w:line="360" w:lineRule="auto"/>
        <w:contextualSpacing/>
        <w:jc w:val="both"/>
      </w:pPr>
    </w:p>
    <w:p w14:paraId="5A9ED7E4" w14:textId="77777777" w:rsidR="0046368F" w:rsidRPr="00951A3C" w:rsidRDefault="0046368F" w:rsidP="00951A3C">
      <w:pPr>
        <w:spacing w:line="360" w:lineRule="auto"/>
        <w:ind w:left="708" w:right="612"/>
        <w:contextualSpacing/>
        <w:jc w:val="both"/>
        <w:rPr>
          <w:sz w:val="22"/>
          <w:szCs w:val="22"/>
        </w:rPr>
      </w:pPr>
      <w:r w:rsidRPr="00951A3C">
        <w:rPr>
          <w:sz w:val="22"/>
          <w:szCs w:val="22"/>
        </w:rPr>
        <w:t>In Malaysia, the combined effects of the globalizing markets and the economy and of the scientific and technological revolution have deeply affected Malaysian education policies and perspectives. (p. 80)</w:t>
      </w:r>
    </w:p>
    <w:p w14:paraId="29F2D5D8" w14:textId="77777777" w:rsidR="00951A3C" w:rsidRPr="00951A3C" w:rsidRDefault="00951A3C" w:rsidP="00951A3C">
      <w:pPr>
        <w:spacing w:line="360" w:lineRule="auto"/>
        <w:ind w:right="612"/>
        <w:contextualSpacing/>
        <w:jc w:val="both"/>
        <w:rPr>
          <w:sz w:val="22"/>
          <w:szCs w:val="22"/>
        </w:rPr>
      </w:pPr>
    </w:p>
    <w:p w14:paraId="1ACD2AAF" w14:textId="0ACEDD60" w:rsidR="0046368F" w:rsidRPr="00007717" w:rsidRDefault="0046368F" w:rsidP="00951A3C">
      <w:pPr>
        <w:spacing w:line="360" w:lineRule="auto"/>
        <w:contextualSpacing/>
        <w:jc w:val="both"/>
      </w:pPr>
      <w:r w:rsidRPr="00007717">
        <w:t>We do not know whether or not this kind of approach would be useful for analysing most, or even a significant proportion, of theses written by Malaysians.</w:t>
      </w:r>
      <w:r w:rsidR="006E5E3B">
        <w:t xml:space="preserve"> </w:t>
      </w:r>
      <w:r w:rsidRPr="00007717">
        <w:t>It would certainly be important to establish the perceptions of thesis writers themselves, to try to identify the relative importance on them of these overlapping contextual influences.</w:t>
      </w:r>
      <w:r w:rsidR="006E5E3B">
        <w:t xml:space="preserve"> </w:t>
      </w:r>
      <w:r w:rsidRPr="00007717">
        <w:t>In many cases the influence of the supervisors is supremely important, but in others relatively minor. Some doctoral students are attuned to the detailed expectations of their disciplines, or at least the characteristics of the literature they have reviewed and the scholarship relevant to their own research topic. For Malaysia, and possibly for most other countries in which doctoral theses are written, it is at this stage difficult to establish the relative importance of these inter-related and overlapping influences on choice of rhetorical strategies.</w:t>
      </w:r>
    </w:p>
    <w:p w14:paraId="10E7F711" w14:textId="77777777" w:rsidR="00951A3C" w:rsidRDefault="00951A3C" w:rsidP="00951A3C">
      <w:pPr>
        <w:spacing w:line="360" w:lineRule="auto"/>
        <w:contextualSpacing/>
        <w:jc w:val="both"/>
      </w:pPr>
    </w:p>
    <w:p w14:paraId="4BEB41C8" w14:textId="35268A8D" w:rsidR="00C90CC8" w:rsidRDefault="0046368F" w:rsidP="00951A3C">
      <w:pPr>
        <w:spacing w:line="360" w:lineRule="auto"/>
        <w:contextualSpacing/>
        <w:jc w:val="both"/>
      </w:pPr>
      <w:r w:rsidRPr="00007717">
        <w:t xml:space="preserve">But it does seem useful to argue that for Malaysia, and possibly for other countries with a strongly utilitarian and instrumental concept of the role of higher degrees in national growth, influences at the national level should be incorporated into further studies of rhetorical strategies </w:t>
      </w:r>
      <w:r w:rsidR="00F26FA3">
        <w:t>employed by thesis writers. We are</w:t>
      </w:r>
      <w:r w:rsidR="00AA3FC5">
        <w:t xml:space="preserve"> neither</w:t>
      </w:r>
      <w:r w:rsidRPr="00007717">
        <w:t xml:space="preserve"> endorsing older approaches to contrastive rhetorical scholarship, </w:t>
      </w:r>
      <w:r w:rsidR="00AA3FC5">
        <w:t>nor</w:t>
      </w:r>
      <w:r w:rsidRPr="00007717">
        <w:t xml:space="preserve"> endorsing studies that employ the ecological fallacy of explaining </w:t>
      </w:r>
      <w:r w:rsidRPr="00007717">
        <w:lastRenderedPageBreak/>
        <w:t>rhetorical strategies used by individual writers by reference to imputed national</w:t>
      </w:r>
      <w:r w:rsidR="00F26FA3">
        <w:t xml:space="preserve"> cultural characteristics. All we can do at this stage of our</w:t>
      </w:r>
      <w:r w:rsidRPr="00007717">
        <w:t xml:space="preserve"> research is to bring to the reader’s attention that the national level social and political contexts in Malaysia have a visible impact on these writers’ rhetorical strategies, especially the sequence and frequency of their rationales for research and the contexts in which they locate their own research topics.</w:t>
      </w:r>
      <w:r w:rsidR="006E5E3B">
        <w:t xml:space="preserve"> </w:t>
      </w:r>
      <w:r w:rsidRPr="00007717">
        <w:t xml:space="preserve">These influences seem to be effected via the expectations of the personnel at various levels in universities and government organisations, including the members of the academic discourse community who are the gatekeepers of the disciplines and topics/area </w:t>
      </w:r>
      <w:r w:rsidR="00C90CC8">
        <w:t>of study considered appropriate.</w:t>
      </w:r>
    </w:p>
    <w:p w14:paraId="04AADD27" w14:textId="77777777" w:rsidR="00951A3C" w:rsidRDefault="00951A3C" w:rsidP="00951A3C">
      <w:pPr>
        <w:spacing w:line="360" w:lineRule="auto"/>
        <w:contextualSpacing/>
        <w:jc w:val="both"/>
        <w:rPr>
          <w:lang w:val="en-US"/>
        </w:rPr>
      </w:pPr>
    </w:p>
    <w:p w14:paraId="1FAF7FC0" w14:textId="2D6D4BE4" w:rsidR="00DE5FE7" w:rsidRDefault="00783210" w:rsidP="00951A3C">
      <w:pPr>
        <w:spacing w:line="360" w:lineRule="auto"/>
        <w:contextualSpacing/>
        <w:jc w:val="both"/>
        <w:rPr>
          <w:lang w:val="en-US"/>
        </w:rPr>
      </w:pPr>
      <w:r w:rsidRPr="00783210">
        <w:rPr>
          <w:lang w:val="en-US"/>
        </w:rPr>
        <w:t>With the increase in doctoral theses written by ESL and EFL students in recent years, it is important to empower all users of English to use culturally appropriate ways of writing English. It is also important to help native speakers of English understand different expressions of generic conventions to enable greater acceptance of the influence of culturally specific contexts on written academic English.</w:t>
      </w:r>
    </w:p>
    <w:p w14:paraId="0D7053C4" w14:textId="77777777" w:rsidR="00951A3C" w:rsidRDefault="00951A3C" w:rsidP="003601B5">
      <w:pPr>
        <w:keepNext/>
        <w:spacing w:before="240" w:after="120" w:line="360" w:lineRule="auto"/>
        <w:contextualSpacing/>
        <w:jc w:val="both"/>
        <w:rPr>
          <w:b/>
          <w:lang w:val="en-US"/>
        </w:rPr>
      </w:pPr>
    </w:p>
    <w:p w14:paraId="5476458F" w14:textId="77777777" w:rsidR="00DE5FE7" w:rsidRDefault="00DE5FE7" w:rsidP="003601B5">
      <w:pPr>
        <w:keepNext/>
        <w:spacing w:before="240" w:after="120" w:line="360" w:lineRule="auto"/>
        <w:contextualSpacing/>
        <w:jc w:val="both"/>
        <w:rPr>
          <w:b/>
          <w:lang w:val="en-US"/>
        </w:rPr>
      </w:pPr>
      <w:r w:rsidRPr="00DB42FD">
        <w:rPr>
          <w:b/>
          <w:lang w:val="en-US"/>
        </w:rPr>
        <w:t>References</w:t>
      </w:r>
    </w:p>
    <w:p w14:paraId="294A4B4A" w14:textId="77777777" w:rsidR="00951A3C" w:rsidRPr="00DB42FD" w:rsidRDefault="00951A3C" w:rsidP="003601B5">
      <w:pPr>
        <w:keepNext/>
        <w:spacing w:before="240" w:after="120" w:line="360" w:lineRule="auto"/>
        <w:contextualSpacing/>
        <w:jc w:val="both"/>
        <w:rPr>
          <w:b/>
          <w:lang w:val="en-US"/>
        </w:rPr>
      </w:pPr>
    </w:p>
    <w:p w14:paraId="585766A6" w14:textId="5805E435" w:rsidR="00DE5FE7"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Ahmad, U. (1997). Research article introductions in Malay: Rh</w:t>
      </w:r>
      <w:r w:rsidR="00A902ED">
        <w:rPr>
          <w:rFonts w:eastAsia="Calibri"/>
          <w:lang w:val="en-MY"/>
        </w:rPr>
        <w:t xml:space="preserve">etoric in an emerging research </w:t>
      </w:r>
      <w:r w:rsidRPr="00A902ED">
        <w:rPr>
          <w:rFonts w:eastAsia="Calibri"/>
          <w:lang w:val="en-MY"/>
        </w:rPr>
        <w:t xml:space="preserve">community. In A. </w:t>
      </w:r>
      <w:proofErr w:type="spellStart"/>
      <w:r w:rsidRPr="00A902ED">
        <w:rPr>
          <w:rFonts w:eastAsia="Calibri"/>
          <w:lang w:val="en-MY"/>
        </w:rPr>
        <w:t>Duszak</w:t>
      </w:r>
      <w:proofErr w:type="spellEnd"/>
      <w:r w:rsidRPr="00A902ED">
        <w:rPr>
          <w:rFonts w:eastAsia="Calibri"/>
          <w:lang w:val="en-MY"/>
        </w:rPr>
        <w:t xml:space="preserve"> (Ed.) </w:t>
      </w:r>
      <w:r w:rsidRPr="00C80450">
        <w:rPr>
          <w:rFonts w:eastAsia="Calibri"/>
          <w:i/>
          <w:lang w:val="en-MY"/>
        </w:rPr>
        <w:t>Trends in Linguistics. Studies and Monographs 104: Culture and styles of academic discourse</w:t>
      </w:r>
      <w:r w:rsidRPr="00A902ED">
        <w:rPr>
          <w:rFonts w:eastAsia="Calibri"/>
          <w:lang w:val="en-MY"/>
        </w:rPr>
        <w:t xml:space="preserve">. (pp. 273-303). New York: Mouton de </w:t>
      </w:r>
      <w:proofErr w:type="spellStart"/>
      <w:r w:rsidRPr="00A902ED">
        <w:rPr>
          <w:rFonts w:eastAsia="Calibri"/>
          <w:lang w:val="en-MY"/>
        </w:rPr>
        <w:t>Gruyter</w:t>
      </w:r>
      <w:proofErr w:type="spellEnd"/>
      <w:r w:rsidRPr="00A902ED">
        <w:rPr>
          <w:rFonts w:eastAsia="Calibri"/>
          <w:lang w:val="en-MY"/>
        </w:rPr>
        <w:t>.</w:t>
      </w:r>
    </w:p>
    <w:p w14:paraId="7510B20C" w14:textId="4C273A54" w:rsidR="00E75F52" w:rsidRDefault="00E75F52" w:rsidP="003601B5">
      <w:pPr>
        <w:keepLines/>
        <w:spacing w:after="120" w:line="360" w:lineRule="auto"/>
        <w:ind w:left="709" w:hanging="709"/>
        <w:contextualSpacing/>
        <w:jc w:val="both"/>
        <w:rPr>
          <w:rFonts w:eastAsia="Calibri"/>
          <w:lang w:val="en-MY"/>
        </w:rPr>
      </w:pPr>
      <w:r w:rsidRPr="00E75F52">
        <w:rPr>
          <w:rFonts w:eastAsia="Calibri"/>
          <w:lang w:val="en-MY"/>
        </w:rPr>
        <w:t xml:space="preserve">Amirian, Z., </w:t>
      </w:r>
      <w:proofErr w:type="spellStart"/>
      <w:r w:rsidRPr="00E75F52">
        <w:rPr>
          <w:rFonts w:eastAsia="Calibri"/>
          <w:lang w:val="en-MY"/>
        </w:rPr>
        <w:t>Kassaian</w:t>
      </w:r>
      <w:proofErr w:type="spellEnd"/>
      <w:r w:rsidRPr="00E75F52">
        <w:rPr>
          <w:rFonts w:eastAsia="Calibri"/>
          <w:lang w:val="en-MY"/>
        </w:rPr>
        <w:t xml:space="preserve">, Z., &amp; </w:t>
      </w:r>
      <w:proofErr w:type="spellStart"/>
      <w:r w:rsidRPr="00E75F52">
        <w:rPr>
          <w:rFonts w:eastAsia="Calibri"/>
          <w:lang w:val="en-MY"/>
        </w:rPr>
        <w:t>Tavakoli</w:t>
      </w:r>
      <w:proofErr w:type="spellEnd"/>
      <w:r w:rsidRPr="00E75F52">
        <w:rPr>
          <w:rFonts w:eastAsia="Calibri"/>
          <w:lang w:val="en-MY"/>
        </w:rPr>
        <w:t xml:space="preserve">, M. (2008). Genre analysis: An investigation of the discussion sections of applied linguistics research articles. </w:t>
      </w:r>
      <w:r w:rsidRPr="00E75F52">
        <w:rPr>
          <w:rFonts w:eastAsia="Calibri"/>
          <w:i/>
          <w:lang w:val="en-MY"/>
        </w:rPr>
        <w:t>The Asian ESP Journal</w:t>
      </w:r>
      <w:r w:rsidRPr="00E75F52">
        <w:rPr>
          <w:rFonts w:eastAsia="Calibri"/>
          <w:lang w:val="en-MY"/>
        </w:rPr>
        <w:t>, 4(1), 39-63.</w:t>
      </w:r>
    </w:p>
    <w:p w14:paraId="01C28435" w14:textId="73AB1B8B" w:rsidR="00E75F52" w:rsidRPr="00A902ED" w:rsidRDefault="002B1A2B" w:rsidP="00E75F52">
      <w:pPr>
        <w:keepLines/>
        <w:spacing w:after="120" w:line="360" w:lineRule="auto"/>
        <w:ind w:left="709" w:hanging="709"/>
        <w:contextualSpacing/>
        <w:jc w:val="both"/>
        <w:rPr>
          <w:rFonts w:eastAsia="Calibri"/>
          <w:lang w:val="en-MY"/>
        </w:rPr>
      </w:pPr>
      <w:proofErr w:type="spellStart"/>
      <w:r w:rsidRPr="002B1A2B">
        <w:rPr>
          <w:rFonts w:eastAsia="Calibri"/>
          <w:lang w:val="en-MY"/>
        </w:rPr>
        <w:t>Amnuai</w:t>
      </w:r>
      <w:proofErr w:type="spellEnd"/>
      <w:r w:rsidRPr="002B1A2B">
        <w:rPr>
          <w:rFonts w:eastAsia="Calibri"/>
          <w:lang w:val="en-MY"/>
        </w:rPr>
        <w:t xml:space="preserve">, W., &amp; </w:t>
      </w:r>
      <w:proofErr w:type="spellStart"/>
      <w:r w:rsidRPr="002B1A2B">
        <w:rPr>
          <w:rFonts w:eastAsia="Calibri"/>
          <w:lang w:val="en-MY"/>
        </w:rPr>
        <w:t>Wannaruk</w:t>
      </w:r>
      <w:proofErr w:type="spellEnd"/>
      <w:r w:rsidRPr="002B1A2B">
        <w:rPr>
          <w:rFonts w:eastAsia="Calibri"/>
          <w:lang w:val="en-MY"/>
        </w:rPr>
        <w:t xml:space="preserve">, A. (2013). A move-based analysis of the conclusion sections of research articles published in international and Thai journals. </w:t>
      </w:r>
      <w:r w:rsidRPr="002B1A2B">
        <w:rPr>
          <w:rFonts w:eastAsia="Calibri"/>
          <w:i/>
          <w:lang w:val="en-MY"/>
        </w:rPr>
        <w:t>3L; Language, Linguistics and Literature, The Southeast Asian Journal of English Language Studies</w:t>
      </w:r>
      <w:r w:rsidRPr="002B1A2B">
        <w:rPr>
          <w:rFonts w:eastAsia="Calibri"/>
          <w:lang w:val="en-MY"/>
        </w:rPr>
        <w:t>., 19(2), 53-63.</w:t>
      </w:r>
    </w:p>
    <w:p w14:paraId="108EEB40" w14:textId="655AE7F8"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Arulandu</w:t>
      </w:r>
      <w:proofErr w:type="spellEnd"/>
      <w:r w:rsidRPr="00A902ED">
        <w:rPr>
          <w:rFonts w:eastAsia="Calibri"/>
          <w:lang w:val="en-MY"/>
        </w:rPr>
        <w:t xml:space="preserve">, M. (2005). </w:t>
      </w:r>
      <w:r w:rsidRPr="00A902ED">
        <w:rPr>
          <w:rFonts w:eastAsia="Calibri"/>
          <w:i/>
          <w:lang w:val="en-MY"/>
        </w:rPr>
        <w:t>Genre analysis of dissertation Introductions</w:t>
      </w:r>
      <w:r w:rsidRPr="00A902ED">
        <w:rPr>
          <w:rFonts w:eastAsia="Calibri"/>
          <w:lang w:val="en-MY"/>
        </w:rPr>
        <w:t>. (Unpublished Master’s thesis). University Putra Malaysia, Malaysia.</w:t>
      </w:r>
    </w:p>
    <w:p w14:paraId="1CD8B4E1" w14:textId="77777777"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Azman</w:t>
      </w:r>
      <w:proofErr w:type="spellEnd"/>
      <w:r w:rsidRPr="00A902ED">
        <w:rPr>
          <w:rFonts w:eastAsia="Calibri"/>
          <w:lang w:val="en-MY"/>
        </w:rPr>
        <w:t xml:space="preserve"> &amp; Ahmad (2006). History, trends, and significant development of adult education in Malaysia. </w:t>
      </w:r>
      <w:r w:rsidRPr="00A902ED">
        <w:rPr>
          <w:rFonts w:eastAsia="Calibri"/>
          <w:i/>
          <w:lang w:val="en-MY"/>
        </w:rPr>
        <w:t>Historia: Journal of Historical Studies</w:t>
      </w:r>
      <w:r w:rsidRPr="00A902ED">
        <w:rPr>
          <w:rFonts w:eastAsia="Calibri"/>
          <w:lang w:val="en-MY"/>
        </w:rPr>
        <w:t>, VII(2) , 66-82.</w:t>
      </w:r>
    </w:p>
    <w:p w14:paraId="4F6FB08C"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Bunton, D. (2002). Generic moves in PhD thesis introductions. In J. Flowerdew (Ed.), </w:t>
      </w:r>
      <w:r w:rsidRPr="00A902ED">
        <w:rPr>
          <w:rFonts w:eastAsia="Calibri"/>
          <w:i/>
          <w:lang w:val="en-MY"/>
        </w:rPr>
        <w:t>Academic discourse</w:t>
      </w:r>
      <w:r w:rsidRPr="00A902ED">
        <w:rPr>
          <w:rFonts w:eastAsia="Calibri"/>
          <w:lang w:val="en-MY"/>
        </w:rPr>
        <w:t xml:space="preserve"> (pp. 57-75). London: Longman.</w:t>
      </w:r>
    </w:p>
    <w:p w14:paraId="1F401C10" w14:textId="77777777" w:rsidR="00DB42FD" w:rsidRPr="00A902ED" w:rsidRDefault="00DB42FD" w:rsidP="003601B5">
      <w:pPr>
        <w:keepLines/>
        <w:spacing w:after="120" w:line="360" w:lineRule="auto"/>
        <w:ind w:left="709" w:hanging="709"/>
        <w:contextualSpacing/>
        <w:jc w:val="both"/>
        <w:rPr>
          <w:rFonts w:eastAsia="Calibri"/>
          <w:lang w:val="en-MY"/>
        </w:rPr>
      </w:pPr>
      <w:r w:rsidRPr="00A902ED">
        <w:rPr>
          <w:rFonts w:eastAsia="Calibri"/>
          <w:lang w:val="en-MY"/>
        </w:rPr>
        <w:lastRenderedPageBreak/>
        <w:t xml:space="preserve">Cooley, L. &amp; </w:t>
      </w:r>
      <w:proofErr w:type="spellStart"/>
      <w:r w:rsidRPr="00A902ED">
        <w:rPr>
          <w:rFonts w:eastAsia="Calibri"/>
          <w:lang w:val="en-MY"/>
        </w:rPr>
        <w:t>Lewkowicz</w:t>
      </w:r>
      <w:proofErr w:type="spellEnd"/>
      <w:r w:rsidRPr="00A902ED">
        <w:rPr>
          <w:rFonts w:eastAsia="Calibri"/>
          <w:lang w:val="en-MY"/>
        </w:rPr>
        <w:t xml:space="preserve">. J. (1997). Developing awareness of the rhetorical and linguistic conventions of writing a thesis in English: addressing the needs of ESL/EFL postgraduates students. In A. </w:t>
      </w:r>
      <w:proofErr w:type="spellStart"/>
      <w:r w:rsidRPr="00A902ED">
        <w:rPr>
          <w:rFonts w:eastAsia="Calibri"/>
          <w:lang w:val="en-MY"/>
        </w:rPr>
        <w:t>Duszak</w:t>
      </w:r>
      <w:proofErr w:type="spellEnd"/>
      <w:r w:rsidRPr="00A902ED">
        <w:rPr>
          <w:rFonts w:eastAsia="Calibri"/>
          <w:lang w:val="en-MY"/>
        </w:rPr>
        <w:t xml:space="preserve"> (Ed.), </w:t>
      </w:r>
      <w:r w:rsidRPr="00A902ED">
        <w:rPr>
          <w:rFonts w:eastAsia="Calibri"/>
          <w:i/>
          <w:lang w:val="en-MY"/>
        </w:rPr>
        <w:t>Culture and styles of academic discourse</w:t>
      </w:r>
      <w:r w:rsidRPr="00A902ED">
        <w:rPr>
          <w:rFonts w:eastAsia="Calibri"/>
          <w:lang w:val="en-MY"/>
        </w:rPr>
        <w:t xml:space="preserve"> (pp.113-140). Berlin: Mouton de </w:t>
      </w:r>
      <w:proofErr w:type="spellStart"/>
      <w:r w:rsidRPr="00A902ED">
        <w:rPr>
          <w:rFonts w:eastAsia="Calibri"/>
          <w:lang w:val="en-MY"/>
        </w:rPr>
        <w:t>Gruyter</w:t>
      </w:r>
      <w:proofErr w:type="spellEnd"/>
      <w:r w:rsidRPr="00A902ED">
        <w:rPr>
          <w:rFonts w:eastAsia="Calibri"/>
          <w:lang w:val="en-MY"/>
        </w:rPr>
        <w:t>.</w:t>
      </w:r>
    </w:p>
    <w:p w14:paraId="73C9C5D2"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Connor, U. (1999). </w:t>
      </w:r>
      <w:r w:rsidRPr="00A902ED">
        <w:rPr>
          <w:rFonts w:eastAsia="Calibri"/>
          <w:i/>
          <w:lang w:val="en-MY"/>
        </w:rPr>
        <w:t xml:space="preserve">Contrastive rhetoric: Cross-cultural aspects of second language writing. </w:t>
      </w:r>
      <w:r w:rsidRPr="00A902ED">
        <w:rPr>
          <w:rFonts w:eastAsia="Calibri"/>
          <w:lang w:val="en-MY"/>
        </w:rPr>
        <w:t>Cambridge, UK: Cambridge University Press.</w:t>
      </w:r>
    </w:p>
    <w:p w14:paraId="6F1676F7"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Connor, U. (2008). Mapping multidimensional aspects of research: reaching to intercultural rhetoric. In U. Connor, E. </w:t>
      </w:r>
      <w:proofErr w:type="spellStart"/>
      <w:r w:rsidRPr="00A902ED">
        <w:rPr>
          <w:rFonts w:eastAsia="Calibri"/>
          <w:lang w:val="en-MY"/>
        </w:rPr>
        <w:t>Nagelhout</w:t>
      </w:r>
      <w:proofErr w:type="spellEnd"/>
      <w:r w:rsidRPr="00A902ED">
        <w:rPr>
          <w:rFonts w:eastAsia="Calibri"/>
          <w:lang w:val="en-MY"/>
        </w:rPr>
        <w:t xml:space="preserve"> and W. </w:t>
      </w:r>
      <w:proofErr w:type="spellStart"/>
      <w:r w:rsidRPr="00A902ED">
        <w:rPr>
          <w:rFonts w:eastAsia="Calibri"/>
          <w:lang w:val="en-MY"/>
        </w:rPr>
        <w:t>Rozycki</w:t>
      </w:r>
      <w:proofErr w:type="spellEnd"/>
      <w:r w:rsidRPr="00A902ED">
        <w:rPr>
          <w:rFonts w:eastAsia="Calibri"/>
          <w:lang w:val="en-MY"/>
        </w:rPr>
        <w:t xml:space="preserve"> (Eds.). </w:t>
      </w:r>
      <w:r w:rsidRPr="00A902ED">
        <w:rPr>
          <w:rFonts w:eastAsia="Calibri"/>
          <w:i/>
          <w:lang w:val="en-MY"/>
        </w:rPr>
        <w:t>Reaching to intercultural rhetoric</w:t>
      </w:r>
      <w:r w:rsidRPr="00A902ED">
        <w:rPr>
          <w:rFonts w:eastAsia="Calibri"/>
          <w:lang w:val="en-MY"/>
        </w:rPr>
        <w:t xml:space="preserve"> (pp. 299-315). Philadelphia: John </w:t>
      </w:r>
      <w:proofErr w:type="spellStart"/>
      <w:r w:rsidRPr="00A902ED">
        <w:rPr>
          <w:rFonts w:eastAsia="Calibri"/>
          <w:lang w:val="en-MY"/>
        </w:rPr>
        <w:t>Benjamins</w:t>
      </w:r>
      <w:proofErr w:type="spellEnd"/>
      <w:r w:rsidRPr="00A902ED">
        <w:rPr>
          <w:rFonts w:eastAsia="Calibri"/>
          <w:lang w:val="en-MY"/>
        </w:rPr>
        <w:t xml:space="preserve"> Publishing Company.</w:t>
      </w:r>
    </w:p>
    <w:p w14:paraId="6A30E8EF" w14:textId="0E9AFA90" w:rsidR="00DE5FE7" w:rsidRPr="00A902ED" w:rsidRDefault="00DE5FE7" w:rsidP="003601B5">
      <w:pPr>
        <w:keepLines/>
        <w:spacing w:after="120" w:line="360" w:lineRule="auto"/>
        <w:ind w:left="709" w:hanging="709"/>
        <w:contextualSpacing/>
        <w:jc w:val="both"/>
        <w:rPr>
          <w:lang w:val="en-MY"/>
        </w:rPr>
      </w:pPr>
      <w:r w:rsidRPr="00A902ED">
        <w:rPr>
          <w:lang w:val="en-MY"/>
        </w:rPr>
        <w:t xml:space="preserve">Dong, Y.R. (1998). Non-native speaker graduate students’ thesis/dissertation writing in science: self-reports by students and their advisors from two U.S. institutions’. </w:t>
      </w:r>
      <w:r w:rsidRPr="00A902ED">
        <w:rPr>
          <w:i/>
          <w:lang w:val="en-MY"/>
        </w:rPr>
        <w:t>English for Specific Purposes</w:t>
      </w:r>
      <w:r w:rsidRPr="00A902ED">
        <w:rPr>
          <w:lang w:val="en-MY"/>
        </w:rPr>
        <w:t>, 17, 369-390.</w:t>
      </w:r>
    </w:p>
    <w:p w14:paraId="4DD73AB7"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Fairclough, N. (1992). </w:t>
      </w:r>
      <w:r w:rsidRPr="00A902ED">
        <w:rPr>
          <w:rFonts w:eastAsia="Calibri"/>
          <w:i/>
          <w:lang w:val="en-MY"/>
        </w:rPr>
        <w:t>Discourse and social change</w:t>
      </w:r>
      <w:r w:rsidRPr="00A902ED">
        <w:rPr>
          <w:rFonts w:eastAsia="Calibri"/>
          <w:lang w:val="en-MY"/>
        </w:rPr>
        <w:t>. Cambridge: Polity Press.</w:t>
      </w:r>
    </w:p>
    <w:p w14:paraId="78EC1BE9"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Hammersley, M &amp; Atkinson, P. (1983). </w:t>
      </w:r>
      <w:r w:rsidRPr="00A902ED">
        <w:rPr>
          <w:rFonts w:eastAsia="Calibri"/>
          <w:i/>
          <w:lang w:val="en-MY"/>
        </w:rPr>
        <w:t>Ethnography: principles in practice</w:t>
      </w:r>
      <w:r w:rsidRPr="00A902ED">
        <w:rPr>
          <w:rFonts w:eastAsia="Calibri"/>
          <w:lang w:val="en-MY"/>
        </w:rPr>
        <w:t>. London: Routledge.</w:t>
      </w:r>
    </w:p>
    <w:p w14:paraId="54B4194B" w14:textId="77777777"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Kamimura</w:t>
      </w:r>
      <w:proofErr w:type="spellEnd"/>
      <w:r w:rsidRPr="00A902ED">
        <w:rPr>
          <w:rFonts w:eastAsia="Calibri"/>
          <w:lang w:val="en-MY"/>
        </w:rPr>
        <w:t xml:space="preserve">, T. and Oi, K. (1998). Argumentative strategies in America and Japanese English. </w:t>
      </w:r>
      <w:r w:rsidRPr="00A902ED">
        <w:rPr>
          <w:rFonts w:eastAsia="Calibri"/>
          <w:i/>
          <w:lang w:val="en-MY"/>
        </w:rPr>
        <w:t xml:space="preserve">World </w:t>
      </w:r>
      <w:proofErr w:type="spellStart"/>
      <w:r w:rsidRPr="00A902ED">
        <w:rPr>
          <w:rFonts w:eastAsia="Calibri"/>
          <w:i/>
          <w:lang w:val="en-MY"/>
        </w:rPr>
        <w:t>Englishes</w:t>
      </w:r>
      <w:proofErr w:type="spellEnd"/>
      <w:r w:rsidRPr="00A902ED">
        <w:rPr>
          <w:rFonts w:eastAsia="Calibri"/>
          <w:lang w:val="en-MY"/>
        </w:rPr>
        <w:t>, 17(3), 307-323.</w:t>
      </w:r>
    </w:p>
    <w:p w14:paraId="28D72E79"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Kwan, B.S.C. (2005). </w:t>
      </w:r>
      <w:r w:rsidRPr="00A902ED">
        <w:rPr>
          <w:rFonts w:eastAsia="Calibri"/>
          <w:i/>
          <w:lang w:val="en-MY"/>
        </w:rPr>
        <w:t xml:space="preserve">A genre analysis of literature reviews in doctoral theses. </w:t>
      </w:r>
      <w:r w:rsidRPr="00A902ED">
        <w:rPr>
          <w:rFonts w:eastAsia="Calibri"/>
          <w:lang w:val="en-MY"/>
        </w:rPr>
        <w:t>(Unpublished doctoral thesis). City University of Hong Kong, Hong Kong.</w:t>
      </w:r>
    </w:p>
    <w:p w14:paraId="4978EBC1"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Kwan, B.S.C. (2006). The schematic structure of literature reviews in doctoral theses of applied linguistics. </w:t>
      </w:r>
      <w:r w:rsidRPr="00A902ED">
        <w:rPr>
          <w:rFonts w:eastAsia="Calibri"/>
          <w:i/>
          <w:lang w:val="en-MY"/>
        </w:rPr>
        <w:t>English for Specific Purposes</w:t>
      </w:r>
      <w:r w:rsidRPr="00A902ED">
        <w:rPr>
          <w:rFonts w:eastAsia="Calibri"/>
          <w:lang w:val="en-MY"/>
        </w:rPr>
        <w:t>, 25, 30-55.</w:t>
      </w:r>
    </w:p>
    <w:p w14:paraId="3EF923E7" w14:textId="7ADAB049" w:rsidR="00DE5FE7"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Lewin, B.A., Fine, J. &amp; Young, L. (2001). </w:t>
      </w:r>
      <w:r w:rsidRPr="00A902ED">
        <w:rPr>
          <w:rFonts w:eastAsia="Calibri"/>
          <w:i/>
          <w:lang w:val="en-MY"/>
        </w:rPr>
        <w:t xml:space="preserve">Expository discourse: A genre-based approach to social </w:t>
      </w:r>
      <w:r w:rsidRPr="00A902ED">
        <w:rPr>
          <w:rFonts w:eastAsia="Calibri"/>
          <w:i/>
          <w:lang w:val="en-MY"/>
        </w:rPr>
        <w:tab/>
        <w:t>science research text.</w:t>
      </w:r>
      <w:r w:rsidRPr="00A902ED">
        <w:rPr>
          <w:rFonts w:eastAsia="Calibri"/>
          <w:lang w:val="en-MY"/>
        </w:rPr>
        <w:t xml:space="preserve"> New York: Continuum.</w:t>
      </w:r>
    </w:p>
    <w:p w14:paraId="4FB0E72C" w14:textId="11127402" w:rsidR="00A31639" w:rsidRDefault="00A31639" w:rsidP="003601B5">
      <w:pPr>
        <w:keepLines/>
        <w:spacing w:after="120" w:line="360" w:lineRule="auto"/>
        <w:ind w:left="709" w:hanging="709"/>
        <w:contextualSpacing/>
        <w:jc w:val="both"/>
        <w:rPr>
          <w:rFonts w:eastAsia="Calibri"/>
          <w:lang w:val="en-MY"/>
        </w:rPr>
      </w:pPr>
      <w:r w:rsidRPr="00A31639">
        <w:rPr>
          <w:rFonts w:eastAsia="Calibri"/>
          <w:lang w:val="en-MY"/>
        </w:rPr>
        <w:t xml:space="preserve">Lim, J. M. H. (2012). How do writers establish research niches? A genre-based investigation into management researchers' rhetorical steps and linguistic mechanisms. Journal of English for Academic Purposes, 11(3), 229-245. </w:t>
      </w:r>
    </w:p>
    <w:p w14:paraId="0BF92C5F" w14:textId="17A1B9CB" w:rsidR="002B1A2B" w:rsidRDefault="002B1A2B" w:rsidP="003601B5">
      <w:pPr>
        <w:keepLines/>
        <w:spacing w:after="120" w:line="360" w:lineRule="auto"/>
        <w:ind w:left="709" w:hanging="709"/>
        <w:contextualSpacing/>
        <w:jc w:val="both"/>
        <w:rPr>
          <w:rFonts w:eastAsia="Calibri"/>
          <w:lang w:val="en-MY"/>
        </w:rPr>
      </w:pPr>
      <w:r w:rsidRPr="002B1A2B">
        <w:rPr>
          <w:rFonts w:eastAsia="Calibri"/>
          <w:lang w:val="en-MY"/>
        </w:rPr>
        <w:t xml:space="preserve">Martín, P., &amp; Pérez, I. K. L. (2014). Convincing peers of the value of one’s research: A genre analysis of rhetorical promotion in academic texts. </w:t>
      </w:r>
      <w:r w:rsidRPr="002B1A2B">
        <w:rPr>
          <w:rFonts w:eastAsia="Calibri"/>
          <w:i/>
          <w:lang w:val="en-MY"/>
        </w:rPr>
        <w:t>English for Specific Purposes</w:t>
      </w:r>
      <w:r w:rsidRPr="002B1A2B">
        <w:rPr>
          <w:rFonts w:eastAsia="Calibri"/>
          <w:lang w:val="en-MY"/>
        </w:rPr>
        <w:t>, 34, 1-13</w:t>
      </w:r>
      <w:r>
        <w:rPr>
          <w:rFonts w:eastAsia="Calibri"/>
          <w:lang w:val="en-MY"/>
        </w:rPr>
        <w:t>.</w:t>
      </w:r>
    </w:p>
    <w:p w14:paraId="3B4A7D69" w14:textId="58218051" w:rsidR="00E75F52" w:rsidRDefault="00E75F52" w:rsidP="003601B5">
      <w:pPr>
        <w:keepLines/>
        <w:spacing w:after="120" w:line="360" w:lineRule="auto"/>
        <w:ind w:left="709" w:hanging="709"/>
        <w:contextualSpacing/>
        <w:jc w:val="both"/>
        <w:rPr>
          <w:rFonts w:eastAsia="Calibri"/>
          <w:lang w:val="en-MY"/>
        </w:rPr>
      </w:pPr>
      <w:proofErr w:type="spellStart"/>
      <w:r w:rsidRPr="00E75F52">
        <w:rPr>
          <w:rFonts w:eastAsia="Calibri"/>
          <w:lang w:val="en-MY"/>
        </w:rPr>
        <w:t>Meurer</w:t>
      </w:r>
      <w:proofErr w:type="spellEnd"/>
      <w:r w:rsidRPr="00E75F52">
        <w:rPr>
          <w:rFonts w:eastAsia="Calibri"/>
          <w:lang w:val="en-MY"/>
        </w:rPr>
        <w:t xml:space="preserve">, J., &amp; </w:t>
      </w:r>
      <w:proofErr w:type="spellStart"/>
      <w:r w:rsidRPr="00E75F52">
        <w:rPr>
          <w:rFonts w:eastAsia="Calibri"/>
          <w:lang w:val="en-MY"/>
        </w:rPr>
        <w:t>Dellagnelo</w:t>
      </w:r>
      <w:proofErr w:type="spellEnd"/>
      <w:r w:rsidRPr="00E75F52">
        <w:rPr>
          <w:rFonts w:eastAsia="Calibri"/>
          <w:lang w:val="en-MY"/>
        </w:rPr>
        <w:t>, A. K. (2008). Conclusions as components of research articles across Portuguese as a native language, English as a native language and English as a foreign Langua</w:t>
      </w:r>
      <w:r>
        <w:rPr>
          <w:rFonts w:eastAsia="Calibri"/>
          <w:lang w:val="en-MY"/>
        </w:rPr>
        <w:t xml:space="preserve">ge: A contrastive genre study. </w:t>
      </w:r>
      <w:r w:rsidRPr="00E75F52">
        <w:rPr>
          <w:rFonts w:eastAsia="Calibri"/>
          <w:i/>
          <w:lang w:val="en-MY"/>
        </w:rPr>
        <w:t xml:space="preserve">The </w:t>
      </w:r>
      <w:proofErr w:type="spellStart"/>
      <w:r w:rsidRPr="00E75F52">
        <w:rPr>
          <w:rFonts w:eastAsia="Calibri"/>
          <w:i/>
          <w:lang w:val="en-MY"/>
        </w:rPr>
        <w:t>ESPecialist</w:t>
      </w:r>
      <w:proofErr w:type="spellEnd"/>
      <w:r w:rsidRPr="00E75F52">
        <w:rPr>
          <w:rFonts w:eastAsia="Calibri"/>
          <w:lang w:val="en-MY"/>
        </w:rPr>
        <w:t>, 29(2), 233-253.</w:t>
      </w:r>
    </w:p>
    <w:p w14:paraId="3261635C" w14:textId="70C11B8A" w:rsidR="00E75F52" w:rsidRDefault="00E75F52" w:rsidP="003601B5">
      <w:pPr>
        <w:keepLines/>
        <w:spacing w:after="120" w:line="360" w:lineRule="auto"/>
        <w:ind w:left="709" w:hanging="709"/>
        <w:contextualSpacing/>
        <w:jc w:val="both"/>
        <w:rPr>
          <w:rFonts w:eastAsia="Calibri"/>
          <w:lang w:val="en-MY"/>
        </w:rPr>
      </w:pPr>
      <w:r w:rsidRPr="00E75F52">
        <w:rPr>
          <w:rFonts w:eastAsia="Calibri"/>
          <w:lang w:val="en-MY"/>
        </w:rPr>
        <w:t xml:space="preserve">Morales, R. C. (2012). Conclusions in research articles: A Filipino-Japanese contrastive rhetorical study. </w:t>
      </w:r>
      <w:r w:rsidRPr="00E75F52">
        <w:rPr>
          <w:rFonts w:eastAsia="Calibri"/>
          <w:i/>
          <w:lang w:val="en-MY"/>
        </w:rPr>
        <w:t>Philippine ESL Journal</w:t>
      </w:r>
      <w:r w:rsidRPr="00E75F52">
        <w:rPr>
          <w:rFonts w:eastAsia="Calibri"/>
          <w:lang w:val="en-MY"/>
        </w:rPr>
        <w:t>, 8</w:t>
      </w:r>
      <w:r>
        <w:rPr>
          <w:rFonts w:eastAsia="Calibri"/>
          <w:lang w:val="en-MY"/>
        </w:rPr>
        <w:t>.</w:t>
      </w:r>
    </w:p>
    <w:p w14:paraId="0C57ECE0" w14:textId="7D0DB1F3" w:rsidR="002B1A2B" w:rsidRDefault="002B1A2B" w:rsidP="002B1A2B">
      <w:pPr>
        <w:keepLines/>
        <w:spacing w:after="120" w:line="360" w:lineRule="auto"/>
        <w:ind w:left="709" w:hanging="709"/>
        <w:contextualSpacing/>
        <w:jc w:val="both"/>
        <w:rPr>
          <w:rFonts w:eastAsia="Calibri"/>
          <w:lang w:val="en-MY"/>
        </w:rPr>
      </w:pPr>
      <w:r w:rsidRPr="002B1A2B">
        <w:rPr>
          <w:rFonts w:eastAsia="Calibri"/>
          <w:lang w:val="en-MY"/>
        </w:rPr>
        <w:lastRenderedPageBreak/>
        <w:t xml:space="preserve">Nguyen, T. T. L. &amp; </w:t>
      </w:r>
      <w:proofErr w:type="spellStart"/>
      <w:r w:rsidRPr="002B1A2B">
        <w:rPr>
          <w:rFonts w:eastAsia="Calibri"/>
          <w:lang w:val="en-MY"/>
        </w:rPr>
        <w:t>Pramoolsook</w:t>
      </w:r>
      <w:proofErr w:type="spellEnd"/>
      <w:r w:rsidRPr="002B1A2B">
        <w:rPr>
          <w:rFonts w:eastAsia="Calibri"/>
          <w:lang w:val="en-MY"/>
        </w:rPr>
        <w:t>, I. (2014b). Rhetorical Structure of Introduc</w:t>
      </w:r>
      <w:r>
        <w:rPr>
          <w:rFonts w:eastAsia="Calibri"/>
          <w:lang w:val="en-MY"/>
        </w:rPr>
        <w:t xml:space="preserve">tion Chapters written by Novice </w:t>
      </w:r>
      <w:r w:rsidRPr="002B1A2B">
        <w:rPr>
          <w:rFonts w:eastAsia="Calibri"/>
          <w:lang w:val="en-MY"/>
        </w:rPr>
        <w:t>Vie</w:t>
      </w:r>
      <w:r>
        <w:rPr>
          <w:rFonts w:eastAsia="Calibri"/>
          <w:lang w:val="en-MY"/>
        </w:rPr>
        <w:t xml:space="preserve">tnamese TESOL postgraduates. </w:t>
      </w:r>
      <w:r w:rsidRPr="002B1A2B">
        <w:rPr>
          <w:rFonts w:eastAsia="Calibri"/>
          <w:i/>
          <w:lang w:val="en-MY"/>
        </w:rPr>
        <w:t>3L:</w:t>
      </w:r>
      <w:r w:rsidRPr="002B1A2B">
        <w:rPr>
          <w:rFonts w:eastAsia="Calibri"/>
          <w:i/>
          <w:lang w:val="en-MY"/>
        </w:rPr>
        <w:t xml:space="preserve"> Language, Linguistics and </w:t>
      </w:r>
      <w:r w:rsidRPr="002B1A2B">
        <w:rPr>
          <w:rFonts w:eastAsia="Calibri"/>
          <w:i/>
          <w:lang w:val="en-MY"/>
        </w:rPr>
        <w:t xml:space="preserve">Literature, The Southeast Asian </w:t>
      </w:r>
      <w:r w:rsidRPr="002B1A2B">
        <w:rPr>
          <w:rFonts w:eastAsia="Calibri"/>
          <w:i/>
          <w:lang w:val="en-MY"/>
        </w:rPr>
        <w:t>Journal of English Language Studies</w:t>
      </w:r>
      <w:r w:rsidRPr="002B1A2B">
        <w:rPr>
          <w:rFonts w:eastAsia="Calibri"/>
          <w:lang w:val="en-MY"/>
        </w:rPr>
        <w:t>, 20(1), 61-74.</w:t>
      </w:r>
    </w:p>
    <w:p w14:paraId="76E3381F" w14:textId="59634091" w:rsidR="00DE5FE7" w:rsidRPr="00A902ED" w:rsidRDefault="00DE5FE7"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Paltridge</w:t>
      </w:r>
      <w:proofErr w:type="spellEnd"/>
      <w:r w:rsidRPr="00A902ED">
        <w:rPr>
          <w:rFonts w:eastAsia="Calibri"/>
          <w:lang w:val="en-MY"/>
        </w:rPr>
        <w:t xml:space="preserve">, B. (2007). </w:t>
      </w:r>
      <w:r w:rsidRPr="00A902ED">
        <w:rPr>
          <w:rFonts w:eastAsia="Calibri"/>
          <w:i/>
          <w:lang w:val="en-MY"/>
        </w:rPr>
        <w:t>Discourse analysis</w:t>
      </w:r>
      <w:r w:rsidRPr="00A902ED">
        <w:rPr>
          <w:rFonts w:eastAsia="Calibri"/>
          <w:lang w:val="en-MY"/>
        </w:rPr>
        <w:t>. London: Continuum.</w:t>
      </w:r>
    </w:p>
    <w:p w14:paraId="6CD93199" w14:textId="77777777" w:rsidR="005E4808" w:rsidRPr="00A902ED" w:rsidRDefault="005E4808"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Paltridge</w:t>
      </w:r>
      <w:proofErr w:type="spellEnd"/>
      <w:r w:rsidRPr="00A902ED">
        <w:rPr>
          <w:rFonts w:eastAsia="Calibri"/>
          <w:lang w:val="en-MY"/>
        </w:rPr>
        <w:t xml:space="preserve">, B. &amp; </w:t>
      </w:r>
      <w:proofErr w:type="spellStart"/>
      <w:r w:rsidRPr="00A902ED">
        <w:rPr>
          <w:rFonts w:eastAsia="Calibri"/>
          <w:lang w:val="en-MY"/>
        </w:rPr>
        <w:t>Starfield</w:t>
      </w:r>
      <w:proofErr w:type="spellEnd"/>
      <w:r w:rsidRPr="00A902ED">
        <w:rPr>
          <w:rFonts w:eastAsia="Calibri"/>
          <w:lang w:val="en-MY"/>
        </w:rPr>
        <w:t xml:space="preserve">, S. (2007). </w:t>
      </w:r>
      <w:r w:rsidRPr="00A902ED">
        <w:rPr>
          <w:rFonts w:eastAsia="Calibri"/>
          <w:i/>
          <w:lang w:val="en-MY"/>
        </w:rPr>
        <w:t>Thesis and dissertation writing in a second language- a handbook for supervisors.</w:t>
      </w:r>
      <w:r w:rsidRPr="00A902ED">
        <w:rPr>
          <w:rFonts w:eastAsia="Calibri"/>
          <w:lang w:val="en-MY"/>
        </w:rPr>
        <w:t xml:space="preserve"> New York: Routledge.</w:t>
      </w:r>
    </w:p>
    <w:p w14:paraId="2BAD1C3F" w14:textId="1AE8ADD7" w:rsidR="00DB42FD" w:rsidRDefault="00DB42FD" w:rsidP="003601B5">
      <w:pPr>
        <w:keepLines/>
        <w:spacing w:after="120" w:line="360" w:lineRule="auto"/>
        <w:ind w:left="709" w:hanging="709"/>
        <w:contextualSpacing/>
        <w:jc w:val="both"/>
        <w:rPr>
          <w:rFonts w:eastAsia="Calibri"/>
          <w:lang w:val="en-MY"/>
        </w:rPr>
      </w:pPr>
      <w:proofErr w:type="spellStart"/>
      <w:r w:rsidRPr="00A902ED">
        <w:rPr>
          <w:rFonts w:eastAsia="Calibri"/>
          <w:lang w:val="en-MY"/>
        </w:rPr>
        <w:t>Samraj</w:t>
      </w:r>
      <w:proofErr w:type="spellEnd"/>
      <w:r w:rsidRPr="00A902ED">
        <w:rPr>
          <w:rFonts w:eastAsia="Calibri"/>
          <w:lang w:val="en-MY"/>
        </w:rPr>
        <w:t xml:space="preserve">, B. (2002a). Texts and contextual layers: Academic writing in content courses. In Johns, A.M. (Ed.), </w:t>
      </w:r>
      <w:r w:rsidRPr="00A902ED">
        <w:rPr>
          <w:rFonts w:eastAsia="Calibri"/>
          <w:i/>
          <w:lang w:val="en-MY"/>
        </w:rPr>
        <w:t xml:space="preserve">Genre in the classroom </w:t>
      </w:r>
      <w:r w:rsidRPr="00A902ED">
        <w:rPr>
          <w:rFonts w:eastAsia="Calibri"/>
          <w:lang w:val="en-MY"/>
        </w:rPr>
        <w:t>(pp. 163-177).</w:t>
      </w:r>
      <w:r w:rsidRPr="00A902ED">
        <w:rPr>
          <w:rFonts w:eastAsia="Calibri"/>
          <w:i/>
          <w:lang w:val="en-MY"/>
        </w:rPr>
        <w:t xml:space="preserve"> </w:t>
      </w:r>
      <w:r w:rsidRPr="00A902ED">
        <w:rPr>
          <w:rFonts w:eastAsia="Calibri"/>
          <w:lang w:val="en-MY"/>
        </w:rPr>
        <w:t>Mahwah, NJ: Lawrence Erlbaum Associates, Inc.</w:t>
      </w:r>
    </w:p>
    <w:p w14:paraId="6B61CEEB" w14:textId="57990E54" w:rsidR="002B1A2B" w:rsidRPr="00A902ED" w:rsidRDefault="002B1A2B" w:rsidP="003601B5">
      <w:pPr>
        <w:keepLines/>
        <w:spacing w:after="120" w:line="360" w:lineRule="auto"/>
        <w:ind w:left="709" w:hanging="709"/>
        <w:contextualSpacing/>
        <w:jc w:val="both"/>
        <w:rPr>
          <w:rFonts w:eastAsia="Calibri"/>
          <w:lang w:val="en-MY"/>
        </w:rPr>
      </w:pPr>
      <w:r w:rsidRPr="002B1A2B">
        <w:rPr>
          <w:rFonts w:eastAsia="Calibri"/>
          <w:lang w:val="en-MY"/>
        </w:rPr>
        <w:t xml:space="preserve">Sheldon, E. (2011). Rhetorical differences in RA introductions written by English L1 and L2 and Castilian Spanish L1 writers. </w:t>
      </w:r>
      <w:r w:rsidRPr="002B1A2B">
        <w:rPr>
          <w:rFonts w:eastAsia="Calibri"/>
          <w:i/>
          <w:lang w:val="en-MY"/>
        </w:rPr>
        <w:t>Journal of English for Academic Purposes</w:t>
      </w:r>
      <w:r w:rsidRPr="002B1A2B">
        <w:rPr>
          <w:rFonts w:eastAsia="Calibri"/>
          <w:lang w:val="en-MY"/>
        </w:rPr>
        <w:t>, 10(4), 238-251</w:t>
      </w:r>
      <w:r>
        <w:rPr>
          <w:rFonts w:eastAsia="Calibri"/>
          <w:lang w:val="en-MY"/>
        </w:rPr>
        <w:t>.</w:t>
      </w:r>
    </w:p>
    <w:p w14:paraId="3F420827" w14:textId="77777777" w:rsidR="006D16D3" w:rsidRDefault="006D16D3" w:rsidP="003601B5">
      <w:pPr>
        <w:keepLines/>
        <w:spacing w:after="120" w:line="360" w:lineRule="auto"/>
        <w:ind w:left="709" w:hanging="709"/>
        <w:contextualSpacing/>
        <w:jc w:val="both"/>
        <w:rPr>
          <w:rFonts w:eastAsia="Calibri"/>
          <w:lang w:val="en-MY"/>
        </w:rPr>
      </w:pPr>
      <w:r w:rsidRPr="006D16D3">
        <w:rPr>
          <w:rFonts w:eastAsia="Calibri"/>
          <w:lang w:val="en-MY"/>
        </w:rPr>
        <w:t>Soler-</w:t>
      </w:r>
      <w:proofErr w:type="spellStart"/>
      <w:r w:rsidRPr="006D16D3">
        <w:rPr>
          <w:rFonts w:eastAsia="Calibri"/>
          <w:lang w:val="en-MY"/>
        </w:rPr>
        <w:t>Monreal</w:t>
      </w:r>
      <w:proofErr w:type="spellEnd"/>
      <w:r w:rsidRPr="006D16D3">
        <w:rPr>
          <w:rFonts w:eastAsia="Calibri"/>
          <w:lang w:val="en-MY"/>
        </w:rPr>
        <w:t xml:space="preserve">, C., </w:t>
      </w:r>
      <w:proofErr w:type="spellStart"/>
      <w:r w:rsidRPr="006D16D3">
        <w:rPr>
          <w:rFonts w:eastAsia="Calibri"/>
          <w:lang w:val="en-MY"/>
        </w:rPr>
        <w:t>Carbonell</w:t>
      </w:r>
      <w:proofErr w:type="spellEnd"/>
      <w:r w:rsidRPr="006D16D3">
        <w:rPr>
          <w:rFonts w:eastAsia="Calibri"/>
          <w:lang w:val="en-MY"/>
        </w:rPr>
        <w:t>-Olivares, M., &amp; Gil-</w:t>
      </w:r>
      <w:proofErr w:type="spellStart"/>
      <w:r w:rsidRPr="006D16D3">
        <w:rPr>
          <w:rFonts w:eastAsia="Calibri"/>
          <w:lang w:val="en-MY"/>
        </w:rPr>
        <w:t>Salom</w:t>
      </w:r>
      <w:proofErr w:type="spellEnd"/>
      <w:r w:rsidRPr="006D16D3">
        <w:rPr>
          <w:rFonts w:eastAsia="Calibri"/>
          <w:lang w:val="en-MY"/>
        </w:rPr>
        <w:t>, L. (2011). A contrastive study of the rhetorical organisation of English</w:t>
      </w:r>
      <w:bookmarkStart w:id="46" w:name="_GoBack"/>
      <w:bookmarkEnd w:id="46"/>
      <w:r w:rsidRPr="006D16D3">
        <w:rPr>
          <w:rFonts w:eastAsia="Calibri"/>
          <w:lang w:val="en-MY"/>
        </w:rPr>
        <w:t xml:space="preserve"> and Spanish PhD thesis introductions. </w:t>
      </w:r>
      <w:r w:rsidRPr="002B1A2B">
        <w:rPr>
          <w:rFonts w:eastAsia="Calibri"/>
          <w:i/>
          <w:lang w:val="en-MY"/>
        </w:rPr>
        <w:t>English for Specific Purposes</w:t>
      </w:r>
      <w:r w:rsidRPr="006D16D3">
        <w:rPr>
          <w:rFonts w:eastAsia="Calibri"/>
          <w:lang w:val="en-MY"/>
        </w:rPr>
        <w:t xml:space="preserve">, 30(1), 4-17. </w:t>
      </w:r>
    </w:p>
    <w:p w14:paraId="0F83800E" w14:textId="4A83D9A9" w:rsidR="00DB42FD" w:rsidRDefault="00DB42FD" w:rsidP="003601B5">
      <w:pPr>
        <w:keepLines/>
        <w:spacing w:after="120" w:line="360" w:lineRule="auto"/>
        <w:ind w:left="709" w:hanging="709"/>
        <w:contextualSpacing/>
        <w:jc w:val="both"/>
        <w:rPr>
          <w:rFonts w:eastAsia="Calibri"/>
          <w:lang w:val="en-MY"/>
        </w:rPr>
      </w:pPr>
      <w:r w:rsidRPr="00A902ED">
        <w:rPr>
          <w:rFonts w:eastAsia="Calibri"/>
          <w:lang w:val="en-MY"/>
        </w:rPr>
        <w:t xml:space="preserve">Swales, J.M. (1990). </w:t>
      </w:r>
      <w:r w:rsidRPr="00A902ED">
        <w:rPr>
          <w:rFonts w:eastAsia="Calibri"/>
          <w:i/>
          <w:lang w:val="en-MY"/>
        </w:rPr>
        <w:t>Genre analysis: English in academic and research settings</w:t>
      </w:r>
      <w:r w:rsidRPr="00A902ED">
        <w:rPr>
          <w:rFonts w:eastAsia="Calibri"/>
          <w:lang w:val="en-MY"/>
        </w:rPr>
        <w:t>. Cambridge: Cambridge University Press.</w:t>
      </w:r>
    </w:p>
    <w:p w14:paraId="0ED8FDAE" w14:textId="77777777" w:rsidR="00591B29" w:rsidRDefault="00591B29" w:rsidP="003601B5">
      <w:pPr>
        <w:keepLines/>
        <w:spacing w:after="120" w:line="360" w:lineRule="auto"/>
        <w:ind w:left="709" w:hanging="709"/>
        <w:contextualSpacing/>
        <w:jc w:val="both"/>
        <w:rPr>
          <w:rFonts w:eastAsia="Calibri"/>
          <w:lang w:val="en-MY"/>
        </w:rPr>
      </w:pPr>
    </w:p>
    <w:p w14:paraId="18F7F65B" w14:textId="77777777" w:rsidR="00591B29" w:rsidRDefault="00591B29" w:rsidP="00591B29">
      <w:pPr>
        <w:keepLines/>
        <w:spacing w:after="120" w:line="360" w:lineRule="auto"/>
        <w:ind w:left="709" w:hanging="709"/>
        <w:contextualSpacing/>
        <w:jc w:val="both"/>
        <w:rPr>
          <w:rFonts w:eastAsia="Calibri"/>
          <w:lang w:val="en-MY"/>
        </w:rPr>
      </w:pPr>
    </w:p>
    <w:p w14:paraId="2976E221" w14:textId="6463BBBF" w:rsidR="00591B29" w:rsidRDefault="00591B29" w:rsidP="00591B29">
      <w:pPr>
        <w:keepLines/>
        <w:spacing w:after="120" w:line="240" w:lineRule="auto"/>
        <w:ind w:left="709" w:hanging="709"/>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
    <w:p w14:paraId="1DC3EC0C" w14:textId="0ED8721D" w:rsidR="00614551" w:rsidRDefault="00614551" w:rsidP="00591B29">
      <w:pPr>
        <w:keepLines/>
        <w:spacing w:after="120" w:line="240" w:lineRule="auto"/>
        <w:ind w:left="709" w:hanging="709"/>
        <w:jc w:val="both"/>
        <w:rPr>
          <w:rFonts w:ascii="Arial" w:hAnsi="Arial" w:cs="Arial"/>
          <w:color w:val="222222"/>
          <w:sz w:val="20"/>
          <w:szCs w:val="20"/>
          <w:shd w:val="clear" w:color="auto" w:fill="FFFFFF"/>
        </w:rPr>
      </w:pPr>
    </w:p>
    <w:p w14:paraId="7BB2CF21" w14:textId="44C41E18" w:rsidR="00591B29" w:rsidRDefault="00591B29" w:rsidP="00591B29">
      <w:pPr>
        <w:keepLines/>
        <w:spacing w:after="120" w:line="360" w:lineRule="auto"/>
        <w:ind w:left="709" w:hanging="709"/>
        <w:contextualSpacing/>
        <w:jc w:val="both"/>
        <w:rPr>
          <w:rFonts w:eastAsia="Calibri"/>
          <w:lang w:val="en-MY"/>
        </w:rPr>
      </w:pPr>
    </w:p>
    <w:sectPr w:rsidR="00591B29" w:rsidSect="00B3784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ACE12" w14:textId="77777777" w:rsidR="00082FFE" w:rsidRDefault="00082FFE" w:rsidP="002769C7">
      <w:pPr>
        <w:spacing w:after="0" w:line="240" w:lineRule="auto"/>
      </w:pPr>
      <w:r>
        <w:separator/>
      </w:r>
    </w:p>
  </w:endnote>
  <w:endnote w:type="continuationSeparator" w:id="0">
    <w:p w14:paraId="6BF08924" w14:textId="77777777" w:rsidR="00082FFE" w:rsidRDefault="00082FFE" w:rsidP="0027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19011"/>
      <w:docPartObj>
        <w:docPartGallery w:val="Page Numbers (Bottom of Page)"/>
        <w:docPartUnique/>
      </w:docPartObj>
    </w:sdtPr>
    <w:sdtEndPr>
      <w:rPr>
        <w:noProof/>
      </w:rPr>
    </w:sdtEndPr>
    <w:sdtContent>
      <w:p w14:paraId="46DA5ABF" w14:textId="4531FE6E" w:rsidR="00EB52B1" w:rsidRDefault="00EB52B1">
        <w:pPr>
          <w:pStyle w:val="Footer"/>
          <w:jc w:val="center"/>
        </w:pPr>
        <w:r>
          <w:fldChar w:fldCharType="begin"/>
        </w:r>
        <w:r>
          <w:instrText xml:space="preserve"> PAGE   \* MERGEFORMAT </w:instrText>
        </w:r>
        <w:r>
          <w:fldChar w:fldCharType="separate"/>
        </w:r>
        <w:r w:rsidR="00E75F52">
          <w:rPr>
            <w:noProof/>
          </w:rPr>
          <w:t>21</w:t>
        </w:r>
        <w:r>
          <w:rPr>
            <w:noProof/>
          </w:rPr>
          <w:fldChar w:fldCharType="end"/>
        </w:r>
      </w:p>
    </w:sdtContent>
  </w:sdt>
  <w:p w14:paraId="41D82A1A" w14:textId="77777777" w:rsidR="00EB52B1" w:rsidRDefault="00EB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439F3" w14:textId="77777777" w:rsidR="00082FFE" w:rsidRDefault="00082FFE" w:rsidP="002769C7">
      <w:pPr>
        <w:spacing w:after="0" w:line="240" w:lineRule="auto"/>
      </w:pPr>
      <w:r>
        <w:separator/>
      </w:r>
    </w:p>
  </w:footnote>
  <w:footnote w:type="continuationSeparator" w:id="0">
    <w:p w14:paraId="234CD840" w14:textId="77777777" w:rsidR="00082FFE" w:rsidRDefault="00082FFE" w:rsidP="00276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5C0"/>
    <w:multiLevelType w:val="hybridMultilevel"/>
    <w:tmpl w:val="41640A9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775336"/>
    <w:multiLevelType w:val="hybridMultilevel"/>
    <w:tmpl w:val="C6203A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FBD07BA"/>
    <w:multiLevelType w:val="hybridMultilevel"/>
    <w:tmpl w:val="C582C076"/>
    <w:lvl w:ilvl="0" w:tplc="BDE0B1A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33D7AE9"/>
    <w:multiLevelType w:val="hybridMultilevel"/>
    <w:tmpl w:val="CEB4670A"/>
    <w:lvl w:ilvl="0" w:tplc="99780B0A">
      <w:start w:val="1"/>
      <w:numFmt w:val="lowerLetter"/>
      <w:lvlText w:val="%1)"/>
      <w:lvlJc w:val="left"/>
      <w:pPr>
        <w:ind w:left="720" w:hanging="360"/>
      </w:pPr>
      <w:rPr>
        <w:rFonts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0C469A1"/>
    <w:multiLevelType w:val="hybridMultilevel"/>
    <w:tmpl w:val="2C2044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49B3DFC"/>
    <w:multiLevelType w:val="multilevel"/>
    <w:tmpl w:val="C80888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4013C4"/>
    <w:multiLevelType w:val="multilevel"/>
    <w:tmpl w:val="079AE672"/>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DB7598"/>
    <w:multiLevelType w:val="hybridMultilevel"/>
    <w:tmpl w:val="DE282918"/>
    <w:lvl w:ilvl="0" w:tplc="BE86CF14">
      <w:start w:val="1"/>
      <w:numFmt w:val="lowerRoman"/>
      <w:lvlText w:val="(%1)"/>
      <w:lvlJc w:val="left"/>
      <w:pPr>
        <w:ind w:left="1430" w:hanging="720"/>
      </w:pPr>
      <w:rPr>
        <w:rFonts w:hint="default"/>
      </w:rPr>
    </w:lvl>
    <w:lvl w:ilvl="1" w:tplc="44090019" w:tentative="1">
      <w:start w:val="1"/>
      <w:numFmt w:val="lowerLetter"/>
      <w:lvlText w:val="%2."/>
      <w:lvlJc w:val="left"/>
      <w:pPr>
        <w:ind w:left="1790" w:hanging="360"/>
      </w:pPr>
    </w:lvl>
    <w:lvl w:ilvl="2" w:tplc="4409001B" w:tentative="1">
      <w:start w:val="1"/>
      <w:numFmt w:val="lowerRoman"/>
      <w:lvlText w:val="%3."/>
      <w:lvlJc w:val="right"/>
      <w:pPr>
        <w:ind w:left="2510" w:hanging="180"/>
      </w:pPr>
    </w:lvl>
    <w:lvl w:ilvl="3" w:tplc="4409000F" w:tentative="1">
      <w:start w:val="1"/>
      <w:numFmt w:val="decimal"/>
      <w:lvlText w:val="%4."/>
      <w:lvlJc w:val="left"/>
      <w:pPr>
        <w:ind w:left="3230" w:hanging="360"/>
      </w:pPr>
    </w:lvl>
    <w:lvl w:ilvl="4" w:tplc="44090019" w:tentative="1">
      <w:start w:val="1"/>
      <w:numFmt w:val="lowerLetter"/>
      <w:lvlText w:val="%5."/>
      <w:lvlJc w:val="left"/>
      <w:pPr>
        <w:ind w:left="3950" w:hanging="360"/>
      </w:pPr>
    </w:lvl>
    <w:lvl w:ilvl="5" w:tplc="4409001B" w:tentative="1">
      <w:start w:val="1"/>
      <w:numFmt w:val="lowerRoman"/>
      <w:lvlText w:val="%6."/>
      <w:lvlJc w:val="right"/>
      <w:pPr>
        <w:ind w:left="4670" w:hanging="180"/>
      </w:pPr>
    </w:lvl>
    <w:lvl w:ilvl="6" w:tplc="4409000F" w:tentative="1">
      <w:start w:val="1"/>
      <w:numFmt w:val="decimal"/>
      <w:lvlText w:val="%7."/>
      <w:lvlJc w:val="left"/>
      <w:pPr>
        <w:ind w:left="5390" w:hanging="360"/>
      </w:pPr>
    </w:lvl>
    <w:lvl w:ilvl="7" w:tplc="44090019" w:tentative="1">
      <w:start w:val="1"/>
      <w:numFmt w:val="lowerLetter"/>
      <w:lvlText w:val="%8."/>
      <w:lvlJc w:val="left"/>
      <w:pPr>
        <w:ind w:left="6110" w:hanging="360"/>
      </w:pPr>
    </w:lvl>
    <w:lvl w:ilvl="8" w:tplc="4409001B" w:tentative="1">
      <w:start w:val="1"/>
      <w:numFmt w:val="lowerRoman"/>
      <w:lvlText w:val="%9."/>
      <w:lvlJc w:val="right"/>
      <w:pPr>
        <w:ind w:left="6830" w:hanging="180"/>
      </w:pPr>
    </w:lvl>
  </w:abstractNum>
  <w:abstractNum w:abstractNumId="8" w15:restartNumberingAfterBreak="0">
    <w:nsid w:val="55E0440D"/>
    <w:multiLevelType w:val="hybridMultilevel"/>
    <w:tmpl w:val="E59AD5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40E1ED8"/>
    <w:multiLevelType w:val="hybridMultilevel"/>
    <w:tmpl w:val="727808D4"/>
    <w:lvl w:ilvl="0" w:tplc="90404B0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75FA524F"/>
    <w:multiLevelType w:val="hybridMultilevel"/>
    <w:tmpl w:val="FEF254BC"/>
    <w:lvl w:ilvl="0" w:tplc="9850B088">
      <w:start w:val="1"/>
      <w:numFmt w:val="decimal"/>
      <w:lvlText w:val="%1."/>
      <w:lvlJc w:val="left"/>
      <w:pPr>
        <w:ind w:left="720" w:hanging="360"/>
      </w:pPr>
      <w:rPr>
        <w:rFonts w:ascii="Times New Roman" w:eastAsiaTheme="minorHAnsi" w:hAnsi="Times New Roman" w:cs="Times New Roman" w:hint="default"/>
        <w:b/>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8"/>
  </w:num>
  <w:num w:numId="5">
    <w:abstractNumId w:val="4"/>
  </w:num>
  <w:num w:numId="6">
    <w:abstractNumId w:val="1"/>
  </w:num>
  <w:num w:numId="7">
    <w:abstractNumId w:val="10"/>
  </w:num>
  <w:num w:numId="8">
    <w:abstractNumId w:val="9"/>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C7"/>
    <w:rsid w:val="00002DB2"/>
    <w:rsid w:val="0000636C"/>
    <w:rsid w:val="00007717"/>
    <w:rsid w:val="00010339"/>
    <w:rsid w:val="00012D77"/>
    <w:rsid w:val="00023057"/>
    <w:rsid w:val="000239BF"/>
    <w:rsid w:val="000263CA"/>
    <w:rsid w:val="00036A87"/>
    <w:rsid w:val="00042B82"/>
    <w:rsid w:val="00057D03"/>
    <w:rsid w:val="00077CC4"/>
    <w:rsid w:val="0008119E"/>
    <w:rsid w:val="00082FFE"/>
    <w:rsid w:val="00092A12"/>
    <w:rsid w:val="00093EB3"/>
    <w:rsid w:val="00094576"/>
    <w:rsid w:val="000A0664"/>
    <w:rsid w:val="000A448E"/>
    <w:rsid w:val="000B5392"/>
    <w:rsid w:val="000C554F"/>
    <w:rsid w:val="000D21F0"/>
    <w:rsid w:val="000E1DA3"/>
    <w:rsid w:val="000F3DD5"/>
    <w:rsid w:val="00115D96"/>
    <w:rsid w:val="0012255E"/>
    <w:rsid w:val="00125220"/>
    <w:rsid w:val="00131F8F"/>
    <w:rsid w:val="00136743"/>
    <w:rsid w:val="00142BF0"/>
    <w:rsid w:val="00145B66"/>
    <w:rsid w:val="00167C87"/>
    <w:rsid w:val="001708A6"/>
    <w:rsid w:val="00172D51"/>
    <w:rsid w:val="00173E49"/>
    <w:rsid w:val="001A498E"/>
    <w:rsid w:val="001B0781"/>
    <w:rsid w:val="001B1F92"/>
    <w:rsid w:val="001B2DA2"/>
    <w:rsid w:val="001C3C23"/>
    <w:rsid w:val="001E08E0"/>
    <w:rsid w:val="001F23D0"/>
    <w:rsid w:val="002052FC"/>
    <w:rsid w:val="00205C65"/>
    <w:rsid w:val="00206FE2"/>
    <w:rsid w:val="00210E92"/>
    <w:rsid w:val="002137BA"/>
    <w:rsid w:val="00214E40"/>
    <w:rsid w:val="002161F3"/>
    <w:rsid w:val="00217989"/>
    <w:rsid w:val="00221488"/>
    <w:rsid w:val="002230F8"/>
    <w:rsid w:val="00224320"/>
    <w:rsid w:val="00232AEE"/>
    <w:rsid w:val="00240600"/>
    <w:rsid w:val="00241895"/>
    <w:rsid w:val="0024360D"/>
    <w:rsid w:val="00254665"/>
    <w:rsid w:val="00266272"/>
    <w:rsid w:val="00270BE7"/>
    <w:rsid w:val="00270E01"/>
    <w:rsid w:val="002769C7"/>
    <w:rsid w:val="00284F2F"/>
    <w:rsid w:val="002902D6"/>
    <w:rsid w:val="00292656"/>
    <w:rsid w:val="002978A3"/>
    <w:rsid w:val="002A3C14"/>
    <w:rsid w:val="002A4703"/>
    <w:rsid w:val="002B0885"/>
    <w:rsid w:val="002B1A2B"/>
    <w:rsid w:val="002B6EA9"/>
    <w:rsid w:val="002C035E"/>
    <w:rsid w:val="002C0B46"/>
    <w:rsid w:val="002C560E"/>
    <w:rsid w:val="002C6D4A"/>
    <w:rsid w:val="002C723F"/>
    <w:rsid w:val="002C7B21"/>
    <w:rsid w:val="002D3040"/>
    <w:rsid w:val="002E3D31"/>
    <w:rsid w:val="002E5DD2"/>
    <w:rsid w:val="002E6704"/>
    <w:rsid w:val="00310067"/>
    <w:rsid w:val="0032467B"/>
    <w:rsid w:val="00327244"/>
    <w:rsid w:val="00333B18"/>
    <w:rsid w:val="00337EBE"/>
    <w:rsid w:val="0034250F"/>
    <w:rsid w:val="003435D9"/>
    <w:rsid w:val="0034684D"/>
    <w:rsid w:val="00355B6A"/>
    <w:rsid w:val="003601B5"/>
    <w:rsid w:val="0037553F"/>
    <w:rsid w:val="0037636E"/>
    <w:rsid w:val="00383CF7"/>
    <w:rsid w:val="00383D1F"/>
    <w:rsid w:val="003846E9"/>
    <w:rsid w:val="003A3C87"/>
    <w:rsid w:val="003A4A4B"/>
    <w:rsid w:val="003D1158"/>
    <w:rsid w:val="003D158F"/>
    <w:rsid w:val="003D61AB"/>
    <w:rsid w:val="003D77A9"/>
    <w:rsid w:val="003F0FCB"/>
    <w:rsid w:val="003F20F5"/>
    <w:rsid w:val="003F5F1C"/>
    <w:rsid w:val="003F6C0E"/>
    <w:rsid w:val="004045E8"/>
    <w:rsid w:val="00411493"/>
    <w:rsid w:val="00411820"/>
    <w:rsid w:val="00411BBA"/>
    <w:rsid w:val="004137ED"/>
    <w:rsid w:val="00415F0E"/>
    <w:rsid w:val="00415F41"/>
    <w:rsid w:val="0042252F"/>
    <w:rsid w:val="0043265D"/>
    <w:rsid w:val="00433819"/>
    <w:rsid w:val="004402EB"/>
    <w:rsid w:val="00443940"/>
    <w:rsid w:val="004454F2"/>
    <w:rsid w:val="0046368F"/>
    <w:rsid w:val="00465A65"/>
    <w:rsid w:val="0047004E"/>
    <w:rsid w:val="00471D85"/>
    <w:rsid w:val="0047526A"/>
    <w:rsid w:val="0048306D"/>
    <w:rsid w:val="004B3AF5"/>
    <w:rsid w:val="004B477E"/>
    <w:rsid w:val="004E319E"/>
    <w:rsid w:val="004E4DC4"/>
    <w:rsid w:val="004E660A"/>
    <w:rsid w:val="004F062F"/>
    <w:rsid w:val="004F4DA6"/>
    <w:rsid w:val="00504810"/>
    <w:rsid w:val="0050730E"/>
    <w:rsid w:val="005109B5"/>
    <w:rsid w:val="00517F16"/>
    <w:rsid w:val="005210C7"/>
    <w:rsid w:val="00533040"/>
    <w:rsid w:val="00533AA1"/>
    <w:rsid w:val="0053490F"/>
    <w:rsid w:val="00544135"/>
    <w:rsid w:val="005503BB"/>
    <w:rsid w:val="00555AEA"/>
    <w:rsid w:val="00567988"/>
    <w:rsid w:val="00573F4B"/>
    <w:rsid w:val="005747F4"/>
    <w:rsid w:val="00591B29"/>
    <w:rsid w:val="00592238"/>
    <w:rsid w:val="005A0935"/>
    <w:rsid w:val="005A1C2A"/>
    <w:rsid w:val="005B1A62"/>
    <w:rsid w:val="005B2495"/>
    <w:rsid w:val="005B5D1C"/>
    <w:rsid w:val="005E4808"/>
    <w:rsid w:val="006025CD"/>
    <w:rsid w:val="00614551"/>
    <w:rsid w:val="00616CDC"/>
    <w:rsid w:val="00626676"/>
    <w:rsid w:val="0062695D"/>
    <w:rsid w:val="00631F15"/>
    <w:rsid w:val="0065199A"/>
    <w:rsid w:val="0067455A"/>
    <w:rsid w:val="00675784"/>
    <w:rsid w:val="00683F6E"/>
    <w:rsid w:val="006929AB"/>
    <w:rsid w:val="00693643"/>
    <w:rsid w:val="00694942"/>
    <w:rsid w:val="006A11F6"/>
    <w:rsid w:val="006B214D"/>
    <w:rsid w:val="006B6F0D"/>
    <w:rsid w:val="006B78AB"/>
    <w:rsid w:val="006C21A7"/>
    <w:rsid w:val="006C2300"/>
    <w:rsid w:val="006D16D3"/>
    <w:rsid w:val="006D3752"/>
    <w:rsid w:val="006D7548"/>
    <w:rsid w:val="006E0DDF"/>
    <w:rsid w:val="006E27A0"/>
    <w:rsid w:val="006E5E3B"/>
    <w:rsid w:val="006F7186"/>
    <w:rsid w:val="00705433"/>
    <w:rsid w:val="00716057"/>
    <w:rsid w:val="007225C1"/>
    <w:rsid w:val="00723C0A"/>
    <w:rsid w:val="00740B72"/>
    <w:rsid w:val="00740CDF"/>
    <w:rsid w:val="00743405"/>
    <w:rsid w:val="00753759"/>
    <w:rsid w:val="00753955"/>
    <w:rsid w:val="00760ABF"/>
    <w:rsid w:val="0076402B"/>
    <w:rsid w:val="00776C5A"/>
    <w:rsid w:val="007823E2"/>
    <w:rsid w:val="00783210"/>
    <w:rsid w:val="00784C91"/>
    <w:rsid w:val="00786BC5"/>
    <w:rsid w:val="00791F5D"/>
    <w:rsid w:val="00795E9C"/>
    <w:rsid w:val="00796F31"/>
    <w:rsid w:val="00797329"/>
    <w:rsid w:val="007A0517"/>
    <w:rsid w:val="007B3167"/>
    <w:rsid w:val="007C488F"/>
    <w:rsid w:val="007C6CFD"/>
    <w:rsid w:val="007D440E"/>
    <w:rsid w:val="007D56EA"/>
    <w:rsid w:val="007F1086"/>
    <w:rsid w:val="007F4C06"/>
    <w:rsid w:val="00811A33"/>
    <w:rsid w:val="00811A9E"/>
    <w:rsid w:val="00813DF6"/>
    <w:rsid w:val="008252FE"/>
    <w:rsid w:val="00841502"/>
    <w:rsid w:val="00844513"/>
    <w:rsid w:val="008451E0"/>
    <w:rsid w:val="00857D38"/>
    <w:rsid w:val="00867096"/>
    <w:rsid w:val="00867409"/>
    <w:rsid w:val="008720A0"/>
    <w:rsid w:val="008755BF"/>
    <w:rsid w:val="00876498"/>
    <w:rsid w:val="00876F0C"/>
    <w:rsid w:val="00882063"/>
    <w:rsid w:val="008857D6"/>
    <w:rsid w:val="008B25AE"/>
    <w:rsid w:val="008C3D14"/>
    <w:rsid w:val="008C6B5C"/>
    <w:rsid w:val="008D3E63"/>
    <w:rsid w:val="008D55F2"/>
    <w:rsid w:val="008D5911"/>
    <w:rsid w:val="008D65BB"/>
    <w:rsid w:val="008E1CA7"/>
    <w:rsid w:val="008E4C81"/>
    <w:rsid w:val="008E6B78"/>
    <w:rsid w:val="008F234B"/>
    <w:rsid w:val="008F38B6"/>
    <w:rsid w:val="008F57CB"/>
    <w:rsid w:val="008F68F0"/>
    <w:rsid w:val="00915BC0"/>
    <w:rsid w:val="00930325"/>
    <w:rsid w:val="00933F56"/>
    <w:rsid w:val="00937FC7"/>
    <w:rsid w:val="00946F67"/>
    <w:rsid w:val="00947CA5"/>
    <w:rsid w:val="00951A3C"/>
    <w:rsid w:val="00956AAD"/>
    <w:rsid w:val="00957AB4"/>
    <w:rsid w:val="00976DD3"/>
    <w:rsid w:val="00977A59"/>
    <w:rsid w:val="009A1CF6"/>
    <w:rsid w:val="009A2E95"/>
    <w:rsid w:val="009A4FF2"/>
    <w:rsid w:val="009B7A35"/>
    <w:rsid w:val="009C1856"/>
    <w:rsid w:val="009C3232"/>
    <w:rsid w:val="009D4398"/>
    <w:rsid w:val="009D639A"/>
    <w:rsid w:val="009F1419"/>
    <w:rsid w:val="009F2AD7"/>
    <w:rsid w:val="009F3C59"/>
    <w:rsid w:val="009F4A94"/>
    <w:rsid w:val="009F7CC4"/>
    <w:rsid w:val="00A21E0C"/>
    <w:rsid w:val="00A22F94"/>
    <w:rsid w:val="00A25E49"/>
    <w:rsid w:val="00A31639"/>
    <w:rsid w:val="00A362C1"/>
    <w:rsid w:val="00A55F63"/>
    <w:rsid w:val="00A64585"/>
    <w:rsid w:val="00A72D7D"/>
    <w:rsid w:val="00A7658E"/>
    <w:rsid w:val="00A76878"/>
    <w:rsid w:val="00A84406"/>
    <w:rsid w:val="00A902ED"/>
    <w:rsid w:val="00AA0E5C"/>
    <w:rsid w:val="00AA3FC5"/>
    <w:rsid w:val="00AC3CBD"/>
    <w:rsid w:val="00AD624E"/>
    <w:rsid w:val="00AF77EF"/>
    <w:rsid w:val="00B02B70"/>
    <w:rsid w:val="00B1077B"/>
    <w:rsid w:val="00B108EC"/>
    <w:rsid w:val="00B1126E"/>
    <w:rsid w:val="00B216FB"/>
    <w:rsid w:val="00B228AC"/>
    <w:rsid w:val="00B34EF3"/>
    <w:rsid w:val="00B37845"/>
    <w:rsid w:val="00B45DDE"/>
    <w:rsid w:val="00B46C66"/>
    <w:rsid w:val="00B53EBD"/>
    <w:rsid w:val="00B66558"/>
    <w:rsid w:val="00B668C5"/>
    <w:rsid w:val="00B6717A"/>
    <w:rsid w:val="00B72E2A"/>
    <w:rsid w:val="00B82F8C"/>
    <w:rsid w:val="00B90FEE"/>
    <w:rsid w:val="00BA4209"/>
    <w:rsid w:val="00BA5EBE"/>
    <w:rsid w:val="00BB3290"/>
    <w:rsid w:val="00BC1717"/>
    <w:rsid w:val="00BC19FC"/>
    <w:rsid w:val="00BC620E"/>
    <w:rsid w:val="00BD4D29"/>
    <w:rsid w:val="00BF2DFE"/>
    <w:rsid w:val="00BF7571"/>
    <w:rsid w:val="00BF7D21"/>
    <w:rsid w:val="00C06B83"/>
    <w:rsid w:val="00C15533"/>
    <w:rsid w:val="00C253F8"/>
    <w:rsid w:val="00C27837"/>
    <w:rsid w:val="00C30EB5"/>
    <w:rsid w:val="00C43B8A"/>
    <w:rsid w:val="00C44859"/>
    <w:rsid w:val="00C44D3C"/>
    <w:rsid w:val="00C52403"/>
    <w:rsid w:val="00C546B9"/>
    <w:rsid w:val="00C7137A"/>
    <w:rsid w:val="00C71A24"/>
    <w:rsid w:val="00C73528"/>
    <w:rsid w:val="00C80450"/>
    <w:rsid w:val="00C821E2"/>
    <w:rsid w:val="00C86156"/>
    <w:rsid w:val="00C90CC8"/>
    <w:rsid w:val="00C973C7"/>
    <w:rsid w:val="00CA1DEE"/>
    <w:rsid w:val="00CA7B6A"/>
    <w:rsid w:val="00CB388E"/>
    <w:rsid w:val="00CB591E"/>
    <w:rsid w:val="00CC1179"/>
    <w:rsid w:val="00CC1B61"/>
    <w:rsid w:val="00CC3884"/>
    <w:rsid w:val="00CC6827"/>
    <w:rsid w:val="00CD582C"/>
    <w:rsid w:val="00CE158A"/>
    <w:rsid w:val="00CF3271"/>
    <w:rsid w:val="00D20106"/>
    <w:rsid w:val="00D46FE5"/>
    <w:rsid w:val="00D55D0A"/>
    <w:rsid w:val="00D606C8"/>
    <w:rsid w:val="00D634A0"/>
    <w:rsid w:val="00D63E0C"/>
    <w:rsid w:val="00D74047"/>
    <w:rsid w:val="00D75A05"/>
    <w:rsid w:val="00D84517"/>
    <w:rsid w:val="00D84E17"/>
    <w:rsid w:val="00DA5D03"/>
    <w:rsid w:val="00DA6C24"/>
    <w:rsid w:val="00DB04EB"/>
    <w:rsid w:val="00DB4155"/>
    <w:rsid w:val="00DB42FD"/>
    <w:rsid w:val="00DB798E"/>
    <w:rsid w:val="00DC09C7"/>
    <w:rsid w:val="00DD1946"/>
    <w:rsid w:val="00DD7210"/>
    <w:rsid w:val="00DE5968"/>
    <w:rsid w:val="00DE5FE7"/>
    <w:rsid w:val="00E06C42"/>
    <w:rsid w:val="00E149A5"/>
    <w:rsid w:val="00E1697E"/>
    <w:rsid w:val="00E21A94"/>
    <w:rsid w:val="00E23304"/>
    <w:rsid w:val="00E35221"/>
    <w:rsid w:val="00E473E1"/>
    <w:rsid w:val="00E57319"/>
    <w:rsid w:val="00E61407"/>
    <w:rsid w:val="00E61F1B"/>
    <w:rsid w:val="00E66FF7"/>
    <w:rsid w:val="00E748BD"/>
    <w:rsid w:val="00E75F52"/>
    <w:rsid w:val="00E80230"/>
    <w:rsid w:val="00EA2234"/>
    <w:rsid w:val="00EA3BF7"/>
    <w:rsid w:val="00EA5C15"/>
    <w:rsid w:val="00EA6B51"/>
    <w:rsid w:val="00EB4B71"/>
    <w:rsid w:val="00EB52B1"/>
    <w:rsid w:val="00EB6443"/>
    <w:rsid w:val="00EB71AC"/>
    <w:rsid w:val="00ED3FA7"/>
    <w:rsid w:val="00ED504C"/>
    <w:rsid w:val="00ED7448"/>
    <w:rsid w:val="00EE07E7"/>
    <w:rsid w:val="00EE4550"/>
    <w:rsid w:val="00EF7C2A"/>
    <w:rsid w:val="00F045CE"/>
    <w:rsid w:val="00F04AB3"/>
    <w:rsid w:val="00F113E5"/>
    <w:rsid w:val="00F11D1F"/>
    <w:rsid w:val="00F24A01"/>
    <w:rsid w:val="00F25CF1"/>
    <w:rsid w:val="00F26FA3"/>
    <w:rsid w:val="00F27201"/>
    <w:rsid w:val="00F2759C"/>
    <w:rsid w:val="00F3431D"/>
    <w:rsid w:val="00F47080"/>
    <w:rsid w:val="00F51D4E"/>
    <w:rsid w:val="00F51FD4"/>
    <w:rsid w:val="00F53BFD"/>
    <w:rsid w:val="00F62FBD"/>
    <w:rsid w:val="00F65328"/>
    <w:rsid w:val="00F74440"/>
    <w:rsid w:val="00F7642C"/>
    <w:rsid w:val="00F76A37"/>
    <w:rsid w:val="00F80E73"/>
    <w:rsid w:val="00F87CCB"/>
    <w:rsid w:val="00F9091C"/>
    <w:rsid w:val="00F94AB8"/>
    <w:rsid w:val="00F962A4"/>
    <w:rsid w:val="00F96CFC"/>
    <w:rsid w:val="00FA5C27"/>
    <w:rsid w:val="00FA6845"/>
    <w:rsid w:val="00FB55B2"/>
    <w:rsid w:val="00FB7AF7"/>
    <w:rsid w:val="00FD53BC"/>
    <w:rsid w:val="00FD66A4"/>
    <w:rsid w:val="00FD681E"/>
    <w:rsid w:val="00FE12BA"/>
    <w:rsid w:val="00FE1CA5"/>
    <w:rsid w:val="00FF0B2F"/>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C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ms-MY"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78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6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9C7"/>
    <w:rPr>
      <w:sz w:val="20"/>
      <w:szCs w:val="20"/>
    </w:rPr>
  </w:style>
  <w:style w:type="character" w:styleId="FootnoteReference">
    <w:name w:val="footnote reference"/>
    <w:basedOn w:val="DefaultParagraphFont"/>
    <w:uiPriority w:val="99"/>
    <w:semiHidden/>
    <w:unhideWhenUsed/>
    <w:rsid w:val="002769C7"/>
    <w:rPr>
      <w:vertAlign w:val="superscript"/>
    </w:rPr>
  </w:style>
  <w:style w:type="paragraph" w:styleId="ListParagraph">
    <w:name w:val="List Paragraph"/>
    <w:basedOn w:val="Normal"/>
    <w:uiPriority w:val="34"/>
    <w:qFormat/>
    <w:rsid w:val="002769C7"/>
    <w:pPr>
      <w:ind w:left="720"/>
      <w:contextualSpacing/>
    </w:pPr>
  </w:style>
  <w:style w:type="table" w:customStyle="1" w:styleId="LightShading2">
    <w:name w:val="Light Shading2"/>
    <w:basedOn w:val="TableNormal"/>
    <w:uiPriority w:val="60"/>
    <w:rsid w:val="002769C7"/>
    <w:pPr>
      <w:spacing w:after="0" w:line="240" w:lineRule="auto"/>
    </w:pPr>
    <w:rPr>
      <w:rFonts w:asciiTheme="minorHAnsi" w:eastAsia="Times New Roman" w:hAnsiTheme="minorHAnsi" w:cstheme="minorBidi"/>
      <w:bCs/>
      <w:color w:val="000000"/>
      <w:sz w:val="22"/>
      <w:szCs w:val="22"/>
      <w:lang w:val="en-AU"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683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F6E"/>
  </w:style>
  <w:style w:type="paragraph" w:styleId="Footer">
    <w:name w:val="footer"/>
    <w:basedOn w:val="Normal"/>
    <w:link w:val="FooterChar"/>
    <w:uiPriority w:val="99"/>
    <w:unhideWhenUsed/>
    <w:rsid w:val="00683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6E"/>
  </w:style>
  <w:style w:type="table" w:styleId="TableGrid">
    <w:name w:val="Table Grid"/>
    <w:basedOn w:val="TableNormal"/>
    <w:uiPriority w:val="59"/>
    <w:rsid w:val="00753955"/>
    <w:pPr>
      <w:spacing w:after="0" w:line="240" w:lineRule="auto"/>
    </w:pPr>
    <w:rPr>
      <w:rFonts w:ascii="Calibri" w:eastAsia="Calibri" w:hAnsi="Calibri" w:cs="Calibri"/>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592238"/>
    <w:pPr>
      <w:spacing w:after="0" w:line="240" w:lineRule="auto"/>
    </w:pPr>
    <w:rPr>
      <w:rFonts w:asciiTheme="minorHAnsi" w:eastAsiaTheme="minorEastAsia" w:hAnsiTheme="minorHAnsi" w:cstheme="minorBidi"/>
      <w:color w:val="000000" w:themeColor="text1" w:themeShade="BF"/>
      <w:sz w:val="22"/>
      <w:szCs w:val="22"/>
      <w:lang w:val="en-AU"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E5E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E3B"/>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4047"/>
    <w:rPr>
      <w:sz w:val="18"/>
      <w:szCs w:val="18"/>
    </w:rPr>
  </w:style>
  <w:style w:type="paragraph" w:styleId="CommentText">
    <w:name w:val="annotation text"/>
    <w:basedOn w:val="Normal"/>
    <w:link w:val="CommentTextChar"/>
    <w:uiPriority w:val="99"/>
    <w:unhideWhenUsed/>
    <w:rsid w:val="00D74047"/>
    <w:pPr>
      <w:spacing w:line="240" w:lineRule="auto"/>
    </w:pPr>
  </w:style>
  <w:style w:type="character" w:customStyle="1" w:styleId="CommentTextChar">
    <w:name w:val="Comment Text Char"/>
    <w:basedOn w:val="DefaultParagraphFont"/>
    <w:link w:val="CommentText"/>
    <w:uiPriority w:val="99"/>
    <w:rsid w:val="00D74047"/>
  </w:style>
  <w:style w:type="paragraph" w:styleId="CommentSubject">
    <w:name w:val="annotation subject"/>
    <w:basedOn w:val="CommentText"/>
    <w:next w:val="CommentText"/>
    <w:link w:val="CommentSubjectChar"/>
    <w:uiPriority w:val="99"/>
    <w:semiHidden/>
    <w:unhideWhenUsed/>
    <w:rsid w:val="00D74047"/>
    <w:rPr>
      <w:b/>
      <w:bCs/>
      <w:sz w:val="20"/>
      <w:szCs w:val="20"/>
    </w:rPr>
  </w:style>
  <w:style w:type="character" w:customStyle="1" w:styleId="CommentSubjectChar">
    <w:name w:val="Comment Subject Char"/>
    <w:basedOn w:val="CommentTextChar"/>
    <w:link w:val="CommentSubject"/>
    <w:uiPriority w:val="99"/>
    <w:semiHidden/>
    <w:rsid w:val="00D74047"/>
    <w:rPr>
      <w:b/>
      <w:bCs/>
      <w:sz w:val="20"/>
      <w:szCs w:val="20"/>
    </w:rPr>
  </w:style>
  <w:style w:type="character" w:styleId="Hyperlink">
    <w:name w:val="Hyperlink"/>
    <w:basedOn w:val="DefaultParagraphFont"/>
    <w:uiPriority w:val="99"/>
    <w:unhideWhenUsed/>
    <w:rsid w:val="00841502"/>
    <w:rPr>
      <w:color w:val="0000FF" w:themeColor="hyperlink"/>
      <w:u w:val="single"/>
    </w:rPr>
  </w:style>
  <w:style w:type="character" w:customStyle="1" w:styleId="apple-converted-space">
    <w:name w:val="apple-converted-space"/>
    <w:basedOn w:val="DefaultParagraphFont"/>
    <w:rsid w:val="0059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6616">
      <w:bodyDiv w:val="1"/>
      <w:marLeft w:val="0"/>
      <w:marRight w:val="0"/>
      <w:marTop w:val="0"/>
      <w:marBottom w:val="0"/>
      <w:divBdr>
        <w:top w:val="none" w:sz="0" w:space="0" w:color="auto"/>
        <w:left w:val="none" w:sz="0" w:space="0" w:color="auto"/>
        <w:bottom w:val="none" w:sz="0" w:space="0" w:color="auto"/>
        <w:right w:val="none" w:sz="0" w:space="0" w:color="auto"/>
      </w:divBdr>
    </w:div>
    <w:div w:id="115947024">
      <w:bodyDiv w:val="1"/>
      <w:marLeft w:val="0"/>
      <w:marRight w:val="0"/>
      <w:marTop w:val="0"/>
      <w:marBottom w:val="0"/>
      <w:divBdr>
        <w:top w:val="none" w:sz="0" w:space="0" w:color="auto"/>
        <w:left w:val="none" w:sz="0" w:space="0" w:color="auto"/>
        <w:bottom w:val="none" w:sz="0" w:space="0" w:color="auto"/>
        <w:right w:val="none" w:sz="0" w:space="0" w:color="auto"/>
      </w:divBdr>
    </w:div>
    <w:div w:id="171647249">
      <w:bodyDiv w:val="1"/>
      <w:marLeft w:val="0"/>
      <w:marRight w:val="0"/>
      <w:marTop w:val="0"/>
      <w:marBottom w:val="0"/>
      <w:divBdr>
        <w:top w:val="none" w:sz="0" w:space="0" w:color="auto"/>
        <w:left w:val="none" w:sz="0" w:space="0" w:color="auto"/>
        <w:bottom w:val="none" w:sz="0" w:space="0" w:color="auto"/>
        <w:right w:val="none" w:sz="0" w:space="0" w:color="auto"/>
      </w:divBdr>
    </w:div>
    <w:div w:id="180362515">
      <w:bodyDiv w:val="1"/>
      <w:marLeft w:val="0"/>
      <w:marRight w:val="0"/>
      <w:marTop w:val="0"/>
      <w:marBottom w:val="0"/>
      <w:divBdr>
        <w:top w:val="none" w:sz="0" w:space="0" w:color="auto"/>
        <w:left w:val="none" w:sz="0" w:space="0" w:color="auto"/>
        <w:bottom w:val="none" w:sz="0" w:space="0" w:color="auto"/>
        <w:right w:val="none" w:sz="0" w:space="0" w:color="auto"/>
      </w:divBdr>
    </w:div>
    <w:div w:id="774516515">
      <w:bodyDiv w:val="1"/>
      <w:marLeft w:val="0"/>
      <w:marRight w:val="0"/>
      <w:marTop w:val="0"/>
      <w:marBottom w:val="0"/>
      <w:divBdr>
        <w:top w:val="none" w:sz="0" w:space="0" w:color="auto"/>
        <w:left w:val="none" w:sz="0" w:space="0" w:color="auto"/>
        <w:bottom w:val="none" w:sz="0" w:space="0" w:color="auto"/>
        <w:right w:val="none" w:sz="0" w:space="0" w:color="auto"/>
      </w:divBdr>
    </w:div>
    <w:div w:id="1345400018">
      <w:bodyDiv w:val="1"/>
      <w:marLeft w:val="0"/>
      <w:marRight w:val="0"/>
      <w:marTop w:val="0"/>
      <w:marBottom w:val="0"/>
      <w:divBdr>
        <w:top w:val="none" w:sz="0" w:space="0" w:color="auto"/>
        <w:left w:val="none" w:sz="0" w:space="0" w:color="auto"/>
        <w:bottom w:val="none" w:sz="0" w:space="0" w:color="auto"/>
        <w:right w:val="none" w:sz="0" w:space="0" w:color="auto"/>
      </w:divBdr>
    </w:div>
    <w:div w:id="20238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v>
                </c:pt>
              </c:strCache>
            </c:strRef>
          </c:tx>
          <c:spPr>
            <a:pattFill prst="pct30">
              <a:fgClr>
                <a:sysClr val="windowText" lastClr="000000"/>
              </a:fgClr>
              <a:bgClr>
                <a:sysClr val="window" lastClr="FFFFFF"/>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M2s1a</c:v>
                </c:pt>
                <c:pt idx="1">
                  <c:v>M2s1b</c:v>
                </c:pt>
                <c:pt idx="2">
                  <c:v>M2s1c</c:v>
                </c:pt>
                <c:pt idx="3">
                  <c:v>M2s1d</c:v>
                </c:pt>
                <c:pt idx="4">
                  <c:v>M2s1e</c:v>
                </c:pt>
              </c:strCache>
            </c:strRef>
          </c:cat>
          <c:val>
            <c:numRef>
              <c:f>Sheet1!$B$2:$B$6</c:f>
              <c:numCache>
                <c:formatCode>General</c:formatCode>
                <c:ptCount val="5"/>
                <c:pt idx="0">
                  <c:v>17</c:v>
                </c:pt>
                <c:pt idx="1">
                  <c:v>64</c:v>
                </c:pt>
                <c:pt idx="2">
                  <c:v>11</c:v>
                </c:pt>
                <c:pt idx="3">
                  <c:v>1</c:v>
                </c:pt>
                <c:pt idx="4">
                  <c:v>6</c:v>
                </c:pt>
              </c:numCache>
            </c:numRef>
          </c:val>
          <c:extLst>
            <c:ext xmlns:c16="http://schemas.microsoft.com/office/drawing/2014/chart" uri="{C3380CC4-5D6E-409C-BE32-E72D297353CC}">
              <c16:uniqueId val="{00000000-1C23-470A-9257-C780E23E9379}"/>
            </c:ext>
          </c:extLst>
        </c:ser>
        <c:dLbls>
          <c:showLegendKey val="0"/>
          <c:showVal val="0"/>
          <c:showCatName val="0"/>
          <c:showSerName val="0"/>
          <c:showPercent val="0"/>
          <c:showBubbleSize val="0"/>
        </c:dLbls>
        <c:gapWidth val="100"/>
        <c:axId val="836597936"/>
        <c:axId val="836598720"/>
      </c:barChart>
      <c:valAx>
        <c:axId val="836598720"/>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6597936"/>
        <c:crosses val="autoZero"/>
        <c:crossBetween val="between"/>
      </c:valAx>
      <c:catAx>
        <c:axId val="836597936"/>
        <c:scaling>
          <c:orientation val="minMax"/>
        </c:scaling>
        <c:delete val="0"/>
        <c:axPos val="l"/>
        <c:title>
          <c:tx>
            <c:rich>
              <a:bodyPr/>
              <a:lstStyle/>
              <a:p>
                <a:pPr>
                  <a:defRPr/>
                </a:pPr>
                <a:r>
                  <a:rPr lang="en-MY"/>
                  <a:t>Move 2 Steps</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6598720"/>
        <c:crosses val="autoZero"/>
        <c:auto val="1"/>
        <c:lblAlgn val="ctr"/>
        <c:lblOffset val="100"/>
        <c:noMultiLvlLbl val="0"/>
      </c:catAx>
      <c:dTable>
        <c:showHorzBorder val="1"/>
        <c:showVertBorder val="1"/>
        <c:showOutline val="1"/>
        <c:showKeys val="1"/>
      </c:dTable>
    </c:plotArea>
    <c:plotVisOnly val="1"/>
    <c:dispBlanksAs val="zero"/>
    <c:showDLblsOverMax val="0"/>
  </c:chart>
  <c:spPr>
    <a:ln w="9525">
      <a:solidFill>
        <a:schemeClr val="tx1"/>
      </a:solidFill>
    </a:ln>
  </c:spPr>
  <c:txPr>
    <a:bodyPr/>
    <a:lstStyle/>
    <a:p>
      <a:pPr>
        <a:defRPr>
          <a:ln w="12700">
            <a:noFill/>
          </a:ln>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M2s1a</c:v>
                </c:pt>
              </c:strCache>
            </c:strRef>
          </c:tx>
          <c:spPr>
            <a:pattFill prst="dashUpDiag">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0</c:v>
                </c:pt>
                <c:pt idx="1">
                  <c:v>12.5</c:v>
                </c:pt>
                <c:pt idx="2">
                  <c:v>25</c:v>
                </c:pt>
                <c:pt idx="3">
                  <c:v>19</c:v>
                </c:pt>
                <c:pt idx="4">
                  <c:v>24</c:v>
                </c:pt>
                <c:pt idx="5">
                  <c:v>0</c:v>
                </c:pt>
                <c:pt idx="6">
                  <c:v>44</c:v>
                </c:pt>
                <c:pt idx="7">
                  <c:v>13</c:v>
                </c:pt>
              </c:numCache>
            </c:numRef>
          </c:val>
          <c:extLst>
            <c:ext xmlns:c16="http://schemas.microsoft.com/office/drawing/2014/chart" uri="{C3380CC4-5D6E-409C-BE32-E72D297353CC}">
              <c16:uniqueId val="{00000000-C79D-4497-8E75-8C46EE23ACBD}"/>
            </c:ext>
          </c:extLst>
        </c:ser>
        <c:ser>
          <c:idx val="1"/>
          <c:order val="1"/>
          <c:tx>
            <c:strRef>
              <c:f>Sheet1!$C$1</c:f>
              <c:strCache>
                <c:ptCount val="1"/>
                <c:pt idx="0">
                  <c:v>M2s1b</c:v>
                </c:pt>
              </c:strCache>
            </c:strRef>
          </c:tx>
          <c:spPr>
            <a:pattFill prst="pct20">
              <a:fgClr>
                <a:sysClr val="windowText" lastClr="000000"/>
              </a:fgClr>
              <a:bgClr>
                <a:sysClr val="window" lastClr="FFFFFF"/>
              </a:bgClr>
            </a:patt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Sheet1!$A$2:$A$9</c:f>
              <c:strCache>
                <c:ptCount val="8"/>
                <c:pt idx="0">
                  <c:v>T1</c:v>
                </c:pt>
                <c:pt idx="1">
                  <c:v>T2</c:v>
                </c:pt>
                <c:pt idx="2">
                  <c:v>T3</c:v>
                </c:pt>
                <c:pt idx="3">
                  <c:v>T4</c:v>
                </c:pt>
                <c:pt idx="4">
                  <c:v>T5</c:v>
                </c:pt>
                <c:pt idx="5">
                  <c:v>T6</c:v>
                </c:pt>
                <c:pt idx="6">
                  <c:v>T7</c:v>
                </c:pt>
                <c:pt idx="7">
                  <c:v>T8</c:v>
                </c:pt>
              </c:strCache>
            </c:strRef>
          </c:cat>
          <c:val>
            <c:numRef>
              <c:f>Sheet1!$C$2:$C$9</c:f>
              <c:numCache>
                <c:formatCode>General</c:formatCode>
                <c:ptCount val="8"/>
                <c:pt idx="0">
                  <c:v>86</c:v>
                </c:pt>
                <c:pt idx="1">
                  <c:v>75</c:v>
                </c:pt>
                <c:pt idx="2">
                  <c:v>58</c:v>
                </c:pt>
                <c:pt idx="3">
                  <c:v>69</c:v>
                </c:pt>
                <c:pt idx="4">
                  <c:v>57</c:v>
                </c:pt>
                <c:pt idx="5">
                  <c:v>68</c:v>
                </c:pt>
                <c:pt idx="6">
                  <c:v>44</c:v>
                </c:pt>
                <c:pt idx="7">
                  <c:v>74</c:v>
                </c:pt>
              </c:numCache>
            </c:numRef>
          </c:val>
          <c:extLst>
            <c:ext xmlns:c16="http://schemas.microsoft.com/office/drawing/2014/chart" uri="{C3380CC4-5D6E-409C-BE32-E72D297353CC}">
              <c16:uniqueId val="{00000001-C79D-4497-8E75-8C46EE23ACBD}"/>
            </c:ext>
          </c:extLst>
        </c:ser>
        <c:ser>
          <c:idx val="2"/>
          <c:order val="2"/>
          <c:tx>
            <c:strRef>
              <c:f>Sheet1!$D$1</c:f>
              <c:strCache>
                <c:ptCount val="1"/>
                <c:pt idx="0">
                  <c:v>M2s1c</c:v>
                </c:pt>
              </c:strCache>
            </c:strRef>
          </c:tx>
          <c:spPr>
            <a:pattFill prst="narHorz">
              <a:fgClr>
                <a:sysClr val="windowText" lastClr="000000"/>
              </a:fgClr>
              <a:bgClr>
                <a:sysClr val="window" lastClr="FFFFFF"/>
              </a:bgClr>
            </a:pattFill>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Sheet1!$D$2:$D$9</c:f>
              <c:numCache>
                <c:formatCode>General</c:formatCode>
                <c:ptCount val="8"/>
                <c:pt idx="0">
                  <c:v>7</c:v>
                </c:pt>
                <c:pt idx="1">
                  <c:v>0</c:v>
                </c:pt>
                <c:pt idx="2">
                  <c:v>17</c:v>
                </c:pt>
                <c:pt idx="3">
                  <c:v>0</c:v>
                </c:pt>
                <c:pt idx="4">
                  <c:v>14</c:v>
                </c:pt>
                <c:pt idx="5">
                  <c:v>32</c:v>
                </c:pt>
                <c:pt idx="6">
                  <c:v>12</c:v>
                </c:pt>
                <c:pt idx="7">
                  <c:v>0</c:v>
                </c:pt>
              </c:numCache>
            </c:numRef>
          </c:val>
          <c:extLst>
            <c:ext xmlns:c16="http://schemas.microsoft.com/office/drawing/2014/chart" uri="{C3380CC4-5D6E-409C-BE32-E72D297353CC}">
              <c16:uniqueId val="{00000002-C79D-4497-8E75-8C46EE23ACBD}"/>
            </c:ext>
          </c:extLst>
        </c:ser>
        <c:ser>
          <c:idx val="3"/>
          <c:order val="3"/>
          <c:tx>
            <c:strRef>
              <c:f>Sheet1!$E$1</c:f>
              <c:strCache>
                <c:ptCount val="1"/>
                <c:pt idx="0">
                  <c:v>M2s1d</c:v>
                </c:pt>
              </c:strCache>
            </c:strRef>
          </c:tx>
          <c:spPr>
            <a:pattFill prst="wave">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Sheet1!$E$2:$E$9</c:f>
              <c:numCache>
                <c:formatCode>General</c:formatCode>
                <c:ptCount val="8"/>
                <c:pt idx="0">
                  <c:v>7</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3-C79D-4497-8E75-8C46EE23ACBD}"/>
            </c:ext>
          </c:extLst>
        </c:ser>
        <c:ser>
          <c:idx val="4"/>
          <c:order val="4"/>
          <c:tx>
            <c:strRef>
              <c:f>Sheet1!$F$1</c:f>
              <c:strCache>
                <c:ptCount val="1"/>
                <c:pt idx="0">
                  <c:v>M2s1e</c:v>
                </c:pt>
              </c:strCache>
            </c:strRef>
          </c:tx>
          <c:spPr>
            <a:pattFill prst="lgCheck">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Sheet1!$F$2:$F$9</c:f>
              <c:numCache>
                <c:formatCode>General</c:formatCode>
                <c:ptCount val="8"/>
                <c:pt idx="0">
                  <c:v>0</c:v>
                </c:pt>
                <c:pt idx="1">
                  <c:v>12.5</c:v>
                </c:pt>
                <c:pt idx="2">
                  <c:v>0</c:v>
                </c:pt>
                <c:pt idx="3">
                  <c:v>12</c:v>
                </c:pt>
                <c:pt idx="4">
                  <c:v>8</c:v>
                </c:pt>
                <c:pt idx="5">
                  <c:v>0</c:v>
                </c:pt>
                <c:pt idx="6">
                  <c:v>0</c:v>
                </c:pt>
                <c:pt idx="7">
                  <c:v>13</c:v>
                </c:pt>
              </c:numCache>
            </c:numRef>
          </c:val>
          <c:extLst>
            <c:ext xmlns:c16="http://schemas.microsoft.com/office/drawing/2014/chart" uri="{C3380CC4-5D6E-409C-BE32-E72D297353CC}">
              <c16:uniqueId val="{00000004-C79D-4497-8E75-8C46EE23ACBD}"/>
            </c:ext>
          </c:extLst>
        </c:ser>
        <c:dLbls>
          <c:showLegendKey val="0"/>
          <c:showVal val="0"/>
          <c:showCatName val="0"/>
          <c:showSerName val="0"/>
          <c:showPercent val="0"/>
          <c:showBubbleSize val="0"/>
        </c:dLbls>
        <c:gapWidth val="150"/>
        <c:axId val="836600680"/>
        <c:axId val="836600288"/>
      </c:barChart>
      <c:catAx>
        <c:axId val="836600680"/>
        <c:scaling>
          <c:orientation val="minMax"/>
        </c:scaling>
        <c:delete val="0"/>
        <c:axPos val="b"/>
        <c:title>
          <c:tx>
            <c:rich>
              <a:bodyPr/>
              <a:lstStyle/>
              <a:p>
                <a:pPr>
                  <a:defRPr>
                    <a:latin typeface="Book Antiqua" pitchFamily="18" charset="0"/>
                  </a:defRPr>
                </a:pPr>
                <a:r>
                  <a:rPr lang="en-AU">
                    <a:latin typeface="Book Antiqua" pitchFamily="18" charset="0"/>
                  </a:rPr>
                  <a:t>Theses' Introduction</a:t>
                </a:r>
              </a:p>
            </c:rich>
          </c:tx>
          <c:overlay val="0"/>
        </c:title>
        <c:numFmt formatCode="General" sourceLinked="0"/>
        <c:majorTickMark val="none"/>
        <c:minorTickMark val="none"/>
        <c:tickLblPos val="nextTo"/>
        <c:crossAx val="836600288"/>
        <c:crosses val="autoZero"/>
        <c:auto val="1"/>
        <c:lblAlgn val="ctr"/>
        <c:lblOffset val="100"/>
        <c:noMultiLvlLbl val="0"/>
      </c:catAx>
      <c:valAx>
        <c:axId val="836600288"/>
        <c:scaling>
          <c:orientation val="minMax"/>
        </c:scaling>
        <c:delete val="0"/>
        <c:axPos val="l"/>
        <c:majorGridlines/>
        <c:title>
          <c:tx>
            <c:rich>
              <a:bodyPr/>
              <a:lstStyle/>
              <a:p>
                <a:pPr>
                  <a:defRPr>
                    <a:latin typeface="Book Antiqua" pitchFamily="18" charset="0"/>
                  </a:defRPr>
                </a:pPr>
                <a:r>
                  <a:rPr lang="en-AU">
                    <a:latin typeface="Book Antiqua" pitchFamily="18" charset="0"/>
                  </a:rPr>
                  <a:t>Percentage</a:t>
                </a:r>
                <a:r>
                  <a:rPr lang="en-AU" baseline="0">
                    <a:latin typeface="Book Antiqua" pitchFamily="18" charset="0"/>
                  </a:rPr>
                  <a:t> occurence</a:t>
                </a:r>
                <a:endParaRPr lang="en-AU">
                  <a:latin typeface="Book Antiqua" pitchFamily="18" charset="0"/>
                </a:endParaRPr>
              </a:p>
            </c:rich>
          </c:tx>
          <c:overlay val="0"/>
        </c:title>
        <c:numFmt formatCode="General" sourceLinked="1"/>
        <c:majorTickMark val="out"/>
        <c:minorTickMark val="none"/>
        <c:tickLblPos val="nextTo"/>
        <c:crossAx val="836600680"/>
        <c:crosses val="autoZero"/>
        <c:crossBetween val="between"/>
      </c:valAx>
    </c:plotArea>
    <c:legend>
      <c:legendPos val="b"/>
      <c:overlay val="0"/>
      <c:txPr>
        <a:bodyPr/>
        <a:lstStyle/>
        <a:p>
          <a:pPr>
            <a:defRPr>
              <a:latin typeface="Book Antiqua"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915B8-F93A-4808-BE20-FF124163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8362</Words>
  <Characters>47668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2017-03-14T16:00:00Z</dcterms:created>
  <dcterms:modified xsi:type="dcterms:W3CDTF">2017-03-14T16:33:00Z</dcterms:modified>
</cp:coreProperties>
</file>