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6517" w:rsidRDefault="00D66517" w:rsidP="00D66517">
      <w:r>
        <w:rPr>
          <w:bCs/>
          <w:highlight w:val="white"/>
        </w:rPr>
        <w:t xml:space="preserve">Two mixed effects logistic regression models were fitted. </w:t>
      </w:r>
      <w:r w:rsidRPr="006708B4">
        <w:rPr>
          <w:bCs/>
          <w:smallCaps/>
          <w:highlight w:val="white"/>
        </w:rPr>
        <w:t>subject</w:t>
      </w:r>
      <w:r>
        <w:rPr>
          <w:bCs/>
          <w:highlight w:val="white"/>
        </w:rPr>
        <w:t xml:space="preserve"> and </w:t>
      </w:r>
      <w:r w:rsidRPr="006708B4">
        <w:rPr>
          <w:bCs/>
          <w:smallCaps/>
          <w:highlight w:val="white"/>
        </w:rPr>
        <w:t>item</w:t>
      </w:r>
      <w:r>
        <w:rPr>
          <w:bCs/>
          <w:highlight w:val="white"/>
        </w:rPr>
        <w:t xml:space="preserve"> were selected as the random effects for both models:</w:t>
      </w:r>
      <w:r>
        <w:rPr>
          <w:bCs/>
        </w:rPr>
        <w:t xml:space="preserve"> 1) </w:t>
      </w:r>
      <w:r w:rsidRPr="00745D19">
        <w:t>TA ~ 1 +</w:t>
      </w:r>
      <w:r>
        <w:t xml:space="preserve"> </w:t>
      </w:r>
      <w:r w:rsidRPr="00745D19">
        <w:t>(1|Item)</w:t>
      </w:r>
      <w:r>
        <w:t xml:space="preserve"> </w:t>
      </w:r>
      <w:r w:rsidRPr="00745D19">
        <w:t>+</w:t>
      </w:r>
      <w:r>
        <w:t xml:space="preserve"> </w:t>
      </w:r>
      <w:r w:rsidRPr="00745D19">
        <w:t>(1|Subject)</w:t>
      </w:r>
      <w:r>
        <w:t xml:space="preserve">; 2) </w:t>
      </w:r>
      <w:proofErr w:type="gramStart"/>
      <w:r w:rsidRPr="00745D19">
        <w:t>TA  ~</w:t>
      </w:r>
      <w:proofErr w:type="gramEnd"/>
      <w:r w:rsidRPr="00745D19">
        <w:t xml:space="preserve"> Example +</w:t>
      </w:r>
      <w:r>
        <w:t xml:space="preserve"> </w:t>
      </w:r>
      <w:r w:rsidRPr="00745D19">
        <w:t>(1|Item)</w:t>
      </w:r>
      <w:r>
        <w:t xml:space="preserve"> </w:t>
      </w:r>
      <w:r w:rsidRPr="00745D19">
        <w:t>+</w:t>
      </w:r>
      <w:r>
        <w:t xml:space="preserve"> </w:t>
      </w:r>
      <w:r w:rsidRPr="00745D19">
        <w:t>(1|Subject)</w:t>
      </w:r>
      <w:r>
        <w:t>. To compare the fit of the two competing models, the Akaike Information Criterion was used. In the model where there was no fixed effect (</w:t>
      </w:r>
      <w:proofErr w:type="gramStart"/>
      <w:r>
        <w:t>i.e.</w:t>
      </w:r>
      <w:proofErr w:type="gramEnd"/>
      <w:r>
        <w:t xml:space="preserve"> model </w:t>
      </w:r>
      <w:r w:rsidRPr="00745D19">
        <w:t>TA ~ 1 +</w:t>
      </w:r>
      <w:r>
        <w:t xml:space="preserve"> </w:t>
      </w:r>
      <w:r w:rsidRPr="00745D19">
        <w:t>(1|Item)</w:t>
      </w:r>
      <w:r>
        <w:t xml:space="preserve"> </w:t>
      </w:r>
      <w:r w:rsidRPr="00745D19">
        <w:t>+</w:t>
      </w:r>
      <w:r>
        <w:t xml:space="preserve"> </w:t>
      </w:r>
      <w:r w:rsidRPr="00745D19">
        <w:t>(1|Subject)</w:t>
      </w:r>
      <w:r>
        <w:t xml:space="preserve">), the AIC value was equal to 11699.55. However, the model (i.e. model </w:t>
      </w:r>
      <w:proofErr w:type="gramStart"/>
      <w:r w:rsidRPr="00745D19">
        <w:t>TA  ~</w:t>
      </w:r>
      <w:proofErr w:type="gramEnd"/>
      <w:r w:rsidRPr="00745D19">
        <w:t xml:space="preserve"> Example +</w:t>
      </w:r>
      <w:r>
        <w:t xml:space="preserve"> </w:t>
      </w:r>
      <w:r w:rsidRPr="00745D19">
        <w:t>(1|Item)</w:t>
      </w:r>
      <w:r>
        <w:t xml:space="preserve"> </w:t>
      </w:r>
      <w:r w:rsidRPr="00745D19">
        <w:t>+</w:t>
      </w:r>
      <w:r>
        <w:t xml:space="preserve"> </w:t>
      </w:r>
      <w:r w:rsidRPr="00745D19">
        <w:t>(1|Subject)</w:t>
      </w:r>
      <w:r>
        <w:t xml:space="preserve">) with the fixed effect and both random effects had an AIC value of 11633.98, which meant that this model was the best fit for the given dataset (see </w:t>
      </w:r>
      <w:r w:rsidRPr="00CD14D3">
        <w:t>Table</w:t>
      </w:r>
      <w:r w:rsidR="002B1DB6">
        <w:t xml:space="preserve"> 1</w:t>
      </w:r>
      <w:r>
        <w:t xml:space="preserve">). </w:t>
      </w:r>
    </w:p>
    <w:p w:rsidR="00D66517" w:rsidRDefault="00D66517" w:rsidP="00D66517">
      <w:pPr>
        <w:ind w:firstLine="284"/>
      </w:pPr>
      <w:r>
        <w:t xml:space="preserve"> </w:t>
      </w:r>
    </w:p>
    <w:p w:rsidR="00D66517" w:rsidRDefault="00D66517" w:rsidP="00D66517">
      <w:pPr>
        <w:pStyle w:val="Normal1"/>
        <w:rPr>
          <w:bCs/>
          <w:highlight w:val="white"/>
        </w:rPr>
      </w:pPr>
      <w:r w:rsidRPr="00CD14D3">
        <w:rPr>
          <w:b/>
        </w:rPr>
        <w:t xml:space="preserve">Table </w:t>
      </w:r>
      <w:r w:rsidR="002B1DB6">
        <w:rPr>
          <w:b/>
        </w:rPr>
        <w:t>1</w:t>
      </w:r>
      <w:r>
        <w:rPr>
          <w:b/>
          <w:highlight w:val="white"/>
        </w:rPr>
        <w:t>.</w:t>
      </w:r>
      <w:r>
        <w:rPr>
          <w:highlight w:val="white"/>
        </w:rPr>
        <w:t xml:space="preserve"> Logistic regression model with mixed effects explaining the odds for correct translation by Akaike Information Criterion value.</w:t>
      </w:r>
    </w:p>
    <w:p w:rsidR="00D66517" w:rsidRDefault="00D66517" w:rsidP="00D66517">
      <w:pPr>
        <w:pStyle w:val="Normal1"/>
        <w:rPr>
          <w:bCs/>
          <w:highlight w:val="white"/>
        </w:rPr>
      </w:pPr>
    </w:p>
    <w:tbl>
      <w:tblPr>
        <w:tblW w:w="4536"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1134"/>
      </w:tblGrid>
      <w:tr w:rsidR="00D66517" w:rsidTr="00A841DA">
        <w:trPr>
          <w:tblHeader/>
        </w:trPr>
        <w:tc>
          <w:tcPr>
            <w:tcW w:w="3402" w:type="dxa"/>
            <w:tcBorders>
              <w:top w:val="single" w:sz="12" w:space="0" w:color="000000"/>
              <w:bottom w:val="single" w:sz="12" w:space="0" w:color="000000"/>
            </w:tcBorders>
          </w:tcPr>
          <w:p w:rsidR="00D66517" w:rsidRPr="00133EBC" w:rsidRDefault="00D66517" w:rsidP="00A841DA">
            <w:pPr>
              <w:pStyle w:val="Normal1"/>
              <w:jc w:val="center"/>
              <w:rPr>
                <w:b/>
                <w:bCs/>
                <w:sz w:val="20"/>
                <w:szCs w:val="20"/>
              </w:rPr>
            </w:pPr>
            <w:r w:rsidRPr="00133EBC">
              <w:rPr>
                <w:b/>
                <w:bCs/>
                <w:sz w:val="20"/>
                <w:szCs w:val="20"/>
              </w:rPr>
              <w:t>Model</w:t>
            </w:r>
          </w:p>
        </w:tc>
        <w:tc>
          <w:tcPr>
            <w:tcW w:w="1134" w:type="dxa"/>
            <w:tcBorders>
              <w:top w:val="single" w:sz="12" w:space="0" w:color="000000"/>
              <w:bottom w:val="single" w:sz="12" w:space="0" w:color="000000"/>
            </w:tcBorders>
          </w:tcPr>
          <w:p w:rsidR="00D66517" w:rsidRPr="00496079" w:rsidRDefault="00D66517" w:rsidP="00A841DA">
            <w:pPr>
              <w:pStyle w:val="Normal1"/>
              <w:jc w:val="center"/>
              <w:rPr>
                <w:b/>
                <w:bCs/>
                <w:sz w:val="20"/>
                <w:szCs w:val="20"/>
              </w:rPr>
            </w:pPr>
            <w:r>
              <w:rPr>
                <w:b/>
                <w:bCs/>
                <w:sz w:val="20"/>
                <w:szCs w:val="20"/>
              </w:rPr>
              <w:t>AIC</w:t>
            </w:r>
          </w:p>
        </w:tc>
      </w:tr>
      <w:tr w:rsidR="00D66517" w:rsidTr="00A841DA">
        <w:tc>
          <w:tcPr>
            <w:tcW w:w="3402" w:type="dxa"/>
            <w:tcBorders>
              <w:top w:val="single" w:sz="12" w:space="0" w:color="000000"/>
              <w:bottom w:val="nil"/>
            </w:tcBorders>
          </w:tcPr>
          <w:p w:rsidR="00D66517" w:rsidRPr="00133EBC" w:rsidRDefault="00D66517" w:rsidP="00A841DA">
            <w:pPr>
              <w:jc w:val="center"/>
              <w:rPr>
                <w:sz w:val="20"/>
                <w:szCs w:val="20"/>
              </w:rPr>
            </w:pPr>
            <w:r w:rsidRPr="00BC0AD7">
              <w:rPr>
                <w:sz w:val="20"/>
                <w:szCs w:val="20"/>
              </w:rPr>
              <w:t>TA ~ Example</w:t>
            </w:r>
            <w:r>
              <w:rPr>
                <w:sz w:val="20"/>
                <w:szCs w:val="20"/>
              </w:rPr>
              <w:t xml:space="preserve"> </w:t>
            </w:r>
            <w:r w:rsidRPr="00BC0AD7">
              <w:rPr>
                <w:sz w:val="20"/>
                <w:szCs w:val="20"/>
              </w:rPr>
              <w:t>+</w:t>
            </w:r>
            <w:r>
              <w:rPr>
                <w:sz w:val="20"/>
                <w:szCs w:val="20"/>
              </w:rPr>
              <w:t xml:space="preserve"> </w:t>
            </w:r>
            <w:r w:rsidRPr="00BC0AD7">
              <w:rPr>
                <w:sz w:val="20"/>
                <w:szCs w:val="20"/>
              </w:rPr>
              <w:t>(1|Item)</w:t>
            </w:r>
            <w:r>
              <w:rPr>
                <w:sz w:val="20"/>
                <w:szCs w:val="20"/>
              </w:rPr>
              <w:t xml:space="preserve"> </w:t>
            </w:r>
            <w:r w:rsidRPr="00BC0AD7">
              <w:rPr>
                <w:sz w:val="20"/>
                <w:szCs w:val="20"/>
              </w:rPr>
              <w:t>+</w:t>
            </w:r>
            <w:r>
              <w:rPr>
                <w:sz w:val="20"/>
                <w:szCs w:val="20"/>
              </w:rPr>
              <w:t xml:space="preserve"> </w:t>
            </w:r>
            <w:r w:rsidRPr="00BC0AD7">
              <w:rPr>
                <w:sz w:val="20"/>
                <w:szCs w:val="20"/>
              </w:rPr>
              <w:t>(1|Subject)</w:t>
            </w:r>
          </w:p>
        </w:tc>
        <w:tc>
          <w:tcPr>
            <w:tcW w:w="1134" w:type="dxa"/>
            <w:tcBorders>
              <w:top w:val="single" w:sz="12" w:space="0" w:color="000000"/>
              <w:bottom w:val="nil"/>
            </w:tcBorders>
          </w:tcPr>
          <w:p w:rsidR="00D66517" w:rsidRPr="00B04D0A" w:rsidRDefault="00D66517" w:rsidP="00A841DA">
            <w:pPr>
              <w:pStyle w:val="Normal1"/>
              <w:jc w:val="center"/>
              <w:rPr>
                <w:sz w:val="20"/>
                <w:szCs w:val="20"/>
              </w:rPr>
            </w:pPr>
            <w:r>
              <w:rPr>
                <w:sz w:val="20"/>
                <w:szCs w:val="20"/>
              </w:rPr>
              <w:t>11633.98</w:t>
            </w:r>
          </w:p>
        </w:tc>
      </w:tr>
      <w:tr w:rsidR="00D66517" w:rsidTr="00A841DA">
        <w:tc>
          <w:tcPr>
            <w:tcW w:w="3402" w:type="dxa"/>
            <w:tcBorders>
              <w:top w:val="nil"/>
              <w:bottom w:val="single" w:sz="6" w:space="0" w:color="000000"/>
            </w:tcBorders>
          </w:tcPr>
          <w:p w:rsidR="00D66517" w:rsidRPr="00B04D0A" w:rsidRDefault="00D66517" w:rsidP="00A841DA">
            <w:pPr>
              <w:jc w:val="center"/>
              <w:rPr>
                <w:sz w:val="20"/>
                <w:szCs w:val="20"/>
              </w:rPr>
            </w:pPr>
            <w:r w:rsidRPr="00BC0AD7">
              <w:rPr>
                <w:sz w:val="20"/>
                <w:szCs w:val="20"/>
              </w:rPr>
              <w:t>TA ~ 1 + (1|</w:t>
            </w:r>
            <w:proofErr w:type="gramStart"/>
            <w:r w:rsidRPr="00BC0AD7">
              <w:rPr>
                <w:sz w:val="20"/>
                <w:szCs w:val="20"/>
              </w:rPr>
              <w:t>Item)+(</w:t>
            </w:r>
            <w:proofErr w:type="gramEnd"/>
            <w:r w:rsidRPr="00BC0AD7">
              <w:rPr>
                <w:sz w:val="20"/>
                <w:szCs w:val="20"/>
              </w:rPr>
              <w:t>1|Subject)</w:t>
            </w:r>
          </w:p>
        </w:tc>
        <w:tc>
          <w:tcPr>
            <w:tcW w:w="1134" w:type="dxa"/>
            <w:tcBorders>
              <w:top w:val="nil"/>
              <w:bottom w:val="single" w:sz="6" w:space="0" w:color="000000"/>
            </w:tcBorders>
          </w:tcPr>
          <w:p w:rsidR="00D66517" w:rsidRPr="00B04D0A" w:rsidRDefault="00D66517" w:rsidP="00A841DA">
            <w:pPr>
              <w:pStyle w:val="Normal1"/>
              <w:jc w:val="center"/>
              <w:rPr>
                <w:sz w:val="20"/>
                <w:szCs w:val="20"/>
              </w:rPr>
            </w:pPr>
            <w:r>
              <w:rPr>
                <w:sz w:val="20"/>
                <w:szCs w:val="20"/>
              </w:rPr>
              <w:t>11699.55</w:t>
            </w:r>
          </w:p>
        </w:tc>
      </w:tr>
    </w:tbl>
    <w:p w:rsidR="00D66517" w:rsidRPr="004B12FA" w:rsidRDefault="00D66517" w:rsidP="00D66517"/>
    <w:p w:rsidR="00D66517" w:rsidRDefault="00D66517" w:rsidP="00D66517">
      <w:pPr>
        <w:ind w:firstLine="284"/>
      </w:pPr>
      <w:r>
        <w:rPr>
          <w:bCs/>
        </w:rPr>
        <w:t xml:space="preserve">To measure the goodness of fit for the logistic regression model with both random effects, it was examined whether the variances of the random effects were significantly different from zero. For this purpose, the logarithm of the likelihood functions </w:t>
      </w:r>
      <w:proofErr w:type="gramStart"/>
      <w:r>
        <w:rPr>
          <w:bCs/>
        </w:rPr>
        <w:t>were</w:t>
      </w:r>
      <w:proofErr w:type="gramEnd"/>
      <w:r>
        <w:rPr>
          <w:bCs/>
        </w:rPr>
        <w:t xml:space="preserve"> calculated for the model with both random effects (i.e. model </w:t>
      </w:r>
      <w:r w:rsidRPr="00D8089B">
        <w:t>TA ~ ‘Example’ + (1|Item) + (1|Subject))</w:t>
      </w:r>
      <w:r>
        <w:t xml:space="preserve">, model with the </w:t>
      </w:r>
      <w:r w:rsidRPr="00D8089B">
        <w:rPr>
          <w:smallCaps/>
        </w:rPr>
        <w:t>item</w:t>
      </w:r>
      <w:r>
        <w:t xml:space="preserve"> random effect (i.e. model </w:t>
      </w:r>
      <w:r w:rsidRPr="00870330">
        <w:t>TA ~ ‘Example’ + (1|Item)),</w:t>
      </w:r>
      <w:r>
        <w:t xml:space="preserve"> and model including the </w:t>
      </w:r>
      <w:r w:rsidRPr="00D8089B">
        <w:rPr>
          <w:smallCaps/>
        </w:rPr>
        <w:t>subject</w:t>
      </w:r>
      <w:r>
        <w:t xml:space="preserve"> random effect (i.e. model </w:t>
      </w:r>
      <w:r w:rsidRPr="00870330">
        <w:t>TA ~ ‘Example’ + (1|Subject))</w:t>
      </w:r>
      <w:r>
        <w:t>. The logarithm of the likelihood value for the model with both random effects was equal to -5808, while for the models with only one of the random effects, values were equal to -6323 (</w:t>
      </w:r>
      <w:proofErr w:type="gramStart"/>
      <w:r>
        <w:t>i.e.</w:t>
      </w:r>
      <w:proofErr w:type="gramEnd"/>
      <w:r>
        <w:t xml:space="preserve"> model with </w:t>
      </w:r>
      <w:r w:rsidRPr="00D8089B">
        <w:rPr>
          <w:smallCaps/>
        </w:rPr>
        <w:t>item</w:t>
      </w:r>
      <w:r>
        <w:t xml:space="preserve"> random effect) and -6723 (i.e. model with </w:t>
      </w:r>
      <w:r w:rsidRPr="00D8089B">
        <w:rPr>
          <w:smallCaps/>
        </w:rPr>
        <w:t>subject</w:t>
      </w:r>
      <w:r>
        <w:t xml:space="preserve"> random effect) respectively. The differences between the model with both random effects and two models incorporating a single random effect were statistically significant (p &lt; 0.001, likelihood test), which meant that the variances of both the </w:t>
      </w:r>
      <w:r w:rsidRPr="00C10030">
        <w:rPr>
          <w:smallCaps/>
        </w:rPr>
        <w:t>item</w:t>
      </w:r>
      <w:r>
        <w:t xml:space="preserve"> and </w:t>
      </w:r>
      <w:r w:rsidRPr="00C10030">
        <w:rPr>
          <w:smallCaps/>
        </w:rPr>
        <w:t>subject</w:t>
      </w:r>
      <w:r>
        <w:t xml:space="preserve"> random effects were significantly different from zero. These results confirm the validity of the usage of the </w:t>
      </w:r>
      <w:r w:rsidRPr="00C10030">
        <w:rPr>
          <w:smallCaps/>
        </w:rPr>
        <w:t>item</w:t>
      </w:r>
      <w:r>
        <w:t xml:space="preserve"> and </w:t>
      </w:r>
      <w:r w:rsidRPr="00C10030">
        <w:rPr>
          <w:smallCaps/>
        </w:rPr>
        <w:t>subject</w:t>
      </w:r>
      <w:r>
        <w:t xml:space="preserve"> random effects in the model.</w:t>
      </w:r>
    </w:p>
    <w:p w:rsidR="00D66517" w:rsidRDefault="00D66517" w:rsidP="00D66517">
      <w:pPr>
        <w:ind w:firstLine="284"/>
      </w:pPr>
      <w:r>
        <w:t xml:space="preserve">For a comparison of the model with both random effects and the models incorporating one of the random effects, see </w:t>
      </w:r>
      <w:r w:rsidRPr="00CD14D3">
        <w:t xml:space="preserve">Table </w:t>
      </w:r>
      <w:r w:rsidR="002B1DB6">
        <w:t>2</w:t>
      </w:r>
      <w:r w:rsidRPr="00CD14D3">
        <w:t xml:space="preserve"> and Table </w:t>
      </w:r>
      <w:r w:rsidR="002B1DB6">
        <w:t>3</w:t>
      </w:r>
      <w:r>
        <w:t xml:space="preserve">.     </w:t>
      </w:r>
    </w:p>
    <w:p w:rsidR="00D66517" w:rsidRDefault="00D66517" w:rsidP="00D66517"/>
    <w:p w:rsidR="00D66517" w:rsidRPr="000C5568" w:rsidRDefault="00D66517" w:rsidP="00D66517">
      <w:pPr>
        <w:rPr>
          <w:b/>
          <w:bCs/>
          <w:sz w:val="20"/>
          <w:szCs w:val="20"/>
        </w:rPr>
      </w:pPr>
      <w:r w:rsidRPr="00CD14D3">
        <w:rPr>
          <w:b/>
        </w:rPr>
        <w:t xml:space="preserve">Table </w:t>
      </w:r>
      <w:r w:rsidR="002B1DB6">
        <w:rPr>
          <w:b/>
        </w:rPr>
        <w:t>2</w:t>
      </w:r>
      <w:r>
        <w:rPr>
          <w:b/>
          <w:highlight w:val="white"/>
        </w:rPr>
        <w:t>.</w:t>
      </w:r>
      <w:r>
        <w:rPr>
          <w:highlight w:val="white"/>
        </w:rPr>
        <w:t xml:space="preserve"> </w:t>
      </w:r>
      <w:r w:rsidRPr="000C5568">
        <w:t>Comparison of models: TA ~ ‘Example’ + (1|Item) + (1|Subject) vs TA ~ ‘Example’ + (1|Item)</w:t>
      </w:r>
      <w:r>
        <w:rPr>
          <w:b/>
          <w:bCs/>
          <w:sz w:val="20"/>
          <w:szCs w:val="20"/>
        </w:rPr>
        <w:t xml:space="preserve"> </w:t>
      </w:r>
      <w:r w:rsidRPr="000C5568">
        <w:rPr>
          <w:b/>
          <w:bCs/>
          <w:sz w:val="20"/>
          <w:szCs w:val="20"/>
        </w:rPr>
        <w:t xml:space="preserve"> </w:t>
      </w:r>
    </w:p>
    <w:p w:rsidR="00D66517" w:rsidRDefault="00D66517" w:rsidP="00D66517">
      <w:pPr>
        <w:pStyle w:val="Normal1"/>
        <w:jc w:val="center"/>
      </w:pPr>
    </w:p>
    <w:tbl>
      <w:tblPr>
        <w:tblW w:w="9072"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2127"/>
        <w:gridCol w:w="708"/>
        <w:gridCol w:w="851"/>
        <w:gridCol w:w="850"/>
        <w:gridCol w:w="851"/>
        <w:gridCol w:w="992"/>
        <w:gridCol w:w="851"/>
        <w:gridCol w:w="567"/>
        <w:gridCol w:w="1275"/>
      </w:tblGrid>
      <w:tr w:rsidR="00D66517" w:rsidTr="00A841DA">
        <w:trPr>
          <w:tblHeader/>
        </w:trPr>
        <w:tc>
          <w:tcPr>
            <w:tcW w:w="2127" w:type="dxa"/>
            <w:tcBorders>
              <w:top w:val="single" w:sz="12" w:space="0" w:color="000000"/>
              <w:bottom w:val="single" w:sz="12" w:space="0" w:color="000000"/>
            </w:tcBorders>
          </w:tcPr>
          <w:p w:rsidR="00D66517" w:rsidRPr="00133EBC" w:rsidRDefault="00D66517" w:rsidP="00A841DA">
            <w:pPr>
              <w:pStyle w:val="Normal1"/>
              <w:jc w:val="center"/>
              <w:rPr>
                <w:b/>
                <w:bCs/>
                <w:sz w:val="20"/>
                <w:szCs w:val="20"/>
              </w:rPr>
            </w:pPr>
            <w:r>
              <w:rPr>
                <w:b/>
                <w:bCs/>
                <w:sz w:val="20"/>
                <w:szCs w:val="20"/>
              </w:rPr>
              <w:t>Model</w:t>
            </w:r>
          </w:p>
        </w:tc>
        <w:tc>
          <w:tcPr>
            <w:tcW w:w="708"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npar</w:t>
            </w:r>
            <w:proofErr w:type="spellEnd"/>
          </w:p>
        </w:tc>
        <w:tc>
          <w:tcPr>
            <w:tcW w:w="851" w:type="dxa"/>
            <w:tcBorders>
              <w:top w:val="single" w:sz="12" w:space="0" w:color="000000"/>
              <w:bottom w:val="single" w:sz="12" w:space="0" w:color="000000"/>
            </w:tcBorders>
          </w:tcPr>
          <w:p w:rsidR="00D66517" w:rsidRPr="00496079" w:rsidRDefault="00D66517" w:rsidP="00A841DA">
            <w:pPr>
              <w:pStyle w:val="Normal1"/>
              <w:jc w:val="center"/>
              <w:rPr>
                <w:b/>
                <w:bCs/>
                <w:sz w:val="20"/>
                <w:szCs w:val="20"/>
              </w:rPr>
            </w:pPr>
            <w:r>
              <w:rPr>
                <w:b/>
                <w:bCs/>
                <w:sz w:val="20"/>
                <w:szCs w:val="20"/>
              </w:rPr>
              <w:t>AIC</w:t>
            </w:r>
          </w:p>
        </w:tc>
        <w:tc>
          <w:tcPr>
            <w:tcW w:w="850" w:type="dxa"/>
            <w:tcBorders>
              <w:top w:val="single" w:sz="12" w:space="0" w:color="000000"/>
              <w:bottom w:val="single" w:sz="12" w:space="0" w:color="000000"/>
            </w:tcBorders>
          </w:tcPr>
          <w:p w:rsidR="00D66517" w:rsidRDefault="00D66517" w:rsidP="00A841DA">
            <w:pPr>
              <w:pStyle w:val="Normal1"/>
              <w:jc w:val="center"/>
              <w:rPr>
                <w:b/>
                <w:bCs/>
                <w:sz w:val="20"/>
                <w:szCs w:val="20"/>
              </w:rPr>
            </w:pPr>
            <w:r>
              <w:rPr>
                <w:b/>
                <w:bCs/>
                <w:sz w:val="20"/>
                <w:szCs w:val="20"/>
              </w:rPr>
              <w:t>BIC</w:t>
            </w:r>
          </w:p>
        </w:tc>
        <w:tc>
          <w:tcPr>
            <w:tcW w:w="851"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logLik</w:t>
            </w:r>
            <w:proofErr w:type="spellEnd"/>
          </w:p>
        </w:tc>
        <w:tc>
          <w:tcPr>
            <w:tcW w:w="992" w:type="dxa"/>
            <w:tcBorders>
              <w:top w:val="single" w:sz="12" w:space="0" w:color="000000"/>
              <w:bottom w:val="single" w:sz="12" w:space="0" w:color="000000"/>
            </w:tcBorders>
          </w:tcPr>
          <w:p w:rsidR="00D66517" w:rsidRDefault="00D66517" w:rsidP="00A841DA">
            <w:pPr>
              <w:pStyle w:val="Normal1"/>
              <w:jc w:val="center"/>
              <w:rPr>
                <w:b/>
                <w:bCs/>
                <w:sz w:val="20"/>
                <w:szCs w:val="20"/>
              </w:rPr>
            </w:pPr>
            <w:r>
              <w:rPr>
                <w:b/>
                <w:bCs/>
                <w:sz w:val="20"/>
                <w:szCs w:val="20"/>
              </w:rPr>
              <w:t>deviance</w:t>
            </w:r>
          </w:p>
        </w:tc>
        <w:tc>
          <w:tcPr>
            <w:tcW w:w="851"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Chisq</w:t>
            </w:r>
            <w:proofErr w:type="spellEnd"/>
          </w:p>
        </w:tc>
        <w:tc>
          <w:tcPr>
            <w:tcW w:w="567"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Df</w:t>
            </w:r>
            <w:proofErr w:type="spellEnd"/>
          </w:p>
        </w:tc>
        <w:tc>
          <w:tcPr>
            <w:tcW w:w="1275" w:type="dxa"/>
            <w:tcBorders>
              <w:top w:val="single" w:sz="12" w:space="0" w:color="000000"/>
              <w:bottom w:val="single" w:sz="12" w:space="0" w:color="000000"/>
            </w:tcBorders>
          </w:tcPr>
          <w:p w:rsidR="00D66517" w:rsidRDefault="00D66517" w:rsidP="00A841DA">
            <w:pPr>
              <w:pStyle w:val="Normal1"/>
              <w:jc w:val="left"/>
              <w:rPr>
                <w:b/>
                <w:bCs/>
                <w:sz w:val="20"/>
                <w:szCs w:val="20"/>
              </w:rPr>
            </w:pPr>
            <w:proofErr w:type="spellStart"/>
            <w:r>
              <w:rPr>
                <w:b/>
                <w:bCs/>
                <w:sz w:val="20"/>
                <w:szCs w:val="20"/>
              </w:rPr>
              <w:t>Pr</w:t>
            </w:r>
            <w:proofErr w:type="spellEnd"/>
            <w:r>
              <w:rPr>
                <w:b/>
                <w:bCs/>
                <w:sz w:val="20"/>
                <w:szCs w:val="20"/>
              </w:rPr>
              <w:t>(&gt;</w:t>
            </w:r>
            <w:proofErr w:type="spellStart"/>
            <w:r>
              <w:rPr>
                <w:b/>
                <w:bCs/>
                <w:sz w:val="20"/>
                <w:szCs w:val="20"/>
              </w:rPr>
              <w:t>Chisq</w:t>
            </w:r>
            <w:proofErr w:type="spellEnd"/>
            <w:r>
              <w:rPr>
                <w:b/>
                <w:bCs/>
                <w:sz w:val="20"/>
                <w:szCs w:val="20"/>
              </w:rPr>
              <w:t>)</w:t>
            </w:r>
          </w:p>
        </w:tc>
      </w:tr>
      <w:tr w:rsidR="00D66517" w:rsidTr="00A841DA">
        <w:tc>
          <w:tcPr>
            <w:tcW w:w="2127" w:type="dxa"/>
            <w:tcBorders>
              <w:top w:val="single" w:sz="12" w:space="0" w:color="000000"/>
              <w:bottom w:val="nil"/>
            </w:tcBorders>
          </w:tcPr>
          <w:p w:rsidR="00D66517" w:rsidRPr="0070031A" w:rsidRDefault="00D66517" w:rsidP="00A841DA">
            <w:pPr>
              <w:rPr>
                <w:b/>
                <w:bCs/>
                <w:sz w:val="20"/>
                <w:szCs w:val="20"/>
              </w:rPr>
            </w:pPr>
            <w:r w:rsidRPr="0070031A">
              <w:rPr>
                <w:b/>
                <w:bCs/>
                <w:sz w:val="20"/>
                <w:szCs w:val="20"/>
              </w:rPr>
              <w:t>TA ~ ‘Example’ + (1|Item)</w:t>
            </w:r>
          </w:p>
          <w:p w:rsidR="00D66517" w:rsidRPr="00133EBC" w:rsidRDefault="00D66517" w:rsidP="00A841DA">
            <w:pPr>
              <w:jc w:val="center"/>
              <w:rPr>
                <w:sz w:val="20"/>
                <w:szCs w:val="20"/>
              </w:rPr>
            </w:pPr>
          </w:p>
        </w:tc>
        <w:tc>
          <w:tcPr>
            <w:tcW w:w="708" w:type="dxa"/>
            <w:tcBorders>
              <w:top w:val="single" w:sz="12" w:space="0" w:color="000000"/>
              <w:bottom w:val="nil"/>
            </w:tcBorders>
          </w:tcPr>
          <w:p w:rsidR="00D66517" w:rsidRDefault="00D66517" w:rsidP="00A841DA">
            <w:pPr>
              <w:pStyle w:val="Normal1"/>
              <w:jc w:val="center"/>
              <w:rPr>
                <w:sz w:val="20"/>
                <w:szCs w:val="20"/>
              </w:rPr>
            </w:pPr>
            <w:r>
              <w:rPr>
                <w:sz w:val="20"/>
                <w:szCs w:val="20"/>
              </w:rPr>
              <w:t>8</w:t>
            </w:r>
          </w:p>
        </w:tc>
        <w:tc>
          <w:tcPr>
            <w:tcW w:w="851" w:type="dxa"/>
            <w:tcBorders>
              <w:top w:val="single" w:sz="12" w:space="0" w:color="000000"/>
              <w:bottom w:val="nil"/>
            </w:tcBorders>
          </w:tcPr>
          <w:p w:rsidR="00D66517" w:rsidRPr="00B04D0A" w:rsidRDefault="00D66517" w:rsidP="00A841DA">
            <w:pPr>
              <w:pStyle w:val="Normal1"/>
              <w:jc w:val="center"/>
              <w:rPr>
                <w:sz w:val="20"/>
                <w:szCs w:val="20"/>
              </w:rPr>
            </w:pPr>
            <w:r>
              <w:rPr>
                <w:sz w:val="20"/>
                <w:szCs w:val="20"/>
              </w:rPr>
              <w:t>12661</w:t>
            </w:r>
          </w:p>
        </w:tc>
        <w:tc>
          <w:tcPr>
            <w:tcW w:w="850" w:type="dxa"/>
            <w:tcBorders>
              <w:top w:val="single" w:sz="12" w:space="0" w:color="000000"/>
              <w:bottom w:val="nil"/>
            </w:tcBorders>
          </w:tcPr>
          <w:p w:rsidR="00D66517" w:rsidRDefault="00D66517" w:rsidP="00A841DA">
            <w:pPr>
              <w:pStyle w:val="Normal1"/>
              <w:jc w:val="center"/>
              <w:rPr>
                <w:sz w:val="20"/>
                <w:szCs w:val="20"/>
              </w:rPr>
            </w:pPr>
            <w:r>
              <w:rPr>
                <w:sz w:val="20"/>
                <w:szCs w:val="20"/>
              </w:rPr>
              <w:t>12719</w:t>
            </w:r>
          </w:p>
        </w:tc>
        <w:tc>
          <w:tcPr>
            <w:tcW w:w="851" w:type="dxa"/>
            <w:tcBorders>
              <w:top w:val="single" w:sz="12" w:space="0" w:color="000000"/>
              <w:bottom w:val="nil"/>
            </w:tcBorders>
          </w:tcPr>
          <w:p w:rsidR="00D66517" w:rsidRDefault="00D66517" w:rsidP="00A841DA">
            <w:pPr>
              <w:pStyle w:val="Normal1"/>
              <w:jc w:val="center"/>
              <w:rPr>
                <w:sz w:val="20"/>
                <w:szCs w:val="20"/>
              </w:rPr>
            </w:pPr>
            <w:r>
              <w:rPr>
                <w:sz w:val="20"/>
                <w:szCs w:val="20"/>
              </w:rPr>
              <w:t>-6323</w:t>
            </w:r>
          </w:p>
        </w:tc>
        <w:tc>
          <w:tcPr>
            <w:tcW w:w="992" w:type="dxa"/>
            <w:tcBorders>
              <w:top w:val="single" w:sz="12" w:space="0" w:color="000000"/>
              <w:bottom w:val="nil"/>
              <w:right w:val="nil"/>
            </w:tcBorders>
          </w:tcPr>
          <w:p w:rsidR="00D66517" w:rsidRDefault="00D66517" w:rsidP="00A841DA">
            <w:pPr>
              <w:pStyle w:val="Normal1"/>
              <w:jc w:val="center"/>
              <w:rPr>
                <w:sz w:val="20"/>
                <w:szCs w:val="20"/>
              </w:rPr>
            </w:pPr>
            <w:r>
              <w:rPr>
                <w:sz w:val="20"/>
                <w:szCs w:val="20"/>
              </w:rPr>
              <w:t>12645</w:t>
            </w:r>
          </w:p>
        </w:tc>
        <w:tc>
          <w:tcPr>
            <w:tcW w:w="851" w:type="dxa"/>
            <w:tcBorders>
              <w:top w:val="single" w:sz="12" w:space="0" w:color="000000"/>
              <w:left w:val="nil"/>
              <w:bottom w:val="nil"/>
            </w:tcBorders>
          </w:tcPr>
          <w:p w:rsidR="00D66517" w:rsidRDefault="00D66517" w:rsidP="00A841DA">
            <w:pPr>
              <w:pStyle w:val="Normal1"/>
              <w:jc w:val="center"/>
              <w:rPr>
                <w:sz w:val="20"/>
                <w:szCs w:val="20"/>
              </w:rPr>
            </w:pPr>
            <w:r>
              <w:rPr>
                <w:sz w:val="20"/>
                <w:szCs w:val="20"/>
              </w:rPr>
              <w:t>1029</w:t>
            </w:r>
          </w:p>
        </w:tc>
        <w:tc>
          <w:tcPr>
            <w:tcW w:w="567" w:type="dxa"/>
            <w:tcBorders>
              <w:top w:val="single" w:sz="12" w:space="0" w:color="000000"/>
              <w:bottom w:val="nil"/>
            </w:tcBorders>
          </w:tcPr>
          <w:p w:rsidR="00D66517" w:rsidRDefault="00D66517" w:rsidP="00A841DA">
            <w:pPr>
              <w:pStyle w:val="Normal1"/>
              <w:jc w:val="center"/>
              <w:rPr>
                <w:sz w:val="20"/>
                <w:szCs w:val="20"/>
              </w:rPr>
            </w:pPr>
            <w:r>
              <w:rPr>
                <w:sz w:val="20"/>
                <w:szCs w:val="20"/>
              </w:rPr>
              <w:t>1</w:t>
            </w:r>
          </w:p>
        </w:tc>
        <w:tc>
          <w:tcPr>
            <w:tcW w:w="1275" w:type="dxa"/>
            <w:tcBorders>
              <w:top w:val="single" w:sz="12" w:space="0" w:color="000000"/>
              <w:bottom w:val="nil"/>
            </w:tcBorders>
          </w:tcPr>
          <w:p w:rsidR="00D66517" w:rsidRDefault="00D66517" w:rsidP="00A841DA">
            <w:pPr>
              <w:pStyle w:val="Normal1"/>
              <w:jc w:val="left"/>
              <w:rPr>
                <w:sz w:val="20"/>
                <w:szCs w:val="20"/>
              </w:rPr>
            </w:pPr>
            <w:r>
              <w:rPr>
                <w:sz w:val="20"/>
                <w:szCs w:val="20"/>
              </w:rPr>
              <w:t>&lt; 0.001</w:t>
            </w:r>
          </w:p>
        </w:tc>
      </w:tr>
      <w:tr w:rsidR="00D66517" w:rsidTr="00A841DA">
        <w:tc>
          <w:tcPr>
            <w:tcW w:w="2127" w:type="dxa"/>
            <w:tcBorders>
              <w:top w:val="nil"/>
              <w:bottom w:val="single" w:sz="6" w:space="0" w:color="000000"/>
            </w:tcBorders>
          </w:tcPr>
          <w:p w:rsidR="00D66517" w:rsidRPr="008349B9" w:rsidRDefault="00D66517" w:rsidP="00A841DA">
            <w:pPr>
              <w:rPr>
                <w:b/>
                <w:bCs/>
                <w:sz w:val="20"/>
                <w:szCs w:val="20"/>
              </w:rPr>
            </w:pPr>
            <w:r w:rsidRPr="0070031A">
              <w:rPr>
                <w:b/>
                <w:bCs/>
                <w:sz w:val="20"/>
                <w:szCs w:val="20"/>
              </w:rPr>
              <w:t>TA ~ ‘Example’ + (1|Item) + (1|Subject)</w:t>
            </w:r>
          </w:p>
        </w:tc>
        <w:tc>
          <w:tcPr>
            <w:tcW w:w="708" w:type="dxa"/>
            <w:tcBorders>
              <w:top w:val="nil"/>
              <w:bottom w:val="single" w:sz="6" w:space="0" w:color="000000"/>
            </w:tcBorders>
          </w:tcPr>
          <w:p w:rsidR="00D66517" w:rsidRDefault="00D66517" w:rsidP="00A841DA">
            <w:pPr>
              <w:pStyle w:val="Normal1"/>
              <w:jc w:val="center"/>
              <w:rPr>
                <w:sz w:val="20"/>
                <w:szCs w:val="20"/>
              </w:rPr>
            </w:pPr>
            <w:r>
              <w:rPr>
                <w:sz w:val="20"/>
                <w:szCs w:val="20"/>
              </w:rPr>
              <w:t>9</w:t>
            </w:r>
          </w:p>
        </w:tc>
        <w:tc>
          <w:tcPr>
            <w:tcW w:w="851" w:type="dxa"/>
            <w:tcBorders>
              <w:top w:val="nil"/>
              <w:bottom w:val="single" w:sz="6" w:space="0" w:color="000000"/>
            </w:tcBorders>
          </w:tcPr>
          <w:p w:rsidR="00D66517" w:rsidRPr="00B04D0A" w:rsidRDefault="00D66517" w:rsidP="00A841DA">
            <w:pPr>
              <w:pStyle w:val="Normal1"/>
              <w:jc w:val="center"/>
              <w:rPr>
                <w:sz w:val="20"/>
                <w:szCs w:val="20"/>
              </w:rPr>
            </w:pPr>
            <w:r>
              <w:rPr>
                <w:sz w:val="20"/>
                <w:szCs w:val="20"/>
              </w:rPr>
              <w:t>11634</w:t>
            </w:r>
          </w:p>
        </w:tc>
        <w:tc>
          <w:tcPr>
            <w:tcW w:w="850" w:type="dxa"/>
            <w:tcBorders>
              <w:top w:val="nil"/>
              <w:bottom w:val="single" w:sz="6" w:space="0" w:color="000000"/>
            </w:tcBorders>
          </w:tcPr>
          <w:p w:rsidR="00D66517" w:rsidRDefault="00D66517" w:rsidP="00A841DA">
            <w:pPr>
              <w:pStyle w:val="Normal1"/>
              <w:jc w:val="center"/>
              <w:rPr>
                <w:sz w:val="20"/>
                <w:szCs w:val="20"/>
              </w:rPr>
            </w:pPr>
            <w:r>
              <w:rPr>
                <w:sz w:val="20"/>
                <w:szCs w:val="20"/>
              </w:rPr>
              <w:t>11700</w:t>
            </w:r>
          </w:p>
        </w:tc>
        <w:tc>
          <w:tcPr>
            <w:tcW w:w="851" w:type="dxa"/>
            <w:tcBorders>
              <w:top w:val="nil"/>
              <w:bottom w:val="single" w:sz="6" w:space="0" w:color="000000"/>
            </w:tcBorders>
          </w:tcPr>
          <w:p w:rsidR="00D66517" w:rsidRDefault="00D66517" w:rsidP="00A841DA">
            <w:pPr>
              <w:pStyle w:val="Normal1"/>
              <w:jc w:val="center"/>
              <w:rPr>
                <w:sz w:val="20"/>
                <w:szCs w:val="20"/>
              </w:rPr>
            </w:pPr>
            <w:r>
              <w:rPr>
                <w:sz w:val="20"/>
                <w:szCs w:val="20"/>
              </w:rPr>
              <w:t>-5808</w:t>
            </w:r>
          </w:p>
        </w:tc>
        <w:tc>
          <w:tcPr>
            <w:tcW w:w="992" w:type="dxa"/>
            <w:tcBorders>
              <w:top w:val="nil"/>
              <w:bottom w:val="single" w:sz="6" w:space="0" w:color="000000"/>
              <w:right w:val="nil"/>
            </w:tcBorders>
          </w:tcPr>
          <w:p w:rsidR="00D66517" w:rsidRDefault="00D66517" w:rsidP="00A841DA">
            <w:pPr>
              <w:pStyle w:val="Normal1"/>
              <w:jc w:val="center"/>
              <w:rPr>
                <w:sz w:val="20"/>
                <w:szCs w:val="20"/>
              </w:rPr>
            </w:pPr>
            <w:r>
              <w:rPr>
                <w:sz w:val="20"/>
                <w:szCs w:val="20"/>
              </w:rPr>
              <w:t>11616</w:t>
            </w:r>
          </w:p>
        </w:tc>
        <w:tc>
          <w:tcPr>
            <w:tcW w:w="851" w:type="dxa"/>
            <w:tcBorders>
              <w:top w:val="nil"/>
              <w:left w:val="nil"/>
              <w:bottom w:val="single" w:sz="6" w:space="0" w:color="000000"/>
            </w:tcBorders>
          </w:tcPr>
          <w:p w:rsidR="00D66517" w:rsidRDefault="00D66517" w:rsidP="00A841DA">
            <w:pPr>
              <w:pStyle w:val="Normal1"/>
              <w:jc w:val="center"/>
              <w:rPr>
                <w:sz w:val="20"/>
                <w:szCs w:val="20"/>
              </w:rPr>
            </w:pPr>
          </w:p>
        </w:tc>
        <w:tc>
          <w:tcPr>
            <w:tcW w:w="567" w:type="dxa"/>
            <w:tcBorders>
              <w:top w:val="nil"/>
              <w:bottom w:val="single" w:sz="6" w:space="0" w:color="000000"/>
            </w:tcBorders>
          </w:tcPr>
          <w:p w:rsidR="00D66517" w:rsidRDefault="00D66517" w:rsidP="00A841DA">
            <w:pPr>
              <w:pStyle w:val="Normal1"/>
              <w:jc w:val="center"/>
              <w:rPr>
                <w:sz w:val="20"/>
                <w:szCs w:val="20"/>
              </w:rPr>
            </w:pPr>
          </w:p>
        </w:tc>
        <w:tc>
          <w:tcPr>
            <w:tcW w:w="1275" w:type="dxa"/>
            <w:tcBorders>
              <w:top w:val="nil"/>
              <w:bottom w:val="single" w:sz="6" w:space="0" w:color="000000"/>
            </w:tcBorders>
          </w:tcPr>
          <w:p w:rsidR="00D66517" w:rsidRDefault="00D66517" w:rsidP="00A841DA">
            <w:pPr>
              <w:pStyle w:val="Normal1"/>
              <w:jc w:val="center"/>
              <w:rPr>
                <w:sz w:val="20"/>
                <w:szCs w:val="20"/>
              </w:rPr>
            </w:pPr>
          </w:p>
        </w:tc>
      </w:tr>
    </w:tbl>
    <w:p w:rsidR="00D66517" w:rsidRDefault="00D66517" w:rsidP="00D66517">
      <w:pPr>
        <w:rPr>
          <w:b/>
          <w:highlight w:val="cyan"/>
        </w:rPr>
      </w:pPr>
    </w:p>
    <w:p w:rsidR="00D66517" w:rsidRPr="00A113DA" w:rsidRDefault="00D66517" w:rsidP="00D66517">
      <w:r w:rsidRPr="00CD14D3">
        <w:rPr>
          <w:b/>
        </w:rPr>
        <w:t xml:space="preserve">Table </w:t>
      </w:r>
      <w:r w:rsidR="002B1DB6">
        <w:rPr>
          <w:b/>
        </w:rPr>
        <w:t>3</w:t>
      </w:r>
      <w:r>
        <w:rPr>
          <w:b/>
          <w:highlight w:val="white"/>
        </w:rPr>
        <w:t>.</w:t>
      </w:r>
      <w:r>
        <w:rPr>
          <w:highlight w:val="white"/>
        </w:rPr>
        <w:t xml:space="preserve"> </w:t>
      </w:r>
      <w:r w:rsidRPr="000C5568">
        <w:t>Comparison of models:</w:t>
      </w:r>
      <w:r>
        <w:t xml:space="preserve"> </w:t>
      </w:r>
      <w:r w:rsidRPr="000C5568">
        <w:t>TA ~ ‘Example’ + (1|Item) + (1|Subject) vs</w:t>
      </w:r>
      <w:r>
        <w:t xml:space="preserve"> </w:t>
      </w:r>
      <w:r w:rsidRPr="00A113DA">
        <w:t>TA ~ ‘Example’ + (1|Subject)</w:t>
      </w:r>
    </w:p>
    <w:p w:rsidR="00D66517" w:rsidRDefault="00D66517" w:rsidP="00D66517">
      <w:pPr>
        <w:pStyle w:val="Normal1"/>
        <w:jc w:val="center"/>
      </w:pPr>
    </w:p>
    <w:tbl>
      <w:tblPr>
        <w:tblW w:w="9072"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2127"/>
        <w:gridCol w:w="708"/>
        <w:gridCol w:w="851"/>
        <w:gridCol w:w="850"/>
        <w:gridCol w:w="851"/>
        <w:gridCol w:w="992"/>
        <w:gridCol w:w="851"/>
        <w:gridCol w:w="567"/>
        <w:gridCol w:w="1275"/>
      </w:tblGrid>
      <w:tr w:rsidR="00D66517" w:rsidTr="00A841DA">
        <w:trPr>
          <w:tblHeader/>
        </w:trPr>
        <w:tc>
          <w:tcPr>
            <w:tcW w:w="2127" w:type="dxa"/>
            <w:tcBorders>
              <w:top w:val="single" w:sz="12" w:space="0" w:color="000000"/>
              <w:bottom w:val="single" w:sz="12" w:space="0" w:color="000000"/>
            </w:tcBorders>
          </w:tcPr>
          <w:p w:rsidR="00D66517" w:rsidRPr="00133EBC" w:rsidRDefault="00D66517" w:rsidP="00A841DA">
            <w:pPr>
              <w:pStyle w:val="Normal1"/>
              <w:jc w:val="center"/>
              <w:rPr>
                <w:b/>
                <w:bCs/>
                <w:sz w:val="20"/>
                <w:szCs w:val="20"/>
              </w:rPr>
            </w:pPr>
            <w:r>
              <w:rPr>
                <w:b/>
                <w:bCs/>
                <w:sz w:val="20"/>
                <w:szCs w:val="20"/>
              </w:rPr>
              <w:t>Model</w:t>
            </w:r>
          </w:p>
        </w:tc>
        <w:tc>
          <w:tcPr>
            <w:tcW w:w="708"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npar</w:t>
            </w:r>
            <w:proofErr w:type="spellEnd"/>
          </w:p>
        </w:tc>
        <w:tc>
          <w:tcPr>
            <w:tcW w:w="851" w:type="dxa"/>
            <w:tcBorders>
              <w:top w:val="single" w:sz="12" w:space="0" w:color="000000"/>
              <w:bottom w:val="single" w:sz="12" w:space="0" w:color="000000"/>
            </w:tcBorders>
          </w:tcPr>
          <w:p w:rsidR="00D66517" w:rsidRPr="00496079" w:rsidRDefault="00D66517" w:rsidP="00A841DA">
            <w:pPr>
              <w:pStyle w:val="Normal1"/>
              <w:jc w:val="center"/>
              <w:rPr>
                <w:b/>
                <w:bCs/>
                <w:sz w:val="20"/>
                <w:szCs w:val="20"/>
              </w:rPr>
            </w:pPr>
            <w:r>
              <w:rPr>
                <w:b/>
                <w:bCs/>
                <w:sz w:val="20"/>
                <w:szCs w:val="20"/>
              </w:rPr>
              <w:t>AIC</w:t>
            </w:r>
          </w:p>
        </w:tc>
        <w:tc>
          <w:tcPr>
            <w:tcW w:w="850" w:type="dxa"/>
            <w:tcBorders>
              <w:top w:val="single" w:sz="12" w:space="0" w:color="000000"/>
              <w:bottom w:val="single" w:sz="12" w:space="0" w:color="000000"/>
            </w:tcBorders>
          </w:tcPr>
          <w:p w:rsidR="00D66517" w:rsidRDefault="00D66517" w:rsidP="00A841DA">
            <w:pPr>
              <w:pStyle w:val="Normal1"/>
              <w:jc w:val="center"/>
              <w:rPr>
                <w:b/>
                <w:bCs/>
                <w:sz w:val="20"/>
                <w:szCs w:val="20"/>
              </w:rPr>
            </w:pPr>
            <w:r>
              <w:rPr>
                <w:b/>
                <w:bCs/>
                <w:sz w:val="20"/>
                <w:szCs w:val="20"/>
              </w:rPr>
              <w:t>BIC</w:t>
            </w:r>
          </w:p>
        </w:tc>
        <w:tc>
          <w:tcPr>
            <w:tcW w:w="851"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logLik</w:t>
            </w:r>
            <w:proofErr w:type="spellEnd"/>
          </w:p>
        </w:tc>
        <w:tc>
          <w:tcPr>
            <w:tcW w:w="992" w:type="dxa"/>
            <w:tcBorders>
              <w:top w:val="single" w:sz="12" w:space="0" w:color="000000"/>
              <w:bottom w:val="single" w:sz="12" w:space="0" w:color="000000"/>
            </w:tcBorders>
          </w:tcPr>
          <w:p w:rsidR="00D66517" w:rsidRDefault="00D66517" w:rsidP="00A841DA">
            <w:pPr>
              <w:pStyle w:val="Normal1"/>
              <w:jc w:val="center"/>
              <w:rPr>
                <w:b/>
                <w:bCs/>
                <w:sz w:val="20"/>
                <w:szCs w:val="20"/>
              </w:rPr>
            </w:pPr>
            <w:r>
              <w:rPr>
                <w:b/>
                <w:bCs/>
                <w:sz w:val="20"/>
                <w:szCs w:val="20"/>
              </w:rPr>
              <w:t>deviance</w:t>
            </w:r>
          </w:p>
        </w:tc>
        <w:tc>
          <w:tcPr>
            <w:tcW w:w="851"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Chisq</w:t>
            </w:r>
            <w:proofErr w:type="spellEnd"/>
          </w:p>
        </w:tc>
        <w:tc>
          <w:tcPr>
            <w:tcW w:w="567" w:type="dxa"/>
            <w:tcBorders>
              <w:top w:val="single" w:sz="12" w:space="0" w:color="000000"/>
              <w:bottom w:val="single" w:sz="12" w:space="0" w:color="000000"/>
            </w:tcBorders>
          </w:tcPr>
          <w:p w:rsidR="00D66517" w:rsidRDefault="00D66517" w:rsidP="00A841DA">
            <w:pPr>
              <w:pStyle w:val="Normal1"/>
              <w:jc w:val="center"/>
              <w:rPr>
                <w:b/>
                <w:bCs/>
                <w:sz w:val="20"/>
                <w:szCs w:val="20"/>
              </w:rPr>
            </w:pPr>
            <w:proofErr w:type="spellStart"/>
            <w:r>
              <w:rPr>
                <w:b/>
                <w:bCs/>
                <w:sz w:val="20"/>
                <w:szCs w:val="20"/>
              </w:rPr>
              <w:t>Df</w:t>
            </w:r>
            <w:proofErr w:type="spellEnd"/>
          </w:p>
        </w:tc>
        <w:tc>
          <w:tcPr>
            <w:tcW w:w="1275" w:type="dxa"/>
            <w:tcBorders>
              <w:top w:val="single" w:sz="12" w:space="0" w:color="000000"/>
              <w:bottom w:val="single" w:sz="12" w:space="0" w:color="000000"/>
            </w:tcBorders>
          </w:tcPr>
          <w:p w:rsidR="00D66517" w:rsidRDefault="00D66517" w:rsidP="00A841DA">
            <w:pPr>
              <w:pStyle w:val="Normal1"/>
              <w:jc w:val="left"/>
              <w:rPr>
                <w:b/>
                <w:bCs/>
                <w:sz w:val="20"/>
                <w:szCs w:val="20"/>
              </w:rPr>
            </w:pPr>
            <w:proofErr w:type="spellStart"/>
            <w:r>
              <w:rPr>
                <w:b/>
                <w:bCs/>
                <w:sz w:val="20"/>
                <w:szCs w:val="20"/>
              </w:rPr>
              <w:t>Pr</w:t>
            </w:r>
            <w:proofErr w:type="spellEnd"/>
            <w:r>
              <w:rPr>
                <w:b/>
                <w:bCs/>
                <w:sz w:val="20"/>
                <w:szCs w:val="20"/>
              </w:rPr>
              <w:t>(&gt;</w:t>
            </w:r>
            <w:proofErr w:type="spellStart"/>
            <w:r>
              <w:rPr>
                <w:b/>
                <w:bCs/>
                <w:sz w:val="20"/>
                <w:szCs w:val="20"/>
              </w:rPr>
              <w:t>Chisq</w:t>
            </w:r>
            <w:proofErr w:type="spellEnd"/>
            <w:r>
              <w:rPr>
                <w:b/>
                <w:bCs/>
                <w:sz w:val="20"/>
                <w:szCs w:val="20"/>
              </w:rPr>
              <w:t>)</w:t>
            </w:r>
          </w:p>
        </w:tc>
      </w:tr>
      <w:tr w:rsidR="00D66517" w:rsidTr="00A841DA">
        <w:tc>
          <w:tcPr>
            <w:tcW w:w="2127" w:type="dxa"/>
            <w:tcBorders>
              <w:top w:val="single" w:sz="12" w:space="0" w:color="000000"/>
              <w:bottom w:val="nil"/>
            </w:tcBorders>
          </w:tcPr>
          <w:p w:rsidR="00D66517" w:rsidRDefault="00D66517" w:rsidP="00A841DA">
            <w:pPr>
              <w:rPr>
                <w:b/>
                <w:bCs/>
                <w:sz w:val="20"/>
                <w:szCs w:val="20"/>
              </w:rPr>
            </w:pPr>
            <w:r w:rsidRPr="007D4C5B">
              <w:rPr>
                <w:b/>
                <w:bCs/>
                <w:sz w:val="20"/>
                <w:szCs w:val="20"/>
              </w:rPr>
              <w:t>TA ~ ‘Example’ + (1|Subject)</w:t>
            </w:r>
          </w:p>
          <w:p w:rsidR="00D66517" w:rsidRPr="00A113DA" w:rsidRDefault="00D66517" w:rsidP="00A841DA">
            <w:pPr>
              <w:rPr>
                <w:b/>
                <w:bCs/>
                <w:sz w:val="20"/>
                <w:szCs w:val="20"/>
              </w:rPr>
            </w:pPr>
          </w:p>
        </w:tc>
        <w:tc>
          <w:tcPr>
            <w:tcW w:w="708" w:type="dxa"/>
            <w:tcBorders>
              <w:top w:val="single" w:sz="12" w:space="0" w:color="000000"/>
              <w:bottom w:val="nil"/>
            </w:tcBorders>
          </w:tcPr>
          <w:p w:rsidR="00D66517" w:rsidRDefault="00D66517" w:rsidP="00A841DA">
            <w:pPr>
              <w:pStyle w:val="Normal1"/>
              <w:jc w:val="center"/>
              <w:rPr>
                <w:sz w:val="20"/>
                <w:szCs w:val="20"/>
              </w:rPr>
            </w:pPr>
            <w:r>
              <w:rPr>
                <w:sz w:val="20"/>
                <w:szCs w:val="20"/>
              </w:rPr>
              <w:t>8</w:t>
            </w:r>
          </w:p>
        </w:tc>
        <w:tc>
          <w:tcPr>
            <w:tcW w:w="851" w:type="dxa"/>
            <w:tcBorders>
              <w:top w:val="single" w:sz="12" w:space="0" w:color="000000"/>
              <w:bottom w:val="nil"/>
            </w:tcBorders>
          </w:tcPr>
          <w:p w:rsidR="00D66517" w:rsidRPr="00B04D0A" w:rsidRDefault="00D66517" w:rsidP="00A841DA">
            <w:pPr>
              <w:pStyle w:val="Normal1"/>
              <w:jc w:val="center"/>
              <w:rPr>
                <w:sz w:val="20"/>
                <w:szCs w:val="20"/>
              </w:rPr>
            </w:pPr>
            <w:r>
              <w:rPr>
                <w:sz w:val="20"/>
                <w:szCs w:val="20"/>
              </w:rPr>
              <w:t>13463</w:t>
            </w:r>
          </w:p>
        </w:tc>
        <w:tc>
          <w:tcPr>
            <w:tcW w:w="850" w:type="dxa"/>
            <w:tcBorders>
              <w:top w:val="single" w:sz="12" w:space="0" w:color="000000"/>
              <w:bottom w:val="nil"/>
            </w:tcBorders>
          </w:tcPr>
          <w:p w:rsidR="00D66517" w:rsidRDefault="00D66517" w:rsidP="00A841DA">
            <w:pPr>
              <w:pStyle w:val="Normal1"/>
              <w:jc w:val="center"/>
              <w:rPr>
                <w:sz w:val="20"/>
                <w:szCs w:val="20"/>
              </w:rPr>
            </w:pPr>
            <w:r>
              <w:rPr>
                <w:sz w:val="20"/>
                <w:szCs w:val="20"/>
              </w:rPr>
              <w:t>13521</w:t>
            </w:r>
          </w:p>
        </w:tc>
        <w:tc>
          <w:tcPr>
            <w:tcW w:w="851" w:type="dxa"/>
            <w:tcBorders>
              <w:top w:val="single" w:sz="12" w:space="0" w:color="000000"/>
              <w:bottom w:val="nil"/>
            </w:tcBorders>
          </w:tcPr>
          <w:p w:rsidR="00D66517" w:rsidRDefault="00D66517" w:rsidP="00A841DA">
            <w:pPr>
              <w:pStyle w:val="Normal1"/>
              <w:jc w:val="center"/>
              <w:rPr>
                <w:sz w:val="20"/>
                <w:szCs w:val="20"/>
              </w:rPr>
            </w:pPr>
            <w:r>
              <w:rPr>
                <w:sz w:val="20"/>
                <w:szCs w:val="20"/>
              </w:rPr>
              <w:t>-6723</w:t>
            </w:r>
          </w:p>
        </w:tc>
        <w:tc>
          <w:tcPr>
            <w:tcW w:w="992" w:type="dxa"/>
            <w:tcBorders>
              <w:top w:val="single" w:sz="12" w:space="0" w:color="000000"/>
              <w:bottom w:val="nil"/>
              <w:right w:val="nil"/>
            </w:tcBorders>
          </w:tcPr>
          <w:p w:rsidR="00D66517" w:rsidRDefault="00D66517" w:rsidP="00A841DA">
            <w:pPr>
              <w:pStyle w:val="Normal1"/>
              <w:jc w:val="center"/>
              <w:rPr>
                <w:sz w:val="20"/>
                <w:szCs w:val="20"/>
              </w:rPr>
            </w:pPr>
            <w:r>
              <w:rPr>
                <w:sz w:val="20"/>
                <w:szCs w:val="20"/>
              </w:rPr>
              <w:t>13447</w:t>
            </w:r>
          </w:p>
        </w:tc>
        <w:tc>
          <w:tcPr>
            <w:tcW w:w="851" w:type="dxa"/>
            <w:tcBorders>
              <w:top w:val="single" w:sz="12" w:space="0" w:color="000000"/>
              <w:left w:val="nil"/>
              <w:bottom w:val="nil"/>
            </w:tcBorders>
          </w:tcPr>
          <w:p w:rsidR="00D66517" w:rsidRDefault="00D66517" w:rsidP="00A841DA">
            <w:pPr>
              <w:pStyle w:val="Normal1"/>
              <w:jc w:val="center"/>
              <w:rPr>
                <w:sz w:val="20"/>
                <w:szCs w:val="20"/>
              </w:rPr>
            </w:pPr>
            <w:r>
              <w:rPr>
                <w:sz w:val="20"/>
                <w:szCs w:val="20"/>
              </w:rPr>
              <w:t>1831</w:t>
            </w:r>
          </w:p>
        </w:tc>
        <w:tc>
          <w:tcPr>
            <w:tcW w:w="567" w:type="dxa"/>
            <w:tcBorders>
              <w:top w:val="single" w:sz="12" w:space="0" w:color="000000"/>
              <w:bottom w:val="nil"/>
            </w:tcBorders>
          </w:tcPr>
          <w:p w:rsidR="00D66517" w:rsidRDefault="00D66517" w:rsidP="00A841DA">
            <w:pPr>
              <w:pStyle w:val="Normal1"/>
              <w:jc w:val="center"/>
              <w:rPr>
                <w:sz w:val="20"/>
                <w:szCs w:val="20"/>
              </w:rPr>
            </w:pPr>
            <w:r>
              <w:rPr>
                <w:sz w:val="20"/>
                <w:szCs w:val="20"/>
              </w:rPr>
              <w:t>1</w:t>
            </w:r>
          </w:p>
        </w:tc>
        <w:tc>
          <w:tcPr>
            <w:tcW w:w="1275" w:type="dxa"/>
            <w:tcBorders>
              <w:top w:val="single" w:sz="12" w:space="0" w:color="000000"/>
              <w:bottom w:val="nil"/>
            </w:tcBorders>
          </w:tcPr>
          <w:p w:rsidR="00D66517" w:rsidRDefault="00D66517" w:rsidP="00A841DA">
            <w:pPr>
              <w:pStyle w:val="Normal1"/>
              <w:jc w:val="left"/>
              <w:rPr>
                <w:sz w:val="20"/>
                <w:szCs w:val="20"/>
              </w:rPr>
            </w:pPr>
            <w:r>
              <w:rPr>
                <w:sz w:val="20"/>
                <w:szCs w:val="20"/>
              </w:rPr>
              <w:t>&lt; 0.001</w:t>
            </w:r>
          </w:p>
        </w:tc>
      </w:tr>
      <w:tr w:rsidR="00D66517" w:rsidTr="00A841DA">
        <w:tc>
          <w:tcPr>
            <w:tcW w:w="2127" w:type="dxa"/>
            <w:tcBorders>
              <w:top w:val="nil"/>
              <w:bottom w:val="single" w:sz="6" w:space="0" w:color="000000"/>
            </w:tcBorders>
          </w:tcPr>
          <w:p w:rsidR="00D66517" w:rsidRPr="008349B9" w:rsidRDefault="00D66517" w:rsidP="00A841DA">
            <w:pPr>
              <w:rPr>
                <w:b/>
                <w:bCs/>
                <w:sz w:val="20"/>
                <w:szCs w:val="20"/>
              </w:rPr>
            </w:pPr>
            <w:r w:rsidRPr="0070031A">
              <w:rPr>
                <w:b/>
                <w:bCs/>
                <w:sz w:val="20"/>
                <w:szCs w:val="20"/>
              </w:rPr>
              <w:t>TA ~ ‘Example’ + (1|Item) + (1|Subject)</w:t>
            </w:r>
          </w:p>
        </w:tc>
        <w:tc>
          <w:tcPr>
            <w:tcW w:w="708" w:type="dxa"/>
            <w:tcBorders>
              <w:top w:val="nil"/>
              <w:bottom w:val="single" w:sz="6" w:space="0" w:color="000000"/>
            </w:tcBorders>
          </w:tcPr>
          <w:p w:rsidR="00D66517" w:rsidRDefault="00D66517" w:rsidP="00A841DA">
            <w:pPr>
              <w:pStyle w:val="Normal1"/>
              <w:jc w:val="center"/>
              <w:rPr>
                <w:sz w:val="20"/>
                <w:szCs w:val="20"/>
              </w:rPr>
            </w:pPr>
            <w:r>
              <w:rPr>
                <w:sz w:val="20"/>
                <w:szCs w:val="20"/>
              </w:rPr>
              <w:t>9</w:t>
            </w:r>
          </w:p>
        </w:tc>
        <w:tc>
          <w:tcPr>
            <w:tcW w:w="851" w:type="dxa"/>
            <w:tcBorders>
              <w:top w:val="nil"/>
              <w:bottom w:val="single" w:sz="6" w:space="0" w:color="000000"/>
            </w:tcBorders>
          </w:tcPr>
          <w:p w:rsidR="00D66517" w:rsidRPr="00B04D0A" w:rsidRDefault="00D66517" w:rsidP="00A841DA">
            <w:pPr>
              <w:pStyle w:val="Normal1"/>
              <w:jc w:val="center"/>
              <w:rPr>
                <w:sz w:val="20"/>
                <w:szCs w:val="20"/>
              </w:rPr>
            </w:pPr>
            <w:r>
              <w:rPr>
                <w:sz w:val="20"/>
                <w:szCs w:val="20"/>
              </w:rPr>
              <w:t>11634</w:t>
            </w:r>
          </w:p>
        </w:tc>
        <w:tc>
          <w:tcPr>
            <w:tcW w:w="850" w:type="dxa"/>
            <w:tcBorders>
              <w:top w:val="nil"/>
              <w:bottom w:val="single" w:sz="6" w:space="0" w:color="000000"/>
            </w:tcBorders>
          </w:tcPr>
          <w:p w:rsidR="00D66517" w:rsidRDefault="00D66517" w:rsidP="00A841DA">
            <w:pPr>
              <w:pStyle w:val="Normal1"/>
              <w:jc w:val="center"/>
              <w:rPr>
                <w:sz w:val="20"/>
                <w:szCs w:val="20"/>
              </w:rPr>
            </w:pPr>
            <w:r>
              <w:rPr>
                <w:sz w:val="20"/>
                <w:szCs w:val="20"/>
              </w:rPr>
              <w:t>11700</w:t>
            </w:r>
          </w:p>
        </w:tc>
        <w:tc>
          <w:tcPr>
            <w:tcW w:w="851" w:type="dxa"/>
            <w:tcBorders>
              <w:top w:val="nil"/>
              <w:bottom w:val="single" w:sz="6" w:space="0" w:color="000000"/>
            </w:tcBorders>
          </w:tcPr>
          <w:p w:rsidR="00D66517" w:rsidRDefault="00D66517" w:rsidP="00A841DA">
            <w:pPr>
              <w:pStyle w:val="Normal1"/>
              <w:jc w:val="center"/>
              <w:rPr>
                <w:sz w:val="20"/>
                <w:szCs w:val="20"/>
              </w:rPr>
            </w:pPr>
            <w:r>
              <w:rPr>
                <w:sz w:val="20"/>
                <w:szCs w:val="20"/>
              </w:rPr>
              <w:t>-5808</w:t>
            </w:r>
          </w:p>
        </w:tc>
        <w:tc>
          <w:tcPr>
            <w:tcW w:w="992" w:type="dxa"/>
            <w:tcBorders>
              <w:top w:val="nil"/>
              <w:bottom w:val="single" w:sz="6" w:space="0" w:color="000000"/>
              <w:right w:val="nil"/>
            </w:tcBorders>
          </w:tcPr>
          <w:p w:rsidR="00D66517" w:rsidRDefault="00D66517" w:rsidP="00A841DA">
            <w:pPr>
              <w:pStyle w:val="Normal1"/>
              <w:jc w:val="center"/>
              <w:rPr>
                <w:sz w:val="20"/>
                <w:szCs w:val="20"/>
              </w:rPr>
            </w:pPr>
            <w:r>
              <w:rPr>
                <w:sz w:val="20"/>
                <w:szCs w:val="20"/>
              </w:rPr>
              <w:t>11616</w:t>
            </w:r>
          </w:p>
        </w:tc>
        <w:tc>
          <w:tcPr>
            <w:tcW w:w="851" w:type="dxa"/>
            <w:tcBorders>
              <w:top w:val="nil"/>
              <w:left w:val="nil"/>
              <w:bottom w:val="single" w:sz="6" w:space="0" w:color="000000"/>
            </w:tcBorders>
          </w:tcPr>
          <w:p w:rsidR="00D66517" w:rsidRDefault="00D66517" w:rsidP="00A841DA">
            <w:pPr>
              <w:pStyle w:val="Normal1"/>
              <w:jc w:val="center"/>
              <w:rPr>
                <w:sz w:val="20"/>
                <w:szCs w:val="20"/>
              </w:rPr>
            </w:pPr>
          </w:p>
        </w:tc>
        <w:tc>
          <w:tcPr>
            <w:tcW w:w="567" w:type="dxa"/>
            <w:tcBorders>
              <w:top w:val="nil"/>
              <w:bottom w:val="single" w:sz="6" w:space="0" w:color="000000"/>
            </w:tcBorders>
          </w:tcPr>
          <w:p w:rsidR="00D66517" w:rsidRDefault="00D66517" w:rsidP="00A841DA">
            <w:pPr>
              <w:pStyle w:val="Normal1"/>
              <w:jc w:val="center"/>
              <w:rPr>
                <w:sz w:val="20"/>
                <w:szCs w:val="20"/>
              </w:rPr>
            </w:pPr>
          </w:p>
        </w:tc>
        <w:tc>
          <w:tcPr>
            <w:tcW w:w="1275" w:type="dxa"/>
            <w:tcBorders>
              <w:top w:val="nil"/>
              <w:bottom w:val="single" w:sz="6" w:space="0" w:color="000000"/>
            </w:tcBorders>
          </w:tcPr>
          <w:p w:rsidR="00D66517" w:rsidRDefault="00D66517" w:rsidP="00A841DA">
            <w:pPr>
              <w:pStyle w:val="Normal1"/>
              <w:jc w:val="center"/>
              <w:rPr>
                <w:sz w:val="20"/>
                <w:szCs w:val="20"/>
              </w:rPr>
            </w:pPr>
          </w:p>
        </w:tc>
      </w:tr>
    </w:tbl>
    <w:p w:rsidR="00A002EC" w:rsidRDefault="00A002EC"/>
    <w:sectPr w:rsidR="00A00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A0"/>
    <w:rsid w:val="002B1DB6"/>
    <w:rsid w:val="005810EE"/>
    <w:rsid w:val="008415A0"/>
    <w:rsid w:val="00A002EC"/>
    <w:rsid w:val="00BB18D9"/>
    <w:rsid w:val="00D66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5AB1"/>
  <w15:chartTrackingRefBased/>
  <w15:docId w15:val="{1A47A303-0DF5-44F4-A9FA-A84B51B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17"/>
    <w:pPr>
      <w:spacing w:after="0" w:line="240" w:lineRule="auto"/>
      <w:jc w:val="both"/>
    </w:pPr>
    <w:rPr>
      <w:rFonts w:ascii="Times New Roman" w:eastAsia="Times New Roman" w:hAnsi="Times New Roman" w:cs="Times New Roman"/>
      <w:kern w:val="0"/>
      <w:sz w:val="24"/>
      <w:szCs w:val="24"/>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66517"/>
    <w:pPr>
      <w:spacing w:after="0" w:line="240" w:lineRule="auto"/>
      <w:jc w:val="both"/>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2412</Characters>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2023-03-08T10:45:00Z</dcterms:created>
  <dcterms:modified xsi:type="dcterms:W3CDTF">2023-03-08T11:34:00Z</dcterms:modified>
</cp:coreProperties>
</file>