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77968" w14:textId="7911755F" w:rsidR="00873911" w:rsidRPr="00A9101D" w:rsidRDefault="00873911" w:rsidP="00D91399">
      <w:pPr>
        <w:autoSpaceDE w:val="0"/>
        <w:autoSpaceDN w:val="0"/>
        <w:adjustRightInd w:val="0"/>
        <w:spacing w:after="240" w:line="240" w:lineRule="auto"/>
        <w:jc w:val="center"/>
        <w:rPr>
          <w:rFonts w:ascii="Times New Roman" w:hAnsi="Times New Roman" w:cs="Times New Roman"/>
          <w:b/>
          <w:bCs/>
          <w:kern w:val="0"/>
          <w:sz w:val="28"/>
          <w:szCs w:val="28"/>
          <w:lang w:val="en-US"/>
        </w:rPr>
      </w:pPr>
      <w:r w:rsidRPr="00A9101D">
        <w:rPr>
          <w:rFonts w:ascii="Times New Roman" w:hAnsi="Times New Roman" w:cs="Times New Roman"/>
          <w:b/>
          <w:bCs/>
          <w:kern w:val="0"/>
          <w:sz w:val="28"/>
          <w:szCs w:val="28"/>
          <w:lang w:val="en-US"/>
        </w:rPr>
        <w:t xml:space="preserve">Which Hollow is Witches’ Hollow? </w:t>
      </w:r>
      <w:r w:rsidRPr="00A9101D">
        <w:rPr>
          <w:rStyle w:val="ui-provider"/>
          <w:rFonts w:ascii="Times New Roman" w:hAnsi="Times New Roman" w:cs="Times New Roman"/>
          <w:b/>
          <w:bCs/>
          <w:sz w:val="28"/>
          <w:szCs w:val="28"/>
          <w:lang w:val="en-US"/>
        </w:rPr>
        <w:t>An Empirical Approach to Translating Proper Names</w:t>
      </w:r>
      <w:r w:rsidRPr="00A9101D">
        <w:rPr>
          <w:rStyle w:val="Odwoanieprzypisudolnego"/>
          <w:rFonts w:ascii="Times New Roman" w:hAnsi="Times New Roman" w:cs="Times New Roman"/>
          <w:kern w:val="0"/>
          <w:sz w:val="28"/>
          <w:szCs w:val="28"/>
          <w:lang w:val="en-US"/>
        </w:rPr>
        <w:footnoteReference w:id="1"/>
      </w:r>
    </w:p>
    <w:p w14:paraId="3E16507C" w14:textId="77777777" w:rsidR="000437CB" w:rsidRPr="000437CB" w:rsidRDefault="000437CB" w:rsidP="000437CB">
      <w:pPr>
        <w:autoSpaceDE w:val="0"/>
        <w:autoSpaceDN w:val="0"/>
        <w:adjustRightInd w:val="0"/>
        <w:spacing w:before="240" w:after="0" w:line="240" w:lineRule="auto"/>
        <w:jc w:val="center"/>
        <w:rPr>
          <w:rFonts w:ascii="Times New Roman" w:hAnsi="Times New Roman" w:cs="Times New Roman"/>
          <w:color w:val="70AD47" w:themeColor="accent6"/>
          <w:kern w:val="0"/>
          <w:lang w:val="en-US"/>
        </w:rPr>
      </w:pPr>
      <w:r w:rsidRPr="000437CB">
        <w:rPr>
          <w:rFonts w:ascii="Times New Roman" w:hAnsi="Times New Roman" w:cs="Times New Roman"/>
          <w:color w:val="70AD47" w:themeColor="accent6"/>
          <w:kern w:val="0"/>
          <w:lang w:val="en-US"/>
        </w:rPr>
        <w:t>[For anonymity reasons</w:t>
      </w:r>
    </w:p>
    <w:p w14:paraId="791A821B" w14:textId="77777777" w:rsidR="000437CB" w:rsidRPr="000437CB" w:rsidRDefault="000437CB" w:rsidP="000437CB">
      <w:pPr>
        <w:autoSpaceDE w:val="0"/>
        <w:autoSpaceDN w:val="0"/>
        <w:adjustRightInd w:val="0"/>
        <w:spacing w:after="0" w:line="240" w:lineRule="auto"/>
        <w:jc w:val="center"/>
        <w:rPr>
          <w:rFonts w:ascii="Times New Roman" w:hAnsi="Times New Roman" w:cs="Times New Roman"/>
          <w:color w:val="70AD47" w:themeColor="accent6"/>
          <w:kern w:val="0"/>
          <w:lang w:val="en-US"/>
        </w:rPr>
      </w:pPr>
      <w:r w:rsidRPr="000437CB">
        <w:rPr>
          <w:rFonts w:ascii="Times New Roman" w:hAnsi="Times New Roman" w:cs="Times New Roman"/>
          <w:color w:val="70AD47" w:themeColor="accent6"/>
          <w:kern w:val="0"/>
          <w:lang w:val="en-US"/>
        </w:rPr>
        <w:t>the author’s name,</w:t>
      </w:r>
    </w:p>
    <w:p w14:paraId="08FE3694" w14:textId="77777777" w:rsidR="000437CB" w:rsidRPr="000437CB" w:rsidRDefault="000437CB" w:rsidP="000437CB">
      <w:pPr>
        <w:autoSpaceDE w:val="0"/>
        <w:autoSpaceDN w:val="0"/>
        <w:adjustRightInd w:val="0"/>
        <w:spacing w:after="0" w:line="240" w:lineRule="auto"/>
        <w:jc w:val="center"/>
        <w:rPr>
          <w:rFonts w:ascii="Times New Roman" w:hAnsi="Times New Roman" w:cs="Times New Roman"/>
          <w:color w:val="70AD47" w:themeColor="accent6"/>
          <w:kern w:val="0"/>
          <w:lang w:val="en-US"/>
        </w:rPr>
      </w:pPr>
      <w:r w:rsidRPr="000437CB">
        <w:rPr>
          <w:rFonts w:ascii="Times New Roman" w:hAnsi="Times New Roman" w:cs="Times New Roman"/>
          <w:color w:val="70AD47" w:themeColor="accent6"/>
          <w:kern w:val="0"/>
          <w:lang w:val="en-US"/>
        </w:rPr>
        <w:t>contact information, and affiliation</w:t>
      </w:r>
    </w:p>
    <w:p w14:paraId="51B6CBA5" w14:textId="433460A4" w:rsidR="000437CB" w:rsidRPr="000437CB" w:rsidRDefault="000437CB" w:rsidP="000437CB">
      <w:pPr>
        <w:autoSpaceDE w:val="0"/>
        <w:autoSpaceDN w:val="0"/>
        <w:adjustRightInd w:val="0"/>
        <w:spacing w:after="360" w:line="240" w:lineRule="auto"/>
        <w:jc w:val="center"/>
        <w:rPr>
          <w:rFonts w:ascii="Times New Roman" w:hAnsi="Times New Roman" w:cs="Times New Roman"/>
          <w:color w:val="70AD47" w:themeColor="accent6"/>
          <w:kern w:val="0"/>
          <w:lang w:val="en-US"/>
        </w:rPr>
      </w:pPr>
      <w:r w:rsidRPr="000437CB">
        <w:rPr>
          <w:rFonts w:ascii="Times New Roman" w:hAnsi="Times New Roman" w:cs="Times New Roman"/>
          <w:color w:val="70AD47" w:themeColor="accent6"/>
          <w:kern w:val="0"/>
          <w:lang w:val="en-US"/>
        </w:rPr>
        <w:t>have been moved to the biodata file.</w:t>
      </w:r>
      <w:r>
        <w:rPr>
          <w:rFonts w:ascii="Times New Roman" w:hAnsi="Times New Roman" w:cs="Times New Roman"/>
          <w:color w:val="70AD47" w:themeColor="accent6"/>
          <w:kern w:val="0"/>
          <w:lang w:val="en-US"/>
        </w:rPr>
        <w:t>]</w:t>
      </w:r>
    </w:p>
    <w:p w14:paraId="098746F4" w14:textId="77777777" w:rsidR="00DC79BA" w:rsidRPr="00FA24A8" w:rsidRDefault="00DC79BA" w:rsidP="00DC79BA">
      <w:pPr>
        <w:autoSpaceDE w:val="0"/>
        <w:autoSpaceDN w:val="0"/>
        <w:adjustRightInd w:val="0"/>
        <w:spacing w:before="240" w:line="240" w:lineRule="auto"/>
        <w:jc w:val="center"/>
        <w:rPr>
          <w:rFonts w:ascii="Times New Roman" w:hAnsi="Times New Roman" w:cs="Times New Roman"/>
          <w:b/>
          <w:bCs/>
          <w:smallCaps/>
          <w:kern w:val="0"/>
          <w:sz w:val="24"/>
          <w:szCs w:val="24"/>
          <w:lang w:val="en-US"/>
        </w:rPr>
      </w:pPr>
      <w:r w:rsidRPr="00FA24A8">
        <w:rPr>
          <w:rFonts w:ascii="Times New Roman" w:hAnsi="Times New Roman" w:cs="Times New Roman"/>
          <w:b/>
          <w:bCs/>
          <w:smallCaps/>
          <w:kern w:val="0"/>
          <w:sz w:val="24"/>
          <w:szCs w:val="24"/>
          <w:lang w:val="en-US"/>
        </w:rPr>
        <w:t>Abstract</w:t>
      </w:r>
    </w:p>
    <w:p w14:paraId="25B9A71B" w14:textId="77777777" w:rsidR="00DC79BA" w:rsidRPr="00917C92" w:rsidRDefault="00DC79BA" w:rsidP="00DC79BA">
      <w:pPr>
        <w:jc w:val="both"/>
        <w:rPr>
          <w:rFonts w:ascii="Times New Roman" w:hAnsi="Times New Roman" w:cs="Times New Roman"/>
          <w:sz w:val="24"/>
          <w:szCs w:val="24"/>
          <w:lang w:val="en-US"/>
        </w:rPr>
      </w:pPr>
      <w:r w:rsidRPr="00917C92">
        <w:rPr>
          <w:rStyle w:val="ui-provider"/>
          <w:rFonts w:ascii="Times New Roman" w:hAnsi="Times New Roman" w:cs="Times New Roman"/>
          <w:sz w:val="24"/>
          <w:szCs w:val="24"/>
          <w:lang w:val="en-US"/>
        </w:rPr>
        <w:t>Proper names—especially the telling ones—can play a vital role in portraying characters and settings in works of fiction. Their capacity to carry both literal and connotational meanings makes them excellent devices for both designing readers’ emotions and cueing them. Nevertheless, there is no consensus on their treatment of choice in translation, which informed a more detailed and in-depth approach aiming to empirically identify the differences resulting from various approaches to translating proper names. The paper explores the differences between two types of translation—domestication vs. foreignization—of a toponym from Lovecraftian horror fiction. The data were collected from native speakers of Polish (</w:t>
      </w:r>
      <w:proofErr w:type="spellStart"/>
      <w:r w:rsidRPr="00917C92">
        <w:rPr>
          <w:rStyle w:val="ui-provider"/>
          <w:rFonts w:ascii="Times New Roman" w:hAnsi="Times New Roman" w:cs="Times New Roman"/>
          <w:sz w:val="24"/>
          <w:szCs w:val="24"/>
          <w:lang w:val="en-US"/>
        </w:rPr>
        <w:t>N</w:t>
      </w:r>
      <w:r w:rsidRPr="00917C92">
        <w:rPr>
          <w:rStyle w:val="ui-provider"/>
          <w:rFonts w:ascii="Times New Roman" w:hAnsi="Times New Roman" w:cs="Times New Roman"/>
          <w:smallCaps/>
          <w:sz w:val="24"/>
          <w:szCs w:val="24"/>
          <w:vertAlign w:val="subscript"/>
          <w:lang w:val="en-US"/>
        </w:rPr>
        <w:t>pl</w:t>
      </w:r>
      <w:proofErr w:type="spellEnd"/>
      <w:r w:rsidRPr="00917C92">
        <w:rPr>
          <w:rStyle w:val="ui-provider"/>
          <w:rFonts w:ascii="Times New Roman" w:hAnsi="Times New Roman" w:cs="Times New Roman"/>
          <w:sz w:val="24"/>
          <w:szCs w:val="24"/>
          <w:lang w:val="en-US"/>
        </w:rPr>
        <w:t>=514) and English (N</w:t>
      </w:r>
      <w:r w:rsidRPr="00917C92">
        <w:rPr>
          <w:rStyle w:val="ui-provider"/>
          <w:rFonts w:ascii="Times New Roman" w:hAnsi="Times New Roman" w:cs="Times New Roman"/>
          <w:smallCaps/>
          <w:sz w:val="24"/>
          <w:szCs w:val="24"/>
          <w:vertAlign w:val="subscript"/>
          <w:lang w:val="en-US"/>
        </w:rPr>
        <w:t>en</w:t>
      </w:r>
      <w:r w:rsidRPr="00917C92">
        <w:rPr>
          <w:rStyle w:val="ui-provider"/>
          <w:rFonts w:ascii="Times New Roman" w:hAnsi="Times New Roman" w:cs="Times New Roman"/>
          <w:sz w:val="24"/>
          <w:szCs w:val="24"/>
          <w:lang w:val="en-US"/>
        </w:rPr>
        <w:t xml:space="preserve">=81) by means of the </w:t>
      </w:r>
      <w:r w:rsidRPr="00917C92">
        <w:rPr>
          <w:rStyle w:val="ui-provider"/>
          <w:rFonts w:ascii="Times New Roman" w:hAnsi="Times New Roman" w:cs="Times New Roman"/>
          <w:i/>
          <w:iCs/>
          <w:sz w:val="24"/>
          <w:szCs w:val="24"/>
          <w:lang w:val="en-US"/>
        </w:rPr>
        <w:t>Binary Dimensions Matrix</w:t>
      </w:r>
      <w:r w:rsidRPr="00917C92">
        <w:rPr>
          <w:rStyle w:val="ui-provider"/>
          <w:rFonts w:ascii="Times New Roman" w:hAnsi="Times New Roman" w:cs="Times New Roman"/>
          <w:sz w:val="24"/>
          <w:szCs w:val="24"/>
          <w:lang w:val="en-US"/>
        </w:rPr>
        <w:t>—a custom-made inventory devised to capture differences in connotational meaning. The analyses found significant connotational divergence between the foreignized and domesticated translations on 12 out of 41 dimensions and confirmed the occurrence of the divergence on 9 out of 9 hypothesized horror-related dimensions. The comparison of the results with the data from the English-speaking group revealed that although the significant differences yielded by foreignization (as compared to domestication) were fewer in number, they were also greater in strength. The results show that—at least for horror fiction and English–Polish translation—foreignization is not only more ‘horrific’  than domestication but also than the original name to the original audience, suggesting that ‘translation loss’ is a two-fold phenomenon that is to be considered on qualitative and quantitative levels alike.</w:t>
      </w:r>
    </w:p>
    <w:p w14:paraId="106C7FC2" w14:textId="5454501F" w:rsidR="00873911" w:rsidRPr="00E164A6" w:rsidRDefault="00873911" w:rsidP="000437CB">
      <w:pPr>
        <w:autoSpaceDE w:val="0"/>
        <w:autoSpaceDN w:val="0"/>
        <w:adjustRightInd w:val="0"/>
        <w:spacing w:line="240" w:lineRule="auto"/>
        <w:ind w:left="1276" w:hanging="1276"/>
        <w:jc w:val="both"/>
        <w:rPr>
          <w:rFonts w:ascii="Times New Roman" w:hAnsi="Times New Roman" w:cs="Times New Roman"/>
          <w:b/>
          <w:bCs/>
          <w:smallCaps/>
          <w:kern w:val="0"/>
          <w:lang w:val="en-US"/>
        </w:rPr>
      </w:pPr>
      <w:r w:rsidRPr="00914504">
        <w:rPr>
          <w:rFonts w:ascii="Times New Roman" w:hAnsi="Times New Roman" w:cs="Times New Roman"/>
          <w:b/>
          <w:bCs/>
          <w:kern w:val="0"/>
          <w:sz w:val="24"/>
          <w:szCs w:val="24"/>
          <w:lang w:val="en-US"/>
        </w:rPr>
        <w:t>Keywords</w:t>
      </w:r>
      <w:r>
        <w:rPr>
          <w:rFonts w:ascii="Times New Roman" w:hAnsi="Times New Roman" w:cs="Times New Roman"/>
          <w:kern w:val="0"/>
          <w:sz w:val="24"/>
          <w:szCs w:val="24"/>
          <w:lang w:val="en-US"/>
        </w:rPr>
        <w:t>: proper names; translation; reception; horror fiction; foreignization</w:t>
      </w:r>
      <w:r>
        <w:rPr>
          <w:rFonts w:ascii="Times New Roman" w:hAnsi="Times New Roman" w:cs="Times New Roman"/>
          <w:smallCaps/>
          <w:kern w:val="0"/>
          <w:sz w:val="20"/>
          <w:szCs w:val="20"/>
          <w:lang w:val="en-US"/>
        </w:rPr>
        <w:t xml:space="preserve"> </w:t>
      </w:r>
      <w:r>
        <w:rPr>
          <w:rFonts w:ascii="Times New Roman" w:hAnsi="Times New Roman" w:cs="Times New Roman"/>
          <w:kern w:val="0"/>
          <w:sz w:val="24"/>
          <w:szCs w:val="24"/>
          <w:lang w:val="en-US"/>
        </w:rPr>
        <w:t xml:space="preserve">and domestication </w:t>
      </w:r>
    </w:p>
    <w:p w14:paraId="2D6DFF95" w14:textId="77777777" w:rsidR="00873911" w:rsidRDefault="00873911" w:rsidP="00D91399">
      <w:pPr>
        <w:autoSpaceDE w:val="0"/>
        <w:autoSpaceDN w:val="0"/>
        <w:adjustRightInd w:val="0"/>
        <w:spacing w:before="240" w:line="240" w:lineRule="auto"/>
        <w:ind w:firstLine="708"/>
        <w:jc w:val="right"/>
        <w:rPr>
          <w:rFonts w:ascii="Times New Roman" w:eastAsiaTheme="minorHAnsi" w:hAnsi="Times New Roman" w:cs="Times New Roman"/>
          <w:color w:val="231F20"/>
          <w:kern w:val="0"/>
          <w:sz w:val="20"/>
          <w:szCs w:val="20"/>
          <w:lang w:val="en-US"/>
        </w:rPr>
      </w:pPr>
      <w:r w:rsidRPr="00FA24A8">
        <w:rPr>
          <w:rFonts w:ascii="Times New Roman" w:eastAsiaTheme="minorHAnsi" w:hAnsi="Times New Roman" w:cs="Times New Roman"/>
          <w:i/>
          <w:iCs/>
          <w:color w:val="231F20"/>
          <w:kern w:val="0"/>
          <w:sz w:val="20"/>
          <w:szCs w:val="20"/>
          <w:lang w:val="en-US"/>
        </w:rPr>
        <w:t xml:space="preserve">If the translator simply transposes a name from a source text without facing the problems of adapting </w:t>
      </w:r>
      <w:r>
        <w:rPr>
          <w:rFonts w:ascii="Times New Roman" w:eastAsiaTheme="minorHAnsi" w:hAnsi="Times New Roman" w:cs="Times New Roman"/>
          <w:i/>
          <w:iCs/>
          <w:color w:val="231F20"/>
          <w:kern w:val="0"/>
          <w:sz w:val="20"/>
          <w:szCs w:val="20"/>
          <w:lang w:val="en-US"/>
        </w:rPr>
        <w:t>e</w:t>
      </w:r>
      <w:r w:rsidRPr="00FA24A8">
        <w:rPr>
          <w:rFonts w:ascii="Times New Roman" w:eastAsiaTheme="minorHAnsi" w:hAnsi="Times New Roman" w:cs="Times New Roman"/>
          <w:i/>
          <w:iCs/>
          <w:color w:val="231F20"/>
          <w:kern w:val="0"/>
          <w:sz w:val="20"/>
          <w:szCs w:val="20"/>
          <w:lang w:val="en-US"/>
        </w:rPr>
        <w:t>ither phonology or orthography (…) is the resulting name in translation still the same name?</w:t>
      </w:r>
      <w:r w:rsidRPr="00FA24A8">
        <w:rPr>
          <w:rFonts w:ascii="Times New Roman" w:eastAsiaTheme="minorHAnsi" w:hAnsi="Times New Roman" w:cs="Times New Roman"/>
          <w:color w:val="231F20"/>
          <w:kern w:val="0"/>
          <w:sz w:val="20"/>
          <w:szCs w:val="20"/>
          <w:lang w:val="en-US"/>
        </w:rPr>
        <w:t xml:space="preserve"> </w:t>
      </w:r>
    </w:p>
    <w:p w14:paraId="6FF2C341" w14:textId="77777777" w:rsidR="00873911" w:rsidRPr="00FA24A8" w:rsidRDefault="00873911" w:rsidP="000437CB">
      <w:pPr>
        <w:autoSpaceDE w:val="0"/>
        <w:autoSpaceDN w:val="0"/>
        <w:adjustRightInd w:val="0"/>
        <w:spacing w:after="240" w:line="240" w:lineRule="auto"/>
        <w:ind w:firstLine="709"/>
        <w:jc w:val="right"/>
        <w:rPr>
          <w:rFonts w:ascii="Times New Roman" w:eastAsiaTheme="minorHAnsi" w:hAnsi="Times New Roman" w:cs="Times New Roman"/>
          <w:color w:val="231F20"/>
          <w:kern w:val="0"/>
          <w:sz w:val="20"/>
          <w:szCs w:val="20"/>
          <w:lang w:val="en-US"/>
        </w:rPr>
      </w:pPr>
      <w:r w:rsidRPr="00FA24A8">
        <w:rPr>
          <w:rFonts w:ascii="Times New Roman" w:eastAsiaTheme="minorHAnsi" w:hAnsi="Times New Roman" w:cs="Times New Roman"/>
          <w:color w:val="231F20"/>
          <w:kern w:val="0"/>
          <w:sz w:val="20"/>
          <w:szCs w:val="20"/>
          <w:lang w:val="en-US"/>
        </w:rPr>
        <w:fldChar w:fldCharType="begin"/>
      </w:r>
      <w:r w:rsidRPr="00FA24A8">
        <w:rPr>
          <w:rFonts w:ascii="Times New Roman" w:eastAsiaTheme="minorHAnsi" w:hAnsi="Times New Roman" w:cs="Times New Roman"/>
          <w:color w:val="231F20"/>
          <w:kern w:val="0"/>
          <w:sz w:val="20"/>
          <w:szCs w:val="20"/>
          <w:lang w:val="en-US"/>
        </w:rPr>
        <w:instrText xml:space="preserve"> ADDIN ZOTERO_ITEM CSL_CITATION {"citationID":"X99MRs04","properties":{"formattedCitation":"(Tymoczko, 2014, p. 226)","plainCitation":"(Tymoczko, 2014, p. 226)","noteIndex":0},"citationItems":[{"id":61,"uris":["http://zotero.org/users/12744911/items/QXE8R2TK"],"itemData":{"id":61,"type":"book","event-place":"London New York","ISBN":"978-1-900650-16-8","language":"eng","publisher":"Routledge","publisher-place":"London New York","source":"BnF ISBN","title":"Translation in a postcolonial context: early Irish literature in English translation","title-short":"Translation in a postcolonial context","author":[{"family":"Tymoczko","given":"Maria"}],"issued":{"date-parts":[["2014"]]}},"locator":"226"}],"schema":"https://github.com/citation-style-language/schema/raw/master/csl-citation.json"} </w:instrText>
      </w:r>
      <w:r w:rsidRPr="00FA24A8">
        <w:rPr>
          <w:rFonts w:ascii="Times New Roman" w:eastAsiaTheme="minorHAnsi" w:hAnsi="Times New Roman" w:cs="Times New Roman"/>
          <w:color w:val="231F20"/>
          <w:kern w:val="0"/>
          <w:sz w:val="20"/>
          <w:szCs w:val="20"/>
          <w:lang w:val="en-US"/>
        </w:rPr>
        <w:fldChar w:fldCharType="separate"/>
      </w:r>
      <w:r w:rsidRPr="00FA24A8">
        <w:rPr>
          <w:rFonts w:ascii="Times New Roman" w:hAnsi="Times New Roman" w:cs="Times New Roman"/>
          <w:sz w:val="20"/>
          <w:szCs w:val="20"/>
          <w:lang w:val="en-US"/>
        </w:rPr>
        <w:t>(Tymoczko, 2014, p. 226)</w:t>
      </w:r>
      <w:r w:rsidRPr="00FA24A8">
        <w:rPr>
          <w:rFonts w:ascii="Times New Roman" w:eastAsiaTheme="minorHAnsi" w:hAnsi="Times New Roman" w:cs="Times New Roman"/>
          <w:color w:val="231F20"/>
          <w:kern w:val="0"/>
          <w:sz w:val="20"/>
          <w:szCs w:val="20"/>
          <w:lang w:val="en-US"/>
        </w:rPr>
        <w:fldChar w:fldCharType="end"/>
      </w:r>
    </w:p>
    <w:p w14:paraId="3A0A9B36" w14:textId="77777777" w:rsidR="00873911" w:rsidRPr="00E2458A" w:rsidRDefault="00873911" w:rsidP="00873911">
      <w:pPr>
        <w:autoSpaceDE w:val="0"/>
        <w:autoSpaceDN w:val="0"/>
        <w:adjustRightInd w:val="0"/>
        <w:spacing w:line="240" w:lineRule="auto"/>
        <w:jc w:val="center"/>
        <w:rPr>
          <w:rFonts w:ascii="Times New Roman" w:hAnsi="Times New Roman" w:cs="Times New Roman"/>
          <w:b/>
          <w:bCs/>
          <w:smallCaps/>
          <w:kern w:val="0"/>
          <w:sz w:val="24"/>
          <w:szCs w:val="24"/>
          <w:lang w:val="en-US"/>
        </w:rPr>
      </w:pPr>
      <w:r w:rsidRPr="00E2458A">
        <w:rPr>
          <w:rFonts w:ascii="Times New Roman" w:hAnsi="Times New Roman" w:cs="Times New Roman"/>
          <w:b/>
          <w:bCs/>
          <w:smallCaps/>
          <w:kern w:val="0"/>
          <w:sz w:val="24"/>
          <w:szCs w:val="24"/>
          <w:lang w:val="en-US"/>
        </w:rPr>
        <w:t>Introduction</w:t>
      </w:r>
    </w:p>
    <w:p w14:paraId="43F126AE" w14:textId="27FCA01F" w:rsidR="00873911" w:rsidRPr="00E2458A" w:rsidRDefault="00873911" w:rsidP="00873911">
      <w:pPr>
        <w:autoSpaceDE w:val="0"/>
        <w:autoSpaceDN w:val="0"/>
        <w:adjustRightInd w:val="0"/>
        <w:spacing w:after="0" w:line="240" w:lineRule="auto"/>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It seems that there is a common belief among translation studies scholars that many people, including inexperienced translators, share the notion that proper names should not be translated (</w:t>
      </w:r>
      <w:proofErr w:type="spellStart"/>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{"citationID":"luo2DmjV","properties":{"formattedCitation":"(Tymoczko, 2014)","plainCitation":"(Tymoczko, 2014)","noteIndex":0},"citationItems":[{"id":61,"uris":["http://zotero.org/users/12744911/items/QXE8R2TK"],"itemData":{"id":61,"type":"book","event-place":"London New York","ISBN":"978-1-900650-16-8","language":"eng","publisher":"Routledge","publisher-place":"London New York","source":"BnF ISBN","title":"Translation in a postcolonial context: early Irish literature in English translation","title-short":"Translation in a postcolonial context","author":[{"family":"Tymoczko","given":"Maria"}],"issued":{"date-parts":[["2014"]]}}}],"schema":"https://github.com/citation-style-language/schema/raw/master/csl-citation.json"}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Tymoczko</w:t>
      </w:r>
      <w:proofErr w:type="spellEnd"/>
      <w:r w:rsidRPr="00E2458A">
        <w:rPr>
          <w:rFonts w:ascii="Times New Roman" w:hAnsi="Times New Roman" w:cs="Times New Roman"/>
          <w:sz w:val="24"/>
          <w:szCs w:val="24"/>
          <w:lang w:val="en-US"/>
        </w:rPr>
        <w:t>, 2014</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p. 223;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{"citationID":"CMyS6X06","properties":{"formattedCitation":"(Parianou, 2007)","plainCitation":"(Parianou, 2007)","noteIndex":0},"citationItems":[{"id":38,"uris":["http://zotero.org/users/12744911/items/96TI83LN"],"itemData":{"id":38,"type":"article-journal","container-title":"NAMES: A Journal of Onomastics","ISSN":"1756-2279","issue":"4","page":"407–416","title":"Translating Proper Names: a Functionalist Approach","volume":"55","author":[{"family":"Parianou","given":"Anastasia"}],"issued":{"date-parts":[["2007"]]}}}],"schema":"https://github.com/citation-style-language/schema/raw/master/csl-citation.json"}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Parianou, 2007;</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{"citationID":"qoZLAsof","properties":{"formattedCitation":"(Nord, 2003)","plainCitation":"(Nord, 2003)","noteIndex":0},"citationItems":[{"id":63,"uris":["http://zotero.org/users/12744911/items/ZCPJ3IUH"],"itemData":{"id":63,"type":"article-journal","abstract":"Drawing on a corpus of eight translations of Lewis Carroll’s Alice in Wonderland into five languages (German, French, Spanish, Brazilian Portuguese, Italian), the paper discusses the forms and functions of proper names in children’s books and some aspects of their translation. In Alice in Wonderland, we find three basic types of proper names: names explicitly referring to the real world of author and original addressees (e.g., Alice, her cat Dinah, historical figures like William the Conqueror), names implicitly referring to the real world of author and original addressees (e.g., Elsie, Lacie and Tillie, referring to the three Liddell sisters Lorina Charlotte, Alice and Edith Mathilda), and names referring to fictitious characters. An important function of proper names in fiction is to indicate in which culture the plot is set. It will be shown that the eight translators use various strategies to deal with proper names and that these strategies entail different communicative effects for the respective audiences.","container-title":"Meta","DOI":"10.7202/006966ar","ISSN":"1492-1421, 0026-0452","issue":"1-2","journalAbbreviation":"meta","page":"182-196","source":"DOI.org (Crossref)","title":"Proper Names in Translations for Children: Alice in Wonderland as a Case in Point","title-short":"Proper Names in Translations for Children","volume":"48","author":[{"family":"Nord","given":"Christiane"}],"issued":{"date-parts":[["2003",9,24]]}}}],"schema":"https://github.com/citation-style-language/schema/raw/master/csl-citation.json"}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Nord, 2003</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Praxis, however, shows that </w:t>
      </w:r>
      <w:proofErr w:type="spellStart"/>
      <w:r w:rsidRPr="00E2458A">
        <w:rPr>
          <w:rFonts w:ascii="Times New Roman" w:hAnsi="Times New Roman" w:cs="Times New Roman"/>
          <w:i/>
          <w:iCs/>
          <w:kern w:val="0"/>
          <w:sz w:val="24"/>
          <w:szCs w:val="24"/>
          <w:lang w:val="en-US"/>
        </w:rPr>
        <w:t>nomina</w:t>
      </w:r>
      <w:proofErr w:type="spellEnd"/>
      <w:r w:rsidRPr="00E2458A">
        <w:rPr>
          <w:rFonts w:ascii="Times New Roman" w:hAnsi="Times New Roman" w:cs="Times New Roman"/>
          <w:i/>
          <w:iCs/>
          <w:kern w:val="0"/>
          <w:sz w:val="24"/>
          <w:szCs w:val="24"/>
          <w:lang w:val="en-US"/>
        </w:rPr>
        <w:t xml:space="preserve"> propria</w:t>
      </w:r>
      <w:r w:rsidRPr="00E2458A">
        <w:rPr>
          <w:rFonts w:ascii="Times New Roman" w:hAnsi="Times New Roman" w:cs="Times New Roman"/>
          <w:kern w:val="0"/>
          <w:sz w:val="24"/>
          <w:szCs w:val="24"/>
          <w:lang w:val="en-US"/>
        </w:rPr>
        <w:t xml:space="preserve"> enjoy a wide variety of translative pampering during their transcultural tournee (e.g.,</w:t>
      </w:r>
      <w:r>
        <w:rPr>
          <w:rFonts w:ascii="Times New Roman" w:hAnsi="Times New Roman" w:cs="Times New Roman"/>
          <w:kern w:val="0"/>
          <w:sz w:val="24"/>
          <w:szCs w:val="24"/>
          <w:lang w:val="en-US"/>
        </w:rPr>
        <w:t>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{"citationID":"FaUVxd3W","properties":{"formattedCitation":"(Zabir &amp; Haroon, 2018)","plainCitation":"(Zabir &amp; Haroon, 2018)","noteIndex":0},"citationItems":[{"id":66,"uris":["http://zotero.org/users/12744911/items/WLN98SIY"],"itemData":{"id":66,"type":"article-journal","container-title":"GEMA Online® Journal of Language Studies","DOI":"10.17576/gema-2018-1802-08","ISSN":"16758021, 25502131","issue":"2","journalAbbreviation":"GEMA","page":"108-123","source":"DOI.org (Crossref)","title":"Procedures in the Translation of Proper Names in Harry Potter and the Goblet of Fire into Malay","volume":"18","author":[{"family":"Zabir","given":"Atikah"},{"family":"Haroon","given":"Haslina"}],"issued":{"date-parts":[["2018",5,28]]}}}],"schema":"https://github.com/citation-style-language/schema/raw/master/csl-citation.json"} </w:instrText>
      </w:r>
      <w:r w:rsidRPr="00E2458A">
        <w:rPr>
          <w:rFonts w:ascii="Times New Roman" w:hAnsi="Times New Roman" w:cs="Times New Roman"/>
          <w:kern w:val="0"/>
          <w:sz w:val="24"/>
          <w:szCs w:val="24"/>
          <w:lang w:val="en-US"/>
        </w:rPr>
        <w:fldChar w:fldCharType="separate"/>
      </w:r>
      <w:r>
        <w:rPr>
          <w:rFonts w:ascii="Times New Roman" w:hAnsi="Times New Roman" w:cs="Times New Roman"/>
          <w:sz w:val="24"/>
          <w:szCs w:val="24"/>
          <w:lang w:val="en-US"/>
        </w:rPr>
        <w:t>Atikah Z</w:t>
      </w:r>
      <w:r w:rsidRPr="00E2458A">
        <w:rPr>
          <w:rFonts w:ascii="Times New Roman" w:hAnsi="Times New Roman" w:cs="Times New Roman"/>
          <w:sz w:val="24"/>
          <w:szCs w:val="24"/>
          <w:lang w:val="en-US"/>
        </w:rPr>
        <w:t xml:space="preserve">abir &amp; </w:t>
      </w:r>
      <w:r>
        <w:rPr>
          <w:rFonts w:ascii="Times New Roman" w:hAnsi="Times New Roman" w:cs="Times New Roman"/>
          <w:sz w:val="24"/>
          <w:szCs w:val="24"/>
          <w:lang w:val="en-US"/>
        </w:rPr>
        <w:t xml:space="preserve">Haslina </w:t>
      </w:r>
      <w:r w:rsidRPr="00E2458A">
        <w:rPr>
          <w:rFonts w:ascii="Times New Roman" w:hAnsi="Times New Roman" w:cs="Times New Roman"/>
          <w:sz w:val="24"/>
          <w:szCs w:val="24"/>
          <w:lang w:val="en-US"/>
        </w:rPr>
        <w:t>Haroon, 2018</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{"citationID":"UdOjdX1x","properties":{"formattedCitation":"(Mazi-Leskovar, 2017)","plainCitation":"(Mazi-Leskovar, 2017)","noteIndex":0},"citationItems":[{"id":64,"uris":["http://zotero.org/users/12744911/items/33PLZCVW"],"itemData":{"id":64,"type":"article-journal","abstract":"This article presents three English translations of the Slovenian tale Martin Krpan z Vrha (1858) by Fran Levstik and focuses on the translation of personal and geographical names with the aim of examining the application of domestication and foreignization translation strategies. The comparative analysis of the English names aims to find out if the cultural gap between the source and the target cultures has been diminishing over the years. The study also highlights the role of the chronotope that gives the work, one of the most frequently translated Slovenian texts, a distinctive cultural character.","container-title":"Acta Neophilologica","DOI":"10.4312/an.50.1-2.137-152","ISSN":"2350-417X, 0567-784X","issue":"1-2","journalAbbreviation":"AN","page":"137-152","source":"DOI.org (Crossref)","title":"Names in Literary Translation: A Case Study of English Versions of the Slovenian Tale Martin Krpan","title-short":"Names in Literary Translation","volume":"50","author":[{"family":"Mazi-Leskovar","given":"Darja"}],"issued":{"date-parts":[["2017",11,13]]}}}],"schema":"https://github.com/citation-style-language/schema/raw/master/csl-citation.json"}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Mazi-Leskovar, 2017;</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{"citationID":"HjQqj54t","properties":{"formattedCitation":"(Nord, 2003)","plainCitation":"(Nord, 2003)","noteIndex":0},"citationItems":[{"id":63,"uris":["http://zotero.org/users/12744911/items/ZCPJ3IUH"],"itemData":{"id":63,"type":"article-journal","abstract":"Drawing on a corpus of eight translations of Lewis Carroll’s Alice in Wonderland into five languages (German, French, Spanish, Brazilian Portuguese, Italian), the paper discusses the forms and functions of proper names in children’s books and some aspects of their translation. In Alice in Wonderland, we find three basic types of proper names: names explicitly referring to the real world of author and original addressees (e.g., Alice, her cat Dinah, historical figures like William the Conqueror), names implicitly referring to the real world of author and original addressees (e.g., Elsie, Lacie and Tillie, referring to the three Liddell sisters Lorina Charlotte, Alice and Edith Mathilda), and names referring to fictitious characters. An important function of proper names in fiction is to indicate in which culture the plot is set. It will be shown that the eight translators use various strategies to deal with proper names and that these strategies entail different communicative effects for the respective audiences.","container-title":"Meta","DOI":"10.7202/006966ar","ISSN":"1492-1421, 0026-0452","issue":"1-2","journalAbbreviation":"meta","page":"182-196","source":"DOI.org (Crossref)","title":"Proper Names in Translations for Children: Alice in Wonderland as a Case in Point","title-short":"Proper Names in Translations for Children","volume":"48","author":[{"family":"Nord","given":"Christiane"}],"issued":{"date-parts":[["2003",9,24]]}}}],"schema":"https://github.com/citation-style-language/schema/raw/master/csl-citation.json"}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Nord, 2003</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which should come as no surprise for the following two reasons. First, they are loaded with information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{"citationID":"dY5g3IBt","properties":{"formattedCitation":"(Rachut, 2017; Tymoczko, 2014, p. 223)","plainCitation":"(Rachut, 2017; Tymoczko, 2014, p. 223)","noteIndex":0},"citationItems":[{"id":83,"uris":["http://zotero.org/users/12744911/items/XZQCUR88"],"itemData":{"id":83,"type":"article-journal","container-title":"Annales Neophilologiarum","DOI":"10.18276/an.2017.11-10","ISSN":"1734-4557, 2353-2823","page":"127–142","source":"DOI.org (Crossref)","title":"The specificity of literary proper names: harry potter in translation into polish and russian","title-short":"The specificity of literary proper names","volume":"11","author":[{"family":"Rachut","given":"Konrad"}],"issued":{"date-parts":[["2017"]]}}},{"id":61,"uris":["http://zotero.org/users/12744911/items/QXE8R2TK"],"itemData":{"id":61,"type":"book","event-place":"London New York","ISBN":"978-1-900650-16-8","language":"eng","publisher":"Routledge","publisher-place":"London New York","source":"BnF ISBN","title":"Translation in a postcolonial context: early Irish literature in English translation","title-short":"Translation in a postcolonial context","author":[{"family":"Tymoczko","given":"Maria"}],"issued":{"date-parts":[["2014"]]}},"locator":"223"}],"schema":"https://github.com/citation-style-language/schema/raw/master/csl-citation.json"}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(Rachut, 2017; Tymoczko, 2014, p. 223)</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whose availability in the target text is contingent on a translation’s </w:t>
      </w:r>
      <w:proofErr w:type="spellStart"/>
      <w:r w:rsidRPr="00E2458A">
        <w:rPr>
          <w:rFonts w:ascii="Times New Roman" w:hAnsi="Times New Roman" w:cs="Times New Roman"/>
          <w:kern w:val="0"/>
          <w:sz w:val="24"/>
          <w:szCs w:val="24"/>
          <w:lang w:val="en-US"/>
        </w:rPr>
        <w:t>skopos</w:t>
      </w:r>
      <w:proofErr w:type="spellEnd"/>
      <w:r w:rsidRPr="00E2458A">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{"citationID":"xbBAXBk9","properties":{"formattedCitation":"(Vermeer, 2000)","plainCitation":"(Vermeer, 2000)","noteIndex":0},"citationItems":[{"id":47,"uris":["http://zotero.org/users/12744911/items/34MVE649"],"itemData":{"id":47,"type":"chapter","abstract":"This book is the definitive reader for the study of this dynamic interdisciplinary field. Providing an introduction to translation studies, this book places a wide range of readings within their social, thematic, and historical contexts","container-title":"The Translation studies reader","event-place":"New York","ISBN":"978-0-203-44662-1","language":"eng","note":"OCLC: 560064215","page":"221–232","publisher":"Routledge","publisher-place":"New York","source":"Open WorldCat","title":"Skopos and Comission in Translational Action","editor":[{"family":"Venuti","given":"Lawrence"}],"author":[{"family":"Vermeer","given":"Hans J."}],"issued":{"date-parts":[["2000"]]}}}],"schema":"https://github.com/citation-style-language/schema/raw/master/csl-citation.json"}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(Vermeer, 2000</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pp. 221–223) and the resulting translative treatments </w:t>
      </w:r>
      <w:r w:rsidRPr="00E2458A">
        <w:rPr>
          <w:rFonts w:ascii="Times New Roman" w:hAnsi="Times New Roman" w:cs="Times New Roman"/>
          <w:kern w:val="0"/>
          <w:sz w:val="24"/>
          <w:szCs w:val="24"/>
          <w:lang w:val="en-US"/>
        </w:rPr>
        <w:lastRenderedPageBreak/>
        <w:t>such names undergo. Second, depending on the information they carry, proper names play a number of textual roles which ultimately force the hand of the translator.</w:t>
      </w:r>
    </w:p>
    <w:p w14:paraId="1565C6AB" w14:textId="77777777" w:rsidR="00873911" w:rsidRDefault="00873911" w:rsidP="00873911">
      <w:pPr>
        <w:spacing w:after="0"/>
        <w:jc w:val="both"/>
        <w:rPr>
          <w:rFonts w:ascii="Times New Roman" w:hAnsi="Times New Roman" w:cs="Times New Roman"/>
          <w:sz w:val="24"/>
          <w:szCs w:val="24"/>
          <w:lang w:val="en-US"/>
        </w:rPr>
      </w:pPr>
      <w:r w:rsidRPr="00E2458A">
        <w:rPr>
          <w:rFonts w:ascii="Times New Roman" w:hAnsi="Times New Roman" w:cs="Times New Roman"/>
          <w:kern w:val="0"/>
          <w:sz w:val="24"/>
          <w:szCs w:val="24"/>
          <w:lang w:val="en-US"/>
        </w:rPr>
        <w:tab/>
        <w:t xml:space="preserve">Although the transference of semiotic loads in translation—especially when telling/meaningful names are considered—depends on the adopted strategy, it ultimately boils down to translators’ individual decisions and techniques used. Based on the review by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{"citationID":"3FBqM3dh","properties":{"formattedCitation":"(Fernandes, 2006)","plainCitation":"(Fernandes, 2006)","noteIndex":0},"citationItems":[{"id":59,"uris":["http://zotero.org/users/12744911/items/EF8YJTG3"],"itemData":{"id":59,"type":"article-journal","abstract":"This paper discusses the translation of names in children’s fantasy literature and highlights the importance of names in translating this particular text type. First, it defines what it is meant by “names” and attempts to present some of the most important types of “meanings” usually conveyed by names. Then, it discusses the issue of readability in the translation of these narrative elements. Next, building on Hermans’s (1988) ways of rendering names from L1 to L2, it offers a classification of ten translation procedures that were identified in the Portuguese-English Parallel Corpus of Children’s Fantasy Literature, namely PEPCOCFL.","container-title":"New Voices in Translation Studies","DOI":"https://doi.org/10.14456/nvts.2006.5","ISSN":"1819-5644","issue":"1","page":"44–57","title":"Translation of Names in Children’s Fantasy Literature: Bringing the Young Reader into Play","volume":"2","author":[{"family":"Fernandes","given":"Lincoln"}],"issued":{"date-parts":[["2006"]]}}}],"schema":"https://github.com/citation-style-language/schema/raw/master/csl-citation.json"}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Fernandes (2006)</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the following modes of transfer for proper names can be distinguished: deletion (absence from translation), substitution (lack of formal or semantic relevance), recreation (re-invention of an invented source text item), addition (inserting extra information for the sake of comprehensibility or appeal), conventionality (conventional counterpart), phonological replacement (re-creation of the sound image of the original by substituting it with a name that is graphically and phonetically similar), transcription (adapting the name to target writing system and grammar), copy (retaining the name in its original form), and rendition (translating the words comprising the name). In the case of deletion, substitution, recreation, and addition there is no transfer of meaning whatsoever. Phonological replacement seems to partially fall into that category as well and partially into the next; as there is hardly any ‘objective’ semiotic link other than that which is supplied by sound symbolism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{"citationID":"F5sxbR4Z","properties":{"formattedCitation":"(Kohlheim, 2018)","plainCitation":"(Kohlheim, 2018)","noteIndex":0},"citationItems":[{"id":79,"uris":["http://zotero.org/users/12744911/items/CHRF6Y4Y"],"itemData":{"id":79,"type":"article-journal","container-title":"Onoma","DOI":"10.34158/ONOMA.53/2018/6","ISSN":"0078463X, 17831644","journalAbbreviation":"Onoma","page":"81-92","source":"DOI.org (Crossref)","title":"Proper names in literature: A “reevaluation of all values”","title-short":"Proper names in literature","volume":"53","author":[{"family":"Kohlheim","given":"Volker"}],"issued":{"date-parts":[["2018"]]}}}],"schema":"https://github.com/citation-style-language/schema/raw/master/csl-citation.json"}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(Kohlheim, 2018)</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Furthermore, sound symbolism is also one of two factors that transcription and copy are contingent on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{"citationID":"eNnLA7GM","properties":{"formattedCitation":"(Fernandes, 2006; Parianou, 2007)","plainCitation":"(Fernandes, 2006; Parianou, 2007)","noteIndex":0},"citationItems":[{"id":59,"uris":["http://zotero.org/users/12744911/items/EF8YJTG3"],"itemData":{"id":59,"type":"article-journal","abstract":"This paper discusses the translation of names in children’s fantasy literature and highlights the importance of names in translating this particular text type. First, it defines what it is meant by “names” and attempts to present some of the most important types of “meanings” usually conveyed by names. Then, it discusses the issue of readability in the translation of these narrative elements. Next, building on Hermans’s (1988) ways of rendering names from L1 to L2, it offers a classification of ten translation procedures that were identified in the Portuguese-English Parallel Corpus of Children’s Fantasy Literature, namely PEPCOCFL.","container-title":"New Voices in Translation Studies","DOI":"https://doi.org/10.14456/nvts.2006.5","ISSN":"1819-5644","issue":"1","page":"44–57","title":"Translation of Names in Children’s Fantasy Literature: Bringing the Young Reader into Play","volume":"2","author":[{"family":"Fernandes","given":"Lincoln"}],"issued":{"date-parts":[["2006"]]}}},{"id":38,"uris":["http://zotero.org/users/12744911/items/96TI83LN"],"itemData":{"id":38,"type":"article-journal","container-title":"NAMES: A Journal of Onomastics","ISSN":"1756-2279","issue":"4","page":"407–416","title":"Translating Proper Names: a Functionalist Approach","volume":"55","author":[{"family":"Parianou","given":"Anastasia"}],"issued":{"date-parts":[["2007"]]}}}],"schema":"https://github.com/citation-style-language/schema/raw/master/csl-citation.json"}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(cf. Parianou, 2007; Fernandes, 2006)</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the other being the cultural distance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{"citationID":"EMncLmL5","properties":{"formattedCitation":"(Galewska, 2019)","plainCitation":"(Galewska, 2019)","noteIndex":0},"citationItems":[{"id":73,"uris":["http://zotero.org/users/12744911/items/W35N8MUW"],"itemData":{"id":73,"type":"article-journal","container-title":"Onomastica","DOI":"10.17651/ONOMAST.63.14","ISSN":"00784648","journalAbbreviation":"Onomastica","page":"263-278","source":"DOI.org (Crossref)","title":"Tłumaczenie chińskich nazw własnych w ujęciu kognitywnym","volume":"63","author":[{"family":"Galewska","given":"Karolina"}],"issued":{"date-parts":[["2019"]]}}}],"schema":"https://github.com/citation-style-language/schema/raw/master/csl-citation.json"}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(Galewska, 2019)</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between the target languaculture (TLC) and the source languaculture (SLC).</w:t>
      </w:r>
      <w:r w:rsidRPr="00E2458A">
        <w:rPr>
          <w:rStyle w:val="Odwoanieprzypisudolnego"/>
          <w:rFonts w:ascii="Times New Roman" w:hAnsi="Times New Roman" w:cs="Times New Roman"/>
          <w:kern w:val="0"/>
          <w:sz w:val="24"/>
          <w:szCs w:val="24"/>
          <w:lang w:val="en-US"/>
        </w:rPr>
        <w:footnoteReference w:id="2"/>
      </w:r>
      <w:r w:rsidRPr="00E2458A">
        <w:rPr>
          <w:rFonts w:ascii="Times New Roman" w:hAnsi="Times New Roman" w:cs="Times New Roman"/>
          <w:kern w:val="0"/>
          <w:sz w:val="24"/>
          <w:szCs w:val="24"/>
          <w:lang w:val="en-US"/>
        </w:rPr>
        <w:t xml:space="preserve"> Although it may be tentatively assumed that sound symbolism works universally on the most fundamental level (just like the </w:t>
      </w:r>
      <w:proofErr w:type="spellStart"/>
      <w:r w:rsidRPr="00E2458A">
        <w:rPr>
          <w:rFonts w:ascii="Times New Roman" w:hAnsi="Times New Roman" w:cs="Times New Roman"/>
          <w:kern w:val="0"/>
          <w:sz w:val="24"/>
          <w:szCs w:val="24"/>
          <w:lang w:val="en-US"/>
        </w:rPr>
        <w:t>bouba</w:t>
      </w:r>
      <w:proofErr w:type="spellEnd"/>
      <w:r w:rsidRPr="00E2458A">
        <w:rPr>
          <w:rFonts w:ascii="Times New Roman" w:hAnsi="Times New Roman" w:cs="Times New Roman"/>
          <w:kern w:val="0"/>
          <w:sz w:val="24"/>
          <w:szCs w:val="24"/>
          <w:lang w:val="en-US"/>
        </w:rPr>
        <w:t>/</w:t>
      </w:r>
      <w:proofErr w:type="spellStart"/>
      <w:r w:rsidRPr="00E2458A">
        <w:rPr>
          <w:rFonts w:ascii="Times New Roman" w:hAnsi="Times New Roman" w:cs="Times New Roman"/>
          <w:kern w:val="0"/>
          <w:sz w:val="24"/>
          <w:szCs w:val="24"/>
          <w:lang w:val="en-US"/>
        </w:rPr>
        <w:t>kiki</w:t>
      </w:r>
      <w:proofErr w:type="spellEnd"/>
      <w:r w:rsidRPr="00E2458A">
        <w:rPr>
          <w:rFonts w:ascii="Times New Roman" w:hAnsi="Times New Roman" w:cs="Times New Roman"/>
          <w:kern w:val="0"/>
          <w:sz w:val="24"/>
          <w:szCs w:val="24"/>
          <w:lang w:val="en-US"/>
        </w:rPr>
        <w:t xml:space="preserve"> effect), the combination and quality of sounds coded in the graphic layer may trigger varying associations</w:t>
      </w:r>
      <w:r>
        <w:rPr>
          <w:rFonts w:ascii="Times New Roman" w:hAnsi="Times New Roman" w:cs="Times New Roman"/>
          <w:kern w:val="0"/>
          <w:sz w:val="24"/>
          <w:szCs w:val="24"/>
          <w:lang w:val="en-US"/>
        </w:rPr>
        <w:t>/</w:t>
      </w:r>
      <w:r w:rsidRPr="00E2458A">
        <w:rPr>
          <w:rFonts w:ascii="Times New Roman" w:hAnsi="Times New Roman" w:cs="Times New Roman"/>
          <w:kern w:val="0"/>
          <w:sz w:val="24"/>
          <w:szCs w:val="24"/>
          <w:lang w:val="en-US"/>
        </w:rPr>
        <w:t xml:space="preserve">connotations, as they introduce to the TLC a foreign SLC element (cf.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{"citationID":"9CNpDnQa","properties":{"formattedCitation":"(Tymoczko, 2014, p. 224)","plainCitation":"(Tymoczko, 2014, p. 224)","noteIndex":0},"citationItems":[{"id":61,"uris":["http://zotero.org/users/12744911/items/QXE8R2TK"],"itemData":{"id":61,"type":"book","event-place":"London New York","ISBN":"978-1-900650-16-8","language":"eng","publisher":"Routledge","publisher-place":"London New York","source":"BnF ISBN","title":"Translation in a postcolonial context: early Irish literature in English translation","title-short":"Translation in a postcolonial context","author":[{"family":"Tymoczko","given":"Maria"}],"issued":{"date-parts":[["2014"]]}},"locator":"224"}],"schema":"https://github.com/citation-style-language/schema/raw/master/csl-citation.json"}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Tymoczko, 2014, p. 224)</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The understanding of meaningful proper names translated this way, however, would still rely mostly on the shortness of the cultural distance allowing the readers to grasp the culture-specific aspects of such names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{"citationID":"WKH69P8f","properties":{"formattedCitation":"(Galewska, 2019, p. 269; Mazi-Leskovar, 2017, p. 139)","plainCitation":"(Galewska, 2019, p. 269; Mazi-Leskovar, 2017, p. 139)","noteIndex":0},"citationItems":[{"id":73,"uris":["http://zotero.org/users/12744911/items/W35N8MUW"],"itemData":{"id":73,"type":"article-journal","container-title":"Onomastica","DOI":"10.17651/ONOMAST.63.14","ISSN":"00784648","journalAbbreviation":"Onomastica","page":"263-278","source":"DOI.org (Crossref)","title":"Tłumaczenie chińskich nazw własnych w ujęciu kognitywnym","volume":"63","author":[{"family":"Galewska","given":"Karolina"}],"issued":{"date-parts":[["2019"]]}},"locator":"269","label":"page"},{"id":64,"uris":["http://zotero.org/users/12744911/items/33PLZCVW"],"itemData":{"id":64,"type":"article-journal","abstract":"This article presents three English translations of the Slovenian tale Martin Krpan z Vrha (1858) by Fran Levstik and focuses on the translation of personal and geographical names with the aim of examining the application of domestication and foreignization translation strategies. The comparative analysis of the English names aims to find out if the cultural gap between the source and the target cultures has been diminishing over the years. The study also highlights the role of the chronotope that gives the work, one of the most frequently translated Slovenian texts, a distinctive cultural character.","container-title":"Acta Neophilologica","DOI":"10.4312/an.50.1-2.137-152","ISSN":"2350-417X, 0567-784X","issue":"1-2","journalAbbreviation":"AN","page":"137-152","source":"DOI.org (Crossref)","title":"Names in Literary Translation: A Case Study of English Versions of the Slovenian Tale Martin Krpan","title-short":"Names in Literary Translation","volume":"50","author":[{"family":"Mazi-Leskovar","given":"Darja"}],"issued":{"date-parts":[["2017",11,13]]}},"locator":"139"}],"schema":"https://github.com/citation-style-language/schema/raw/master/csl-citation.json"}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(Galewska, 2019; Mazi-Leskovar, 2017)</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w:t>
      </w:r>
      <w:r w:rsidRPr="00FB5285">
        <w:rPr>
          <w:rFonts w:ascii="Times New Roman" w:hAnsi="Times New Roman" w:cs="Times New Roman"/>
          <w:kern w:val="0"/>
          <w:sz w:val="24"/>
          <w:szCs w:val="24"/>
          <w:lang w:val="en-US"/>
        </w:rPr>
        <w:t>with the translator being a notable example of such a reader</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{"citationID":"0FSmJlAR","properties":{"formattedCitation":"(Rachut, 2017)","plainCitation":"(Rachut, 2017)","noteIndex":0},"citationItems":[{"id":83,"uris":["http://zotero.org/users/12744911/items/XZQCUR88"],"itemData":{"id":83,"type":"article-journal","container-title":"Annales Neophilologiarum","DOI":"10.18276/an.2017.11-10","ISSN":"1734-4557, 2353-2823","page":"127–142","source":"DOI.org (Crossref)","title":"The specificity of literary proper names: harry potter in translation into polish and russian","title-short":"The specificity of literary proper names","volume":"11","author":[{"family":"Rachut","given":"Konrad"}],"issued":{"date-parts":[["2017"]]}}}],"schema":"https://github.com/citation-style-language/schema/raw/master/csl-citation.json"}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(cf. Rachut, 2017)</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At the same time, rendition would work on the same cline, but in the opposite direction, dressing the foreignness in domestic robes. As the two approaches mirror Venuti’s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{"citationID":"IOpX0mA1","properties":{"formattedCitation":"(Venuti, 1995)","plainCitation":"(Venuti, 1995)","noteIndex":0},"citationItems":[{"id":43,"uris":["http://zotero.org/users/12744911/items/HCKJ3W3Q"],"itemData":{"id":43,"type":"book","event-place":"London","ISBN":"978-0-203-36006-4","language":"eng","note":"OCLC: 560306033","publisher":"Routledge","publisher-place":"London","source":"Open WorldCat","title":"The translator's invisibility: a history of translation","title-short":"The translator's invisibility","author":[{"family":"Venuti","given":"Lawrence"}],"issued":{"date-parts":[["1995"]]}}}],"schema":"https://github.com/citation-style-language/schema/raw/master/csl-citation.json"}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(1995)</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foreignization and domestication, it stands to reason that should a general disposition towards either of them exist, it would have serious ramifications for translation. But what would they be? </w:t>
      </w:r>
      <w:r w:rsidRPr="00E2458A">
        <w:rPr>
          <w:rFonts w:ascii="Times New Roman" w:hAnsi="Times New Roman" w:cs="Times New Roman"/>
          <w:sz w:val="24"/>
          <w:szCs w:val="24"/>
          <w:lang w:val="en-US"/>
        </w:rPr>
        <w:t>In terms of designing readers’</w:t>
      </w:r>
      <w:r>
        <w:rPr>
          <w:rFonts w:ascii="Times New Roman" w:hAnsi="Times New Roman" w:cs="Times New Roman"/>
          <w:sz w:val="24"/>
          <w:szCs w:val="24"/>
          <w:lang w:val="en-US"/>
        </w:rPr>
        <w:t xml:space="preserve"> </w:t>
      </w:r>
      <w:r w:rsidRPr="00E2458A">
        <w:rPr>
          <w:rFonts w:ascii="Times New Roman" w:hAnsi="Times New Roman" w:cs="Times New Roman"/>
          <w:sz w:val="24"/>
          <w:szCs w:val="24"/>
          <w:lang w:val="en-US"/>
        </w:rPr>
        <w:t xml:space="preserve">emotions, which of the two techniques </w:t>
      </w:r>
      <w:r>
        <w:rPr>
          <w:rFonts w:ascii="Times New Roman" w:hAnsi="Times New Roman" w:cs="Times New Roman"/>
          <w:sz w:val="24"/>
          <w:szCs w:val="24"/>
          <w:lang w:val="en-US"/>
        </w:rPr>
        <w:t xml:space="preserve">works </w:t>
      </w:r>
      <w:r w:rsidRPr="00E2458A">
        <w:rPr>
          <w:rFonts w:ascii="Times New Roman" w:hAnsi="Times New Roman" w:cs="Times New Roman"/>
          <w:sz w:val="24"/>
          <w:szCs w:val="24"/>
          <w:lang w:val="en-US"/>
        </w:rPr>
        <w:t xml:space="preserve">better? Or do both recreate the SLC’s connotations equally well? </w:t>
      </w:r>
    </w:p>
    <w:p w14:paraId="7C833F58" w14:textId="77777777" w:rsidR="00873911" w:rsidRPr="00E2458A" w:rsidRDefault="00873911" w:rsidP="00873911">
      <w:pPr>
        <w:spacing w:after="0"/>
        <w:ind w:firstLine="708"/>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 xml:space="preserve">Apart from the </w:t>
      </w:r>
      <w:proofErr w:type="spellStart"/>
      <w:r w:rsidRPr="00E2458A">
        <w:rPr>
          <w:rFonts w:ascii="Times New Roman" w:hAnsi="Times New Roman" w:cs="Times New Roman"/>
          <w:kern w:val="0"/>
          <w:sz w:val="24"/>
          <w:szCs w:val="24"/>
          <w:lang w:val="en-US"/>
        </w:rPr>
        <w:t>skopos</w:t>
      </w:r>
      <w:proofErr w:type="spellEnd"/>
      <w:r w:rsidRPr="00E2458A">
        <w:rPr>
          <w:rFonts w:ascii="Times New Roman" w:hAnsi="Times New Roman" w:cs="Times New Roman"/>
          <w:kern w:val="0"/>
          <w:sz w:val="24"/>
          <w:szCs w:val="24"/>
          <w:lang w:val="en-US"/>
        </w:rPr>
        <w:t xml:space="preserve">, the choice of particular techniques for meaningful proper names depends on their textual functions (cf.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{"citationID":"RH3vtYx4","properties":{"formattedCitation":"(Fern\\uc0\\u225{}ndez Costales, 2014)","plainCitation":"(Fernández Costales, 2014)","noteIndex":0},"citationItems":[{"id":102,"uris":["http://zotero.org/users/12744911/items/LFJUN3UZ"],"itemData":{"id":102,"type":"article-journal","abstract":"This article addresses the main translation strategies for the localisation of superhero video games into a different culture. This specific genre relies on narrative-driven plots, as the games are based on original scripts from comic books. The adaptation of superhero games therefore presents a series of additional challenges, since the so-called ‘transcreation’ is sometimes restricted by the need to consider editorial policies and user expectations when re-creating comic-based universes. Hence transcreation is confronted with the need to be faithful to the original source inspiring the title. Besides assessing the balance between loyalty to the comic books and the freedom allowed in game localisation, this paper also approaches the translation of humour and the difficulty of adapting puns and jokes into different languages, which can seriously challenge translators’ skills and creativity. In order to shed some light on these issues, this paper presents the results of a case study of the localisation into Spanish of one of the most acclaimed superhero games: Batman Arkham Asylum.","container-title":"Quaderns: revista de traducció","ISSN":"2014-9735","issue":"21","page":"225–239","title":"Video game localisation: adapting superheroes to different cultures","author":[{"family":"Fernández Costales","given":"Alberto"}],"issued":{"date-parts":[["2014"]]}}}],"schema":"https://github.com/citation-style-language/schema/raw/master/csl-citation.json"}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kern w:val="0"/>
          <w:sz w:val="24"/>
          <w:szCs w:val="24"/>
          <w:lang w:val="en-US"/>
        </w:rPr>
        <w:t>Fernández Costales, 2014</w:t>
      </w:r>
      <w:r w:rsidRPr="00E2458A">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{"citationID":"TaiHXBfm","properties":{"formattedCitation":"(Lungu-Badea, 2013, p. 444)","plainCitation":"(Lungu-Badea, 2013, p. 444)","noteIndex":0},"citationItems":[{"id":68,"uris":["http://zotero.org/users/12744911/items/VMUJFIH8"],"itemData":{"id":68,"type":"chapter","container-title":"Onomastics in contemporary public space","event-place":"Newcastle upon Tyne","ISBN":"978-1-4438-4765-0","language":"eng","page":"443–457","publisher":"Cambridge Scholars Publ","publisher-place":"Newcastle upon Tyne","source":"K10plus ISBN","title":"Translation of Literary Proper Names","editor":[{"family":"Felecan","given":"Oliviu"}],"author":[{"family":"Lungu-Badea","given":"Georgiana"}],"issued":{"date-parts":[["2013"]]}},"locator":"444"}],"schema":"https://github.com/citation-style-language/schema/raw/master/csl-citation.json"}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Lungu-Badea, 2013, p. 446</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w:t>
      </w:r>
      <w:r w:rsidRPr="00E2458A">
        <w:rPr>
          <w:rFonts w:ascii="Times New Roman" w:hAnsi="Times New Roman" w:cs="Times New Roman"/>
          <w:i/>
          <w:iCs/>
          <w:kern w:val="0"/>
          <w:sz w:val="24"/>
          <w:szCs w:val="24"/>
          <w:lang w:val="en-US"/>
        </w:rPr>
        <w:t>.</w:t>
      </w:r>
      <w:r w:rsidRPr="00E2458A">
        <w:rPr>
          <w:rFonts w:ascii="Times New Roman" w:hAnsi="Times New Roman" w:cs="Times New Roman"/>
          <w:kern w:val="0"/>
          <w:sz w:val="24"/>
          <w:szCs w:val="24"/>
          <w:lang w:val="en-US"/>
        </w:rPr>
        <w:t xml:space="preserve"> Proper names identify single unique objects, they are not, however, single-purpose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{"citationID":"HsbE4n5y","properties":{"formattedCitation":"(Nord, 2003, pp. 183\\uc0\\u8211{}184)","plainCitation":"(Nord, 2003, pp. 183–184)","noteIndex":0},"citationItems":[{"id":63,"uris":["http://zotero.org/users/12744911/items/ZCPJ3IUH"],"itemData":{"id":63,"type":"article-journal","abstract":"Drawing on a corpus of eight translations of Lewis Carroll’s Alice in Wonderland into five languages (German, French, Spanish, Brazilian Portuguese, Italian), the paper discusses the forms and functions of proper names in children’s books and some aspects of their translation. In Alice in Wonderland, we find three basic types of proper names: names explicitly referring to the real world of author and original addressees (e.g., Alice, her cat Dinah, historical figures like William the Conqueror), names implicitly referring to the real world of author and original addressees (e.g., Elsie, Lacie and Tillie, referring to the three Liddell sisters Lorina Charlotte, Alice and Edith Mathilda), and names referring to fictitious characters. An important function of proper names in fiction is to indicate in which culture the plot is set. It will be shown that the eight translators use various strategies to deal with proper names and that these strategies entail different communicative effects for the respective audiences.","container-title":"Meta","DOI":"10.7202/006966ar","ISSN":"1492-1421, 0026-0452","issue":"1-2","journalAbbreviation":"meta","page":"182-196","source":"DOI.org (Crossref)","title":"Proper Names in Translations for Children: Alice in Wonderland as a Case in Point","title-short":"Proper Names in Translations for Children","volume":"48","author":[{"family":"Nord","given":"Christiane"}],"issued":{"date-parts":[["2003",9,24]]}},"locator":"183–184"}],"schema":"https://github.com/citation-style-language/schema/raw/master/csl-citation.json"}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kern w:val="0"/>
          <w:sz w:val="24"/>
          <w:szCs w:val="24"/>
          <w:lang w:val="en-US"/>
        </w:rPr>
        <w:t>(Nord, 2003, pp. 183–184)</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By the means of their graphic and phonetic forms or semantic load they can shed light on their extensions’ qualities, reveal their socio-cultural or ethnic affiliations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{"citationID":"t5zh9hSI","properties":{"formattedCitation":"(Lungu-Badea, 2013, p. 444)","plainCitation":"(Lungu-Badea, 2013, p. 444)","noteIndex":0},"citationItems":[{"id":68,"uris":["http://zotero.org/users/12744911/items/VMUJFIH8"],"itemData":{"id":68,"type":"chapter","container-title":"Onomastics in contemporary public space","event-place":"Newcastle upon Tyne","ISBN":"978-1-4438-4765-0","language":"eng","page":"443–457","publisher":"Cambridge Scholars Publ","publisher-place":"Newcastle upon Tyne","source":"K10plus ISBN","title":"Translation of Literary Proper Names","editor":[{"family":"Felecan","given":"Oliviu"}],"author":[{"family":"Lungu-Badea","given":"Georgiana"}],"issued":{"date-parts":[["2013"]]}},"locator":"444"}],"schema":"https://github.com/citation-style-language/schema/raw/master/csl-citation.json"}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(Lungu-Badea, 2013, p. 444)</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or strike some affective chords (</w:t>
      </w:r>
      <w:proofErr w:type="spellStart"/>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{"citationID":"rS0u1zrx","properties":{"formattedCitation":"(Parianou, 2007, p. 411)","plainCitation":"(Parianou, 2007, p. 411)","noteIndex":0},"citationItems":[{"id":38,"uris":["http://zotero.org/users/12744911/items/96TI83LN"],"itemData":{"id":38,"type":"article-journal","container-title":"NAMES: A Journal of Onomastics","ISSN":"1756-2279","issue":"4","page":"407–416","title":"Translating Proper Names: a Functionalist Approach","volume":"55","author":[{"family":"Parianou","given":"Anastasia"}],"issued":{"date-parts":[["2007"]]}},"locator":"411"}],"schema":"https://github.com/citation-style-language/schema/raw/master/csl-citation.json"}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Parianou</w:t>
      </w:r>
      <w:proofErr w:type="spellEnd"/>
      <w:r w:rsidRPr="00E2458A">
        <w:rPr>
          <w:rFonts w:ascii="Times New Roman" w:hAnsi="Times New Roman" w:cs="Times New Roman"/>
          <w:sz w:val="24"/>
          <w:szCs w:val="24"/>
          <w:lang w:val="en-US"/>
        </w:rPr>
        <w:t>, 2007)</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Although proper names can also invoke history, geography, or social values (</w:t>
      </w:r>
      <w:proofErr w:type="spellStart"/>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{"citationID":"biCeRPlj","properties":{"formattedCitation":"(Filar, 2015; Tymoczko, 2014, p. 245)","plainCitation":"(Filar, 2015; Tymoczko, 2014, p. 245)","noteIndex":0},"citationItems":[{"id":54,"uris":["http://zotero.org/users/12744911/items/ABUJFDAK"],"itemData":{"id":54,"type":"article-journal","abstract":"The article defi nes the concept of narrativity by referring to the role it plays in contem-porary humanities: it is one of the natural forms of our comprehension and perception of the world. The  most  important  aim  of  the  article  is  the  projection  of  the  category  of  narrative – with all  its background and interdisciplinary potential (rooted in philosophy, psychology, historiosophy or cognitive sciences) – onto the realm of semantic mechanisms, which allows its application to language data analysis. The concept of language defi ned in terms of “grand narrative” and “little stories” constitutes a substantial enhancement to the theory of linguistic worldview.","container-title":"Bulletin de la Société Polonaise de Linguistique","ISSN":"0032-3802","page":"9–26","title":"Język jako wielka narracja: teoria narracyjności w semantyce","volume":"LXXI","author":[{"family":"Filar","given":"Dorota"}],"editor":[{"family":"Przybylska","given":"Renata"}],"issued":{"date-parts":[["2015"]]}}},{"id":61,"uris":["http://zotero.org/users/12744911/items/QXE8R2TK"],"itemData":{"id":61,"type":"book","event-place":"London New York","ISBN":"978-1-900650-16-8","language":"eng","publisher":"Routledge","publisher-place":"London New York","source":"BnF ISBN","title":"Translation in a postcolonial context: early Irish literature in English translation","title-short":"Translation in a postcolonial context","author":[{"family":"Tymoczko","given":"Maria"}],"issued":{"date-parts":[["2014"]]}},"locator":"245"}],"schema":"https://github.com/citation-style-language/schema/raw/master/csl-citation.json"}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Tymoczko</w:t>
      </w:r>
      <w:proofErr w:type="spellEnd"/>
      <w:r w:rsidRPr="00E2458A">
        <w:rPr>
          <w:rFonts w:ascii="Times New Roman" w:hAnsi="Times New Roman" w:cs="Times New Roman"/>
          <w:sz w:val="24"/>
          <w:szCs w:val="24"/>
          <w:lang w:val="en-US"/>
        </w:rPr>
        <w:t>, 2014, p. 245)</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their true potential becomes evident when they are construed as micronarratives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{"citationID":"OZNGkGcV","properties":{"formattedCitation":"(Filar, 2015)","plainCitation":"(Filar, 2015)","noteIndex":0},"citationItems":[{"id":54,"uris":["http://zotero.org/users/12744911/items/ABUJFDAK"],"itemData":{"id":54,"type":"article-journal","abstract":"The article defi nes the concept of narrativity by referring to the role it plays in contem-porary humanities: it is one of the natural forms of our comprehension and perception of the world. The  most  important  aim  of  the  article  is  the  projection  of  the  category  of  narrative – with all  its background and interdisciplinary potential (rooted in philosophy, psychology, historiosophy or cognitive sciences) – onto the realm of semantic mechanisms, which allows its application to language data analysis. The concept of language defi ned in terms of “grand narrative” and “little stories” constitutes a substantial enhancement to the theory of linguistic worldview.","container-title":"Bulletin de la Société Polonaise de Linguistique","ISSN":"0032-3802","page":"9–26","title":"Język jako wielka narracja: teoria narracyjności w semantyce","volume":"LXXI","author":[{"family":"Filar","given":"Dorota"}],"editor":[{"family":"Przybylska","given":"Renata"}],"issued":{"date-parts":[["2015"]]}}}],"schema":"https://github.com/citation-style-language/schema/raw/master/csl-citation.json"}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(Filar, 2015)</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—particularly potent devices for story- and worldbuilding in fiction, devices capable of delivering </w:t>
      </w:r>
      <w:r w:rsidRPr="00E2458A">
        <w:rPr>
          <w:rFonts w:ascii="Times New Roman" w:hAnsi="Times New Roman" w:cs="Times New Roman"/>
          <w:kern w:val="0"/>
          <w:sz w:val="24"/>
          <w:szCs w:val="24"/>
          <w:lang w:val="en-US"/>
        </w:rPr>
        <w:lastRenderedPageBreak/>
        <w:t xml:space="preserve">a tremendous narrative payload with just a few words. Proper names can also be seen as carriers for the ‘objective correlative’ or—as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{"citationID":"uGfk0SD8","properties":{"formattedCitation":"(Eliot, 1920, p. 92)","plainCitation":"(Eliot, 1920, p. 92)","noteIndex":0},"citationItems":[{"id":58,"uris":["http://zotero.org/users/12744911/items/TBTKHJSG"],"itemData":{"id":58,"type":"book","event-place":"London","publisher":"Methuen &amp; Co. Ltd.","publisher-place":"London","title":"The Sacred Wood: Essays on Poetry and Criticism","author":[{"family":"Eliot","given":"Thomas Stearns"}],"issued":{"date-parts":[["1920"]]}},"locator":"92"}],"schema":"https://github.com/citation-style-language/schema/raw/master/csl-citation.json"}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Eliot (1920, p. 92)</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would describe it—a formula for a particular emotion, be it an event, object, or a situation. Or an image. Or connotations. Given that an important part in establishing a fictional space rests with designing readers’ emotions and setting the mood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{"citationID":"HnKRfnCl","properties":{"formattedCitation":"(Fern\\uc0\\u225{}ndez Costales, 2014)","plainCitation":"(Fernández Costales, 2014)","noteIndex":0},"citationItems":[{"id":102,"uris":["http://zotero.org/users/12744911/items/LFJUN3UZ"],"itemData":{"id":102,"type":"article-journal","abstract":"This article addresses the main translation strategies for the localisation of superhero video games into a different culture. This specific genre relies on narrative-driven plots, as the games are based on original scripts from comic books. The adaptation of superhero games therefore presents a series of additional challenges, since the so-called ‘transcreation’ is sometimes restricted by the need to consider editorial policies and user expectations when re-creating comic-based universes. Hence transcreation is confronted with the need to be faithful to the original source inspiring the title. Besides assessing the balance between loyalty to the comic books and the freedom allowed in game localisation, this paper also approaches the translation of humour and the difficulty of adapting puns and jokes into different languages, which can seriously challenge translators’ skills and creativity. In order to shed some light on these issues, this paper presents the results of a case study of the localisation into Spanish of one of the most acclaimed superhero games: Batman Arkham Asylum.","container-title":"Quaderns: revista de traducció","ISSN":"2014-9735","issue":"21","page":"225–239","title":"Video game localisation: adapting superheroes to different cultures","author":[{"family":"Fernández Costales","given":"Alberto"}],"issued":{"date-parts":[["2014"]]}}}],"schema":"https://github.com/citation-style-language/schema/raw/master/csl-citation.json"}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kern w:val="0"/>
          <w:sz w:val="24"/>
          <w:szCs w:val="24"/>
          <w:lang w:val="en-US"/>
        </w:rPr>
        <w:t>(Fernández Costales, 2014)</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proper names should prove particularly suitable for creating atmosphere in horror/gothic/weird fiction. Unsurprisingly, they are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{"citationID":"UwskzywP","properties":{"formattedCitation":"(Joshi, 2013, pp. 1272\\uc0\\u8211{}1273; Kohlheim, 2018)","plainCitation":"(Joshi, 2013, pp. 1272–1273; Kohlheim, 2018)","noteIndex":0},"citationItems":[{"id":35,"uris":["http://zotero.org/users/12744911/items/TG5D7EWJ"],"itemData":{"id":35,"type":"book","event-place":"New York","ISBN":"978-0-9824296-7-9","publisher":"Hippocampus Press","publisher-place":"New York","title":"I am providence : the life and times of H.P. Lovecraft","author":[{"family":"Joshi","given":"Sunand T."}],"issued":{"date-parts":[["2013"]]}},"locator":"1272–1273"},{"id":79,"uris":["http://zotero.org/users/12744911/items/CHRF6Y4Y"],"itemData":{"id":79,"type":"article-journal","container-title":"Onoma","DOI":"10.34158/ONOMA.53/2018/6","ISSN":"0078463X, 17831644","journalAbbreviation":"Onoma","page":"81-92","source":"DOI.org (Crossref)","title":"Proper names in literature: A “reevaluation of all values”","title-short":"Proper names in literature","volume":"53","author":[{"family":"Kohlheim","given":"Volker"}],"issued":{"date-parts":[["2018"]]}}}],"schema":"https://github.com/citation-style-language/schema/raw/master/csl-citation.json"}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kern w:val="0"/>
          <w:sz w:val="24"/>
          <w:szCs w:val="24"/>
          <w:lang w:val="en-US"/>
        </w:rPr>
        <w:t>(Kohlheim, 2018</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t>Joshi, 2013, pp. 1272–1273)</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Which is why their utility and importance for the world depicted begs a question about the best way to approach their translation. </w:t>
      </w:r>
    </w:p>
    <w:p w14:paraId="52222022"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Although Newmark generally advised against it, he noticed that since literary proper names may carry connotations, they could be translated—rendered, not copied or reproduced</w:t>
      </w:r>
      <w:r>
        <w:rPr>
          <w:rFonts w:ascii="Times New Roman" w:hAnsi="Times New Roman" w:cs="Times New Roman"/>
          <w:kern w:val="0"/>
          <w:sz w:val="24"/>
          <w:szCs w:val="24"/>
          <w:lang w:val="en-US"/>
        </w:rPr>
        <w:t>—</w:t>
      </w:r>
      <w:r w:rsidRPr="00E2458A">
        <w:rPr>
          <w:rFonts w:ascii="Times New Roman" w:hAnsi="Times New Roman" w:cs="Times New Roman"/>
          <w:kern w:val="0"/>
          <w:sz w:val="24"/>
          <w:szCs w:val="24"/>
          <w:lang w:val="en-US"/>
        </w:rPr>
        <w:t xml:space="preserve">but only in special cases and provided that the connotation is of paramount importance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{"citationID":"GqbH5kWa","properties":{"formattedCitation":"(Newmark, 1986, p. 71)","plainCitation":"(Newmark, 1986, p. 71)","noteIndex":0},"citationItems":[{"id":91,"uris":["http://zotero.org/users/12744911/items/TESY977M"],"itemData":{"id":91,"type":"book","collection-title":"Language teaching methodology series","event-place":"Oxford","ISBN":"978-0-08-024602-4","language":"eng","number-of-pages":"200","publisher":"Pergamon Press","publisher-place":"Oxford","source":"K10plus ISBN","title":"Approaches to translation","author":[{"family":"Newmark","given":"Peter"}],"issued":{"date-parts":[["1986"]]}},"locator":"71"}],"schema":"https://github.com/citation-style-language/schema/raw/master/csl-citation.json"}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(Newmark, 1986, p. 71)</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{"citationID":"aAQQopLe","properties":{"formattedCitation":"(Lungu-Badea, 2013, p. 453)","plainCitation":"(Lungu-Badea, 2013, p. 453)","noteIndex":0},"citationItems":[{"id":68,"uris":["http://zotero.org/users/12744911/items/VMUJFIH8"],"itemData":{"id":68,"type":"chapter","container-title":"Onomastics in contemporary public space","event-place":"Newcastle upon Tyne","ISBN":"978-1-4438-4765-0","language":"eng","page":"443–457","publisher":"Cambridge Scholars Publ","publisher-place":"Newcastle upon Tyne","source":"K10plus ISBN","title":"Translation of Literary Proper Names","editor":[{"family":"Felecan","given":"Oliviu"}],"author":[{"family":"Lungu-Badea","given":"Georgiana"}],"issued":{"date-parts":[["2013"]]}},"locator":"453"}],"schema":"https://github.com/citation-style-language/schema/raw/master/csl-citation.json"}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Lungu-Badea (2013, p. 453)</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z w:val="24"/>
          <w:szCs w:val="24"/>
          <w:lang w:val="en-US"/>
        </w:rPr>
        <w:t>on the other hand,</w:t>
      </w:r>
      <w:r w:rsidRPr="00E2458A">
        <w:rPr>
          <w:rFonts w:ascii="Times New Roman" w:hAnsi="Times New Roman" w:cs="Times New Roman"/>
          <w:kern w:val="0"/>
          <w:sz w:val="24"/>
          <w:szCs w:val="24"/>
          <w:lang w:val="en-US"/>
        </w:rPr>
        <w:t xml:space="preserve"> postulates that the author–original reader relation should be similar to the translator–target reader relation, which seems to speak strongly in favor of rendition. Even the translative practice fails to uncover a clear-cut general preference.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{"citationID":"ZAo1kjwZ","properties":{"formattedCitation":"(Nord, 2003, p. 194)","plainCitation":"(Nord, 2003, p. 194)","noteIndex":0},"citationItems":[{"id":63,"uris":["http://zotero.org/users/12744911/items/ZCPJ3IUH"],"itemData":{"id":63,"type":"article-journal","abstract":"Drawing on a corpus of eight translations of Lewis Carroll’s Alice in Wonderland into five languages (German, French, Spanish, Brazilian Portuguese, Italian), the paper discusses the forms and functions of proper names in children’s books and some aspects of their translation. In Alice in Wonderland, we find three basic types of proper names: names explicitly referring to the real world of author and original addressees (e.g., Alice, her cat Dinah, historical figures like William the Conqueror), names implicitly referring to the real world of author and original addressees (e.g., Elsie, Lacie and Tillie, referring to the three Liddell sisters Lorina Charlotte, Alice and Edith Mathilda), and names referring to fictitious characters. An important function of proper names in fiction is to indicate in which culture the plot is set. It will be shown that the eight translators use various strategies to deal with proper names and that these strategies entail different communicative effects for the respective audiences.","container-title":"Meta","DOI":"10.7202/006966ar","ISSN":"1492-1421, 0026-0452","issue":"1-2","journalAbbreviation":"meta","page":"182-196","source":"DOI.org (Crossref)","title":"Proper Names in Translations for Children: Alice in Wonderland as a Case in Point","title-short":"Proper Names in Translations for Children","volume":"48","author":[{"family":"Nord","given":"Christiane"}],"issued":{"date-parts":[["2003",9,24]]}},"locator":"194"}],"schema":"https://github.com/citation-style-language/schema/raw/master/csl-citation.json"}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Nord (2003, p. 194)</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found reproduction to be most commonly used while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{"citationID":"rGkeLAZB","properties":{"formattedCitation":"(Mazi-Leskovar, 2017, p. 149)","plainCitation":"(Mazi-Leskovar, 2017, p. 149)","noteIndex":0},"citationItems":[{"id":64,"uris":["http://zotero.org/users/12744911/items/33PLZCVW"],"itemData":{"id":64,"type":"article-journal","abstract":"This article presents three English translations of the Slovenian tale Martin Krpan z Vrha (1858) by Fran Levstik and focuses on the translation of personal and geographical names with the aim of examining the application of domestication and foreignization translation strategies. The comparative analysis of the English names aims to find out if the cultural gap between the source and the target cultures has been diminishing over the years. The study also highlights the role of the chronotope that gives the work, one of the most frequently translated Slovenian texts, a distinctive cultural character.","container-title":"Acta Neophilologica","DOI":"10.4312/an.50.1-2.137-152","ISSN":"2350-417X, 0567-784X","issue":"1-2","journalAbbreviation":"AN","page":"137-152","source":"DOI.org (Crossref)","title":"Names in Literary Translation: A Case Study of English Versions of the Slovenian Tale Martin Krpan","title-short":"Names in Literary Translation","volume":"50","author":[{"family":"Mazi-Leskovar","given":"Darja"}],"issued":{"date-parts":[["2017",11,13]]}},"locator":"149"}],"schema":"https://github.com/citation-style-language/schema/raw/master/csl-citation.json"}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Mazi-Leskovar (2017, p. 149)</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showed that it was the foreignization that prevailed (at least in the case of toponyms). </w:t>
      </w:r>
      <w:r w:rsidRPr="00E2458A">
        <w:rPr>
          <w:rFonts w:ascii="Times New Roman" w:hAnsi="Times New Roman" w:cs="Times New Roman"/>
          <w:kern w:val="0"/>
          <w:sz w:val="24"/>
          <w:szCs w:val="24"/>
          <w:lang w:val="en-US" w:eastAsia="ja-JP"/>
        </w:rPr>
        <w:fldChar w:fldCharType="begin"/>
      </w:r>
      <w:r w:rsidRPr="00E2458A">
        <w:rPr>
          <w:rFonts w:ascii="Times New Roman" w:hAnsi="Times New Roman" w:cs="Times New Roman"/>
          <w:kern w:val="0"/>
          <w:sz w:val="24"/>
          <w:szCs w:val="24"/>
          <w:lang w:val="en-US" w:eastAsia="ja-JP"/>
        </w:rPr>
        <w:instrText xml:space="preserve"> ADDIN ZOTERO_ITEM CSL_CITATION {"citationID":"UAOgRpmF","properties":{"formattedCitation":"(Amenta, 2020, pp. 18\\uc0\\u8211{}19)","plainCitation":"(Amenta, 2020, pp. 18–19)","noteIndex":0},"citationItems":[{"id":71,"uris":["http://zotero.org/users/12744911/items/TKJ5F3DI"],"itemData":{"id":71,"type":"article-journal","abstract":"On the Translation of Fantasy Literature through the Lens of the Italian Version of Andrzej Sapkowski’s The Witcher Series\n\nStudies on the specific features of fantasy literature that can influence translation strategies are becoming more and more widespread among scholars, as a consequence of increasing interest in the rendition of cultural items and the legitimation of fantasy literature as a field of research. Focusing on the Italian version of The Witcher series by Andrzej Sapkowski, published in 2010–2016, the article investigates the problems posed by the creation of imaginary worlds and the form of literary cycles as distinctive traits of fantasy literature, as suggested by Guttfeld (2012). The author shows how they can affect cultural and lexical consistency in the translation of anthroponyms, toponyms, units of measurement, culinary terms, and fantastic creatures. Whereas in Polish translations of fantasy texts a foreignizing strategy prevails, due to the domination of anglophone writers and the imbalance of cultural systems, the Italian translation of Sapkowski’s works appears significantly more domesticated.","container-title":"Przekładaniec","DOI":"10.4467/16891864PC.20.001.13164","ISSN":"16891864, 14256851","issue":"40","page":"7-21","source":"DOI.org (Crossref)","title":"O tłumaczeniu literatury fantasy na podstawie włoskiego przekładu cyklu wiedźmińskiego Andrzeja Sapkowskiego","author":[{"family":"Amenta","given":"Alessandro"}],"issued":{"date-parts":[["2020"]]}},"locator":"18–19"}],"schema":"https://github.com/citation-style-language/schema/raw/master/csl-citation.json"} </w:instrText>
      </w:r>
      <w:r w:rsidRPr="00E2458A">
        <w:rPr>
          <w:rFonts w:ascii="Times New Roman" w:hAnsi="Times New Roman" w:cs="Times New Roman"/>
          <w:kern w:val="0"/>
          <w:sz w:val="24"/>
          <w:szCs w:val="24"/>
          <w:lang w:val="en-US" w:eastAsia="ja-JP"/>
        </w:rPr>
        <w:fldChar w:fldCharType="separate"/>
      </w:r>
      <w:r w:rsidRPr="00E2458A">
        <w:rPr>
          <w:rFonts w:ascii="Times New Roman" w:hAnsi="Times New Roman" w:cs="Times New Roman"/>
          <w:kern w:val="0"/>
          <w:sz w:val="24"/>
          <w:szCs w:val="24"/>
          <w:lang w:val="en-US"/>
        </w:rPr>
        <w:t>Amenta (2020, pp. 18–19)</w:t>
      </w:r>
      <w:r w:rsidRPr="00E2458A">
        <w:rPr>
          <w:rFonts w:ascii="Times New Roman" w:hAnsi="Times New Roman" w:cs="Times New Roman"/>
          <w:kern w:val="0"/>
          <w:sz w:val="24"/>
          <w:szCs w:val="24"/>
          <w:lang w:val="en-US" w:eastAsia="ja-JP"/>
        </w:rPr>
        <w:fldChar w:fldCharType="end"/>
      </w:r>
      <w:r w:rsidRPr="00E2458A">
        <w:rPr>
          <w:rFonts w:ascii="Times New Roman" w:hAnsi="Times New Roman" w:cs="Times New Roman"/>
          <w:kern w:val="0"/>
          <w:sz w:val="24"/>
          <w:szCs w:val="24"/>
          <w:lang w:val="en-US" w:eastAsia="ja-JP"/>
        </w:rPr>
        <w:t xml:space="preserve"> suggested that </w:t>
      </w:r>
      <w:r>
        <w:rPr>
          <w:rFonts w:ascii="Times New Roman" w:hAnsi="Times New Roman" w:cs="Times New Roman"/>
          <w:kern w:val="0"/>
          <w:sz w:val="24"/>
          <w:szCs w:val="24"/>
          <w:lang w:val="en-US" w:eastAsia="ja-JP"/>
        </w:rPr>
        <w:t xml:space="preserve">the </w:t>
      </w:r>
      <w:r w:rsidRPr="00E2458A">
        <w:rPr>
          <w:rFonts w:ascii="Times New Roman" w:hAnsi="Times New Roman" w:cs="Times New Roman"/>
          <w:kern w:val="0"/>
          <w:sz w:val="24"/>
          <w:szCs w:val="24"/>
          <w:lang w:val="en-US"/>
        </w:rPr>
        <w:t>preference</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eastAsia="ja-JP"/>
        </w:rPr>
        <w:t xml:space="preserve">may be </w:t>
      </w:r>
      <w:r w:rsidRPr="00E2458A">
        <w:rPr>
          <w:rFonts w:ascii="Times New Roman" w:hAnsi="Times New Roman" w:cs="Times New Roman"/>
          <w:kern w:val="0"/>
          <w:sz w:val="24"/>
          <w:szCs w:val="24"/>
          <w:lang w:val="en-US"/>
        </w:rPr>
        <w:t xml:space="preserve">culture-bound, as Italian publishers strongly favor domestication in general; the notion is also at least partially consistent with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{"citationID":"Z7chouSM","properties":{"formattedCitation":"(Fern\\uc0\\u225{}ndez Costales, 2014)","plainCitation":"(Fernández Costales, 2014)","noteIndex":0},"citationItems":[{"id":102,"uris":["http://zotero.org/users/12744911/items/LFJUN3UZ"],"itemData":{"id":102,"type":"article-journal","abstract":"This article addresses the main translation strategies for the localisation of superhero video games into a different culture. This specific genre relies on narrative-driven plots, as the games are based on original scripts from comic books. The adaptation of superhero games therefore presents a series of additional challenges, since the so-called ‘transcreation’ is sometimes restricted by the need to consider editorial policies and user expectations when re-creating comic-based universes. Hence transcreation is confronted with the need to be faithful to the original source inspiring the title. Besides assessing the balance between loyalty to the comic books and the freedom allowed in game localisation, this paper also approaches the translation of humour and the difficulty of adapting puns and jokes into different languages, which can seriously challenge translators’ skills and creativity. In order to shed some light on these issues, this paper presents the results of a case study of the localisation into Spanish of one of the most acclaimed superhero games: Batman Arkham Asylum.","container-title":"Quaderns: revista de traducció","ISSN":"2014-9735","issue":"21","page":"225–239","title":"Video game localisation: adapting superheroes to different cultures","author":[{"family":"Fernández Costales","given":"Alberto"}],"issued":{"date-parts":[["2014"]]}}}],"schema":"https://github.com/citation-style-language/schema/raw/master/csl-citation.json"}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kern w:val="0"/>
          <w:sz w:val="24"/>
          <w:szCs w:val="24"/>
          <w:lang w:val="en-US"/>
        </w:rPr>
        <w:t>Fernández Costales</w:t>
      </w:r>
      <w:r>
        <w:rPr>
          <w:rFonts w:ascii="Times New Roman" w:hAnsi="Times New Roman" w:cs="Times New Roman"/>
          <w:kern w:val="0"/>
          <w:sz w:val="24"/>
          <w:szCs w:val="24"/>
          <w:lang w:val="en-US"/>
        </w:rPr>
        <w:t> </w:t>
      </w:r>
      <w:r w:rsidRPr="00E2458A">
        <w:rPr>
          <w:rFonts w:ascii="Times New Roman" w:hAnsi="Times New Roman" w:cs="Times New Roman"/>
          <w:kern w:val="0"/>
          <w:sz w:val="24"/>
          <w:szCs w:val="24"/>
          <w:lang w:val="en-US"/>
        </w:rPr>
        <w:t>(2014)</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who reports different preferences for Spanish (foreignization) and Mexican (domestication) translations, and in line with conclusions by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{"citationID":"HTL3wVmd","properties":{"formattedCitation":"(Ellefsen &amp; Bernal-Merino, 2018)","plainCitation":"(Ellefsen &amp; Bernal-Merino, 2018)","noteIndex":0},"citationItems":[{"id":108,"uris":["http://zotero.org/users/12744911/items/594U86A6"],"itemData":{"id":108,"type":"article-journal","abstract":"Abstract\n            Through quantitative data analysis, this study explores the attitudes of gamers from different French-speaking locales (Belgium, France, Canada, and Switzerland) in relation to their language preference and opinions of translated material while playing video games. The intended goal is to develop a replicable methodology for data collection about the linguistic preferences of video game players. The research strategy is based on online questionnaires distributed to gamers through social media. The results highlight players’ level of satisfaction regarding the localisation of games and suggest that industry strategies put forward till recently may be rather inadequate. Linguistic preferences seem to vary within locales based on factors such as English language proficiency and personal background. The results of this research may serve the implementation of new localisation strategies for video game products in French-speaking countries of emerging markets or other multinational languages.","container-title":"The Journal of Internationalization and Localization","DOI":"10.1075/jial.00009.ell","ISSN":"2032-6904, 2032-6912","issue":"1","journalAbbreviation":"JIAL","language":"en","page":"21–48","source":"DOI.org (Crossref)","title":"Harnessing the roar of the crowd: A quantitative study of language preferences in video games of French players of the northern hemisphere","title-short":"Harnessing the roar of the crowd","volume":"5","author":[{"family":"Ellefsen","given":"Ugo"},{"family":"Bernal-Merino","given":"Miguel Á."}],"issued":{"date-parts":[["2018",8,10]]}}}],"schema":"https://github.com/citation-style-language/schema/raw/master/csl-citation.json"}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Ellefsen and Bernal-Merino</w:t>
      </w:r>
      <w:r>
        <w:rPr>
          <w:rFonts w:ascii="Times New Roman" w:hAnsi="Times New Roman" w:cs="Times New Roman"/>
          <w:sz w:val="24"/>
          <w:szCs w:val="24"/>
          <w:lang w:val="en-US"/>
        </w:rPr>
        <w:t> </w:t>
      </w:r>
      <w:r w:rsidRPr="00E2458A">
        <w:rPr>
          <w:rFonts w:ascii="Times New Roman" w:hAnsi="Times New Roman" w:cs="Times New Roman"/>
          <w:sz w:val="24"/>
          <w:szCs w:val="24"/>
          <w:lang w:val="en-US"/>
        </w:rPr>
        <w:t>(2018)</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and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{"citationID":"0C5NhWiU","properties":{"formattedCitation":"(Mangiron, 2018, p. 292)","plainCitation":"(Mangiron, 2018, p. 292)","noteIndex":0},"citationItems":[{"id":103,"uris":["http://zotero.org/users/12744911/items/VXL8R677"],"itemData":{"id":103,"type":"chapter","abstract":"This chapter aims at providing an overview of the existing reception studies in the area of game localisation. After briefly describing the main characteristics of game localisation and its focus on users and their player experience (PX), the paper discusses the small number of reception studies in game localisation that have been carried out to date within the framework of Translation Studies, discussing their research objectives, methods and tools. The paper concludes by highlighting the need for further reception studies in the area of game localisation and presenting future paths for research in this area.","collection-number":"volume 141","collection-title":"Benjamins Translation Library (BTL)","container-title":"Reception studies and audiovisual translation","event-place":"Amsterdam Philadelphia","ISBN":"978-90-272-6393-3","language":"eng","page":"277–296","publisher":"John Benjamins Publishing Company","publisher-place":"Amsterdam Philadelphia","source":"K10plus ISBN","title":"Reception studies in game localisation: Taking stock","editor":[{"family":"Di Giovanni","given":"Elena"},{"family":"Gambier","given":"Yves"}],"author":[{"family":"Mangiron","given":"Carme"}],"issued":{"date-parts":[["2018"]]}},"locator":"292"}],"schema":"https://github.com/citation-style-language/schema/raw/master/csl-citation.json"}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Mangiron (2018, p. 292)</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The great variance in translative practice suggests that it is the matter of the translation’s </w:t>
      </w:r>
      <w:proofErr w:type="spellStart"/>
      <w:r w:rsidRPr="00E2458A">
        <w:rPr>
          <w:rFonts w:ascii="Times New Roman" w:hAnsi="Times New Roman" w:cs="Times New Roman"/>
          <w:kern w:val="0"/>
          <w:sz w:val="24"/>
          <w:szCs w:val="24"/>
          <w:lang w:val="en-US"/>
        </w:rPr>
        <w:t>skopos</w:t>
      </w:r>
      <w:proofErr w:type="spellEnd"/>
      <w:r w:rsidRPr="00E2458A">
        <w:rPr>
          <w:rFonts w:ascii="Times New Roman" w:hAnsi="Times New Roman" w:cs="Times New Roman"/>
          <w:kern w:val="0"/>
          <w:sz w:val="24"/>
          <w:szCs w:val="24"/>
          <w:lang w:val="en-US"/>
        </w:rPr>
        <w:t xml:space="preserve">, TLC, and textual functions rather than of a universal treatment of choice. </w:t>
      </w:r>
    </w:p>
    <w:p w14:paraId="02379A49"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 xml:space="preserve">Because a certain level of SLC competence is essential to being a translator, most translators are not formally trained in the TLC and draw on their native competence (assuming that translations are rendered </w:t>
      </w:r>
      <w:r>
        <w:rPr>
          <w:rFonts w:ascii="Times New Roman" w:hAnsi="Times New Roman" w:cs="Times New Roman"/>
          <w:kern w:val="0"/>
          <w:sz w:val="24"/>
          <w:szCs w:val="24"/>
          <w:lang w:val="en-US"/>
        </w:rPr>
        <w:t xml:space="preserve">mostly </w:t>
      </w:r>
      <w:r w:rsidRPr="00E2458A">
        <w:rPr>
          <w:rFonts w:ascii="Times New Roman" w:hAnsi="Times New Roman" w:cs="Times New Roman"/>
          <w:kern w:val="0"/>
          <w:sz w:val="24"/>
          <w:szCs w:val="24"/>
          <w:lang w:val="en-US"/>
        </w:rPr>
        <w:t xml:space="preserve">by members of the TLC). It stands to reason, therefore, that with regard to designing readers’ emotions, translators’ work is largely intuitive (cf.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{"citationID":"w6rX0tca","properties":{"formattedCitation":"(Suojanen et al., 2015, p. 116)","plainCitation":"(Suojanen et al., 2015, p. 116)","noteIndex":0},"citationItems":[{"id":110,"uris":["http://zotero.org/users/12744911/items/YI9IQ2LX"],"itemData":{"id":110,"type":"book","collection-title":"Translation practices explained","edition":"First published","event-place":"London New York","ISBN":"978-1-315-75350-8","language":"eng","number-of-pages":"166","publisher":"Routledge","publisher-place":"London New York","source":"K10plus ISBN","title":"User-centered translation","author":[{"family":"Suojanen","given":"Tytti"},{"family":"Koskinen","given":"Kaisa"},{"family":"Tuominen","given":"Tiina"}],"issued":{"date-parts":[["2015"]]}},"locator":"116"}],"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Suojanen, Koskinen, &amp; Tuominen, 2015, p. 116)</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—that is to say, grounded in their individual experience with their native LC. This probably also holds true for the majority of analytical </w:t>
      </w:r>
      <w:r>
        <w:rPr>
          <w:rFonts w:ascii="Times New Roman" w:hAnsi="Times New Roman" w:cs="Times New Roman"/>
          <w:kern w:val="0"/>
          <w:sz w:val="24"/>
          <w:szCs w:val="24"/>
          <w:lang w:val="en-US"/>
        </w:rPr>
        <w:t xml:space="preserve">translation </w:t>
      </w:r>
      <w:r w:rsidRPr="00E2458A">
        <w:rPr>
          <w:rFonts w:ascii="Times New Roman" w:hAnsi="Times New Roman" w:cs="Times New Roman"/>
          <w:kern w:val="0"/>
          <w:sz w:val="24"/>
          <w:szCs w:val="24"/>
          <w:lang w:val="en-US"/>
        </w:rPr>
        <w:t xml:space="preserve">case-studies, as most often they are based on intuitions from researchers (i.e., individuals who do not need the translation) and not on the insights from the translations’ target readers, a notion that gave rise to Reception Studies and the concept of User-Centered Translation by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{"citationID":"pClE1Cw7","properties":{"formattedCitation":"(Suojanen et al., 2015)","plainCitation":"(Suojanen et al., 2015)","noteIndex":0},"citationItems":[{"id":110,"uris":["http://zotero.org/users/12744911/items/YI9IQ2LX"],"itemData":{"id":110,"type":"book","collection-title":"Translation practices explained","edition":"First published","event-place":"London New York","ISBN":"978-1-315-75350-8","language":"eng","number-of-pages":"166","publisher":"Routledge","publisher-place":"London New York","source":"K10plus ISBN","title":"User-centered translation","author":[{"family":"Suojanen","given":"Tytti"},{"family":"Koskinen","given":"Kaisa"},{"family":"Tuominen","given":"Tiina"}],"issued":{"date-parts":[["2015"]]}}}],"schema":"https://github.com/citation-style-language/schema/raw/master/csl-citation.json"}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Suojanen and colleagues (2015)</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However, as follows from their review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{"citationID":"vN5bKI6g","properties":{"formattedCitation":"(Suojanen et al., 2015, pp. 111\\uc0\\u8211{}222)","plainCitation":"(Suojanen et al., 2015, pp. 111–222)","noteIndex":0},"citationItems":[{"id":110,"uris":["http://zotero.org/users/12744911/items/YI9IQ2LX"],"itemData":{"id":110,"type":"book","collection-title":"Translation practices explained","edition":"First published","event-place":"London New York","ISBN":"978-1-315-75350-8","language":"eng","number-of-pages":"166","publisher":"Routledge","publisher-place":"London New York","source":"K10plus ISBN","title":"User-centered translation","author":[{"family":"Suojanen","given":"Tytti"},{"family":"Koskinen","given":"Kaisa"},{"family":"Tuominen","given":"Tiina"}],"issued":{"date-parts":[["2015"]]}},"locator":"111–222"}],"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kern w:val="0"/>
          <w:sz w:val="24"/>
          <w:szCs w:val="24"/>
          <w:lang w:val="en-US"/>
        </w:rPr>
        <w:t>(ibidem, pp. 111–122)</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proper names have yet to elbow their way into mainstream in the field. The need for more empirical quantitative research is also emphasized by </w:t>
      </w:r>
      <w:proofErr w:type="spellStart"/>
      <w:r w:rsidRPr="00E2458A">
        <w:rPr>
          <w:rFonts w:ascii="Times New Roman" w:hAnsi="Times New Roman" w:cs="Times New Roman"/>
          <w:kern w:val="0"/>
          <w:sz w:val="24"/>
          <w:szCs w:val="24"/>
          <w:lang w:val="en-US"/>
        </w:rPr>
        <w:t>Mangiron</w:t>
      </w:r>
      <w:proofErr w:type="spellEnd"/>
      <w:r>
        <w:rPr>
          <w:rFonts w:ascii="Times New Roman" w:hAnsi="Times New Roman" w:cs="Times New Roman"/>
          <w:kern w:val="0"/>
          <w:sz w:val="24"/>
          <w:szCs w:val="24"/>
          <w:lang w:val="en-US"/>
        </w:rPr>
        <w:t> </w:t>
      </w:r>
      <w:r w:rsidRPr="00E2458A">
        <w:rPr>
          <w:rFonts w:ascii="Times New Roman" w:hAnsi="Times New Roman" w:cs="Times New Roman"/>
          <w:kern w:val="0"/>
          <w:sz w:val="24"/>
          <w:szCs w:val="24"/>
          <w:lang w:val="en-US"/>
        </w:rPr>
        <w:t>(</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{"citationID":"qh66r96e","properties":{"formattedCitation":"(Mangiron, 2018)","plainCitation":"(Mangiron, 2018)","noteIndex":0},"citationItems":[{"id":103,"uris":["http://zotero.org/users/12744911/items/VXL8R677"],"itemData":{"id":103,"type":"chapter","abstract":"This chapter aims at providing an overview of the existing reception studies in the area of game localisation. After briefly describing the main characteristics of game localisation and its focus on users and their player experience (PX), the paper discusses the small number of reception studies in game localisation that have been carried out to date within the framework of Translation Studies, discussing their research objectives, methods and tools. The paper concludes by highlighting the need for further reception studies in the area of game localisation and presenting future paths for research in this area.","collection-number":"volume 141","collection-title":"Benjamins Translation Library (BTL)","container-title":"Reception studies and audiovisual translation","event-place":"Amsterdam Philadelphia","ISBN":"978-90-272-6393-3","language":"eng","page":"277–296","publisher":"John Benjamins Publishing Company","publisher-place":"Amsterdam Philadelphia","source":"K10plus ISBN","title":"Reception studies in game localisation: Taking stock","editor":[{"family":"Di Giovanni","given":"Elena"},{"family":"Gambier","given":"Yves"}],"author":[{"family":"Mangiron","given":"Carme"}],"issued":{"date-parts":[["2018"]]}}}],"schema":"https://github.com/citation-style-language/schema/raw/master/csl-citation.json"}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2018, p. 285)</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as it would prove beneficial not only for the industry but also to academia and translator training. Although </w:t>
      </w:r>
      <w:proofErr w:type="spellStart"/>
      <w:r w:rsidRPr="00E2458A">
        <w:rPr>
          <w:rFonts w:ascii="Times New Roman" w:hAnsi="Times New Roman" w:cs="Times New Roman"/>
          <w:kern w:val="0"/>
          <w:sz w:val="24"/>
          <w:szCs w:val="24"/>
          <w:lang w:val="en-US"/>
        </w:rPr>
        <w:t>Mangiron’s</w:t>
      </w:r>
      <w:proofErr w:type="spellEnd"/>
      <w:r w:rsidRPr="00E2458A">
        <w:rPr>
          <w:rFonts w:ascii="Times New Roman" w:hAnsi="Times New Roman" w:cs="Times New Roman"/>
          <w:kern w:val="0"/>
          <w:sz w:val="24"/>
          <w:szCs w:val="24"/>
          <w:lang w:val="en-US"/>
        </w:rPr>
        <w:t xml:space="preserve"> statement pertained to game localization, it also holds true for literary texts as the two increasingly often become mutual </w:t>
      </w:r>
      <w:proofErr w:type="spellStart"/>
      <w:r w:rsidRPr="00E2458A">
        <w:rPr>
          <w:rFonts w:ascii="Times New Roman" w:hAnsi="Times New Roman" w:cs="Times New Roman"/>
          <w:kern w:val="0"/>
          <w:sz w:val="24"/>
          <w:szCs w:val="24"/>
          <w:lang w:val="en-US"/>
        </w:rPr>
        <w:t>paratexts</w:t>
      </w:r>
      <w:proofErr w:type="spellEnd"/>
      <w:r w:rsidRPr="00E2458A">
        <w:rPr>
          <w:rFonts w:ascii="Times New Roman" w:hAnsi="Times New Roman" w:cs="Times New Roman"/>
          <w:kern w:val="0"/>
          <w:sz w:val="24"/>
          <w:szCs w:val="24"/>
          <w:lang w:val="en-US"/>
        </w:rPr>
        <w:t xml:space="preserve"> or result from </w:t>
      </w:r>
      <w:proofErr w:type="spellStart"/>
      <w:r w:rsidRPr="00E2458A">
        <w:rPr>
          <w:rFonts w:ascii="Times New Roman" w:hAnsi="Times New Roman" w:cs="Times New Roman"/>
          <w:kern w:val="0"/>
          <w:sz w:val="24"/>
          <w:szCs w:val="24"/>
          <w:lang w:val="en-US"/>
        </w:rPr>
        <w:t>intersemiotic</w:t>
      </w:r>
      <w:proofErr w:type="spellEnd"/>
      <w:r w:rsidRPr="00E2458A">
        <w:rPr>
          <w:rFonts w:ascii="Times New Roman" w:hAnsi="Times New Roman" w:cs="Times New Roman"/>
          <w:kern w:val="0"/>
          <w:sz w:val="24"/>
          <w:szCs w:val="24"/>
          <w:lang w:val="en-US"/>
        </w:rPr>
        <w:t xml:space="preserve"> translation.</w:t>
      </w:r>
    </w:p>
    <w:p w14:paraId="2A26A582" w14:textId="77777777" w:rsidR="00873911" w:rsidRPr="00E2458A" w:rsidRDefault="00873911" w:rsidP="00873911">
      <w:pPr>
        <w:autoSpaceDE w:val="0"/>
        <w:autoSpaceDN w:val="0"/>
        <w:adjustRightInd w:val="0"/>
        <w:spacing w:line="240" w:lineRule="auto"/>
        <w:ind w:firstLine="708"/>
        <w:jc w:val="both"/>
        <w:rPr>
          <w:rFonts w:ascii="Times New Roman" w:hAnsi="Times New Roman" w:cs="Times New Roman"/>
          <w:color w:val="70AD47" w:themeColor="accent6"/>
          <w:sz w:val="24"/>
          <w:szCs w:val="24"/>
          <w:lang w:val="en-US"/>
        </w:rPr>
      </w:pPr>
      <w:r w:rsidRPr="00E2458A">
        <w:rPr>
          <w:rFonts w:ascii="Times New Roman" w:hAnsi="Times New Roman" w:cs="Times New Roman"/>
          <w:kern w:val="0"/>
          <w:sz w:val="24"/>
          <w:szCs w:val="24"/>
          <w:lang w:val="en-US"/>
        </w:rPr>
        <w:t xml:space="preserve">How can one know how to best tackle the translation of meaningful proper names? </w:t>
      </w:r>
      <w:r w:rsidRPr="00E2458A">
        <w:rPr>
          <w:rFonts w:ascii="Times New Roman" w:hAnsi="Times New Roman" w:cs="Times New Roman"/>
          <w:sz w:val="24"/>
          <w:szCs w:val="24"/>
          <w:lang w:val="en-US"/>
        </w:rPr>
        <w:t xml:space="preserve">Does a translator’s choice to copy or render a meaningful proper name influence the name’s connotations and, if so, how? Do domestication and foreignization recreate the SLC’s connotations equally well? Based on the above-mentioned considerations, it seems logical to adopt a new approach to answer these questions. Because participants’ </w:t>
      </w:r>
      <w:r>
        <w:rPr>
          <w:rFonts w:ascii="Times New Roman" w:hAnsi="Times New Roman" w:cs="Times New Roman"/>
          <w:sz w:val="24"/>
          <w:szCs w:val="24"/>
          <w:lang w:val="en-US"/>
        </w:rPr>
        <w:t xml:space="preserve">judgements and self-reported preferences </w:t>
      </w:r>
      <w:r w:rsidRPr="00E2458A">
        <w:rPr>
          <w:rFonts w:ascii="Times New Roman" w:hAnsi="Times New Roman" w:cs="Times New Roman"/>
          <w:sz w:val="24"/>
          <w:szCs w:val="24"/>
          <w:lang w:val="en-US"/>
        </w:rPr>
        <w:t xml:space="preserve">seem to be not very reliable, as they may be grounded in varying—from person to person—criteria for assessment, thus not saying anything in particular about the translative procedure’s effect, or be subject to social desirability bias </w:t>
      </w:r>
      <w:r w:rsidRPr="00E2458A">
        <w:rPr>
          <w:rFonts w:ascii="Times New Roman" w:hAnsi="Times New Roman" w:cs="Times New Roman"/>
          <w:sz w:val="24"/>
          <w:szCs w:val="24"/>
          <w:lang w:val="en-US"/>
        </w:rPr>
        <w:fldChar w:fldCharType="begin"/>
      </w:r>
      <w:r w:rsidRPr="00E2458A">
        <w:rPr>
          <w:rFonts w:ascii="Times New Roman" w:hAnsi="Times New Roman" w:cs="Times New Roman"/>
          <w:sz w:val="24"/>
          <w:szCs w:val="24"/>
          <w:lang w:val="en-US"/>
        </w:rPr>
        <w:instrText xml:space="preserve"> ADDIN ZOTERO_ITEM CSL_CITATION {"citationID":"wKUFTniH","properties":{"formattedCitation":"(Fern\\uc0\\u225{}ndez Costales, 2016, p. 192)","plainCitation":"(Fernández Costales, 2016, p. 192)","noteIndex":2},"citationItems":[{"id":105,"uris":["http://zotero.org/users/12744911/items/E3ZAYGPP"],"itemData":{"id":105,"type":"chapter","collection-number":"16","collection-title":"Routledge advances in internationalizing media studies","container-title":"Media across borders: localizing tv, film and video games","event-place":"New York London","ISBN":"978-1-315-74998-3","language":"eng","page":"183–201","publisher":"Routledge, Taylor &amp; Francis Group","publisher-place":"New York London","source":"K10plus ISBN","title":"Analyzing Players’ Perceptions on the Translation of Video Games: Assessing the Tension between the Local and the Global Concerning Language Use","editor":[{"family":"Esser","given":"Andrea"},{"family":"Bernal-Merino","given":"Miguel Á"},{"family":"Smith","given":"Iain Robert"}],"author":[{"family":"Fernández Costales","given":"Alberto"}],"issued":{"date-parts":[["2016"]]}},"locator":"192"}],"schema":"https://github.com/citation-style-language/schema/raw/master/csl-citation.json"} </w:instrText>
      </w:r>
      <w:r w:rsidRPr="00E2458A">
        <w:rPr>
          <w:rFonts w:ascii="Times New Roman" w:hAnsi="Times New Roman" w:cs="Times New Roman"/>
          <w:sz w:val="24"/>
          <w:szCs w:val="24"/>
          <w:lang w:val="en-US"/>
        </w:rPr>
        <w:fldChar w:fldCharType="separate"/>
      </w:r>
      <w:r w:rsidRPr="00E2458A">
        <w:rPr>
          <w:rFonts w:ascii="Times New Roman" w:hAnsi="Times New Roman" w:cs="Times New Roman"/>
          <w:kern w:val="0"/>
          <w:sz w:val="24"/>
          <w:szCs w:val="24"/>
          <w:lang w:val="en-US"/>
        </w:rPr>
        <w:t>(cf.</w:t>
      </w:r>
      <w:r>
        <w:rPr>
          <w:rFonts w:ascii="Times New Roman" w:hAnsi="Times New Roman" w:cs="Times New Roman"/>
          <w:kern w:val="0"/>
          <w:sz w:val="24"/>
          <w:szCs w:val="24"/>
          <w:lang w:val="en-US"/>
        </w:rPr>
        <w:t> </w:t>
      </w:r>
      <w:r w:rsidRPr="00E2458A">
        <w:rPr>
          <w:rFonts w:ascii="Times New Roman" w:hAnsi="Times New Roman" w:cs="Times New Roman"/>
          <w:kern w:val="0"/>
          <w:sz w:val="24"/>
          <w:szCs w:val="24"/>
          <w:lang w:val="en-US"/>
        </w:rPr>
        <w:t>Fernández Costales, 2016, pp. 191–192)</w:t>
      </w:r>
      <w:r w:rsidRPr="00E2458A">
        <w:rPr>
          <w:rFonts w:ascii="Times New Roman" w:hAnsi="Times New Roman" w:cs="Times New Roman"/>
          <w:sz w:val="24"/>
          <w:szCs w:val="24"/>
          <w:lang w:val="en-US"/>
        </w:rPr>
        <w:fldChar w:fldCharType="end"/>
      </w:r>
      <w:r w:rsidRPr="00E2458A">
        <w:rPr>
          <w:rFonts w:ascii="Times New Roman" w:hAnsi="Times New Roman" w:cs="Times New Roman"/>
          <w:sz w:val="24"/>
          <w:szCs w:val="24"/>
          <w:lang w:val="en-US"/>
        </w:rPr>
        <w:t xml:space="preserve">, it would be prudent to </w:t>
      </w:r>
      <w:r>
        <w:rPr>
          <w:rFonts w:ascii="Times New Roman" w:hAnsi="Times New Roman" w:cs="Times New Roman"/>
          <w:sz w:val="24"/>
          <w:szCs w:val="24"/>
          <w:lang w:val="en-US"/>
        </w:rPr>
        <w:t xml:space="preserve">delve directly into the differences generated by various translative approaches instead of relying on </w:t>
      </w:r>
      <w:r w:rsidRPr="00E2458A">
        <w:rPr>
          <w:rFonts w:ascii="Times New Roman" w:hAnsi="Times New Roman" w:cs="Times New Roman"/>
          <w:sz w:val="24"/>
          <w:szCs w:val="24"/>
          <w:lang w:val="en-US"/>
        </w:rPr>
        <w:t xml:space="preserve">participants’ opinions. Although questionnaires are rarely used in Translation Studies (ibidem, p. 190), they seem well-suited for </w:t>
      </w:r>
      <w:r w:rsidRPr="00E2458A">
        <w:rPr>
          <w:rFonts w:ascii="Times New Roman" w:hAnsi="Times New Roman" w:cs="Times New Roman"/>
          <w:sz w:val="24"/>
          <w:szCs w:val="24"/>
          <w:lang w:val="en-US"/>
        </w:rPr>
        <w:lastRenderedPageBreak/>
        <w:t xml:space="preserve">use with large samples. This is why, to tackle the problem of translating proper names from a different perspective, a new questionnaire measure and an empirical procedure were devised, wherein the </w:t>
      </w:r>
      <w:r w:rsidRPr="00E2458A">
        <w:rPr>
          <w:rFonts w:ascii="Times New Roman" w:hAnsi="Times New Roman" w:cs="Times New Roman"/>
          <w:kern w:val="0"/>
          <w:sz w:val="24"/>
          <w:szCs w:val="24"/>
          <w:lang w:val="en-US"/>
        </w:rPr>
        <w:t xml:space="preserve">domestication approach was operationalized as translation by rendition while foreignization—as translation by copying (cf.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{"citationID":"nt3qBDr3","properties":{"formattedCitation":"(Fernandes, 2006)","plainCitation":"(Fernandes, 2006)","noteIndex":0},"citationItems":[{"id":59,"uris":["http://zotero.org/users/12744911/items/EF8YJTG3"],"itemData":{"id":59,"type":"article-journal","abstract":"This paper discusses the translation of names in children’s fantasy literature and highlights the importance of names in translating this particular text type. First, it defines what it is meant by “names” and attempts to present some of the most important types of “meanings” usually conveyed by names. Then, it discusses the issue of readability in the translation of these narrative elements. Next, building on Hermans’s (1988) ways of rendering names from L1 to L2, it offers a classification of ten translation procedures that were identified in the Portuguese-English Parallel Corpus of Children’s Fantasy Literature, namely PEPCOCFL.","container-title":"New Voices in Translation Studies","DOI":"https://doi.org/10.14456/nvts.2006.5","ISSN":"1819-5644","issue":"1","page":"44–57","title":"Translation of Names in Children’s Fantasy Literature: Bringing the Young Reader into Play","volume":"2","author":[{"family":"Fernandes","given":"Lincoln"}],"issued":{"date-parts":[["2006"]]}}}],"schema":"https://github.com/citation-style-language/schema/raw/master/csl-citation.json"}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Fernandes, 2006)</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 xml:space="preserve">. It was also decided that the research should focus on a horror/weird fiction toponym due to the genre’s heavy reliance on evoking emotions and the fact that toponyms seem to be under-researched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{"citationID":"wc37IZZh","properties":{"formattedCitation":"(Kohlheim, 2018)","plainCitation":"(Kohlheim, 2018)","noteIndex":0},"citationItems":[{"id":79,"uris":["http://zotero.org/users/12744911/items/CHRF6Y4Y"],"itemData":{"id":79,"type":"article-journal","container-title":"Onoma","DOI":"10.34158/ONOMA.53/2018/6","ISSN":"0078463X, 17831644","journalAbbreviation":"Onoma","page":"81-92","source":"DOI.org (Crossref)","title":"Proper names in literature: A “reevaluation of all values”","title-short":"Proper names in literature","volume":"53","author":[{"family":"Kohlheim","given":"Volker"}],"issued":{"date-parts":[["2018"]]}}}],"schema":"https://github.com/citation-style-language/schema/raw/master/csl-citation.json"}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sz w:val="24"/>
          <w:szCs w:val="24"/>
          <w:lang w:val="en-US"/>
        </w:rPr>
        <w:t>(Kohlheim, 2018)</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w:t>
      </w:r>
    </w:p>
    <w:p w14:paraId="27A82E8B" w14:textId="77777777" w:rsidR="00873911" w:rsidRPr="00E2458A" w:rsidRDefault="00873911" w:rsidP="00873911">
      <w:pPr>
        <w:autoSpaceDE w:val="0"/>
        <w:autoSpaceDN w:val="0"/>
        <w:adjustRightInd w:val="0"/>
        <w:spacing w:line="240" w:lineRule="auto"/>
        <w:jc w:val="center"/>
        <w:rPr>
          <w:rFonts w:ascii="Times New Roman" w:hAnsi="Times New Roman" w:cs="Times New Roman"/>
          <w:b/>
          <w:bCs/>
          <w:smallCaps/>
          <w:kern w:val="0"/>
          <w:sz w:val="20"/>
          <w:szCs w:val="20"/>
          <w:lang w:val="en-US"/>
        </w:rPr>
      </w:pPr>
      <w:r w:rsidRPr="00E2458A">
        <w:rPr>
          <w:rFonts w:ascii="Times New Roman" w:hAnsi="Times New Roman" w:cs="Times New Roman"/>
          <w:b/>
          <w:bCs/>
          <w:smallCaps/>
          <w:kern w:val="0"/>
          <w:sz w:val="20"/>
          <w:szCs w:val="20"/>
          <w:lang w:val="en-US"/>
        </w:rPr>
        <w:t>Hypotheses</w:t>
      </w:r>
    </w:p>
    <w:p w14:paraId="7A0E4B75" w14:textId="77777777" w:rsidR="00873911" w:rsidRPr="00E2458A" w:rsidRDefault="00873911" w:rsidP="00873911">
      <w:pPr>
        <w:autoSpaceDE w:val="0"/>
        <w:autoSpaceDN w:val="0"/>
        <w:adjustRightInd w:val="0"/>
        <w:spacing w:after="0" w:line="240" w:lineRule="auto"/>
        <w:ind w:left="426" w:hanging="426"/>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Based on the questions above, it is hypothesized that:</w:t>
      </w:r>
    </w:p>
    <w:p w14:paraId="1171B3DA" w14:textId="77777777" w:rsidR="00873911" w:rsidRPr="00E2458A" w:rsidRDefault="00873911" w:rsidP="00873911">
      <w:pPr>
        <w:spacing w:after="0"/>
        <w:ind w:left="426" w:hanging="426"/>
        <w:jc w:val="both"/>
        <w:rPr>
          <w:rFonts w:ascii="Times New Roman" w:hAnsi="Times New Roman" w:cs="Times New Roman"/>
          <w:sz w:val="24"/>
          <w:szCs w:val="24"/>
          <w:lang w:val="en-US"/>
        </w:rPr>
      </w:pPr>
      <w:r w:rsidRPr="00E2458A">
        <w:rPr>
          <w:rFonts w:ascii="Times New Roman" w:hAnsi="Times New Roman" w:cs="Times New Roman"/>
          <w:sz w:val="24"/>
          <w:szCs w:val="24"/>
          <w:lang w:val="en-US"/>
        </w:rPr>
        <w:t>H</w:t>
      </w:r>
      <w:r w:rsidRPr="00E2458A">
        <w:rPr>
          <w:rFonts w:ascii="Times New Roman" w:hAnsi="Times New Roman" w:cs="Times New Roman"/>
          <w:sz w:val="24"/>
          <w:szCs w:val="24"/>
          <w:vertAlign w:val="subscript"/>
          <w:lang w:val="en-US"/>
        </w:rPr>
        <w:t>1.1</w:t>
      </w:r>
      <w:r w:rsidRPr="00E2458A">
        <w:rPr>
          <w:rFonts w:ascii="Times New Roman" w:hAnsi="Times New Roman" w:cs="Times New Roman"/>
          <w:sz w:val="24"/>
          <w:szCs w:val="24"/>
          <w:lang w:val="en-US"/>
        </w:rPr>
        <w:t>: Translation</w:t>
      </w:r>
      <w:r>
        <w:rPr>
          <w:rFonts w:ascii="Times New Roman" w:hAnsi="Times New Roman" w:cs="Times New Roman"/>
          <w:sz w:val="24"/>
          <w:szCs w:val="24"/>
          <w:lang w:val="en-US"/>
        </w:rPr>
        <w:t>s</w:t>
      </w:r>
      <w:r w:rsidRPr="00E2458A">
        <w:rPr>
          <w:rFonts w:ascii="Times New Roman" w:hAnsi="Times New Roman" w:cs="Times New Roman"/>
          <w:sz w:val="24"/>
          <w:szCs w:val="24"/>
          <w:lang w:val="en-US"/>
        </w:rPr>
        <w:t xml:space="preserve"> by copying and rendering have different connotations for a weird fiction toponym in the TLC. </w:t>
      </w:r>
    </w:p>
    <w:p w14:paraId="520D7ED9" w14:textId="77777777" w:rsidR="00873911" w:rsidRPr="00E2458A" w:rsidRDefault="00873911" w:rsidP="00873911">
      <w:pPr>
        <w:spacing w:after="0"/>
        <w:ind w:left="426" w:hanging="426"/>
        <w:jc w:val="both"/>
        <w:rPr>
          <w:rFonts w:ascii="Times New Roman" w:hAnsi="Times New Roman" w:cs="Times New Roman"/>
          <w:sz w:val="24"/>
          <w:szCs w:val="24"/>
          <w:lang w:val="en-US"/>
        </w:rPr>
      </w:pPr>
      <w:r w:rsidRPr="00E2458A">
        <w:rPr>
          <w:rFonts w:ascii="Times New Roman" w:hAnsi="Times New Roman" w:cs="Times New Roman"/>
          <w:sz w:val="24"/>
          <w:szCs w:val="24"/>
          <w:lang w:val="en-US"/>
        </w:rPr>
        <w:t>H</w:t>
      </w:r>
      <w:r w:rsidRPr="00E2458A">
        <w:rPr>
          <w:rFonts w:ascii="Times New Roman" w:hAnsi="Times New Roman" w:cs="Times New Roman"/>
          <w:sz w:val="24"/>
          <w:szCs w:val="24"/>
          <w:vertAlign w:val="subscript"/>
          <w:lang w:val="en-US"/>
        </w:rPr>
        <w:t>1.2</w:t>
      </w:r>
      <w:r w:rsidRPr="00E2458A">
        <w:rPr>
          <w:rFonts w:ascii="Times New Roman" w:hAnsi="Times New Roman" w:cs="Times New Roman"/>
          <w:sz w:val="24"/>
          <w:szCs w:val="24"/>
          <w:lang w:val="en-US"/>
        </w:rPr>
        <w:t>: Compared to rendering, copying is more potent at evoking the feeling of horror—stronger connotations of the</w:t>
      </w:r>
      <w:r w:rsidRPr="00E2458A">
        <w:rPr>
          <w:rFonts w:ascii="Times New Roman" w:hAnsi="Times New Roman" w:cs="Times New Roman"/>
          <w:smallCaps/>
          <w:sz w:val="24"/>
          <w:szCs w:val="24"/>
          <w:lang w:val="en-US"/>
        </w:rPr>
        <w:t xml:space="preserve"> (ac)cursed, </w:t>
      </w:r>
      <w:r w:rsidRPr="00E2458A">
        <w:rPr>
          <w:rFonts w:ascii="Times New Roman" w:hAnsi="Times New Roman" w:cs="Times New Roman"/>
          <w:sz w:val="24"/>
          <w:szCs w:val="24"/>
          <w:lang w:val="en-US"/>
        </w:rPr>
        <w:t>the</w:t>
      </w:r>
      <w:r w:rsidRPr="00E2458A">
        <w:rPr>
          <w:rFonts w:ascii="Times New Roman" w:hAnsi="Times New Roman" w:cs="Times New Roman"/>
          <w:smallCaps/>
          <w:sz w:val="24"/>
          <w:szCs w:val="24"/>
          <w:lang w:val="en-US"/>
        </w:rPr>
        <w:t xml:space="preserve"> alien, anxiety, chaos, danger, darkness, death, </w:t>
      </w:r>
      <w:r w:rsidRPr="00E2458A">
        <w:rPr>
          <w:rFonts w:ascii="Times New Roman" w:hAnsi="Times New Roman" w:cs="Times New Roman"/>
          <w:sz w:val="24"/>
          <w:szCs w:val="24"/>
          <w:lang w:val="en-US"/>
        </w:rPr>
        <w:t>the</w:t>
      </w:r>
      <w:r w:rsidRPr="00E2458A">
        <w:rPr>
          <w:rFonts w:ascii="Times New Roman" w:hAnsi="Times New Roman" w:cs="Times New Roman"/>
          <w:smallCaps/>
          <w:sz w:val="24"/>
          <w:szCs w:val="24"/>
          <w:lang w:val="en-US"/>
        </w:rPr>
        <w:t xml:space="preserve"> evil, </w:t>
      </w:r>
      <w:r w:rsidRPr="00E2458A">
        <w:rPr>
          <w:rFonts w:ascii="Times New Roman" w:hAnsi="Times New Roman" w:cs="Times New Roman"/>
          <w:sz w:val="24"/>
          <w:szCs w:val="24"/>
          <w:lang w:val="en-US"/>
        </w:rPr>
        <w:t>and</w:t>
      </w:r>
      <w:r w:rsidRPr="00E2458A">
        <w:rPr>
          <w:rFonts w:ascii="Times New Roman" w:hAnsi="Times New Roman" w:cs="Times New Roman"/>
          <w:smallCaps/>
          <w:sz w:val="24"/>
          <w:szCs w:val="24"/>
          <w:lang w:val="en-US"/>
        </w:rPr>
        <w:t xml:space="preserve"> impurity. </w:t>
      </w:r>
    </w:p>
    <w:p w14:paraId="6AC81DB3" w14:textId="77777777" w:rsidR="00873911" w:rsidRPr="00E2458A" w:rsidRDefault="00873911" w:rsidP="00873911">
      <w:pPr>
        <w:ind w:left="426" w:hanging="426"/>
        <w:jc w:val="both"/>
        <w:rPr>
          <w:rFonts w:ascii="Times New Roman" w:hAnsi="Times New Roman" w:cs="Times New Roman"/>
          <w:sz w:val="24"/>
          <w:szCs w:val="24"/>
          <w:lang w:val="en-US"/>
        </w:rPr>
      </w:pPr>
      <w:r w:rsidRPr="00E2458A">
        <w:rPr>
          <w:rFonts w:ascii="Times New Roman" w:hAnsi="Times New Roman" w:cs="Times New Roman"/>
          <w:sz w:val="24"/>
          <w:szCs w:val="24"/>
          <w:lang w:val="en-US"/>
        </w:rPr>
        <w:t>H</w:t>
      </w:r>
      <w:r w:rsidRPr="00E2458A">
        <w:rPr>
          <w:rFonts w:ascii="Times New Roman" w:hAnsi="Times New Roman" w:cs="Times New Roman"/>
          <w:sz w:val="24"/>
          <w:szCs w:val="24"/>
          <w:vertAlign w:val="subscript"/>
          <w:lang w:val="en-US"/>
        </w:rPr>
        <w:t>2</w:t>
      </w:r>
      <w:r w:rsidRPr="00E2458A">
        <w:rPr>
          <w:rFonts w:ascii="Times New Roman" w:hAnsi="Times New Roman" w:cs="Times New Roman"/>
          <w:sz w:val="24"/>
          <w:szCs w:val="24"/>
          <w:lang w:val="en-US"/>
        </w:rPr>
        <w:t>: Compared to the SLC’s reception, in the TLC’s reception, translation by copying is related to fewer instances of connotational divergence than translation by rendering.</w:t>
      </w:r>
    </w:p>
    <w:p w14:paraId="1A285830" w14:textId="77777777" w:rsidR="00873911" w:rsidRPr="00E2458A" w:rsidRDefault="00873911" w:rsidP="00873911">
      <w:pPr>
        <w:autoSpaceDE w:val="0"/>
        <w:autoSpaceDN w:val="0"/>
        <w:adjustRightInd w:val="0"/>
        <w:spacing w:before="240" w:line="240" w:lineRule="auto"/>
        <w:jc w:val="center"/>
        <w:rPr>
          <w:rFonts w:ascii="Times New Roman" w:hAnsi="Times New Roman" w:cs="Times New Roman"/>
          <w:b/>
          <w:bCs/>
          <w:smallCaps/>
          <w:kern w:val="0"/>
          <w:sz w:val="24"/>
          <w:szCs w:val="24"/>
          <w:lang w:val="en-US"/>
        </w:rPr>
      </w:pPr>
      <w:r w:rsidRPr="00E2458A">
        <w:rPr>
          <w:rFonts w:ascii="Times New Roman" w:hAnsi="Times New Roman" w:cs="Times New Roman"/>
          <w:b/>
          <w:bCs/>
          <w:smallCaps/>
          <w:kern w:val="0"/>
          <w:sz w:val="24"/>
          <w:szCs w:val="24"/>
          <w:lang w:val="en-US"/>
        </w:rPr>
        <w:t>Method</w:t>
      </w:r>
    </w:p>
    <w:p w14:paraId="18CBDC2B" w14:textId="77777777" w:rsidR="00873911" w:rsidRPr="00E2458A" w:rsidRDefault="00873911" w:rsidP="00873911">
      <w:pPr>
        <w:autoSpaceDE w:val="0"/>
        <w:autoSpaceDN w:val="0"/>
        <w:adjustRightInd w:val="0"/>
        <w:spacing w:line="240" w:lineRule="auto"/>
        <w:jc w:val="center"/>
        <w:rPr>
          <w:rFonts w:ascii="Times New Roman" w:hAnsi="Times New Roman" w:cs="Times New Roman"/>
          <w:b/>
          <w:bCs/>
          <w:smallCaps/>
          <w:kern w:val="0"/>
          <w:sz w:val="20"/>
          <w:szCs w:val="20"/>
          <w:lang w:val="en-US"/>
        </w:rPr>
      </w:pPr>
      <w:r w:rsidRPr="00E2458A">
        <w:rPr>
          <w:rFonts w:ascii="Times New Roman" w:hAnsi="Times New Roman" w:cs="Times New Roman"/>
          <w:b/>
          <w:bCs/>
          <w:smallCaps/>
          <w:kern w:val="0"/>
          <w:sz w:val="20"/>
          <w:szCs w:val="20"/>
          <w:lang w:val="en-US"/>
        </w:rPr>
        <w:t>Instruments</w:t>
      </w:r>
    </w:p>
    <w:p w14:paraId="5FCA0FF9" w14:textId="77777777" w:rsidR="00873911" w:rsidRPr="00E2458A" w:rsidRDefault="00873911" w:rsidP="00873911">
      <w:pPr>
        <w:autoSpaceDE w:val="0"/>
        <w:autoSpaceDN w:val="0"/>
        <w:adjustRightInd w:val="0"/>
        <w:spacing w:after="0" w:line="240" w:lineRule="auto"/>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kern w:val="0"/>
          <w:sz w:val="24"/>
          <w:szCs w:val="24"/>
          <w:lang w:val="en-US"/>
        </w:rPr>
        <w:t>Being a part of a larger research project on translation of meaningful proper names in fiction, this study makes use of the Polish and English versions of the Binary Dimensions Matrix (</w:t>
      </w:r>
      <w:proofErr w:type="spellStart"/>
      <w:r w:rsidRPr="00E2458A">
        <w:rPr>
          <w:rFonts w:ascii="Times New Roman" w:hAnsi="Times New Roman" w:cs="Times New Roman"/>
          <w:smallCaps/>
          <w:kern w:val="0"/>
          <w:sz w:val="24"/>
          <w:szCs w:val="24"/>
          <w:lang w:val="en-US"/>
        </w:rPr>
        <w:t>BDsM</w:t>
      </w:r>
      <w:proofErr w:type="spellEnd"/>
      <w:r w:rsidRPr="00E2458A">
        <w:rPr>
          <w:rFonts w:ascii="Times New Roman" w:hAnsi="Times New Roman" w:cs="Times New Roman"/>
          <w:kern w:val="0"/>
          <w:sz w:val="24"/>
          <w:szCs w:val="24"/>
          <w:lang w:val="en-US"/>
        </w:rPr>
        <w:t xml:space="preserve">), a custom-made inventory designed especially for the purpose of the project. Inspired by the </w:t>
      </w:r>
      <w:r w:rsidRPr="00E2458A">
        <w:rPr>
          <w:rFonts w:ascii="Times New Roman" w:hAnsi="Times New Roman" w:cs="Times New Roman"/>
          <w:color w:val="2B292A"/>
          <w:sz w:val="24"/>
          <w:szCs w:val="24"/>
          <w:shd w:val="clear" w:color="auto" w:fill="FFFFFF"/>
          <w:lang w:val="en-US"/>
        </w:rPr>
        <w:t xml:space="preserve">semantic differential </w:t>
      </w:r>
      <w:r w:rsidRPr="00E2458A">
        <w:rPr>
          <w:rFonts w:ascii="Times New Roman" w:hAnsi="Times New Roman" w:cs="Times New Roman"/>
          <w:color w:val="2B292A"/>
          <w:sz w:val="24"/>
          <w:szCs w:val="24"/>
          <w:shd w:val="clear" w:color="auto" w:fill="FFFFFF"/>
          <w:lang w:val="en-US"/>
        </w:rPr>
        <w:fldChar w:fldCharType="begin"/>
      </w:r>
      <w:r w:rsidRPr="00E2458A">
        <w:rPr>
          <w:rFonts w:ascii="Times New Roman" w:hAnsi="Times New Roman" w:cs="Times New Roman"/>
          <w:color w:val="2B292A"/>
          <w:sz w:val="24"/>
          <w:szCs w:val="24"/>
          <w:shd w:val="clear" w:color="auto" w:fill="FFFFFF"/>
          <w:lang w:val="en-US"/>
        </w:rPr>
        <w:instrText xml:space="preserve"> ADDIN ZOTERO_ITEM CSL_CITATION {"citationID":"HH9UM21P","properties":{"formattedCitation":"(Osgood et al., 1967)","plainCitation":"(Osgood et al., 1967)","noteIndex":0},"citationItems":[{"id":20,"uris":["http://zotero.org/users/12744911/items/PTSPXCLR"],"itemData":{"id":20,"type":"book","event-place":"Urbana Chicago and London","ISBN":"978-0-252-74539-3","language":"eng","number-of-pages":"346","publisher":"University of Illinois Press","publisher-place":"Urbana Chicago and London","source":"K10plus ISBN","title":"The measurement of meaning","author":[{"family":"Osgood","given":"Charles Egerton"},{"family":"Suci","given":"George J."},{"family":"Tannenbaum","given":"Percy H."}],"issued":{"date-parts":[["1967"]]}}}],"schema":"https://github.com/citation-style-language/schema/raw/master/csl-citation.json"} </w:instrText>
      </w:r>
      <w:r w:rsidRPr="00E2458A">
        <w:rPr>
          <w:rFonts w:ascii="Times New Roman" w:hAnsi="Times New Roman" w:cs="Times New Roman"/>
          <w:color w:val="2B292A"/>
          <w:sz w:val="24"/>
          <w:szCs w:val="24"/>
          <w:shd w:val="clear" w:color="auto" w:fill="FFFFFF"/>
          <w:lang w:val="en-US"/>
        </w:rPr>
        <w:fldChar w:fldCharType="separate"/>
      </w:r>
      <w:r w:rsidRPr="00E2458A">
        <w:rPr>
          <w:rFonts w:ascii="Times New Roman" w:hAnsi="Times New Roman" w:cs="Times New Roman"/>
          <w:sz w:val="24"/>
          <w:szCs w:val="24"/>
          <w:lang w:val="en-US"/>
        </w:rPr>
        <w:t>(Osgood et al., 1967)</w:t>
      </w:r>
      <w:r w:rsidRPr="00E2458A">
        <w:rPr>
          <w:rFonts w:ascii="Times New Roman" w:hAnsi="Times New Roman" w:cs="Times New Roman"/>
          <w:color w:val="2B292A"/>
          <w:sz w:val="24"/>
          <w:szCs w:val="24"/>
          <w:shd w:val="clear" w:color="auto" w:fill="FFFFFF"/>
          <w:lang w:val="en-US"/>
        </w:rPr>
        <w:fldChar w:fldCharType="end"/>
      </w:r>
      <w:r w:rsidRPr="00E2458A">
        <w:rPr>
          <w:rFonts w:ascii="Times New Roman" w:hAnsi="Times New Roman" w:cs="Times New Roman"/>
          <w:color w:val="2B292A"/>
          <w:sz w:val="24"/>
          <w:szCs w:val="24"/>
          <w:shd w:val="clear" w:color="auto" w:fill="FFFFFF"/>
          <w:lang w:val="en-US"/>
        </w:rPr>
        <w:t xml:space="preserve"> technique—a quantitative measure of attitudes and associations towards a single stimulus or sign, or subjective meaning thereof—the </w:t>
      </w:r>
      <w:proofErr w:type="spellStart"/>
      <w:r w:rsidRPr="00E2458A">
        <w:rPr>
          <w:rFonts w:ascii="Times New Roman" w:hAnsi="Times New Roman" w:cs="Times New Roman"/>
          <w:smallCaps/>
          <w:color w:val="2B292A"/>
          <w:sz w:val="24"/>
          <w:szCs w:val="24"/>
          <w:shd w:val="clear" w:color="auto" w:fill="FFFFFF"/>
          <w:lang w:val="en-US"/>
        </w:rPr>
        <w:t>BDsM</w:t>
      </w:r>
      <w:proofErr w:type="spellEnd"/>
      <w:r w:rsidRPr="00E2458A">
        <w:rPr>
          <w:rFonts w:ascii="Times New Roman" w:hAnsi="Times New Roman" w:cs="Times New Roman"/>
          <w:color w:val="2B292A"/>
          <w:sz w:val="24"/>
          <w:szCs w:val="24"/>
          <w:shd w:val="clear" w:color="auto" w:fill="FFFFFF"/>
          <w:lang w:val="en-US"/>
        </w:rPr>
        <w:t xml:space="preserve"> consists of 41 pairs of binary oppositions, such as </w:t>
      </w:r>
      <w:r w:rsidRPr="00E2458A">
        <w:rPr>
          <w:rFonts w:ascii="Times New Roman" w:hAnsi="Times New Roman" w:cs="Times New Roman"/>
          <w:smallCaps/>
          <w:color w:val="2B292A"/>
          <w:sz w:val="24"/>
          <w:szCs w:val="24"/>
          <w:shd w:val="clear" w:color="auto" w:fill="FFFFFF"/>
          <w:lang w:val="en-US"/>
        </w:rPr>
        <w:t>dry</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smallCaps/>
          <w:color w:val="2B292A"/>
          <w:sz w:val="24"/>
          <w:szCs w:val="24"/>
          <w:shd w:val="clear" w:color="auto" w:fill="FFFFFF"/>
          <w:lang w:val="en-US"/>
        </w:rPr>
        <w:t>wet</w:t>
      </w:r>
      <w:r w:rsidRPr="00E2458A">
        <w:rPr>
          <w:rFonts w:ascii="Times New Roman" w:hAnsi="Times New Roman" w:cs="Times New Roman"/>
          <w:color w:val="2B292A"/>
          <w:sz w:val="24"/>
          <w:szCs w:val="24"/>
          <w:shd w:val="clear" w:color="auto" w:fill="FFFFFF"/>
          <w:lang w:val="en-US"/>
        </w:rPr>
        <w:t xml:space="preserve">, </w:t>
      </w:r>
      <w:r w:rsidRPr="00E2458A">
        <w:rPr>
          <w:rFonts w:ascii="Times New Roman" w:hAnsi="Times New Roman" w:cs="Times New Roman"/>
          <w:smallCaps/>
          <w:color w:val="2B292A"/>
          <w:sz w:val="24"/>
          <w:szCs w:val="24"/>
          <w:shd w:val="clear" w:color="auto" w:fill="FFFFFF"/>
          <w:lang w:val="en-US"/>
        </w:rPr>
        <w:t>good</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smallCaps/>
          <w:color w:val="2B292A"/>
          <w:sz w:val="24"/>
          <w:szCs w:val="24"/>
          <w:shd w:val="clear" w:color="auto" w:fill="FFFFFF"/>
          <w:lang w:val="en-US"/>
        </w:rPr>
        <w:t>evil</w:t>
      </w:r>
      <w:r w:rsidRPr="00E2458A">
        <w:rPr>
          <w:rFonts w:ascii="Times New Roman" w:hAnsi="Times New Roman" w:cs="Times New Roman"/>
          <w:color w:val="2B292A"/>
          <w:sz w:val="24"/>
          <w:szCs w:val="24"/>
          <w:shd w:val="clear" w:color="auto" w:fill="FFFFFF"/>
          <w:lang w:val="en-US"/>
        </w:rPr>
        <w:t xml:space="preserve">, </w:t>
      </w:r>
      <w:r w:rsidRPr="00E2458A">
        <w:rPr>
          <w:rFonts w:ascii="Times New Roman" w:hAnsi="Times New Roman" w:cs="Times New Roman"/>
          <w:smallCaps/>
          <w:color w:val="2B292A"/>
          <w:sz w:val="24"/>
          <w:szCs w:val="24"/>
          <w:shd w:val="clear" w:color="auto" w:fill="FFFFFF"/>
          <w:lang w:val="en-US"/>
        </w:rPr>
        <w:t>darkness</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smallCaps/>
          <w:color w:val="2B292A"/>
          <w:sz w:val="24"/>
          <w:szCs w:val="24"/>
          <w:shd w:val="clear" w:color="auto" w:fill="FFFFFF"/>
          <w:lang w:val="en-US"/>
        </w:rPr>
        <w:t>light</w:t>
      </w:r>
      <w:r w:rsidRPr="00E2458A">
        <w:rPr>
          <w:rFonts w:ascii="Times New Roman" w:hAnsi="Times New Roman" w:cs="Times New Roman"/>
          <w:color w:val="2B292A"/>
          <w:sz w:val="24"/>
          <w:szCs w:val="24"/>
          <w:shd w:val="clear" w:color="auto" w:fill="FFFFFF"/>
          <w:lang w:val="en-US"/>
        </w:rPr>
        <w:t>, etc. The words in each pair mark the extremes of a continuum, whereon the participants are asked to mark down their associations with the sign—</w:t>
      </w:r>
      <w:r>
        <w:rPr>
          <w:rFonts w:ascii="Times New Roman" w:hAnsi="Times New Roman" w:cs="Times New Roman"/>
          <w:color w:val="2B292A"/>
          <w:sz w:val="24"/>
          <w:szCs w:val="24"/>
          <w:shd w:val="clear" w:color="auto" w:fill="FFFFFF"/>
          <w:lang w:val="en-US"/>
        </w:rPr>
        <w:t xml:space="preserve">here, </w:t>
      </w:r>
      <w:r w:rsidRPr="00E2458A">
        <w:rPr>
          <w:rFonts w:ascii="Times New Roman" w:hAnsi="Times New Roman" w:cs="Times New Roman"/>
          <w:color w:val="2B292A"/>
          <w:sz w:val="24"/>
          <w:szCs w:val="24"/>
          <w:shd w:val="clear" w:color="auto" w:fill="FFFFFF"/>
          <w:lang w:val="en-US"/>
        </w:rPr>
        <w:t>a meaningful literary toponym. Once the name is presented, the instruction encourages the participants to picture the place, ponder what it is like and how it makes them feel. Then they are asked to assess the place with regard to each pair of oppositions or—in other words—to locate the place on the continuum between them. The answers are given on a 7-point labelled scale ranging from “1—only the first (</w:t>
      </w:r>
      <w:r w:rsidRPr="00E2458A">
        <w:rPr>
          <w:rFonts w:ascii="Times New Roman" w:eastAsia="Yu Mincho" w:hAnsi="Times New Roman" w:cs="Times New Roman"/>
          <w:color w:val="2B292A"/>
          <w:sz w:val="24"/>
          <w:szCs w:val="24"/>
          <w:shd w:val="clear" w:color="auto" w:fill="FFFFFF"/>
          <w:lang w:val="en-US" w:eastAsia="ja-JP"/>
        </w:rPr>
        <w:t>←</w:t>
      </w:r>
      <w:r w:rsidRPr="00E2458A">
        <w:rPr>
          <w:rFonts w:ascii="Times New Roman" w:hAnsi="Times New Roman" w:cs="Times New Roman"/>
          <w:color w:val="2B292A"/>
          <w:sz w:val="24"/>
          <w:szCs w:val="24"/>
          <w:shd w:val="clear" w:color="auto" w:fill="FFFFFF"/>
          <w:lang w:val="en-US"/>
        </w:rPr>
        <w:t>left) word of the pair” through “4—both words equally” to “7—only the second (right</w:t>
      </w:r>
      <w:r w:rsidRPr="00E2458A">
        <w:rPr>
          <w:rFonts w:ascii="Times New Roman" w:hAnsi="Times New Roman" w:cs="Times New Roman"/>
          <w:color w:val="2B292A"/>
          <w:sz w:val="24"/>
          <w:szCs w:val="24"/>
          <w:shd w:val="clear" w:color="auto" w:fill="FFFFFF"/>
          <w:lang w:val="en-US" w:eastAsia="ja-JP"/>
        </w:rPr>
        <w:t>→</w:t>
      </w:r>
      <w:r w:rsidRPr="00E2458A">
        <w:rPr>
          <w:rFonts w:ascii="Times New Roman" w:hAnsi="Times New Roman" w:cs="Times New Roman"/>
          <w:color w:val="2B292A"/>
          <w:sz w:val="24"/>
          <w:szCs w:val="24"/>
          <w:shd w:val="clear" w:color="auto" w:fill="FFFFFF"/>
          <w:lang w:val="en-US"/>
        </w:rPr>
        <w:t xml:space="preserve">) word of the pair”. For the </w:t>
      </w:r>
      <w:r>
        <w:rPr>
          <w:rFonts w:ascii="Times New Roman" w:hAnsi="Times New Roman" w:cs="Times New Roman"/>
          <w:color w:val="2B292A"/>
          <w:sz w:val="24"/>
          <w:szCs w:val="24"/>
          <w:shd w:val="clear" w:color="auto" w:fill="FFFFFF"/>
          <w:lang w:val="en-US"/>
        </w:rPr>
        <w:t>full</w:t>
      </w:r>
      <w:r w:rsidRPr="00E2458A">
        <w:rPr>
          <w:rFonts w:ascii="Times New Roman" w:hAnsi="Times New Roman" w:cs="Times New Roman"/>
          <w:color w:val="2B292A"/>
          <w:sz w:val="24"/>
          <w:szCs w:val="24"/>
          <w:shd w:val="clear" w:color="auto" w:fill="FFFFFF"/>
          <w:lang w:val="en-US"/>
        </w:rPr>
        <w:t xml:space="preserve"> list of items, see the complete questionnaire in appendix A or the visualization of the results in Figure 1.</w:t>
      </w:r>
    </w:p>
    <w:p w14:paraId="65D39FB1"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 xml:space="preserve">Unlike the original semantic differential procedure, here the categories were stipulated in advance (i.e., </w:t>
      </w:r>
      <w:r>
        <w:rPr>
          <w:rFonts w:ascii="Times New Roman" w:hAnsi="Times New Roman" w:cs="Times New Roman"/>
          <w:color w:val="2B292A"/>
          <w:sz w:val="24"/>
          <w:szCs w:val="24"/>
          <w:shd w:val="clear" w:color="auto" w:fill="FFFFFF"/>
          <w:lang w:val="en-US"/>
        </w:rPr>
        <w:t xml:space="preserve">not </w:t>
      </w:r>
      <w:r w:rsidRPr="00E2458A">
        <w:rPr>
          <w:rFonts w:ascii="Times New Roman" w:hAnsi="Times New Roman" w:cs="Times New Roman"/>
          <w:color w:val="2B292A"/>
          <w:sz w:val="24"/>
          <w:szCs w:val="24"/>
          <w:shd w:val="clear" w:color="auto" w:fill="FFFFFF"/>
          <w:lang w:val="en-US"/>
        </w:rPr>
        <w:t xml:space="preserve">proposed by the participants </w:t>
      </w:r>
      <w:r>
        <w:rPr>
          <w:rFonts w:ascii="Times New Roman" w:hAnsi="Times New Roman" w:cs="Times New Roman"/>
          <w:color w:val="2B292A"/>
          <w:sz w:val="24"/>
          <w:szCs w:val="24"/>
          <w:shd w:val="clear" w:color="auto" w:fill="FFFFFF"/>
          <w:lang w:val="en-US"/>
        </w:rPr>
        <w:t xml:space="preserve">but </w:t>
      </w:r>
      <w:r w:rsidRPr="00E2458A">
        <w:rPr>
          <w:rFonts w:ascii="Times New Roman" w:hAnsi="Times New Roman" w:cs="Times New Roman"/>
          <w:color w:val="2B292A"/>
          <w:sz w:val="24"/>
          <w:szCs w:val="24"/>
          <w:shd w:val="clear" w:color="auto" w:fill="FFFFFF"/>
          <w:lang w:val="en-US"/>
        </w:rPr>
        <w:t xml:space="preserve">pre-determined by the experimenter). Limiting the array of possible categories was necessary to ensure comparability of the results in particular dimensions. Although the categories are not necessarily universal and may carry different symbolic readings across cultures, they were informed by the original psychological studies </w:t>
      </w:r>
      <w:r w:rsidRPr="00E2458A">
        <w:rPr>
          <w:rFonts w:ascii="Times New Roman" w:hAnsi="Times New Roman" w:cs="Times New Roman"/>
          <w:color w:val="2B292A"/>
          <w:sz w:val="24"/>
          <w:szCs w:val="24"/>
          <w:shd w:val="clear" w:color="auto" w:fill="FFFFFF"/>
          <w:lang w:val="en-US"/>
        </w:rPr>
        <w:fldChar w:fldCharType="begin"/>
      </w:r>
      <w:r w:rsidRPr="00E2458A">
        <w:rPr>
          <w:rFonts w:ascii="Times New Roman" w:hAnsi="Times New Roman" w:cs="Times New Roman"/>
          <w:color w:val="2B292A"/>
          <w:sz w:val="24"/>
          <w:szCs w:val="24"/>
          <w:shd w:val="clear" w:color="auto" w:fill="FFFFFF"/>
          <w:lang w:val="en-US"/>
        </w:rPr>
        <w:instrText xml:space="preserve"> ADDIN ZOTERO_ITEM CSL_CITATION {"citationID":"iqsCtVaz","properties":{"formattedCitation":"(Heise, 2010; Osgood et al., 1967)","plainCitation":"(Heise, 2010; Osgood et al., 1967)","noteIndex":0},"citationItems":[{"id":86,"uris":["http://zotero.org/users/12744911/items/PI5JGDGY"],"itemData":{"id":86,"type":"book","abstract":"\"Surveying Cultures explores the traditional and the emerging methods used for surveying cultures. This volume is the first book to deal explicitly with cultural surveys and survey methodology, uniquely combing survey methods, anthropological studies, and psychometric theory. Including a list of highlights in each chapter, this resource introduces a theory of measurement for ethnographic studies that employs the consensus-as-culture model. As one of the first in methodology to accurately collect and decipher data on cultural norms and sentiments, this textbook is essential for students in this field of study\"--Provided by publisher","call-number":"HM538 .H45 2010","event-place":"Hoboken, N.J","ISBN":"978-0-470-47907-0","note":"OCLC: ocn430522232","number-of-pages":"229","publisher":"Wiley","publisher-place":"Hoboken, N.J","source":"Library of Congress ISBN","title":"Surveying cultures: discovering shared conceptions and sentiments","title-short":"Surveying cultures","author":[{"family":"Heise","given":"David R."}],"issued":{"date-parts":[["2010"]]}}},{"id":20,"uris":["http://zotero.org/users/12744911/items/PTSPXCLR"],"itemData":{"id":20,"type":"book","event-place":"Urbana Chicago and London","ISBN":"978-0-252-74539-3","language":"eng","number-of-pages":"346","publisher":"University of Illinois Press","publisher-place":"Urbana Chicago and London","source":"K10plus ISBN","title":"The measurement of meaning","author":[{"family":"Osgood","given":"Charles Egerton"},{"family":"Suci","given":"George J."},{"family":"Tannenbaum","given":"Percy H."}],"issued":{"date-parts":[["1967"]]}}}],"schema":"https://github.com/citation-style-language/schema/raw/master/csl-citation.json"} </w:instrText>
      </w:r>
      <w:r w:rsidRPr="00E2458A">
        <w:rPr>
          <w:rFonts w:ascii="Times New Roman" w:hAnsi="Times New Roman" w:cs="Times New Roman"/>
          <w:color w:val="2B292A"/>
          <w:sz w:val="24"/>
          <w:szCs w:val="24"/>
          <w:shd w:val="clear" w:color="auto" w:fill="FFFFFF"/>
          <w:lang w:val="en-US"/>
        </w:rPr>
        <w:fldChar w:fldCharType="separate"/>
      </w:r>
      <w:r w:rsidRPr="00E2458A">
        <w:rPr>
          <w:rFonts w:ascii="Times New Roman" w:hAnsi="Times New Roman" w:cs="Times New Roman"/>
          <w:sz w:val="24"/>
          <w:szCs w:val="24"/>
          <w:lang w:val="en-US"/>
        </w:rPr>
        <w:t>(Osgood et al., 1967)</w:t>
      </w:r>
      <w:r w:rsidRPr="00E2458A">
        <w:rPr>
          <w:rFonts w:ascii="Times New Roman" w:hAnsi="Times New Roman" w:cs="Times New Roman"/>
          <w:color w:val="2B292A"/>
          <w:sz w:val="24"/>
          <w:szCs w:val="24"/>
          <w:shd w:val="clear" w:color="auto" w:fill="FFFFFF"/>
          <w:lang w:val="en-US"/>
        </w:rPr>
        <w:fldChar w:fldCharType="end"/>
      </w:r>
      <w:r w:rsidRPr="00E2458A">
        <w:rPr>
          <w:rFonts w:ascii="Times New Roman" w:hAnsi="Times New Roman" w:cs="Times New Roman"/>
          <w:color w:val="2B292A"/>
          <w:sz w:val="24"/>
          <w:szCs w:val="24"/>
          <w:shd w:val="clear" w:color="auto" w:fill="FFFFFF"/>
          <w:lang w:val="en-US"/>
        </w:rPr>
        <w:t xml:space="preserve">, as well as linguistic and anthropological thought, and may be considered as reflecting at least some of the most fundamental categories of human cognition. </w:t>
      </w:r>
    </w:p>
    <w:p w14:paraId="02A23A26"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Moreover, contrary to the original technique, the words comprising the oppositions are not limited to adjectives</w:t>
      </w:r>
      <w:r>
        <w:rPr>
          <w:rFonts w:ascii="Times New Roman" w:hAnsi="Times New Roman" w:cs="Times New Roman"/>
          <w:color w:val="2B292A"/>
          <w:sz w:val="24"/>
          <w:szCs w:val="24"/>
          <w:shd w:val="clear" w:color="auto" w:fill="FFFFFF"/>
          <w:lang w:val="en-US"/>
        </w:rPr>
        <w:t>—</w:t>
      </w:r>
      <w:r w:rsidRPr="00E2458A">
        <w:rPr>
          <w:rFonts w:ascii="Times New Roman" w:hAnsi="Times New Roman" w:cs="Times New Roman"/>
          <w:color w:val="2B292A"/>
          <w:sz w:val="24"/>
          <w:szCs w:val="24"/>
          <w:shd w:val="clear" w:color="auto" w:fill="FFFFFF"/>
          <w:lang w:val="en-US"/>
        </w:rPr>
        <w:t>some are nouns. The primary function of adjectives is to describe qualit</w:t>
      </w:r>
      <w:r>
        <w:rPr>
          <w:rFonts w:ascii="Times New Roman" w:hAnsi="Times New Roman" w:cs="Times New Roman"/>
          <w:color w:val="2B292A"/>
          <w:sz w:val="24"/>
          <w:szCs w:val="24"/>
          <w:shd w:val="clear" w:color="auto" w:fill="FFFFFF"/>
          <w:lang w:val="en-US"/>
        </w:rPr>
        <w:t>ies</w:t>
      </w:r>
      <w:r w:rsidRPr="00E2458A">
        <w:rPr>
          <w:rFonts w:ascii="Times New Roman" w:hAnsi="Times New Roman" w:cs="Times New Roman"/>
          <w:color w:val="2B292A"/>
          <w:sz w:val="24"/>
          <w:szCs w:val="24"/>
          <w:shd w:val="clear" w:color="auto" w:fill="FFFFFF"/>
          <w:lang w:val="en-US"/>
        </w:rPr>
        <w:t xml:space="preserve"> of object</w:t>
      </w:r>
      <w:r>
        <w:rPr>
          <w:rFonts w:ascii="Times New Roman" w:hAnsi="Times New Roman" w:cs="Times New Roman"/>
          <w:color w:val="2B292A"/>
          <w:sz w:val="24"/>
          <w:szCs w:val="24"/>
          <w:shd w:val="clear" w:color="auto" w:fill="FFFFFF"/>
          <w:lang w:val="en-US"/>
        </w:rPr>
        <w:t>s</w:t>
      </w:r>
      <w:r w:rsidRPr="00E2458A">
        <w:rPr>
          <w:rFonts w:ascii="Times New Roman" w:hAnsi="Times New Roman" w:cs="Times New Roman"/>
          <w:color w:val="2B292A"/>
          <w:sz w:val="24"/>
          <w:szCs w:val="24"/>
          <w:shd w:val="clear" w:color="auto" w:fill="FFFFFF"/>
          <w:lang w:val="en-US"/>
        </w:rPr>
        <w:t>, while nouns are more capable of bringing abstract ideas to mind. Take the dichotomies: dark–light (adjectives) versus darkness–light</w:t>
      </w:r>
      <w:r w:rsidRPr="00E2458A">
        <w:rPr>
          <w:rFonts w:ascii="Times New Roman" w:hAnsi="Times New Roman" w:cs="Times New Roman"/>
          <w:i/>
          <w:iCs/>
          <w:color w:val="2B292A"/>
          <w:sz w:val="24"/>
          <w:szCs w:val="24"/>
          <w:shd w:val="clear" w:color="auto" w:fill="FFFFFF"/>
          <w:lang w:val="en-US"/>
        </w:rPr>
        <w:t xml:space="preserve"> </w:t>
      </w:r>
      <w:r w:rsidRPr="00E2458A">
        <w:rPr>
          <w:rFonts w:ascii="Times New Roman" w:hAnsi="Times New Roman" w:cs="Times New Roman"/>
          <w:color w:val="2B292A"/>
          <w:sz w:val="24"/>
          <w:szCs w:val="24"/>
          <w:shd w:val="clear" w:color="auto" w:fill="FFFFFF"/>
          <w:lang w:val="en-US"/>
        </w:rPr>
        <w:t xml:space="preserve">(nouns)—the former would seem to highlight the fact that a place is ‘painted’ in light or dark colors, while the latter would seem to refer to whether the place is permeated or essentially imbued with darkness or light. Another example is one of Osgood’s dichotomies, active—passive. Being an inanimate object, a place cannot be active. It can, however, be associated with stagnancy or action. Furthermore, because </w:t>
      </w:r>
      <w:r>
        <w:rPr>
          <w:rFonts w:ascii="Times New Roman" w:hAnsi="Times New Roman" w:cs="Times New Roman"/>
          <w:color w:val="2B292A"/>
          <w:sz w:val="24"/>
          <w:szCs w:val="24"/>
          <w:shd w:val="clear" w:color="auto" w:fill="FFFFFF"/>
          <w:lang w:val="en-US"/>
        </w:rPr>
        <w:lastRenderedPageBreak/>
        <w:t xml:space="preserve">Polish </w:t>
      </w:r>
      <w:r w:rsidRPr="00E2458A">
        <w:rPr>
          <w:rFonts w:ascii="Times New Roman" w:hAnsi="Times New Roman" w:cs="Times New Roman"/>
          <w:color w:val="2B292A"/>
          <w:sz w:val="24"/>
          <w:szCs w:val="24"/>
          <w:shd w:val="clear" w:color="auto" w:fill="FFFFFF"/>
          <w:lang w:val="en-US"/>
        </w:rPr>
        <w:t>nouns and adjectives have a grammatical gender—which has been shown to carry considerable connotational loa</w:t>
      </w:r>
      <w:r w:rsidRPr="00E2458A">
        <w:rPr>
          <w:rFonts w:ascii="Times New Roman" w:hAnsi="Times New Roman" w:cs="Times New Roman"/>
          <w:sz w:val="24"/>
          <w:szCs w:val="24"/>
          <w:shd w:val="clear" w:color="auto" w:fill="FFFFFF"/>
          <w:lang w:val="en-US"/>
        </w:rPr>
        <w:t xml:space="preserve">d </w:t>
      </w:r>
      <w:r w:rsidRPr="00E2458A">
        <w:rPr>
          <w:rFonts w:ascii="Times New Roman" w:hAnsi="Times New Roman" w:cs="Times New Roman"/>
          <w:sz w:val="24"/>
          <w:szCs w:val="24"/>
          <w:shd w:val="clear" w:color="auto" w:fill="FFFFFF"/>
          <w:lang w:val="en-US"/>
        </w:rPr>
        <w:fldChar w:fldCharType="begin"/>
      </w:r>
      <w:r w:rsidRPr="00E2458A">
        <w:rPr>
          <w:rFonts w:ascii="Times New Roman" w:hAnsi="Times New Roman" w:cs="Times New Roman"/>
          <w:sz w:val="24"/>
          <w:szCs w:val="24"/>
          <w:shd w:val="clear" w:color="auto" w:fill="FFFFFF"/>
          <w:lang w:val="en-US"/>
        </w:rPr>
        <w:instrText xml:space="preserve"> ADDIN ZOTERO_ITEM CSL_CITATION {"citationID":"Mgj1VRwk","properties":{"formattedCitation":"(Phillips &amp; Boroditsky, 2003)","plainCitation":"(Phillips &amp; Boroditsky, 2003)","noteIndex":0},"citationItems":[{"id":8,"uris":["http://zotero.org/users/12744911/items/QTDGMQLQ"],"itemData":{"id":8,"type":"article-journal","abstract":"Can the language you speak affect the way you think? Unlike English, many languages have a grammatical gender system whereby all nouns are assigned a gender. Does talking about inanimate objects as if they were masculine or feminine actually lead people to think of inanimate objects as having a gender? A series of studies found effects of grammatical gender on people’s perceptions of similarity between objects and people. This was true even though the tasks were performed in English (a language devoid of grammatical gender), even when the tasks were non-linguistic (e.g., rating similarities between unlabeled pictures), and even while subjects were engaged in a verbal interference task. Finally, results showed that cross-linguistic differences in thought can be produced just by grammatical differences and in the absence of other cultural factors.","container-title":"Proceedings of the Annual Meeting of the Cognitive Science Society","language":"en","page":"928–933","source":"Zotero","title":"Can Quirks of Grammar Affect the Way You Think? Grammatical Gender and Object Concepts","volume":"Volume 25","author":[{"family":"Phillips","given":"Webb"},{"family":"Boroditsky","given":"Lera"}],"issued":{"date-parts":[["2003"]]}}}],"schema":"https://github.com/citation-style-language/schema/raw/master/csl-citation.json"} </w:instrText>
      </w:r>
      <w:r w:rsidRPr="00E2458A">
        <w:rPr>
          <w:rFonts w:ascii="Times New Roman" w:hAnsi="Times New Roman" w:cs="Times New Roman"/>
          <w:sz w:val="24"/>
          <w:szCs w:val="24"/>
          <w:shd w:val="clear" w:color="auto" w:fill="FFFFFF"/>
          <w:lang w:val="en-US"/>
        </w:rPr>
        <w:fldChar w:fldCharType="separate"/>
      </w:r>
      <w:r w:rsidRPr="00E2458A">
        <w:rPr>
          <w:rFonts w:ascii="Times New Roman" w:hAnsi="Times New Roman" w:cs="Times New Roman"/>
          <w:sz w:val="24"/>
          <w:szCs w:val="24"/>
          <w:lang w:val="en-US"/>
        </w:rPr>
        <w:t>(Phillips &amp; Boroditsky, 2003)</w:t>
      </w:r>
      <w:r w:rsidRPr="00E2458A">
        <w:rPr>
          <w:rFonts w:ascii="Times New Roman" w:hAnsi="Times New Roman" w:cs="Times New Roman"/>
          <w:sz w:val="24"/>
          <w:szCs w:val="24"/>
          <w:shd w:val="clear" w:color="auto" w:fill="FFFFFF"/>
          <w:lang w:val="en-US"/>
        </w:rPr>
        <w:fldChar w:fldCharType="end"/>
      </w:r>
      <w:r w:rsidRPr="00E2458A">
        <w:rPr>
          <w:rFonts w:ascii="Times New Roman" w:hAnsi="Times New Roman" w:cs="Times New Roman"/>
          <w:color w:val="2B292A"/>
          <w:sz w:val="24"/>
          <w:szCs w:val="24"/>
          <w:shd w:val="clear" w:color="auto" w:fill="FFFFFF"/>
          <w:lang w:val="en-US"/>
        </w:rPr>
        <w:t xml:space="preserve">—it was decided that to prevent it from contaminating the participants’ associations, all the adjectives in the Polish version were given in the neuter. </w:t>
      </w:r>
    </w:p>
    <w:p w14:paraId="249D660D"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Traditionally, when the technique of semantic differential is used in ethnolinguistic research, the favorable qualities are grouped on the left side of the questionnaire, while their pejorative oppositions—on the right side. The semantic ontology created this way may impose the notions of goodness and badness on other items—especially ones that do not fall into either categor</w:t>
      </w:r>
      <w:r>
        <w:rPr>
          <w:rFonts w:ascii="Times New Roman" w:hAnsi="Times New Roman" w:cs="Times New Roman"/>
          <w:color w:val="2B292A"/>
          <w:sz w:val="24"/>
          <w:szCs w:val="24"/>
          <w:shd w:val="clear" w:color="auto" w:fill="FFFFFF"/>
          <w:lang w:val="en-US"/>
        </w:rPr>
        <w:t>y</w:t>
      </w:r>
      <w:r w:rsidRPr="00E2458A">
        <w:rPr>
          <w:rFonts w:ascii="Times New Roman" w:hAnsi="Times New Roman" w:cs="Times New Roman"/>
          <w:color w:val="2B292A"/>
          <w:sz w:val="24"/>
          <w:szCs w:val="24"/>
          <w:shd w:val="clear" w:color="auto" w:fill="FFFFFF"/>
          <w:lang w:val="en-US"/>
        </w:rPr>
        <w:t xml:space="preserve"> by nature or depend on the context, like </w:t>
      </w:r>
      <w:r w:rsidRPr="00E2458A">
        <w:rPr>
          <w:rFonts w:ascii="Times New Roman" w:hAnsi="Times New Roman" w:cs="Times New Roman"/>
          <w:smallCaps/>
          <w:color w:val="2B292A"/>
          <w:sz w:val="24"/>
          <w:szCs w:val="24"/>
          <w:shd w:val="clear" w:color="auto" w:fill="FFFFFF"/>
          <w:lang w:val="en-US"/>
        </w:rPr>
        <w:t>feminine</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smallCaps/>
          <w:color w:val="2B292A"/>
          <w:sz w:val="24"/>
          <w:szCs w:val="24"/>
          <w:shd w:val="clear" w:color="auto" w:fill="FFFFFF"/>
          <w:lang w:val="en-US"/>
        </w:rPr>
        <w:t>masculine</w:t>
      </w:r>
      <w:r w:rsidRPr="00E2458A">
        <w:rPr>
          <w:rFonts w:ascii="Times New Roman" w:hAnsi="Times New Roman" w:cs="Times New Roman"/>
          <w:color w:val="2B292A"/>
          <w:sz w:val="24"/>
          <w:szCs w:val="24"/>
          <w:shd w:val="clear" w:color="auto" w:fill="FFFFFF"/>
          <w:lang w:val="en-US"/>
        </w:rPr>
        <w:t xml:space="preserve"> or </w:t>
      </w:r>
      <w:r w:rsidRPr="00E2458A">
        <w:rPr>
          <w:rFonts w:ascii="Times New Roman" w:hAnsi="Times New Roman" w:cs="Times New Roman"/>
          <w:smallCaps/>
          <w:color w:val="2B292A"/>
          <w:sz w:val="24"/>
          <w:szCs w:val="24"/>
          <w:shd w:val="clear" w:color="auto" w:fill="FFFFFF"/>
          <w:lang w:val="en-US"/>
        </w:rPr>
        <w:t>small</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smallCaps/>
          <w:color w:val="2B292A"/>
          <w:sz w:val="24"/>
          <w:szCs w:val="24"/>
          <w:shd w:val="clear" w:color="auto" w:fill="FFFFFF"/>
          <w:lang w:val="en-US"/>
        </w:rPr>
        <w:t xml:space="preserve">great, </w:t>
      </w:r>
      <w:r w:rsidRPr="00E2458A">
        <w:rPr>
          <w:rFonts w:ascii="Times New Roman" w:hAnsi="Times New Roman" w:cs="Times New Roman"/>
          <w:color w:val="2B292A"/>
          <w:sz w:val="24"/>
          <w:szCs w:val="24"/>
          <w:shd w:val="clear" w:color="auto" w:fill="FFFFFF"/>
          <w:lang w:val="en-US"/>
        </w:rPr>
        <w:t>respectively</w:t>
      </w:r>
      <w:r w:rsidRPr="00E2458A">
        <w:rPr>
          <w:rFonts w:ascii="Times New Roman" w:hAnsi="Times New Roman" w:cs="Times New Roman"/>
          <w:i/>
          <w:iCs/>
          <w:color w:val="2B292A"/>
          <w:sz w:val="24"/>
          <w:szCs w:val="24"/>
          <w:shd w:val="clear" w:color="auto" w:fill="FFFFFF"/>
          <w:lang w:val="en-US"/>
        </w:rPr>
        <w:t xml:space="preserve">. </w:t>
      </w:r>
      <w:r w:rsidRPr="00E2458A">
        <w:rPr>
          <w:rFonts w:ascii="Times New Roman" w:hAnsi="Times New Roman" w:cs="Times New Roman"/>
          <w:color w:val="2B292A"/>
          <w:sz w:val="24"/>
          <w:szCs w:val="24"/>
          <w:shd w:val="clear" w:color="auto" w:fill="FFFFFF"/>
          <w:lang w:val="en-US"/>
        </w:rPr>
        <w:t xml:space="preserve">To remedy that, the order of words within pairs—where applicable—reflected the location of numbers on the mental number line (MNL; </w:t>
      </w:r>
      <w:r w:rsidRPr="00E2458A">
        <w:rPr>
          <w:rFonts w:ascii="Times New Roman" w:hAnsi="Times New Roman" w:cs="Times New Roman"/>
          <w:color w:val="2B292A"/>
          <w:sz w:val="24"/>
          <w:szCs w:val="24"/>
          <w:shd w:val="clear" w:color="auto" w:fill="FFFFFF"/>
          <w:lang w:val="en-US"/>
        </w:rPr>
        <w:fldChar w:fldCharType="begin"/>
      </w:r>
      <w:r w:rsidRPr="00E2458A">
        <w:rPr>
          <w:rFonts w:ascii="Times New Roman" w:hAnsi="Times New Roman" w:cs="Times New Roman"/>
          <w:color w:val="2B292A"/>
          <w:sz w:val="24"/>
          <w:szCs w:val="24"/>
          <w:shd w:val="clear" w:color="auto" w:fill="FFFFFF"/>
          <w:lang w:val="en-US"/>
        </w:rPr>
        <w:instrText xml:space="preserve"> ADDIN ZOTERO_ITEM CSL_CITATION {"citationID":"FuZR1syb","properties":{"formattedCitation":"(Wang et al., 2018)","plainCitation":"(Wang et al., 2018)","noteIndex":0},"citationItems":[{"id":9,"uris":["http://zotero.org/users/12744911/items/B4KV4XG4"],"itemData":{"id":9,"type":"article-journal","container-title":"Frontiers in Psychology","DOI":"10.3389/fpsyg.2018.01558","ISSN":"1664-1078","journalAbbreviation":"Front. Psychol.","page":"1558","source":"DOI.org (Crossref)","title":"Mechanism of the SNARC Effect in Numerical Magnitude, Time Sequence, and Spatial Sequence Tasks: Involvement of LTM and WM","title-short":"Mechanism of the SNARC Effect in Numerical Magnitude, Time Sequence, and Spatial Sequence Tasks","volume":"9","author":[{"family":"Wang","given":"Qiangqiang"},{"family":"Liu","given":"Mowei"},{"family":"Shi","given":"Wendian"},{"family":"Kang","given":"Jingmei"}],"issued":{"date-parts":[["2018",8,21]]}}}],"schema":"https://github.com/citation-style-language/schema/raw/master/csl-citation.json"} </w:instrText>
      </w:r>
      <w:r w:rsidRPr="00E2458A">
        <w:rPr>
          <w:rFonts w:ascii="Times New Roman" w:hAnsi="Times New Roman" w:cs="Times New Roman"/>
          <w:color w:val="2B292A"/>
          <w:sz w:val="24"/>
          <w:szCs w:val="24"/>
          <w:shd w:val="clear" w:color="auto" w:fill="FFFFFF"/>
          <w:lang w:val="en-US"/>
        </w:rPr>
        <w:fldChar w:fldCharType="separate"/>
      </w:r>
      <w:r w:rsidRPr="000A08A7">
        <w:rPr>
          <w:rFonts w:ascii="Times New Roman" w:hAnsi="Times New Roman" w:cs="Times New Roman"/>
          <w:sz w:val="24"/>
          <w:szCs w:val="24"/>
          <w:lang w:val="en-US"/>
        </w:rPr>
        <w:t>Qiangqiang</w:t>
      </w:r>
      <w:r w:rsidRPr="009817C3">
        <w:rPr>
          <w:rFonts w:ascii="Times New Roman" w:hAnsi="Times New Roman" w:cs="Times New Roman"/>
          <w:lang w:val="en-US"/>
        </w:rPr>
        <w:t xml:space="preserve"> </w:t>
      </w:r>
      <w:r>
        <w:rPr>
          <w:rFonts w:ascii="Times New Roman" w:hAnsi="Times New Roman" w:cs="Times New Roman"/>
          <w:lang w:val="en-US"/>
        </w:rPr>
        <w:t>W</w:t>
      </w:r>
      <w:r w:rsidRPr="00E2458A">
        <w:rPr>
          <w:rFonts w:ascii="Times New Roman" w:hAnsi="Times New Roman" w:cs="Times New Roman"/>
          <w:sz w:val="24"/>
          <w:szCs w:val="24"/>
          <w:lang w:val="en-US"/>
        </w:rPr>
        <w:t>ang et al., 2018)</w:t>
      </w:r>
      <w:r w:rsidRPr="00E2458A">
        <w:rPr>
          <w:rFonts w:ascii="Times New Roman" w:hAnsi="Times New Roman" w:cs="Times New Roman"/>
          <w:color w:val="2B292A"/>
          <w:sz w:val="24"/>
          <w:szCs w:val="24"/>
          <w:shd w:val="clear" w:color="auto" w:fill="FFFFFF"/>
          <w:lang w:val="en-US"/>
        </w:rPr>
        <w:fldChar w:fldCharType="end"/>
      </w:r>
      <w:r w:rsidRPr="00E2458A">
        <w:rPr>
          <w:rFonts w:ascii="Times New Roman" w:hAnsi="Times New Roman" w:cs="Times New Roman"/>
          <w:color w:val="2B292A"/>
          <w:sz w:val="24"/>
          <w:szCs w:val="24"/>
          <w:shd w:val="clear" w:color="auto" w:fill="FFFFFF"/>
          <w:lang w:val="en-US"/>
        </w:rPr>
        <w:t xml:space="preserve">. The MNL effect states that if numbers that grow in magnitude are mentally ordered in a line, they will grow from left to right in left-to-right writing systems and in the opposite direction in right-to-left writing systems. Since both Polish and English are written left-to-right, the small numbers/amounts in the questionnaire are associated with the left hand side (e.g., </w:t>
      </w:r>
      <w:r w:rsidRPr="00E2458A">
        <w:rPr>
          <w:rFonts w:ascii="Times New Roman" w:hAnsi="Times New Roman" w:cs="Times New Roman"/>
          <w:smallCaps/>
          <w:color w:val="2B292A"/>
          <w:sz w:val="24"/>
          <w:szCs w:val="24"/>
          <w:shd w:val="clear" w:color="auto" w:fill="FFFFFF"/>
          <w:lang w:val="en-US"/>
        </w:rPr>
        <w:t>small</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smallCaps/>
          <w:color w:val="2B292A"/>
          <w:sz w:val="24"/>
          <w:szCs w:val="24"/>
          <w:shd w:val="clear" w:color="auto" w:fill="FFFFFF"/>
          <w:lang w:val="en-US"/>
        </w:rPr>
        <w:t>great</w:t>
      </w:r>
      <w:r w:rsidRPr="00E2458A">
        <w:rPr>
          <w:rFonts w:ascii="Times New Roman" w:hAnsi="Times New Roman" w:cs="Times New Roman"/>
          <w:color w:val="2B292A"/>
          <w:sz w:val="24"/>
          <w:szCs w:val="24"/>
          <w:shd w:val="clear" w:color="auto" w:fill="FFFFFF"/>
          <w:lang w:val="en-US"/>
        </w:rPr>
        <w:t xml:space="preserve">, not </w:t>
      </w:r>
      <w:r w:rsidRPr="00E2458A">
        <w:rPr>
          <w:rFonts w:ascii="Times New Roman" w:hAnsi="Times New Roman" w:cs="Times New Roman"/>
          <w:iCs/>
          <w:smallCaps/>
          <w:color w:val="2B292A"/>
          <w:sz w:val="24"/>
          <w:szCs w:val="24"/>
          <w:shd w:val="clear" w:color="auto" w:fill="FFFFFF"/>
          <w:lang w:val="en-US"/>
        </w:rPr>
        <w:t>great</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iCs/>
          <w:smallCaps/>
          <w:color w:val="2B292A"/>
          <w:sz w:val="24"/>
          <w:szCs w:val="24"/>
          <w:shd w:val="clear" w:color="auto" w:fill="FFFFFF"/>
          <w:lang w:val="en-US"/>
        </w:rPr>
        <w:t>small</w:t>
      </w:r>
      <w:r w:rsidRPr="00E2458A">
        <w:rPr>
          <w:rFonts w:ascii="Times New Roman" w:hAnsi="Times New Roman" w:cs="Times New Roman"/>
          <w:color w:val="2B292A"/>
          <w:sz w:val="24"/>
          <w:szCs w:val="24"/>
          <w:shd w:val="clear" w:color="auto" w:fill="FFFFFF"/>
          <w:lang w:val="en-US"/>
        </w:rPr>
        <w:t xml:space="preserve">). Even in the case of </w:t>
      </w:r>
      <w:r w:rsidRPr="00E2458A">
        <w:rPr>
          <w:rFonts w:ascii="Times New Roman" w:hAnsi="Times New Roman" w:cs="Times New Roman"/>
          <w:smallCaps/>
          <w:color w:val="2B292A"/>
          <w:sz w:val="24"/>
          <w:szCs w:val="24"/>
          <w:shd w:val="clear" w:color="auto" w:fill="FFFFFF"/>
          <w:lang w:val="en-US"/>
        </w:rPr>
        <w:t>life</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smallCaps/>
          <w:color w:val="2B292A"/>
          <w:sz w:val="24"/>
          <w:szCs w:val="24"/>
          <w:shd w:val="clear" w:color="auto" w:fill="FFFFFF"/>
          <w:lang w:val="en-US"/>
        </w:rPr>
        <w:t>death</w:t>
      </w:r>
      <w:r w:rsidRPr="00E2458A">
        <w:rPr>
          <w:rFonts w:ascii="Times New Roman" w:hAnsi="Times New Roman" w:cs="Times New Roman"/>
          <w:color w:val="2B292A"/>
          <w:sz w:val="24"/>
          <w:szCs w:val="24"/>
          <w:shd w:val="clear" w:color="auto" w:fill="FFFFFF"/>
          <w:lang w:val="en-US"/>
        </w:rPr>
        <w:t>, which technically is hardly gradable,</w:t>
      </w:r>
      <w:r w:rsidRPr="00E2458A">
        <w:rPr>
          <w:rFonts w:ascii="Times New Roman" w:hAnsi="Times New Roman" w:cs="Times New Roman"/>
          <w:i/>
          <w:iCs/>
          <w:color w:val="2B292A"/>
          <w:sz w:val="24"/>
          <w:szCs w:val="24"/>
          <w:shd w:val="clear" w:color="auto" w:fill="FFFFFF"/>
          <w:lang w:val="en-US"/>
        </w:rPr>
        <w:t xml:space="preserve"> </w:t>
      </w:r>
      <w:r w:rsidRPr="00E2458A">
        <w:rPr>
          <w:rFonts w:ascii="Times New Roman" w:hAnsi="Times New Roman" w:cs="Times New Roman"/>
          <w:color w:val="2B292A"/>
          <w:sz w:val="24"/>
          <w:szCs w:val="24"/>
          <w:shd w:val="clear" w:color="auto" w:fill="FFFFFF"/>
          <w:lang w:val="en-US"/>
        </w:rPr>
        <w:t xml:space="preserve">it remains intuitive as humans—in our experience—tend to move from being alive to being dead, much less in the opposite direction. Additionally, changing the order of words within pairs so that the terms that are conceptually familiar are not positioned on the same side of the questionnaire can prevent </w:t>
      </w:r>
      <w:r w:rsidRPr="00E2458A">
        <w:rPr>
          <w:rFonts w:ascii="Times New Roman" w:hAnsi="Times New Roman" w:cs="Times New Roman"/>
          <w:sz w:val="24"/>
          <w:szCs w:val="24"/>
          <w:lang w:val="en-US"/>
        </w:rPr>
        <w:t xml:space="preserve">the participants from providing superficial, random responses </w:t>
      </w:r>
      <w:r w:rsidRPr="00E2458A">
        <w:rPr>
          <w:rFonts w:ascii="Times New Roman" w:hAnsi="Times New Roman" w:cs="Times New Roman"/>
          <w:sz w:val="24"/>
          <w:szCs w:val="24"/>
          <w:lang w:val="en-US"/>
        </w:rPr>
        <w:fldChar w:fldCharType="begin"/>
      </w:r>
      <w:r w:rsidRPr="00E2458A">
        <w:rPr>
          <w:rFonts w:ascii="Times New Roman" w:hAnsi="Times New Roman" w:cs="Times New Roman"/>
          <w:sz w:val="24"/>
          <w:szCs w:val="24"/>
          <w:lang w:val="en-US"/>
        </w:rPr>
        <w:instrText xml:space="preserve"> ADDIN ZOTERO_ITEM CSL_CITATION {"citationID":"RMb4ur4k","properties":{"formattedCitation":"(Tucholska et al., (in print))","plainCitation":"(Tucholska et al., (in print))","noteIndex":0},"citationItems":[{"id":24,"uris":["http://zotero.org/users/12744911/items/EGEAX9L4"],"itemData":{"id":24,"type":"article-journal","abstract":"The file includes all raw data, the analyses of which are presented in the manuscript entitled \"Time experiencing in men serving the term of imprisonment—a semantic differential study\"","container-title":"KronoScope","DOI":"10.57903/UJ/PBVUPE","language":"en","source":"DOI.org (Datacite)","title":"Time experiencing in men serving the term of imprisonment—a semantic differential study","URL":"https://uj.rodbuk.pl/citation?persistentId=doi:10.57903/UJ/PBVUPE","author":[{"family":"Tucholska","given":"Kinga"},{"family":"Gulla","given":"Bożena"},{"family":"Wysocka-Pleczyk","given":"Małgorzata"},{"family":"Piotrowski","given":"Przemysław"},{"family":"Florek","given":"Stefan"},{"family":"Sekulak","given":"Martyna"},{"family":"Głomb","given":"Kaja"}],"contributor":[{"family":"Tucholska","given":"Kinga"}],"accessed":{"date-parts":[["2023",10,25]]},"issued":{"literal":"(in print)"}}}],"schema":"https://github.com/citation-style-language/schema/raw/master/csl-citation.json"} </w:instrText>
      </w:r>
      <w:r w:rsidRPr="00E2458A">
        <w:rPr>
          <w:rFonts w:ascii="Times New Roman" w:hAnsi="Times New Roman" w:cs="Times New Roman"/>
          <w:sz w:val="24"/>
          <w:szCs w:val="24"/>
          <w:lang w:val="en-US"/>
        </w:rPr>
        <w:fldChar w:fldCharType="separate"/>
      </w:r>
      <w:r w:rsidRPr="00E2458A">
        <w:rPr>
          <w:rFonts w:ascii="Times New Roman" w:hAnsi="Times New Roman" w:cs="Times New Roman"/>
          <w:sz w:val="24"/>
          <w:szCs w:val="24"/>
          <w:lang w:val="en-US"/>
        </w:rPr>
        <w:t>(Tucholska et al., (in print))</w:t>
      </w:r>
      <w:r w:rsidRPr="00E2458A">
        <w:rPr>
          <w:rFonts w:ascii="Times New Roman" w:hAnsi="Times New Roman" w:cs="Times New Roman"/>
          <w:sz w:val="24"/>
          <w:szCs w:val="24"/>
          <w:lang w:val="en-US"/>
        </w:rPr>
        <w:fldChar w:fldCharType="end"/>
      </w:r>
      <w:r w:rsidRPr="00E2458A">
        <w:rPr>
          <w:rFonts w:ascii="Times New Roman" w:hAnsi="Times New Roman" w:cs="Times New Roman"/>
          <w:sz w:val="24"/>
          <w:szCs w:val="24"/>
          <w:lang w:val="en-US"/>
        </w:rPr>
        <w:t>.</w:t>
      </w:r>
    </w:p>
    <w:p w14:paraId="4560B493"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 xml:space="preserve">To mitigate the influence an item may have on another item that it directly precedes, it was decided that the list of all the binary oppositions should be presented to each participant in a random order. For instance, the </w:t>
      </w:r>
      <w:r w:rsidRPr="00E2458A">
        <w:rPr>
          <w:rFonts w:ascii="Times New Roman" w:hAnsi="Times New Roman" w:cs="Times New Roman"/>
          <w:smallCaps/>
          <w:color w:val="2B292A"/>
          <w:sz w:val="24"/>
          <w:szCs w:val="24"/>
          <w:shd w:val="clear" w:color="auto" w:fill="FFFFFF"/>
          <w:lang w:val="en-US"/>
        </w:rPr>
        <w:t>calmness–rage</w:t>
      </w:r>
      <w:r w:rsidRPr="00E2458A">
        <w:rPr>
          <w:rFonts w:ascii="Times New Roman" w:hAnsi="Times New Roman" w:cs="Times New Roman"/>
          <w:color w:val="2B292A"/>
          <w:sz w:val="24"/>
          <w:szCs w:val="24"/>
          <w:shd w:val="clear" w:color="auto" w:fill="FFFFFF"/>
          <w:lang w:val="en-US"/>
        </w:rPr>
        <w:t xml:space="preserve"> opposition may semantically prime the participants and bias their next association towards negative emotions. The necessity to counteract such consistent bias against one item by randomizing the order of all items in each questionnaire was the primary reason to turn towards digital </w:t>
      </w:r>
      <w:r w:rsidRPr="00E2458A">
        <w:rPr>
          <w:rFonts w:ascii="Times New Roman" w:hAnsi="Times New Roman" w:cs="Times New Roman"/>
          <w:sz w:val="24"/>
          <w:szCs w:val="24"/>
          <w:shd w:val="clear" w:color="auto" w:fill="FFFFFF"/>
          <w:lang w:val="en-US"/>
        </w:rPr>
        <w:t>humanities and crowdsourcing, which has been recognized as a valid approach in Reception Studies (</w:t>
      </w:r>
      <w:proofErr w:type="spellStart"/>
      <w:r w:rsidRPr="00E2458A">
        <w:rPr>
          <w:rFonts w:ascii="Times New Roman" w:hAnsi="Times New Roman" w:cs="Times New Roman"/>
          <w:sz w:val="24"/>
          <w:szCs w:val="24"/>
          <w:shd w:val="clear" w:color="auto" w:fill="FFFFFF"/>
          <w:lang w:val="en-US"/>
        </w:rPr>
        <w:fldChar w:fldCharType="begin"/>
      </w:r>
      <w:r w:rsidRPr="00E2458A">
        <w:rPr>
          <w:rFonts w:ascii="Times New Roman" w:hAnsi="Times New Roman" w:cs="Times New Roman"/>
          <w:sz w:val="24"/>
          <w:szCs w:val="24"/>
          <w:shd w:val="clear" w:color="auto" w:fill="FFFFFF"/>
          <w:lang w:val="en-US"/>
        </w:rPr>
        <w:instrText xml:space="preserve"> ADDIN ZOTERO_ITEM CSL_CITATION {"citationID":"I8p5FAcm","properties":{"formattedCitation":"(Suojanen et al., 2015, p. 108)","plainCitation":"(Suojanen et al., 2015, p. 108)","noteIndex":0},"citationItems":[{"id":110,"uris":["http://zotero.org/users/12744911/items/YI9IQ2LX"],"itemData":{"id":110,"type":"book","collection-title":"Translation practices explained","edition":"First published","event-place":"London New York","ISBN":"978-1-315-75350-8","language":"eng","number-of-pages":"166","publisher":"Routledge","publisher-place":"London New York","source":"K10plus ISBN","title":"User-centered translation","author":[{"family":"Suojanen","given":"Tytti"},{"family":"Koskinen","given":"Kaisa"},{"family":"Tuominen","given":"Tiina"}],"issued":{"date-parts":[["2015"]]}},"locator":"108"}],"schema":"https://github.com/citation-style-language/schema/raw/master/csl-citation.json"} </w:instrText>
      </w:r>
      <w:r w:rsidRPr="00E2458A">
        <w:rPr>
          <w:rFonts w:ascii="Times New Roman" w:hAnsi="Times New Roman" w:cs="Times New Roman"/>
          <w:sz w:val="24"/>
          <w:szCs w:val="24"/>
          <w:shd w:val="clear" w:color="auto" w:fill="FFFFFF"/>
          <w:lang w:val="en-US"/>
        </w:rPr>
        <w:fldChar w:fldCharType="separate"/>
      </w:r>
      <w:r w:rsidRPr="00E2458A">
        <w:rPr>
          <w:rFonts w:ascii="Times New Roman" w:hAnsi="Times New Roman" w:cs="Times New Roman"/>
          <w:sz w:val="24"/>
          <w:szCs w:val="24"/>
          <w:lang w:val="en-US"/>
        </w:rPr>
        <w:t>Suojanen</w:t>
      </w:r>
      <w:proofErr w:type="spellEnd"/>
      <w:r w:rsidRPr="00E2458A">
        <w:rPr>
          <w:rFonts w:ascii="Times New Roman" w:hAnsi="Times New Roman" w:cs="Times New Roman"/>
          <w:sz w:val="24"/>
          <w:szCs w:val="24"/>
          <w:lang w:val="en-US"/>
        </w:rPr>
        <w:t xml:space="preserve"> et al., 2015, p. 108)</w:t>
      </w:r>
      <w:r w:rsidRPr="00E2458A">
        <w:rPr>
          <w:rFonts w:ascii="Times New Roman" w:hAnsi="Times New Roman" w:cs="Times New Roman"/>
          <w:sz w:val="24"/>
          <w:szCs w:val="24"/>
          <w:shd w:val="clear" w:color="auto" w:fill="FFFFFF"/>
          <w:lang w:val="en-US"/>
        </w:rPr>
        <w:fldChar w:fldCharType="end"/>
      </w:r>
      <w:r w:rsidRPr="00E2458A">
        <w:rPr>
          <w:rFonts w:ascii="Times New Roman" w:hAnsi="Times New Roman" w:cs="Times New Roman"/>
          <w:sz w:val="24"/>
          <w:szCs w:val="24"/>
          <w:shd w:val="clear" w:color="auto" w:fill="FFFFFF"/>
          <w:lang w:val="en-US"/>
        </w:rPr>
        <w:t xml:space="preserve">. The remaining ones being </w:t>
      </w:r>
      <w:r w:rsidRPr="00E2458A">
        <w:rPr>
          <w:rFonts w:ascii="Times New Roman" w:hAnsi="Times New Roman" w:cs="Times New Roman"/>
          <w:color w:val="2B292A"/>
          <w:sz w:val="24"/>
          <w:szCs w:val="24"/>
          <w:shd w:val="clear" w:color="auto" w:fill="FFFFFF"/>
          <w:lang w:val="en-US"/>
        </w:rPr>
        <w:t xml:space="preserve">the outbreak of the </w:t>
      </w:r>
      <w:r w:rsidRPr="00E2458A">
        <w:rPr>
          <w:rFonts w:ascii="Times New Roman" w:hAnsi="Times New Roman" w:cs="Times New Roman"/>
          <w:smallCaps/>
          <w:color w:val="2B292A"/>
          <w:sz w:val="24"/>
          <w:szCs w:val="24"/>
          <w:shd w:val="clear" w:color="auto" w:fill="FFFFFF"/>
          <w:lang w:val="en-US"/>
        </w:rPr>
        <w:t>covid-19</w:t>
      </w:r>
      <w:r w:rsidRPr="00E2458A">
        <w:rPr>
          <w:rFonts w:ascii="Times New Roman" w:hAnsi="Times New Roman" w:cs="Times New Roman"/>
          <w:color w:val="2B292A"/>
          <w:sz w:val="24"/>
          <w:szCs w:val="24"/>
          <w:shd w:val="clear" w:color="auto" w:fill="FFFFFF"/>
          <w:lang w:val="en-US"/>
        </w:rPr>
        <w:t xml:space="preserve"> pandemic and the study’s design assuming the participation of English speakers (based in countries other than the experimenter’s). The questionnaire was created in Google Forms on a secure account dedicated exclusively to the study.</w:t>
      </w:r>
    </w:p>
    <w:p w14:paraId="29FC508F"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 xml:space="preserve">Despite being originally designed and developed in Polish, the </w:t>
      </w:r>
      <w:proofErr w:type="spellStart"/>
      <w:r w:rsidRPr="00E2458A">
        <w:rPr>
          <w:rFonts w:ascii="Times New Roman" w:hAnsi="Times New Roman" w:cs="Times New Roman"/>
          <w:smallCaps/>
          <w:color w:val="2B292A"/>
          <w:sz w:val="24"/>
          <w:szCs w:val="24"/>
          <w:shd w:val="clear" w:color="auto" w:fill="FFFFFF"/>
          <w:lang w:val="en-US"/>
        </w:rPr>
        <w:t>BDsM</w:t>
      </w:r>
      <w:proofErr w:type="spellEnd"/>
      <w:r w:rsidRPr="00E2458A">
        <w:rPr>
          <w:rFonts w:ascii="Times New Roman" w:hAnsi="Times New Roman" w:cs="Times New Roman"/>
          <w:color w:val="2B292A"/>
          <w:sz w:val="24"/>
          <w:szCs w:val="24"/>
          <w:shd w:val="clear" w:color="auto" w:fill="FFFFFF"/>
          <w:lang w:val="en-US"/>
        </w:rPr>
        <w:t xml:space="preserve"> was intended to have a parallel version in English from the outset, and the works on its translation/adaptation started immediately after the completion of its initial version. Although the </w:t>
      </w:r>
      <w:proofErr w:type="spellStart"/>
      <w:r w:rsidRPr="00E2458A">
        <w:rPr>
          <w:rFonts w:ascii="Times New Roman" w:hAnsi="Times New Roman" w:cs="Times New Roman"/>
          <w:smallCaps/>
          <w:color w:val="2B292A"/>
          <w:sz w:val="24"/>
          <w:szCs w:val="24"/>
          <w:shd w:val="clear" w:color="auto" w:fill="FFFFFF"/>
          <w:lang w:val="en-US"/>
        </w:rPr>
        <w:t>BDsM</w:t>
      </w:r>
      <w:proofErr w:type="spellEnd"/>
      <w:r w:rsidRPr="00E2458A">
        <w:rPr>
          <w:rFonts w:ascii="Times New Roman" w:hAnsi="Times New Roman" w:cs="Times New Roman"/>
          <w:color w:val="2B292A"/>
          <w:sz w:val="24"/>
          <w:szCs w:val="24"/>
          <w:shd w:val="clear" w:color="auto" w:fill="FFFFFF"/>
          <w:lang w:val="en-US"/>
        </w:rPr>
        <w:t xml:space="preserve"> is not intended as a psychometric test, the process was partially based on the procedure of adapting psychological measures and included the steps of translation, review, and adjudication as outlined by </w:t>
      </w:r>
      <w:r w:rsidRPr="00E2458A">
        <w:rPr>
          <w:rFonts w:ascii="Times New Roman" w:hAnsi="Times New Roman" w:cs="Times New Roman"/>
          <w:color w:val="2B292A"/>
          <w:sz w:val="24"/>
          <w:szCs w:val="24"/>
          <w:shd w:val="clear" w:color="auto" w:fill="FFFFFF"/>
          <w:lang w:val="en-US"/>
        </w:rPr>
        <w:fldChar w:fldCharType="begin"/>
      </w:r>
      <w:r w:rsidRPr="00E2458A">
        <w:rPr>
          <w:rFonts w:ascii="Times New Roman" w:hAnsi="Times New Roman" w:cs="Times New Roman"/>
          <w:color w:val="2B292A"/>
          <w:sz w:val="24"/>
          <w:szCs w:val="24"/>
          <w:shd w:val="clear" w:color="auto" w:fill="FFFFFF"/>
          <w:lang w:val="en-US"/>
        </w:rPr>
        <w:instrText xml:space="preserve"> ADDIN ZOTERO_ITEM CSL_CITATION {"citationID":"TLcOpPfw","properties":{"formattedCitation":"(Harkness et al., 2010)","plainCitation":"(Harkness et al., 2010)","noteIndex":0},"citationItems":[{"id":32,"uris":["http://zotero.org/users/12744911/items/4LXKY4S7"],"itemData":{"id":32,"type":"chapter","abstract":"This volume discusses the extent to which deficits in practice, awareness, and theoretical underpinnings can be major obstacles to making progress in developing suitable methods and benchmarks for comparative survey research. Such deficits have certainly created obstacles to improving translation practice and translation outputs in survey research. Survey translation is often undertaken and discussed without a strong understanding of either the principles of translation or of current theories of meaning. As a result, there continues to be a disjoint between theories, practice, and benchmarks acknowledged in the admittedly diverse translation sciences and the various approaches taken to translations and to assessment of translation in survey research. \"Established\" translation practice in survey research, in the sense of what is commonly done, is, we argue, by no means good practice. One of the goals of this chapter is to make clear what may happen in survey translations. Another is to describe current best practice in survey translation in a manner that explains the motivations and strengths of certain strategies against the drawbacks of others. Further goals are to point to areas in which we believe improvements can be made and where changed tactics and policies are required. Although the chapter presents theory-based as well as practical perspectives, we aim to be as nontechnical as possible. (PsycInfo Database Record (c) 2020 APA, all rights reserved)","collection-title":"Wiley series in survey methodology.","container-title":"Survey methods in multinational, multiregional, and multicultural contexts.","event-place":"Hoboken,  NJ,  US","ISBN":"978-0-470-17799-0","note":"DOI: 10.1002/9780470609927.ch7","page":"117-140","publisher":"John Wiley &amp; Sons, Inc.","publisher-place":"Hoboken,  NJ,  US","title":"Translation, adaptation, and design.","author":[{"family":"Harkness","given":"Janet A."},{"family":"Villar","given":"Ana"},{"family":"Edwards","given":"Brad"}],"issued":{"date-parts":[["2010"]]}}}],"schema":"https://github.com/citation-style-language/schema/raw/master/csl-citation.json"} </w:instrText>
      </w:r>
      <w:r w:rsidRPr="00E2458A">
        <w:rPr>
          <w:rFonts w:ascii="Times New Roman" w:hAnsi="Times New Roman" w:cs="Times New Roman"/>
          <w:color w:val="2B292A"/>
          <w:sz w:val="24"/>
          <w:szCs w:val="24"/>
          <w:shd w:val="clear" w:color="auto" w:fill="FFFFFF"/>
          <w:lang w:val="en-US"/>
        </w:rPr>
        <w:fldChar w:fldCharType="separate"/>
      </w:r>
      <w:r w:rsidRPr="00E2458A">
        <w:rPr>
          <w:rFonts w:ascii="Times New Roman" w:hAnsi="Times New Roman" w:cs="Times New Roman"/>
          <w:sz w:val="24"/>
          <w:szCs w:val="24"/>
          <w:lang w:val="en-US"/>
        </w:rPr>
        <w:t>(Harkness et al., 2010)</w:t>
      </w:r>
      <w:r w:rsidRPr="00E2458A">
        <w:rPr>
          <w:rFonts w:ascii="Times New Roman" w:hAnsi="Times New Roman" w:cs="Times New Roman"/>
          <w:color w:val="2B292A"/>
          <w:sz w:val="24"/>
          <w:szCs w:val="24"/>
          <w:shd w:val="clear" w:color="auto" w:fill="FFFFFF"/>
          <w:lang w:val="en-US"/>
        </w:rPr>
        <w:fldChar w:fldCharType="end"/>
      </w:r>
      <w:r w:rsidRPr="00E2458A">
        <w:rPr>
          <w:rFonts w:ascii="Times New Roman" w:hAnsi="Times New Roman" w:cs="Times New Roman"/>
          <w:color w:val="2B292A"/>
          <w:sz w:val="24"/>
          <w:szCs w:val="24"/>
          <w:shd w:val="clear" w:color="auto" w:fill="FFFFFF"/>
          <w:lang w:val="en-US"/>
        </w:rPr>
        <w:t xml:space="preserve">. Its translation into English was commissioned to </w:t>
      </w:r>
      <w:r w:rsidRPr="00E2458A">
        <w:rPr>
          <w:rFonts w:ascii="Times New Roman" w:hAnsi="Times New Roman" w:cs="Times New Roman"/>
          <w:color w:val="2B292A"/>
          <w:sz w:val="24"/>
          <w:szCs w:val="24"/>
          <w:lang w:val="en-US"/>
        </w:rPr>
        <w:t xml:space="preserve">three professional </w:t>
      </w:r>
      <w:r w:rsidRPr="00E2458A">
        <w:rPr>
          <w:rFonts w:ascii="Times New Roman" w:hAnsi="Times New Roman" w:cs="Times New Roman"/>
          <w:color w:val="2B292A"/>
          <w:sz w:val="24"/>
          <w:szCs w:val="24"/>
          <w:shd w:val="clear" w:color="auto" w:fill="FFFFFF"/>
          <w:lang w:val="en-US"/>
        </w:rPr>
        <w:t>Polish-English translators whose first and dominant language was English. All items rendered by the translators identically were automatically accepted. In the few cases of one translator differing from the other two, the item in question was adjudicated by another translator and settled with a discussion. To verify the quality of the adaptation and refine it, three separate back-translations were also commissioned with the resulting doubts being settled with the help of both another translator’s adjudication and a</w:t>
      </w:r>
      <w:r>
        <w:rPr>
          <w:rFonts w:ascii="Times New Roman" w:hAnsi="Times New Roman" w:cs="Times New Roman"/>
          <w:color w:val="2B292A"/>
          <w:sz w:val="24"/>
          <w:szCs w:val="24"/>
          <w:shd w:val="clear" w:color="auto" w:fill="FFFFFF"/>
          <w:lang w:val="en-US"/>
        </w:rPr>
        <w:t> </w:t>
      </w:r>
      <w:r w:rsidRPr="00E2458A">
        <w:rPr>
          <w:rFonts w:ascii="Times New Roman" w:hAnsi="Times New Roman" w:cs="Times New Roman"/>
          <w:color w:val="2B292A"/>
          <w:sz w:val="24"/>
          <w:szCs w:val="24"/>
          <w:shd w:val="clear" w:color="auto" w:fill="FFFFFF"/>
          <w:lang w:val="en-US"/>
        </w:rPr>
        <w:t>majority vote by a panel of 7 competent judges.</w:t>
      </w:r>
    </w:p>
    <w:p w14:paraId="4FAB39AB"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 xml:space="preserve">For the purpose of randomly assigning experimental conditions to Polish-speaking participants, </w:t>
      </w:r>
      <w:r w:rsidRPr="00E2458A">
        <w:rPr>
          <w:rFonts w:ascii="Times New Roman" w:hAnsi="Times New Roman" w:cs="Times New Roman"/>
          <w:color w:val="2B292A"/>
          <w:sz w:val="24"/>
          <w:szCs w:val="24"/>
          <w:shd w:val="clear" w:color="auto" w:fill="FFFFFF"/>
          <w:lang w:val="en-US"/>
        </w:rPr>
        <w:fldChar w:fldCharType="begin"/>
      </w:r>
      <w:r w:rsidRPr="00E2458A">
        <w:rPr>
          <w:rFonts w:ascii="Times New Roman" w:hAnsi="Times New Roman" w:cs="Times New Roman"/>
          <w:color w:val="2B292A"/>
          <w:sz w:val="24"/>
          <w:szCs w:val="24"/>
          <w:shd w:val="clear" w:color="auto" w:fill="FFFFFF"/>
          <w:lang w:val="en-US"/>
        </w:rPr>
        <w:instrText xml:space="preserve"> ADDIN ZOTERO_ITEM CSL_CITATION {"citationID":"3VkFyOK9","properties":{"formattedCitation":"(Fergusson, 2016)","plainCitation":"(Fergusson, 2016)","noteIndex":0},"citationItems":[{"id":13,"uris":["http://zotero.org/users/12744911/items/GV4735CD"],"itemData":{"id":13,"type":"post-weblog","title":"Designing online experiments using Google forms+ random redirect tool.","URL":"https://teaching.statistics-is-awesome.org/designing-online-experiments-using-google-forms-random-redirect-tool","author":[{"family":"Fergusson","given":"Anna"}],"issued":{"date-parts":[["2016"]]}}}],"schema":"https://github.com/citation-style-language/schema/raw/master/csl-citation.json"} </w:instrText>
      </w:r>
      <w:r w:rsidRPr="00E2458A">
        <w:rPr>
          <w:rFonts w:ascii="Times New Roman" w:hAnsi="Times New Roman" w:cs="Times New Roman"/>
          <w:color w:val="2B292A"/>
          <w:sz w:val="24"/>
          <w:szCs w:val="24"/>
          <w:shd w:val="clear" w:color="auto" w:fill="FFFFFF"/>
          <w:lang w:val="en-US"/>
        </w:rPr>
        <w:fldChar w:fldCharType="separate"/>
      </w:r>
      <w:r w:rsidRPr="00E2458A">
        <w:rPr>
          <w:rFonts w:ascii="Times New Roman" w:hAnsi="Times New Roman" w:cs="Times New Roman"/>
          <w:sz w:val="24"/>
          <w:szCs w:val="24"/>
          <w:lang w:val="en-US"/>
        </w:rPr>
        <w:t>Fergusson</w:t>
      </w:r>
      <w:r w:rsidRPr="00E2458A">
        <w:rPr>
          <w:rFonts w:ascii="Times New Roman" w:hAnsi="Times New Roman" w:cs="Times New Roman"/>
          <w:color w:val="2B292A"/>
          <w:sz w:val="24"/>
          <w:szCs w:val="24"/>
          <w:shd w:val="clear" w:color="auto" w:fill="FFFFFF"/>
          <w:lang w:val="en-US"/>
        </w:rPr>
        <w:t>’</w:t>
      </w:r>
      <w:r w:rsidRPr="00E2458A">
        <w:rPr>
          <w:rFonts w:ascii="Times New Roman" w:hAnsi="Times New Roman" w:cs="Times New Roman"/>
          <w:sz w:val="24"/>
          <w:szCs w:val="24"/>
          <w:lang w:val="en-US"/>
        </w:rPr>
        <w:t>s (2016)</w:t>
      </w:r>
      <w:r w:rsidRPr="00E2458A">
        <w:rPr>
          <w:rFonts w:ascii="Times New Roman" w:hAnsi="Times New Roman" w:cs="Times New Roman"/>
          <w:color w:val="2B292A"/>
          <w:sz w:val="24"/>
          <w:szCs w:val="24"/>
          <w:shd w:val="clear" w:color="auto" w:fill="FFFFFF"/>
          <w:lang w:val="en-US"/>
        </w:rPr>
        <w:fldChar w:fldCharType="end"/>
      </w:r>
      <w:r w:rsidRPr="00E2458A">
        <w:rPr>
          <w:rFonts w:ascii="Times New Roman" w:hAnsi="Times New Roman" w:cs="Times New Roman"/>
          <w:color w:val="2B292A"/>
          <w:sz w:val="24"/>
          <w:szCs w:val="24"/>
          <w:shd w:val="clear" w:color="auto" w:fill="FFFFFF"/>
          <w:lang w:val="en-US"/>
        </w:rPr>
        <w:t xml:space="preserve"> </w:t>
      </w:r>
      <w:r w:rsidRPr="00E2458A">
        <w:rPr>
          <w:rFonts w:ascii="Times New Roman" w:hAnsi="Times New Roman" w:cs="Times New Roman"/>
          <w:i/>
          <w:iCs/>
          <w:color w:val="2B292A"/>
          <w:sz w:val="24"/>
          <w:szCs w:val="24"/>
          <w:shd w:val="clear" w:color="auto" w:fill="FFFFFF"/>
          <w:lang w:val="en-US"/>
        </w:rPr>
        <w:t>random redirect tool</w:t>
      </w:r>
      <w:r w:rsidRPr="00E2458A">
        <w:rPr>
          <w:rFonts w:ascii="Times New Roman" w:hAnsi="Times New Roman" w:cs="Times New Roman"/>
          <w:color w:val="2B292A"/>
          <w:sz w:val="24"/>
          <w:szCs w:val="24"/>
          <w:shd w:val="clear" w:color="auto" w:fill="FFFFFF"/>
          <w:lang w:val="en-US"/>
        </w:rPr>
        <w:t xml:space="preserve"> was used.</w:t>
      </w:r>
    </w:p>
    <w:p w14:paraId="76D0260A" w14:textId="77777777" w:rsidR="00873911" w:rsidRPr="00E164A6" w:rsidRDefault="00873911" w:rsidP="00873911">
      <w:pPr>
        <w:autoSpaceDE w:val="0"/>
        <w:autoSpaceDN w:val="0"/>
        <w:adjustRightInd w:val="0"/>
        <w:spacing w:after="0" w:line="240" w:lineRule="auto"/>
        <w:ind w:firstLine="708"/>
        <w:jc w:val="both"/>
        <w:rPr>
          <w:rFonts w:ascii="Times New Roman" w:hAnsi="Times New Roman" w:cs="Times New Roman"/>
          <w:color w:val="2B292A"/>
          <w:shd w:val="clear" w:color="auto" w:fill="FFFFFF"/>
          <w:lang w:val="en-US"/>
        </w:rPr>
      </w:pPr>
    </w:p>
    <w:p w14:paraId="2A50546E" w14:textId="77777777" w:rsidR="00873911" w:rsidRPr="00E2458A" w:rsidRDefault="00873911" w:rsidP="00D91399">
      <w:pPr>
        <w:keepNext/>
        <w:autoSpaceDE w:val="0"/>
        <w:autoSpaceDN w:val="0"/>
        <w:adjustRightInd w:val="0"/>
        <w:spacing w:line="240" w:lineRule="auto"/>
        <w:jc w:val="center"/>
        <w:rPr>
          <w:rFonts w:ascii="Times New Roman" w:hAnsi="Times New Roman" w:cs="Times New Roman"/>
          <w:b/>
          <w:bCs/>
          <w:smallCaps/>
          <w:color w:val="2B292A"/>
          <w:sz w:val="20"/>
          <w:szCs w:val="20"/>
          <w:shd w:val="clear" w:color="auto" w:fill="FFFFFF"/>
          <w:lang w:val="en-US"/>
        </w:rPr>
      </w:pPr>
      <w:r w:rsidRPr="00E2458A">
        <w:rPr>
          <w:rFonts w:ascii="Times New Roman" w:hAnsi="Times New Roman" w:cs="Times New Roman"/>
          <w:b/>
          <w:bCs/>
          <w:smallCaps/>
          <w:color w:val="2B292A"/>
          <w:sz w:val="20"/>
          <w:szCs w:val="20"/>
          <w:shd w:val="clear" w:color="auto" w:fill="FFFFFF"/>
          <w:lang w:val="en-US"/>
        </w:rPr>
        <w:lastRenderedPageBreak/>
        <w:t>Material</w:t>
      </w:r>
    </w:p>
    <w:p w14:paraId="66C3D11B" w14:textId="77777777" w:rsidR="00873911" w:rsidRPr="00E2458A" w:rsidRDefault="00873911" w:rsidP="00D91399">
      <w:pPr>
        <w:keepNext/>
        <w:autoSpaceDE w:val="0"/>
        <w:autoSpaceDN w:val="0"/>
        <w:adjustRightInd w:val="0"/>
        <w:spacing w:after="0" w:line="240" w:lineRule="auto"/>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 xml:space="preserve">It was decided that the proper name for the study should be Witches’ Hollow—a toponym from a short story that was first published in </w:t>
      </w:r>
      <w:r>
        <w:rPr>
          <w:rFonts w:ascii="Times New Roman" w:hAnsi="Times New Roman" w:cs="Times New Roman"/>
          <w:color w:val="2B292A"/>
          <w:sz w:val="24"/>
          <w:szCs w:val="24"/>
          <w:shd w:val="clear" w:color="auto" w:fill="FFFFFF"/>
          <w:lang w:val="en-US"/>
        </w:rPr>
        <w:t xml:space="preserve">a </w:t>
      </w:r>
      <w:r w:rsidRPr="00E2458A">
        <w:rPr>
          <w:rFonts w:ascii="Times New Roman" w:hAnsi="Times New Roman" w:cs="Times New Roman"/>
          <w:color w:val="2B292A"/>
          <w:sz w:val="24"/>
          <w:szCs w:val="24"/>
          <w:shd w:val="clear" w:color="auto" w:fill="FFFFFF"/>
          <w:lang w:val="en-US"/>
        </w:rPr>
        <w:t>collection of weird fiction tales</w:t>
      </w:r>
      <w:r>
        <w:rPr>
          <w:rFonts w:ascii="Times New Roman" w:hAnsi="Times New Roman" w:cs="Times New Roman"/>
          <w:color w:val="2B292A"/>
          <w:sz w:val="24"/>
          <w:szCs w:val="24"/>
          <w:shd w:val="clear" w:color="auto" w:fill="FFFFFF"/>
          <w:lang w:val="en-US"/>
        </w:rPr>
        <w:t xml:space="preserve">, </w:t>
      </w:r>
      <w:r w:rsidRPr="00E2458A">
        <w:rPr>
          <w:rFonts w:ascii="Times New Roman" w:hAnsi="Times New Roman" w:cs="Times New Roman"/>
          <w:i/>
          <w:iCs/>
          <w:color w:val="2B292A"/>
          <w:sz w:val="24"/>
          <w:szCs w:val="24"/>
          <w:shd w:val="clear" w:color="auto" w:fill="FFFFFF"/>
          <w:lang w:val="en-US"/>
        </w:rPr>
        <w:t>The Watchers Out of Time</w:t>
      </w:r>
      <w:r>
        <w:rPr>
          <w:rFonts w:ascii="Times New Roman" w:hAnsi="Times New Roman" w:cs="Times New Roman"/>
          <w:color w:val="2B292A"/>
          <w:sz w:val="24"/>
          <w:szCs w:val="24"/>
          <w:shd w:val="clear" w:color="auto" w:fill="FFFFFF"/>
          <w:lang w:val="en-US"/>
        </w:rPr>
        <w:t>,</w:t>
      </w:r>
      <w:r w:rsidRPr="00E2458A">
        <w:rPr>
          <w:rFonts w:ascii="Times New Roman" w:hAnsi="Times New Roman" w:cs="Times New Roman"/>
          <w:color w:val="2B292A"/>
          <w:sz w:val="24"/>
          <w:szCs w:val="24"/>
          <w:shd w:val="clear" w:color="auto" w:fill="FFFFFF"/>
          <w:lang w:val="en-US"/>
        </w:rPr>
        <w:t xml:space="preserve"> by August Derleth. The eponymous Witches’ Hollow </w:t>
      </w:r>
      <w:r w:rsidRPr="00E2458A">
        <w:rPr>
          <w:rFonts w:ascii="Times New Roman" w:hAnsi="Times New Roman" w:cs="Times New Roman"/>
          <w:sz w:val="24"/>
          <w:szCs w:val="24"/>
          <w:shd w:val="clear" w:color="auto" w:fill="FFFFFF"/>
          <w:lang w:val="en-US"/>
        </w:rPr>
        <w:t>was chosen for the following reasons.</w:t>
      </w:r>
    </w:p>
    <w:p w14:paraId="0139EE27"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First, the proper name is not ‘artificial’, it has not been fabricated for the purpose of the study, but comes from an actual literary work and its translation(s). Using an authentic, real-life linguistic material adds to the study’s ecological validity.</w:t>
      </w:r>
    </w:p>
    <w:p w14:paraId="2671EC84"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Second, it is a meaningful name. Apart from referring to a place, its constituents do carry their own meanings both literal and connotational.</w:t>
      </w:r>
    </w:p>
    <w:p w14:paraId="7B8B4D15"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 xml:space="preserve">Third, referring to a place set in Lovecraftian universe, the toponym comes from a work that, in a way, epitomizes weird and horror fiction genres. At the same time, the story is Lovecraftian only in the sense that it takes place in the cult world of Cthulhu Mythos, inspired by Lovecraft’s works and notes he left, and stylized as Lovecraftian, but not authored by Lovecraft </w:t>
      </w:r>
      <w:r w:rsidRPr="00E2458A">
        <w:rPr>
          <w:rFonts w:ascii="Times New Roman" w:hAnsi="Times New Roman" w:cs="Times New Roman"/>
          <w:color w:val="2B292A"/>
          <w:sz w:val="24"/>
          <w:szCs w:val="24"/>
          <w:shd w:val="clear" w:color="auto" w:fill="FFFFFF"/>
          <w:lang w:val="en-US"/>
        </w:rPr>
        <w:fldChar w:fldCharType="begin"/>
      </w:r>
      <w:r w:rsidRPr="00E2458A">
        <w:rPr>
          <w:rFonts w:ascii="Times New Roman" w:hAnsi="Times New Roman" w:cs="Times New Roman"/>
          <w:color w:val="2B292A"/>
          <w:sz w:val="24"/>
          <w:szCs w:val="24"/>
          <w:shd w:val="clear" w:color="auto" w:fill="FFFFFF"/>
          <w:lang w:val="en-US"/>
        </w:rPr>
        <w:instrText xml:space="preserve"> ADDIN ZOTERO_ITEM CSL_CITATION {"citationID":"XwYi5zVi","properties":{"formattedCitation":"(Joshi &amp; Schultz, 2001)","plainCitation":"(Joshi &amp; Schultz, 2001)","noteIndex":0},"citationItems":[{"id":60,"uris":["http://zotero.org/users/12744911/items/JP6J992J"],"itemData":{"id":60,"type":"book","abstract":"H.P. Lovecraft (1890-1937) is commonly regarded as the leading author of supernatural fiction in the 20th century. He is distinctive among writers in having a tremendous popular following as well as a considerable and increasing academic reputation as a writer of substance and significance. This encyclopedia is an exhaustive guide to many aspects of Lovecraft's life and work, codifying the detailed research on Lovecraft conducted by many scholars over the past three decades. It includes hundreds of alphabetically arranged entries on Lovecraft and presents extensive bibliographical information","event-place":"Westport, Conn.","ISBN":"978-0-313-01682-0","language":"eng","note":"OCLC: 608158798","publisher":"Greenwood Press","publisher-place":"Westport, Conn.","source":"Open WorldCat","title":"An H.P. Lovecraft encyclopedia","author":[{"family":"Joshi","given":"S. T."},{"family":"Schultz","given":"David E."}],"issued":{"date-parts":[["2001"]]}}}],"schema":"https://github.com/citation-style-language/schema/raw/master/csl-citation.json"} </w:instrText>
      </w:r>
      <w:r w:rsidRPr="00E2458A">
        <w:rPr>
          <w:rFonts w:ascii="Times New Roman" w:hAnsi="Times New Roman" w:cs="Times New Roman"/>
          <w:color w:val="2B292A"/>
          <w:sz w:val="24"/>
          <w:szCs w:val="24"/>
          <w:shd w:val="clear" w:color="auto" w:fill="FFFFFF"/>
          <w:lang w:val="en-US"/>
        </w:rPr>
        <w:fldChar w:fldCharType="separate"/>
      </w:r>
      <w:r w:rsidRPr="00E2458A">
        <w:rPr>
          <w:rFonts w:ascii="Times New Roman" w:hAnsi="Times New Roman" w:cs="Times New Roman"/>
          <w:sz w:val="24"/>
          <w:szCs w:val="24"/>
          <w:lang w:val="en-US"/>
        </w:rPr>
        <w:t>(Joshi &amp; Schultz, 2001)</w:t>
      </w:r>
      <w:r w:rsidRPr="00E2458A">
        <w:rPr>
          <w:rFonts w:ascii="Times New Roman" w:hAnsi="Times New Roman" w:cs="Times New Roman"/>
          <w:color w:val="2B292A"/>
          <w:sz w:val="24"/>
          <w:szCs w:val="24"/>
          <w:shd w:val="clear" w:color="auto" w:fill="FFFFFF"/>
          <w:lang w:val="en-US"/>
        </w:rPr>
        <w:fldChar w:fldCharType="end"/>
      </w:r>
      <w:r w:rsidRPr="00E2458A">
        <w:rPr>
          <w:rFonts w:ascii="Times New Roman" w:hAnsi="Times New Roman" w:cs="Times New Roman"/>
          <w:color w:val="2B292A"/>
          <w:sz w:val="24"/>
          <w:szCs w:val="24"/>
          <w:shd w:val="clear" w:color="auto" w:fill="FFFFFF"/>
          <w:lang w:val="en-US"/>
        </w:rPr>
        <w:t xml:space="preserve">. Having been written solely by Derleth, the story is not canonical </w:t>
      </w:r>
      <w:r w:rsidRPr="00E2458A">
        <w:rPr>
          <w:rFonts w:ascii="Times New Roman" w:hAnsi="Times New Roman" w:cs="Times New Roman"/>
          <w:i/>
          <w:iCs/>
          <w:color w:val="2B292A"/>
          <w:sz w:val="24"/>
          <w:szCs w:val="24"/>
          <w:shd w:val="clear" w:color="auto" w:fill="FFFFFF"/>
          <w:lang w:val="en-US"/>
        </w:rPr>
        <w:t>par excellence</w:t>
      </w:r>
      <w:r w:rsidRPr="00E2458A">
        <w:rPr>
          <w:rFonts w:ascii="Times New Roman" w:hAnsi="Times New Roman" w:cs="Times New Roman"/>
          <w:color w:val="2B292A"/>
          <w:sz w:val="24"/>
          <w:szCs w:val="24"/>
          <w:shd w:val="clear" w:color="auto" w:fill="FFFFFF"/>
          <w:lang w:val="en-US"/>
        </w:rPr>
        <w:t xml:space="preserve"> and it does not seem to enjoy as much zest for pop-cultural retellings (e.g., in role-playing games, film, or other fiction) that could affect—if not superimpose new readings on—the way </w:t>
      </w:r>
      <w:r>
        <w:rPr>
          <w:rFonts w:ascii="Times New Roman" w:hAnsi="Times New Roman" w:cs="Times New Roman"/>
          <w:color w:val="2B292A"/>
          <w:sz w:val="24"/>
          <w:szCs w:val="24"/>
          <w:shd w:val="clear" w:color="auto" w:fill="FFFFFF"/>
          <w:lang w:val="en-US"/>
        </w:rPr>
        <w:t xml:space="preserve">its </w:t>
      </w:r>
      <w:r w:rsidRPr="00E2458A">
        <w:rPr>
          <w:rFonts w:ascii="Times New Roman" w:hAnsi="Times New Roman" w:cs="Times New Roman"/>
          <w:color w:val="2B292A"/>
          <w:sz w:val="24"/>
          <w:szCs w:val="24"/>
          <w:shd w:val="clear" w:color="auto" w:fill="FFFFFF"/>
          <w:lang w:val="en-US"/>
        </w:rPr>
        <w:t>landscapes are experienced.</w:t>
      </w:r>
    </w:p>
    <w:p w14:paraId="2A190EC3"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B292A"/>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Fourth, the story offers practically no description of Witches’ Hollow. It does provide scant information on the area in general, and some generic facts about parts of the valley, but no palpable details that could be attributed to the Witches’ Hollow itself. In other words, it is not so much that the description gives the place the vibe, but rather the place lends its vibe to the story’s mood; or at least it is one of the cues that hint the atmosphere.</w:t>
      </w:r>
    </w:p>
    <w:p w14:paraId="1E580EE8" w14:textId="77777777" w:rsidR="00873911" w:rsidRPr="00E2458A" w:rsidRDefault="00873911" w:rsidP="00873911">
      <w:pPr>
        <w:autoSpaceDE w:val="0"/>
        <w:autoSpaceDN w:val="0"/>
        <w:adjustRightInd w:val="0"/>
        <w:spacing w:line="240" w:lineRule="auto"/>
        <w:ind w:firstLine="708"/>
        <w:jc w:val="both"/>
        <w:rPr>
          <w:rFonts w:ascii="Times New Roman" w:hAnsi="Times New Roman" w:cs="Times New Roman"/>
          <w:color w:val="202124"/>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 xml:space="preserve">Fifth, there are at least three renditions of Witches’ Hollow used in Polish: </w:t>
      </w:r>
      <w:proofErr w:type="spellStart"/>
      <w:r w:rsidRPr="00E2458A">
        <w:rPr>
          <w:rFonts w:ascii="Times New Roman" w:hAnsi="Times New Roman" w:cs="Times New Roman"/>
          <w:i/>
          <w:iCs/>
          <w:color w:val="2B292A"/>
          <w:sz w:val="24"/>
          <w:szCs w:val="24"/>
          <w:shd w:val="clear" w:color="auto" w:fill="FFFFFF"/>
          <w:lang w:val="en-US"/>
        </w:rPr>
        <w:t>Wiedźmi</w:t>
      </w:r>
      <w:proofErr w:type="spellEnd"/>
      <w:r w:rsidRPr="00E2458A">
        <w:rPr>
          <w:rFonts w:ascii="Times New Roman" w:hAnsi="Times New Roman" w:cs="Times New Roman"/>
          <w:i/>
          <w:iCs/>
          <w:color w:val="2B292A"/>
          <w:sz w:val="24"/>
          <w:szCs w:val="24"/>
          <w:shd w:val="clear" w:color="auto" w:fill="FFFFFF"/>
          <w:lang w:val="en-US"/>
        </w:rPr>
        <w:t xml:space="preserve"> Jar (</w:t>
      </w:r>
      <w:r w:rsidRPr="00E2458A">
        <w:rPr>
          <w:rFonts w:ascii="Times New Roman" w:hAnsi="Times New Roman" w:cs="Times New Roman"/>
          <w:color w:val="2B292A"/>
          <w:sz w:val="24"/>
          <w:szCs w:val="24"/>
          <w:shd w:val="clear" w:color="auto" w:fill="FFFFFF"/>
          <w:lang w:val="en-US"/>
        </w:rPr>
        <w:t>IPA: /</w:t>
      </w:r>
      <w:proofErr w:type="spellStart"/>
      <w:r w:rsidRPr="00E2458A">
        <w:rPr>
          <w:rFonts w:ascii="Times New Roman" w:hAnsi="Times New Roman" w:cs="Times New Roman"/>
          <w:color w:val="2B292A"/>
          <w:sz w:val="24"/>
          <w:szCs w:val="24"/>
          <w:shd w:val="clear" w:color="auto" w:fill="FFFFFF"/>
          <w:lang w:val="en-US"/>
        </w:rPr>
        <w:t>vjɛd͡ʑmʲi</w:t>
      </w:r>
      <w:proofErr w:type="spellEnd"/>
      <w:r w:rsidRPr="00E2458A">
        <w:rPr>
          <w:rFonts w:ascii="Times New Roman" w:hAnsi="Times New Roman" w:cs="Times New Roman"/>
          <w:color w:val="2B292A"/>
          <w:sz w:val="24"/>
          <w:szCs w:val="24"/>
          <w:shd w:val="clear" w:color="auto" w:fill="FFFFFF"/>
          <w:lang w:val="en-US"/>
        </w:rPr>
        <w:t xml:space="preserve"> jar/)</w:t>
      </w:r>
      <w:r w:rsidRPr="00E2458A">
        <w:rPr>
          <w:rFonts w:ascii="Times New Roman" w:hAnsi="Times New Roman" w:cs="Times New Roman"/>
          <w:i/>
          <w:iCs/>
          <w:color w:val="2B292A"/>
          <w:sz w:val="24"/>
          <w:szCs w:val="24"/>
          <w:shd w:val="clear" w:color="auto" w:fill="FFFFFF"/>
          <w:lang w:val="en-US"/>
        </w:rPr>
        <w:t xml:space="preserve"> </w:t>
      </w:r>
      <w:r w:rsidRPr="00E2458A">
        <w:rPr>
          <w:rFonts w:ascii="Times New Roman" w:hAnsi="Times New Roman" w:cs="Times New Roman"/>
          <w:color w:val="2B292A"/>
          <w:sz w:val="24"/>
          <w:szCs w:val="24"/>
          <w:shd w:val="clear" w:color="auto" w:fill="FFFFFF"/>
          <w:lang w:val="en-US"/>
        </w:rPr>
        <w:t>in a published translation</w:t>
      </w:r>
      <w:r w:rsidRPr="00E2458A">
        <w:rPr>
          <w:rFonts w:ascii="Times New Roman" w:hAnsi="Times New Roman" w:cs="Times New Roman"/>
          <w:i/>
          <w:iCs/>
          <w:color w:val="2B292A"/>
          <w:sz w:val="24"/>
          <w:szCs w:val="24"/>
          <w:shd w:val="clear" w:color="auto" w:fill="FFFFFF"/>
          <w:lang w:val="en-US"/>
        </w:rPr>
        <w:t xml:space="preserve"> </w:t>
      </w:r>
      <w:r w:rsidRPr="00E2458A">
        <w:rPr>
          <w:rFonts w:ascii="Times New Roman" w:hAnsi="Times New Roman" w:cs="Times New Roman"/>
          <w:color w:val="2B292A"/>
          <w:sz w:val="24"/>
          <w:szCs w:val="24"/>
          <w:shd w:val="clear" w:color="auto" w:fill="FFFFFF"/>
          <w:lang w:val="en-US"/>
        </w:rPr>
        <w:t xml:space="preserve">by Robert P. Lipski, </w:t>
      </w:r>
      <w:proofErr w:type="spellStart"/>
      <w:r w:rsidRPr="00E2458A">
        <w:rPr>
          <w:rFonts w:ascii="Times New Roman" w:hAnsi="Times New Roman" w:cs="Times New Roman"/>
          <w:i/>
          <w:iCs/>
          <w:color w:val="2B292A"/>
          <w:sz w:val="24"/>
          <w:szCs w:val="24"/>
          <w:shd w:val="clear" w:color="auto" w:fill="FFFFFF"/>
          <w:lang w:val="en-US"/>
        </w:rPr>
        <w:t>Wiedźmia</w:t>
      </w:r>
      <w:proofErr w:type="spellEnd"/>
      <w:r w:rsidRPr="00E2458A">
        <w:rPr>
          <w:rFonts w:ascii="Times New Roman" w:hAnsi="Times New Roman" w:cs="Times New Roman"/>
          <w:i/>
          <w:iCs/>
          <w:color w:val="2B292A"/>
          <w:sz w:val="24"/>
          <w:szCs w:val="24"/>
          <w:shd w:val="clear" w:color="auto" w:fill="FFFFFF"/>
          <w:lang w:val="en-US"/>
        </w:rPr>
        <w:t xml:space="preserve"> </w:t>
      </w:r>
      <w:proofErr w:type="spellStart"/>
      <w:r w:rsidRPr="00E2458A">
        <w:rPr>
          <w:rFonts w:ascii="Times New Roman" w:hAnsi="Times New Roman" w:cs="Times New Roman"/>
          <w:i/>
          <w:iCs/>
          <w:color w:val="2B292A"/>
          <w:sz w:val="24"/>
          <w:szCs w:val="24"/>
          <w:shd w:val="clear" w:color="auto" w:fill="FFFFFF"/>
          <w:lang w:val="en-US"/>
        </w:rPr>
        <w:t>Kotlina</w:t>
      </w:r>
      <w:proofErr w:type="spellEnd"/>
      <w:r w:rsidRPr="00E2458A">
        <w:rPr>
          <w:rFonts w:ascii="Times New Roman" w:hAnsi="Times New Roman" w:cs="Times New Roman"/>
          <w:color w:val="2B292A"/>
          <w:sz w:val="24"/>
          <w:szCs w:val="24"/>
          <w:shd w:val="clear" w:color="auto" w:fill="FFFFFF"/>
          <w:lang w:val="en-US"/>
        </w:rPr>
        <w:t xml:space="preserve"> (IPA: /</w:t>
      </w:r>
      <w:proofErr w:type="spellStart"/>
      <w:r w:rsidRPr="00E2458A">
        <w:rPr>
          <w:rFonts w:ascii="Times New Roman" w:hAnsi="Times New Roman" w:cs="Times New Roman"/>
          <w:color w:val="2B292A"/>
          <w:sz w:val="24"/>
          <w:szCs w:val="24"/>
          <w:shd w:val="clear" w:color="auto" w:fill="FFFFFF"/>
          <w:lang w:val="en-US"/>
        </w:rPr>
        <w:t>vjɛd͡ʑmjɑ</w:t>
      </w:r>
      <w:proofErr w:type="spellEnd"/>
      <w:r w:rsidRPr="00E2458A">
        <w:rPr>
          <w:rFonts w:ascii="Times New Roman" w:hAnsi="Times New Roman" w:cs="Times New Roman"/>
          <w:color w:val="2B292A"/>
          <w:sz w:val="24"/>
          <w:szCs w:val="24"/>
          <w:shd w:val="clear" w:color="auto" w:fill="FFFFFF"/>
          <w:lang w:val="en-US"/>
        </w:rPr>
        <w:t xml:space="preserve"> </w:t>
      </w:r>
      <w:proofErr w:type="spellStart"/>
      <w:r w:rsidRPr="00E2458A">
        <w:rPr>
          <w:rFonts w:ascii="Times New Roman" w:hAnsi="Times New Roman" w:cs="Times New Roman"/>
          <w:color w:val="2B292A"/>
          <w:sz w:val="24"/>
          <w:szCs w:val="24"/>
          <w:shd w:val="clear" w:color="auto" w:fill="FFFFFF"/>
          <w:lang w:val="en-US"/>
        </w:rPr>
        <w:t>kotljina</w:t>
      </w:r>
      <w:proofErr w:type="spellEnd"/>
      <w:r w:rsidRPr="00E2458A">
        <w:rPr>
          <w:rFonts w:ascii="Times New Roman" w:hAnsi="Times New Roman" w:cs="Times New Roman"/>
          <w:color w:val="2B292A"/>
          <w:sz w:val="24"/>
          <w:szCs w:val="24"/>
          <w:shd w:val="clear" w:color="auto" w:fill="FFFFFF"/>
          <w:lang w:val="en-US"/>
        </w:rPr>
        <w:t xml:space="preserve">/) in the Polish Wikipedia entry on Lovecraft Country, and </w:t>
      </w:r>
      <w:r w:rsidRPr="00E2458A">
        <w:rPr>
          <w:rFonts w:ascii="Times New Roman" w:hAnsi="Times New Roman" w:cs="Times New Roman"/>
          <w:i/>
          <w:iCs/>
          <w:color w:val="2B292A"/>
          <w:sz w:val="24"/>
          <w:szCs w:val="24"/>
          <w:shd w:val="clear" w:color="auto" w:fill="FFFFFF"/>
          <w:lang w:val="en-US"/>
        </w:rPr>
        <w:t xml:space="preserve">Dolina </w:t>
      </w:r>
      <w:proofErr w:type="spellStart"/>
      <w:r w:rsidRPr="00E2458A">
        <w:rPr>
          <w:rFonts w:ascii="Times New Roman" w:hAnsi="Times New Roman" w:cs="Times New Roman"/>
          <w:i/>
          <w:iCs/>
          <w:color w:val="2B292A"/>
          <w:sz w:val="24"/>
          <w:szCs w:val="24"/>
          <w:shd w:val="clear" w:color="auto" w:fill="FFFFFF"/>
          <w:lang w:val="en-US"/>
        </w:rPr>
        <w:t>Wiedźm</w:t>
      </w:r>
      <w:proofErr w:type="spellEnd"/>
      <w:r w:rsidRPr="00E2458A">
        <w:rPr>
          <w:rFonts w:ascii="Times New Roman" w:hAnsi="Times New Roman" w:cs="Times New Roman"/>
          <w:i/>
          <w:iCs/>
          <w:color w:val="2B292A"/>
          <w:sz w:val="24"/>
          <w:szCs w:val="24"/>
          <w:shd w:val="clear" w:color="auto" w:fill="FFFFFF"/>
          <w:lang w:val="en-US"/>
        </w:rPr>
        <w:t xml:space="preserve"> </w:t>
      </w:r>
      <w:r w:rsidRPr="00E2458A">
        <w:rPr>
          <w:rFonts w:ascii="Times New Roman" w:hAnsi="Times New Roman" w:cs="Times New Roman"/>
          <w:color w:val="2B292A"/>
          <w:sz w:val="24"/>
          <w:szCs w:val="24"/>
          <w:shd w:val="clear" w:color="auto" w:fill="FFFFFF"/>
          <w:lang w:val="en-US"/>
        </w:rPr>
        <w:t>(IPA: /</w:t>
      </w:r>
      <w:proofErr w:type="spellStart"/>
      <w:r w:rsidRPr="00E2458A">
        <w:rPr>
          <w:rFonts w:ascii="Times New Roman" w:hAnsi="Times New Roman" w:cs="Times New Roman"/>
          <w:color w:val="2B292A"/>
          <w:sz w:val="24"/>
          <w:szCs w:val="24"/>
          <w:shd w:val="clear" w:color="auto" w:fill="FFFFFF"/>
          <w:lang w:val="en-US"/>
        </w:rPr>
        <w:t>dolinɑ</w:t>
      </w:r>
      <w:proofErr w:type="spellEnd"/>
      <w:r w:rsidRPr="00E2458A">
        <w:rPr>
          <w:rFonts w:ascii="Times New Roman" w:hAnsi="Times New Roman" w:cs="Times New Roman"/>
          <w:color w:val="2B292A"/>
          <w:sz w:val="24"/>
          <w:szCs w:val="24"/>
          <w:shd w:val="clear" w:color="auto" w:fill="FFFFFF"/>
          <w:lang w:val="en-US"/>
        </w:rPr>
        <w:t xml:space="preserve"> </w:t>
      </w:r>
      <w:proofErr w:type="spellStart"/>
      <w:r w:rsidRPr="00E2458A">
        <w:rPr>
          <w:rFonts w:ascii="Times New Roman" w:hAnsi="Times New Roman" w:cs="Times New Roman"/>
          <w:color w:val="2B292A"/>
          <w:sz w:val="24"/>
          <w:szCs w:val="24"/>
          <w:shd w:val="clear" w:color="auto" w:fill="FFFFFF"/>
          <w:lang w:val="en-US"/>
        </w:rPr>
        <w:t>vjɛd͡ʑm</w:t>
      </w:r>
      <w:proofErr w:type="spellEnd"/>
      <w:r w:rsidRPr="00E2458A">
        <w:rPr>
          <w:rFonts w:ascii="Times New Roman" w:hAnsi="Times New Roman" w:cs="Times New Roman"/>
          <w:color w:val="2B292A"/>
          <w:sz w:val="24"/>
          <w:szCs w:val="24"/>
          <w:shd w:val="clear" w:color="auto" w:fill="FFFFFF"/>
          <w:lang w:val="en-US"/>
        </w:rPr>
        <w:t xml:space="preserve">/) an improvised translation sometimes used in casual speech. The abundance of Polish renditions offers a unique opportunity to contrast the original form of the name not against the quirks of one unique rendition, but against a number of separate Polish renditions capturing the ‘Polishness’ of these translations in general rather than a translator’s use of artistic license. </w:t>
      </w:r>
      <w:r w:rsidRPr="00E2458A">
        <w:rPr>
          <w:rStyle w:val="ui-provider"/>
          <w:rFonts w:ascii="Times New Roman" w:hAnsi="Times New Roman" w:cs="Times New Roman"/>
          <w:sz w:val="24"/>
          <w:szCs w:val="24"/>
          <w:lang w:val="en-US"/>
        </w:rPr>
        <w:t>It seems logical to expect that aggregating Polish renditions would contribute to cancelling out their idiosyncrasies and amplifying what the three renditions have in common (i.e., the general effect of domestication).</w:t>
      </w:r>
    </w:p>
    <w:p w14:paraId="3340995F" w14:textId="77777777" w:rsidR="00873911" w:rsidRPr="00E2458A" w:rsidRDefault="00873911" w:rsidP="00D91399">
      <w:pPr>
        <w:keepNext/>
        <w:autoSpaceDE w:val="0"/>
        <w:autoSpaceDN w:val="0"/>
        <w:adjustRightInd w:val="0"/>
        <w:spacing w:line="240" w:lineRule="auto"/>
        <w:jc w:val="center"/>
        <w:rPr>
          <w:rFonts w:ascii="Times New Roman" w:hAnsi="Times New Roman" w:cs="Times New Roman"/>
          <w:b/>
          <w:bCs/>
          <w:smallCaps/>
          <w:kern w:val="0"/>
          <w:sz w:val="20"/>
          <w:szCs w:val="20"/>
          <w:lang w:val="en-US"/>
        </w:rPr>
      </w:pPr>
      <w:r w:rsidRPr="00E2458A">
        <w:rPr>
          <w:rFonts w:ascii="Times New Roman" w:hAnsi="Times New Roman" w:cs="Times New Roman"/>
          <w:b/>
          <w:bCs/>
          <w:smallCaps/>
          <w:kern w:val="0"/>
          <w:sz w:val="20"/>
          <w:szCs w:val="20"/>
          <w:lang w:val="en-US"/>
        </w:rPr>
        <w:t>Study structure and procedure</w:t>
      </w:r>
    </w:p>
    <w:p w14:paraId="5048A91A" w14:textId="4B41770C" w:rsidR="00873911" w:rsidRPr="00E2458A" w:rsidRDefault="00873911" w:rsidP="00D91399">
      <w:pPr>
        <w:keepNext/>
        <w:autoSpaceDE w:val="0"/>
        <w:autoSpaceDN w:val="0"/>
        <w:adjustRightInd w:val="0"/>
        <w:spacing w:after="0" w:line="240" w:lineRule="auto"/>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This study consisted—in fact—of three separate sub-studies. The first employed an early version of the Binary Dimensions Matrix consisting of 31 items (</w:t>
      </w:r>
      <w:r w:rsidRPr="00E2458A">
        <w:rPr>
          <w:rFonts w:ascii="Times New Roman" w:hAnsi="Times New Roman" w:cs="Times New Roman"/>
          <w:smallCaps/>
          <w:kern w:val="0"/>
          <w:sz w:val="24"/>
          <w:szCs w:val="24"/>
          <w:lang w:val="en-US"/>
        </w:rPr>
        <w:t>BDsM-31-pl</w:t>
      </w:r>
      <w:r w:rsidRPr="00E2458A">
        <w:rPr>
          <w:rFonts w:ascii="Times New Roman" w:hAnsi="Times New Roman" w:cs="Times New Roman"/>
          <w:kern w:val="0"/>
          <w:sz w:val="24"/>
          <w:szCs w:val="24"/>
          <w:lang w:val="en-US"/>
        </w:rPr>
        <w:t>) and aimed to verify the H</w:t>
      </w:r>
      <w:r w:rsidRPr="00E2458A">
        <w:rPr>
          <w:rFonts w:ascii="Times New Roman" w:hAnsi="Times New Roman" w:cs="Times New Roman"/>
          <w:kern w:val="0"/>
          <w:sz w:val="24"/>
          <w:szCs w:val="24"/>
          <w:vertAlign w:val="subscript"/>
          <w:lang w:val="en-US"/>
        </w:rPr>
        <w:t>1.1</w:t>
      </w:r>
      <w:r w:rsidRPr="00E2458A">
        <w:rPr>
          <w:rFonts w:ascii="Times New Roman" w:hAnsi="Times New Roman" w:cs="Times New Roman"/>
          <w:kern w:val="0"/>
          <w:sz w:val="24"/>
          <w:szCs w:val="24"/>
          <w:lang w:val="en-US"/>
        </w:rPr>
        <w:t xml:space="preserve"> and H</w:t>
      </w:r>
      <w:r w:rsidRPr="00E2458A">
        <w:rPr>
          <w:rFonts w:ascii="Times New Roman" w:hAnsi="Times New Roman" w:cs="Times New Roman"/>
          <w:kern w:val="0"/>
          <w:sz w:val="24"/>
          <w:szCs w:val="24"/>
          <w:vertAlign w:val="subscript"/>
          <w:lang w:val="en-US"/>
        </w:rPr>
        <w:t>1.2</w:t>
      </w:r>
      <w:r w:rsidRPr="00E2458A">
        <w:rPr>
          <w:rFonts w:ascii="Times New Roman" w:hAnsi="Times New Roman" w:cs="Times New Roman"/>
          <w:kern w:val="0"/>
          <w:sz w:val="24"/>
          <w:szCs w:val="24"/>
          <w:lang w:val="en-US"/>
        </w:rPr>
        <w:t>. The second one was conducted as a follow-up to the first one—its goal was to gather additional data by the means of additional ten items (</w:t>
      </w:r>
      <w:r w:rsidRPr="00E2458A">
        <w:rPr>
          <w:rFonts w:ascii="Times New Roman" w:hAnsi="Times New Roman" w:cs="Times New Roman"/>
          <w:smallCaps/>
          <w:kern w:val="0"/>
          <w:sz w:val="24"/>
          <w:szCs w:val="24"/>
          <w:lang w:val="en-US"/>
        </w:rPr>
        <w:t>BDsM-10-pl</w:t>
      </w:r>
      <w:r w:rsidRPr="00E2458A">
        <w:rPr>
          <w:rFonts w:ascii="Times New Roman" w:hAnsi="Times New Roman" w:cs="Times New Roman"/>
          <w:kern w:val="0"/>
          <w:sz w:val="24"/>
          <w:szCs w:val="24"/>
          <w:lang w:val="en-US"/>
        </w:rPr>
        <w:t xml:space="preserve">) that were added to the original inventory in the meantime. Both of these procedures involved self-identified native speakers of Polish </w:t>
      </w:r>
      <w:r>
        <w:rPr>
          <w:rFonts w:ascii="Times New Roman" w:hAnsi="Times New Roman" w:cs="Times New Roman"/>
          <w:kern w:val="0"/>
          <w:sz w:val="24"/>
          <w:szCs w:val="24"/>
          <w:lang w:val="en-US"/>
        </w:rPr>
        <w:t>(</w:t>
      </w:r>
      <w:r w:rsidR="00207DC0">
        <w:rPr>
          <w:rFonts w:ascii="Times New Roman" w:hAnsi="Times New Roman" w:cs="Times New Roman"/>
          <w:kern w:val="0"/>
          <w:sz w:val="24"/>
          <w:szCs w:val="24"/>
          <w:lang w:val="en-US"/>
        </w:rPr>
        <w:t>NSPL</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t xml:space="preserve">and were conducted with the use of the Polish version of the questionnaire. The third study, involving self-identified native </w:t>
      </w:r>
      <w:r>
        <w:rPr>
          <w:rFonts w:ascii="Times New Roman" w:hAnsi="Times New Roman" w:cs="Times New Roman"/>
          <w:kern w:val="0"/>
          <w:sz w:val="24"/>
          <w:szCs w:val="24"/>
          <w:lang w:val="en-US"/>
        </w:rPr>
        <w:t xml:space="preserve">speakers of </w:t>
      </w:r>
      <w:r w:rsidRPr="00E2458A">
        <w:rPr>
          <w:rFonts w:ascii="Times New Roman" w:hAnsi="Times New Roman" w:cs="Times New Roman"/>
          <w:kern w:val="0"/>
          <w:sz w:val="24"/>
          <w:szCs w:val="24"/>
          <w:lang w:val="en-US"/>
        </w:rPr>
        <w:t>English</w:t>
      </w:r>
      <w:r>
        <w:rPr>
          <w:rFonts w:ascii="Times New Roman" w:hAnsi="Times New Roman" w:cs="Times New Roman"/>
          <w:kern w:val="0"/>
          <w:sz w:val="24"/>
          <w:szCs w:val="24"/>
          <w:lang w:val="en-US"/>
        </w:rPr>
        <w:t xml:space="preserve"> (</w:t>
      </w:r>
      <w:r w:rsidR="00207DC0">
        <w:rPr>
          <w:rFonts w:ascii="Times New Roman" w:hAnsi="Times New Roman" w:cs="Times New Roman"/>
          <w:kern w:val="0"/>
          <w:sz w:val="24"/>
          <w:szCs w:val="24"/>
          <w:lang w:val="en-US"/>
        </w:rPr>
        <w:t>NSEN</w:t>
      </w:r>
      <w:r>
        <w:rPr>
          <w:rFonts w:ascii="Times New Roman" w:hAnsi="Times New Roman" w:cs="Times New Roman"/>
          <w:kern w:val="0"/>
          <w:sz w:val="24"/>
          <w:szCs w:val="24"/>
          <w:lang w:val="en-US"/>
        </w:rPr>
        <w:t>)</w:t>
      </w:r>
      <w:r w:rsidRPr="00E2458A">
        <w:rPr>
          <w:rFonts w:ascii="Times New Roman" w:hAnsi="Times New Roman" w:cs="Times New Roman"/>
          <w:kern w:val="0"/>
          <w:sz w:val="24"/>
          <w:szCs w:val="24"/>
          <w:lang w:val="en-US"/>
        </w:rPr>
        <w:t>, employed the English adaptation of the 41-item version of the Binary Dimensions Matrix (</w:t>
      </w:r>
      <w:r w:rsidRPr="00E2458A">
        <w:rPr>
          <w:rFonts w:ascii="Times New Roman" w:hAnsi="Times New Roman" w:cs="Times New Roman"/>
          <w:smallCaps/>
          <w:kern w:val="0"/>
          <w:sz w:val="24"/>
          <w:szCs w:val="24"/>
          <w:lang w:val="en-US"/>
        </w:rPr>
        <w:t>BDsM-41-en</w:t>
      </w:r>
      <w:r w:rsidRPr="00E2458A">
        <w:rPr>
          <w:rFonts w:ascii="Times New Roman" w:hAnsi="Times New Roman" w:cs="Times New Roman"/>
          <w:kern w:val="0"/>
          <w:sz w:val="24"/>
          <w:szCs w:val="24"/>
          <w:lang w:val="en-US"/>
        </w:rPr>
        <w:t>) and aimed to verify the H</w:t>
      </w:r>
      <w:r w:rsidRPr="00E2458A">
        <w:rPr>
          <w:rFonts w:ascii="Times New Roman" w:hAnsi="Times New Roman" w:cs="Times New Roman"/>
          <w:kern w:val="0"/>
          <w:sz w:val="24"/>
          <w:szCs w:val="24"/>
          <w:vertAlign w:val="subscript"/>
          <w:lang w:val="en-US"/>
        </w:rPr>
        <w:t>2</w:t>
      </w:r>
      <w:r w:rsidRPr="00E2458A">
        <w:rPr>
          <w:rFonts w:ascii="Times New Roman" w:hAnsi="Times New Roman" w:cs="Times New Roman"/>
          <w:kern w:val="0"/>
          <w:sz w:val="24"/>
          <w:szCs w:val="24"/>
          <w:lang w:val="en-US"/>
        </w:rPr>
        <w:t>.</w:t>
      </w:r>
    </w:p>
    <w:p w14:paraId="0E8C3140" w14:textId="2D9A3F1A" w:rsidR="00873911" w:rsidRPr="00E2458A" w:rsidRDefault="00873911" w:rsidP="00873911">
      <w:pPr>
        <w:spacing w:after="0"/>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ab/>
        <w:t>In the case of both studies on Polish-speaking samples, upon clicking the link in the invitation, the prospective participants were randomly assigned to one of four groups and redirected to the appropriate survey version—each being one of the possible translations of Witches’ Hollow into Polish: (1) Witches’ Hollow (copying), (2)</w:t>
      </w:r>
      <w:r>
        <w:rPr>
          <w:rFonts w:ascii="Times New Roman" w:hAnsi="Times New Roman" w:cs="Times New Roman"/>
          <w:kern w:val="0"/>
          <w:sz w:val="24"/>
          <w:szCs w:val="24"/>
          <w:lang w:val="en-US"/>
        </w:rPr>
        <w:t> </w:t>
      </w:r>
      <w:proofErr w:type="spellStart"/>
      <w:r w:rsidRPr="00E2458A">
        <w:rPr>
          <w:rFonts w:ascii="Times New Roman" w:hAnsi="Times New Roman" w:cs="Times New Roman"/>
          <w:kern w:val="0"/>
          <w:sz w:val="24"/>
          <w:szCs w:val="24"/>
          <w:lang w:val="en-US"/>
        </w:rPr>
        <w:t>Wiedźmi</w:t>
      </w:r>
      <w:proofErr w:type="spellEnd"/>
      <w:r w:rsidRPr="00E2458A">
        <w:rPr>
          <w:rFonts w:ascii="Times New Roman" w:hAnsi="Times New Roman" w:cs="Times New Roman"/>
          <w:kern w:val="0"/>
          <w:sz w:val="24"/>
          <w:szCs w:val="24"/>
          <w:lang w:val="en-US"/>
        </w:rPr>
        <w:t xml:space="preserve"> Jar, (3) </w:t>
      </w:r>
      <w:proofErr w:type="spellStart"/>
      <w:r w:rsidRPr="00E2458A">
        <w:rPr>
          <w:rFonts w:ascii="Times New Roman" w:hAnsi="Times New Roman" w:cs="Times New Roman"/>
          <w:kern w:val="0"/>
          <w:sz w:val="24"/>
          <w:szCs w:val="24"/>
          <w:lang w:val="en-US"/>
        </w:rPr>
        <w:t>Wiedźmia</w:t>
      </w:r>
      <w:proofErr w:type="spellEnd"/>
      <w:r w:rsidRPr="00E2458A">
        <w:rPr>
          <w:rFonts w:ascii="Times New Roman" w:hAnsi="Times New Roman" w:cs="Times New Roman"/>
          <w:kern w:val="0"/>
          <w:sz w:val="24"/>
          <w:szCs w:val="24"/>
          <w:lang w:val="en-US"/>
        </w:rPr>
        <w:t xml:space="preserve"> </w:t>
      </w:r>
      <w:proofErr w:type="spellStart"/>
      <w:r w:rsidRPr="00E2458A">
        <w:rPr>
          <w:rFonts w:ascii="Times New Roman" w:hAnsi="Times New Roman" w:cs="Times New Roman"/>
          <w:kern w:val="0"/>
          <w:sz w:val="24"/>
          <w:szCs w:val="24"/>
          <w:lang w:val="en-US"/>
        </w:rPr>
        <w:t>Kotlina</w:t>
      </w:r>
      <w:proofErr w:type="spellEnd"/>
      <w:r w:rsidRPr="00E2458A">
        <w:rPr>
          <w:rFonts w:ascii="Times New Roman" w:hAnsi="Times New Roman" w:cs="Times New Roman"/>
          <w:kern w:val="0"/>
          <w:sz w:val="24"/>
          <w:szCs w:val="24"/>
          <w:lang w:val="en-US"/>
        </w:rPr>
        <w:t xml:space="preserve">, and (4) Dolina </w:t>
      </w:r>
      <w:proofErr w:type="spellStart"/>
      <w:r w:rsidRPr="00E2458A">
        <w:rPr>
          <w:rFonts w:ascii="Times New Roman" w:hAnsi="Times New Roman" w:cs="Times New Roman"/>
          <w:kern w:val="0"/>
          <w:sz w:val="24"/>
          <w:szCs w:val="24"/>
          <w:lang w:val="en-US"/>
        </w:rPr>
        <w:t>Wiedźm</w:t>
      </w:r>
      <w:proofErr w:type="spellEnd"/>
      <w:r w:rsidRPr="00E2458A">
        <w:rPr>
          <w:rFonts w:ascii="Times New Roman" w:hAnsi="Times New Roman" w:cs="Times New Roman"/>
          <w:kern w:val="0"/>
          <w:sz w:val="24"/>
          <w:szCs w:val="24"/>
          <w:lang w:val="en-US"/>
        </w:rPr>
        <w:t xml:space="preserve"> (three renditions). The invitation for the </w:t>
      </w:r>
      <w:r w:rsidR="00207DC0">
        <w:rPr>
          <w:rFonts w:ascii="Times New Roman" w:hAnsi="Times New Roman" w:cs="Times New Roman"/>
          <w:kern w:val="0"/>
          <w:sz w:val="24"/>
          <w:szCs w:val="24"/>
          <w:lang w:val="en-US"/>
        </w:rPr>
        <w:t>NSEN</w:t>
      </w:r>
      <w:r w:rsidRPr="00E2458A">
        <w:rPr>
          <w:rFonts w:ascii="Times New Roman" w:hAnsi="Times New Roman" w:cs="Times New Roman"/>
          <w:kern w:val="0"/>
          <w:sz w:val="24"/>
          <w:szCs w:val="24"/>
          <w:lang w:val="en-US"/>
        </w:rPr>
        <w:t xml:space="preserve"> linked directly </w:t>
      </w:r>
      <w:r w:rsidRPr="00E2458A">
        <w:rPr>
          <w:rFonts w:ascii="Times New Roman" w:hAnsi="Times New Roman" w:cs="Times New Roman"/>
          <w:kern w:val="0"/>
          <w:sz w:val="24"/>
          <w:szCs w:val="24"/>
          <w:lang w:val="en-US"/>
        </w:rPr>
        <w:lastRenderedPageBreak/>
        <w:t>to the English version of the questionnaire, as there was only one group (one English proper name) in the study.</w:t>
      </w:r>
    </w:p>
    <w:p w14:paraId="334A1FD2" w14:textId="77777777" w:rsidR="00873911" w:rsidRPr="00E2458A" w:rsidRDefault="00873911" w:rsidP="00873911">
      <w:pPr>
        <w:spacing w:after="0"/>
        <w:ind w:firstLine="708"/>
        <w:jc w:val="both"/>
        <w:rPr>
          <w:rFonts w:ascii="Times New Roman" w:hAnsi="Times New Roman" w:cs="Times New Roman"/>
          <w:color w:val="202124"/>
          <w:sz w:val="24"/>
          <w:szCs w:val="24"/>
          <w:shd w:val="clear" w:color="auto" w:fill="FFFFFF"/>
          <w:lang w:val="en-US"/>
        </w:rPr>
      </w:pPr>
      <w:r w:rsidRPr="00E2458A">
        <w:rPr>
          <w:rFonts w:ascii="Times New Roman" w:hAnsi="Times New Roman" w:cs="Times New Roman"/>
          <w:color w:val="2B292A"/>
          <w:sz w:val="24"/>
          <w:szCs w:val="24"/>
          <w:shd w:val="clear" w:color="auto" w:fill="FFFFFF"/>
          <w:lang w:val="en-US"/>
        </w:rPr>
        <w:t xml:space="preserve">At the beginning of each questionnaire, a clear description of the study was added, informing the participants about </w:t>
      </w:r>
      <w:r>
        <w:rPr>
          <w:rFonts w:ascii="Times New Roman" w:hAnsi="Times New Roman" w:cs="Times New Roman"/>
          <w:color w:val="2B292A"/>
          <w:sz w:val="24"/>
          <w:szCs w:val="24"/>
          <w:shd w:val="clear" w:color="auto" w:fill="FFFFFF"/>
          <w:lang w:val="en-US"/>
        </w:rPr>
        <w:t xml:space="preserve">the </w:t>
      </w:r>
      <w:r w:rsidRPr="00E2458A">
        <w:rPr>
          <w:rFonts w:ascii="Times New Roman" w:hAnsi="Times New Roman" w:cs="Times New Roman"/>
          <w:color w:val="2B292A"/>
          <w:sz w:val="24"/>
          <w:szCs w:val="24"/>
          <w:shd w:val="clear" w:color="auto" w:fill="FFFFFF"/>
          <w:lang w:val="en-US"/>
        </w:rPr>
        <w:t>(1) purpose of the study (</w:t>
      </w:r>
      <w:r w:rsidRPr="00E2458A">
        <w:rPr>
          <w:rFonts w:ascii="Times New Roman" w:hAnsi="Times New Roman" w:cs="Times New Roman"/>
          <w:color w:val="202124"/>
          <w:sz w:val="24"/>
          <w:szCs w:val="24"/>
          <w:shd w:val="clear" w:color="auto" w:fill="FFFFFF"/>
          <w:lang w:val="en-US"/>
        </w:rPr>
        <w:t>it did not involve any form of deception or misinformation), (2) estimated completion time, (3) fact that the data is collected for the purpose of pooled analyses, (4) fact that the participation is anonymous and no data is recorded by the experimenter prior to submitting a completed survey and that because no data allowing identification is collected, a submitted questionnaire is impossible to be linked with the submitting person and, as a result, to be removed from the data pool. The participants were also provided with the experimenter’s identity, affiliation, and contact information and were informed that once they start the survey, they are under no obligation to complete or submit it and can withdraw from the study any time prior to submitting the results. Before starting the survey, consent was obtained from the participants.</w:t>
      </w:r>
    </w:p>
    <w:p w14:paraId="3DB37E47" w14:textId="1B81C391"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02124"/>
          <w:sz w:val="24"/>
          <w:szCs w:val="24"/>
          <w:shd w:val="clear" w:color="auto" w:fill="FFFFFF"/>
          <w:lang w:val="en-US"/>
        </w:rPr>
      </w:pPr>
      <w:r w:rsidRPr="00E2458A">
        <w:rPr>
          <w:rFonts w:ascii="Times New Roman" w:hAnsi="Times New Roman" w:cs="Times New Roman"/>
          <w:color w:val="202124"/>
          <w:sz w:val="24"/>
          <w:szCs w:val="24"/>
          <w:shd w:val="clear" w:color="auto" w:fill="FFFFFF"/>
          <w:lang w:val="en-US"/>
        </w:rPr>
        <w:t xml:space="preserve">Subsequently, the persons who agreed to take part in the study were asked to provide the following basic pieces of demographic information about themselves: age (in full years), gender (not obligatory), proficiency in English and—in the case of the </w:t>
      </w:r>
      <w:r w:rsidR="00207DC0">
        <w:rPr>
          <w:rFonts w:ascii="Times New Roman" w:hAnsi="Times New Roman" w:cs="Times New Roman"/>
          <w:color w:val="202124"/>
          <w:sz w:val="24"/>
          <w:szCs w:val="24"/>
          <w:shd w:val="clear" w:color="auto" w:fill="FFFFFF"/>
          <w:lang w:val="en-US"/>
        </w:rPr>
        <w:t>NSEN</w:t>
      </w:r>
      <w:r w:rsidRPr="00E2458A">
        <w:rPr>
          <w:rFonts w:ascii="Times New Roman" w:hAnsi="Times New Roman" w:cs="Times New Roman"/>
          <w:color w:val="202124"/>
          <w:sz w:val="24"/>
          <w:szCs w:val="24"/>
          <w:shd w:val="clear" w:color="auto" w:fill="FFFFFF"/>
          <w:lang w:val="en-US"/>
        </w:rPr>
        <w:t xml:space="preserve">—the name of the country wherein they had spent the most time and that best described their linguistic/cultural background. The levels of English proficiency had been predefined and the participants chose from a 7-item list covering the </w:t>
      </w:r>
      <w:r w:rsidRPr="00E2458A">
        <w:rPr>
          <w:rFonts w:ascii="Times New Roman" w:hAnsi="Times New Roman" w:cs="Times New Roman"/>
          <w:smallCaps/>
          <w:color w:val="202124"/>
          <w:sz w:val="24"/>
          <w:szCs w:val="24"/>
          <w:shd w:val="clear" w:color="auto" w:fill="FFFFFF"/>
          <w:lang w:val="en-US"/>
        </w:rPr>
        <w:t>native</w:t>
      </w:r>
      <w:r w:rsidRPr="00E2458A">
        <w:rPr>
          <w:rFonts w:ascii="Times New Roman" w:hAnsi="Times New Roman" w:cs="Times New Roman"/>
          <w:color w:val="202124"/>
          <w:sz w:val="24"/>
          <w:szCs w:val="24"/>
          <w:shd w:val="clear" w:color="auto" w:fill="FFFFFF"/>
          <w:lang w:val="en-US"/>
        </w:rPr>
        <w:t xml:space="preserve"> option, as well as the six CEFR levels ranging from A1 to C2</w:t>
      </w:r>
      <w:r>
        <w:rPr>
          <w:rFonts w:ascii="Times New Roman" w:hAnsi="Times New Roman" w:cs="Times New Roman"/>
          <w:color w:val="202124"/>
          <w:sz w:val="24"/>
          <w:szCs w:val="24"/>
          <w:shd w:val="clear" w:color="auto" w:fill="FFFFFF"/>
          <w:lang w:val="en-US"/>
        </w:rPr>
        <w:t xml:space="preserve"> together with </w:t>
      </w:r>
      <w:r w:rsidRPr="00E2458A">
        <w:rPr>
          <w:rFonts w:ascii="Times New Roman" w:hAnsi="Times New Roman" w:cs="Times New Roman"/>
          <w:color w:val="202124"/>
          <w:sz w:val="24"/>
          <w:szCs w:val="24"/>
          <w:shd w:val="clear" w:color="auto" w:fill="FFFFFF"/>
          <w:lang w:val="en-US"/>
        </w:rPr>
        <w:t>the names of the most popular certificates and the Polish national education system’s equivalents.</w:t>
      </w:r>
    </w:p>
    <w:p w14:paraId="2A002C1B"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color w:val="202124"/>
          <w:sz w:val="24"/>
          <w:szCs w:val="24"/>
          <w:shd w:val="clear" w:color="auto" w:fill="FFFFFF"/>
          <w:lang w:val="en-US"/>
        </w:rPr>
      </w:pPr>
      <w:r w:rsidRPr="00E2458A">
        <w:rPr>
          <w:rFonts w:ascii="Times New Roman" w:hAnsi="Times New Roman" w:cs="Times New Roman"/>
          <w:color w:val="202124"/>
          <w:sz w:val="24"/>
          <w:szCs w:val="24"/>
          <w:shd w:val="clear" w:color="auto" w:fill="FFFFFF"/>
          <w:lang w:val="en-US"/>
        </w:rPr>
        <w:t>Once that part was complete, the participants were provided with the toponym they were assigned, an instruction, and the list of binary oppositions to mark down their associations with the given place</w:t>
      </w:r>
      <w:r w:rsidRPr="00E2458A">
        <w:rPr>
          <w:rFonts w:ascii="Times New Roman" w:hAnsi="Times New Roman" w:cs="Times New Roman"/>
          <w:sz w:val="24"/>
          <w:szCs w:val="24"/>
          <w:shd w:val="clear" w:color="auto" w:fill="FFFFFF"/>
          <w:lang w:val="en-US"/>
        </w:rPr>
        <w:t xml:space="preserve">. </w:t>
      </w:r>
      <w:r w:rsidRPr="00E2458A">
        <w:rPr>
          <w:rFonts w:ascii="Times New Roman" w:hAnsi="Times New Roman" w:cs="Times New Roman"/>
          <w:sz w:val="24"/>
          <w:szCs w:val="24"/>
          <w:lang w:val="en-US"/>
        </w:rPr>
        <w:t>Irrespective of the assigned group, at the end of the first sub-study (</w:t>
      </w:r>
      <w:r w:rsidRPr="00E2458A">
        <w:rPr>
          <w:rFonts w:ascii="Times New Roman" w:hAnsi="Times New Roman" w:cs="Times New Roman"/>
          <w:smallCaps/>
          <w:sz w:val="24"/>
          <w:szCs w:val="24"/>
          <w:lang w:val="en-US"/>
        </w:rPr>
        <w:t>BDsM-31-PL</w:t>
      </w:r>
      <w:r w:rsidRPr="00E2458A">
        <w:rPr>
          <w:rFonts w:ascii="Times New Roman" w:hAnsi="Times New Roman" w:cs="Times New Roman"/>
          <w:sz w:val="24"/>
          <w:szCs w:val="24"/>
          <w:lang w:val="en-US"/>
        </w:rPr>
        <w:t>), each participant was presented with four instances of the same excerpt from the story—each differing only in the toponym’s translation—and was asked to indicate how appealing each of them was on a scale from “1—the worst” to “5—the best”.</w:t>
      </w:r>
    </w:p>
    <w:p w14:paraId="63A8D821" w14:textId="77777777" w:rsidR="00873911" w:rsidRPr="00E2458A" w:rsidRDefault="00873911" w:rsidP="00873911">
      <w:pPr>
        <w:autoSpaceDE w:val="0"/>
        <w:autoSpaceDN w:val="0"/>
        <w:adjustRightInd w:val="0"/>
        <w:spacing w:line="240" w:lineRule="auto"/>
        <w:ind w:firstLine="708"/>
        <w:jc w:val="both"/>
        <w:rPr>
          <w:rFonts w:ascii="Times New Roman" w:hAnsi="Times New Roman" w:cs="Times New Roman"/>
          <w:color w:val="202124"/>
          <w:sz w:val="24"/>
          <w:szCs w:val="24"/>
          <w:shd w:val="clear" w:color="auto" w:fill="FFFFFF"/>
          <w:lang w:val="en-US"/>
        </w:rPr>
      </w:pPr>
      <w:r w:rsidRPr="00E2458A">
        <w:rPr>
          <w:rFonts w:ascii="Times New Roman" w:hAnsi="Times New Roman" w:cs="Times New Roman"/>
          <w:color w:val="202124"/>
          <w:sz w:val="24"/>
          <w:szCs w:val="24"/>
          <w:shd w:val="clear" w:color="auto" w:fill="FFFFFF"/>
          <w:lang w:val="en-US"/>
        </w:rPr>
        <w:t>In the case of the follow-up study (</w:t>
      </w:r>
      <w:r w:rsidRPr="00E2458A">
        <w:rPr>
          <w:rFonts w:ascii="Times New Roman" w:hAnsi="Times New Roman" w:cs="Times New Roman"/>
          <w:smallCaps/>
          <w:color w:val="202124"/>
          <w:sz w:val="24"/>
          <w:szCs w:val="24"/>
          <w:shd w:val="clear" w:color="auto" w:fill="FFFFFF"/>
          <w:lang w:val="en-US"/>
        </w:rPr>
        <w:t>BDsM-10-pl</w:t>
      </w:r>
      <w:r w:rsidRPr="00E2458A">
        <w:rPr>
          <w:rFonts w:ascii="Times New Roman" w:hAnsi="Times New Roman" w:cs="Times New Roman"/>
          <w:color w:val="202124"/>
          <w:sz w:val="24"/>
          <w:szCs w:val="24"/>
          <w:shd w:val="clear" w:color="auto" w:fill="FFFFFF"/>
          <w:lang w:val="en-US"/>
        </w:rPr>
        <w:t xml:space="preserve">), once the participants completed the 10-item inventory, they were asked whether they had taken part in the previous part of the study. A positive reply would end the survey, while the negative one would display a request to provide a few more insights. No participant declared having taken part in the previous sub-study and all agreed to continue. The request was intended as a means of increasing the sample size of the previous stage of the study. The individuals who agreed to continue were randomly assigned a set of additional 4 out of 31 items from the </w:t>
      </w:r>
      <w:r w:rsidRPr="00E2458A">
        <w:rPr>
          <w:rFonts w:ascii="Times New Roman" w:hAnsi="Times New Roman" w:cs="Times New Roman"/>
          <w:smallCaps/>
          <w:color w:val="202124"/>
          <w:sz w:val="24"/>
          <w:szCs w:val="24"/>
          <w:shd w:val="clear" w:color="auto" w:fill="FFFFFF"/>
          <w:lang w:val="en-US"/>
        </w:rPr>
        <w:t>BDsM-31-pl</w:t>
      </w:r>
      <w:r w:rsidRPr="00E2458A">
        <w:rPr>
          <w:rFonts w:ascii="Times New Roman" w:hAnsi="Times New Roman" w:cs="Times New Roman"/>
          <w:color w:val="202124"/>
          <w:sz w:val="24"/>
          <w:szCs w:val="24"/>
          <w:shd w:val="clear" w:color="auto" w:fill="FFFFFF"/>
          <w:lang w:val="en-US"/>
        </w:rPr>
        <w:t xml:space="preserve"> part. In this case, however, the randomization failed and all the participants were given the same set of items </w:t>
      </w:r>
      <w:r w:rsidRPr="00E2458A">
        <w:rPr>
          <w:rFonts w:ascii="Times New Roman" w:hAnsi="Times New Roman" w:cs="Times New Roman"/>
          <w:iCs/>
          <w:smallCaps/>
          <w:color w:val="202124"/>
          <w:sz w:val="24"/>
          <w:szCs w:val="24"/>
          <w:shd w:val="clear" w:color="auto" w:fill="FFFFFF"/>
          <w:lang w:val="en-US"/>
        </w:rPr>
        <w:t>cold</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iCs/>
          <w:smallCaps/>
          <w:color w:val="202124"/>
          <w:sz w:val="24"/>
          <w:szCs w:val="24"/>
          <w:shd w:val="clear" w:color="auto" w:fill="FFFFFF"/>
          <w:lang w:val="en-US"/>
        </w:rPr>
        <w:t>hot, fragrance</w:t>
      </w:r>
      <w:r w:rsidRPr="00E2458A">
        <w:rPr>
          <w:rFonts w:ascii="Times New Roman" w:hAnsi="Times New Roman" w:cs="Times New Roman"/>
          <w:smallCaps/>
          <w:color w:val="202124"/>
          <w:sz w:val="24"/>
          <w:szCs w:val="24"/>
          <w:shd w:val="clear" w:color="auto" w:fill="FFFFFF"/>
          <w:lang w:val="en-US"/>
        </w:rPr>
        <w:t>—</w:t>
      </w:r>
      <w:r w:rsidRPr="00E2458A">
        <w:rPr>
          <w:rFonts w:ascii="Times New Roman" w:hAnsi="Times New Roman" w:cs="Times New Roman"/>
          <w:iCs/>
          <w:smallCaps/>
          <w:color w:val="202124"/>
          <w:sz w:val="24"/>
          <w:szCs w:val="24"/>
          <w:shd w:val="clear" w:color="auto" w:fill="FFFFFF"/>
          <w:lang w:val="en-US"/>
        </w:rPr>
        <w:t>stench</w:t>
      </w:r>
      <w:r w:rsidRPr="00E2458A">
        <w:rPr>
          <w:rFonts w:ascii="Times New Roman" w:hAnsi="Times New Roman" w:cs="Times New Roman"/>
          <w:i/>
          <w:iCs/>
          <w:color w:val="202124"/>
          <w:sz w:val="24"/>
          <w:szCs w:val="24"/>
          <w:shd w:val="clear" w:color="auto" w:fill="FFFFFF"/>
          <w:lang w:val="en-US"/>
        </w:rPr>
        <w:t xml:space="preserve">, </w:t>
      </w:r>
      <w:r w:rsidRPr="00E2458A">
        <w:rPr>
          <w:rFonts w:ascii="Times New Roman" w:hAnsi="Times New Roman" w:cs="Times New Roman"/>
          <w:smallCaps/>
          <w:color w:val="202124"/>
          <w:sz w:val="24"/>
          <w:szCs w:val="24"/>
          <w:shd w:val="clear" w:color="auto" w:fill="FFFFFF"/>
          <w:lang w:val="en-US"/>
        </w:rPr>
        <w:t>shallow—deep</w:t>
      </w:r>
      <w:r w:rsidRPr="00E2458A">
        <w:rPr>
          <w:rFonts w:ascii="Times New Roman" w:hAnsi="Times New Roman" w:cs="Times New Roman"/>
          <w:color w:val="202124"/>
          <w:sz w:val="24"/>
          <w:szCs w:val="24"/>
          <w:shd w:val="clear" w:color="auto" w:fill="FFFFFF"/>
          <w:lang w:val="en-US"/>
        </w:rPr>
        <w:t>, and</w:t>
      </w:r>
      <w:r w:rsidRPr="00E2458A">
        <w:rPr>
          <w:rFonts w:ascii="Times New Roman" w:hAnsi="Times New Roman" w:cs="Times New Roman"/>
          <w:i/>
          <w:iCs/>
          <w:color w:val="202124"/>
          <w:sz w:val="24"/>
          <w:szCs w:val="24"/>
          <w:shd w:val="clear" w:color="auto" w:fill="FFFFFF"/>
          <w:lang w:val="en-US"/>
        </w:rPr>
        <w:t xml:space="preserve"> </w:t>
      </w:r>
      <w:r w:rsidRPr="00E2458A">
        <w:rPr>
          <w:rFonts w:ascii="Times New Roman" w:hAnsi="Times New Roman" w:cs="Times New Roman"/>
          <w:smallCaps/>
          <w:color w:val="202124"/>
          <w:sz w:val="24"/>
          <w:szCs w:val="24"/>
          <w:shd w:val="clear" w:color="auto" w:fill="FFFFFF"/>
          <w:lang w:val="en-US"/>
        </w:rPr>
        <w:t>silence—noise</w:t>
      </w:r>
      <w:r w:rsidRPr="00E2458A">
        <w:rPr>
          <w:rFonts w:ascii="Times New Roman" w:hAnsi="Times New Roman" w:cs="Times New Roman"/>
          <w:color w:val="202124"/>
          <w:sz w:val="24"/>
          <w:szCs w:val="24"/>
          <w:shd w:val="clear" w:color="auto" w:fill="FFFFFF"/>
          <w:lang w:val="en-US"/>
        </w:rPr>
        <w:t>. Since no grounds for exclusion of the data was found, the results were included in the analyses.</w:t>
      </w:r>
    </w:p>
    <w:p w14:paraId="5F785F66" w14:textId="77777777" w:rsidR="00873911" w:rsidRPr="00E2458A" w:rsidRDefault="00873911" w:rsidP="00873911">
      <w:pPr>
        <w:autoSpaceDE w:val="0"/>
        <w:autoSpaceDN w:val="0"/>
        <w:adjustRightInd w:val="0"/>
        <w:spacing w:line="240" w:lineRule="auto"/>
        <w:jc w:val="center"/>
        <w:rPr>
          <w:rFonts w:ascii="Times New Roman" w:hAnsi="Times New Roman" w:cs="Times New Roman"/>
          <w:b/>
          <w:bCs/>
          <w:smallCaps/>
          <w:kern w:val="0"/>
          <w:sz w:val="20"/>
          <w:szCs w:val="20"/>
          <w:lang w:val="en-US"/>
        </w:rPr>
      </w:pPr>
      <w:r w:rsidRPr="00E2458A">
        <w:rPr>
          <w:rFonts w:ascii="Times New Roman" w:hAnsi="Times New Roman" w:cs="Times New Roman"/>
          <w:b/>
          <w:bCs/>
          <w:smallCaps/>
          <w:kern w:val="0"/>
          <w:sz w:val="20"/>
          <w:szCs w:val="20"/>
          <w:lang w:val="en-US"/>
        </w:rPr>
        <w:t>Recruitment and data collection</w:t>
      </w:r>
    </w:p>
    <w:p w14:paraId="27F0BE19" w14:textId="16037100" w:rsidR="00873911" w:rsidRPr="00E2458A" w:rsidRDefault="00873911" w:rsidP="00873911">
      <w:pPr>
        <w:pStyle w:val="MDPI31text"/>
        <w:ind w:firstLine="0"/>
        <w:rPr>
          <w:rFonts w:ascii="Times New Roman" w:hAnsi="Times New Roman"/>
          <w:sz w:val="24"/>
          <w:szCs w:val="24"/>
        </w:rPr>
      </w:pPr>
      <w:r w:rsidRPr="00E2458A">
        <w:rPr>
          <w:rFonts w:ascii="Times New Roman" w:hAnsi="Times New Roman"/>
          <w:sz w:val="24"/>
          <w:szCs w:val="24"/>
        </w:rPr>
        <w:t>In the case of all three sub-studies</w:t>
      </w:r>
      <w:r>
        <w:rPr>
          <w:rFonts w:ascii="Times New Roman" w:hAnsi="Times New Roman"/>
          <w:sz w:val="24"/>
          <w:szCs w:val="24"/>
        </w:rPr>
        <w:t>,</w:t>
      </w:r>
      <w:r w:rsidRPr="00E2458A">
        <w:rPr>
          <w:rFonts w:ascii="Times New Roman" w:hAnsi="Times New Roman"/>
          <w:sz w:val="24"/>
          <w:szCs w:val="24"/>
        </w:rPr>
        <w:t xml:space="preserve"> the invitations to participate were extended to either the </w:t>
      </w:r>
      <w:r w:rsidR="00207DC0">
        <w:rPr>
          <w:rFonts w:ascii="Times New Roman" w:hAnsi="Times New Roman"/>
          <w:sz w:val="24"/>
          <w:szCs w:val="24"/>
        </w:rPr>
        <w:t>NSPL</w:t>
      </w:r>
      <w:r>
        <w:rPr>
          <w:rFonts w:ascii="Times New Roman" w:hAnsi="Times New Roman"/>
          <w:sz w:val="24"/>
          <w:szCs w:val="24"/>
        </w:rPr>
        <w:t xml:space="preserve"> </w:t>
      </w:r>
      <w:r w:rsidRPr="00E2458A">
        <w:rPr>
          <w:rFonts w:ascii="Times New Roman" w:hAnsi="Times New Roman"/>
          <w:sz w:val="24"/>
          <w:szCs w:val="24"/>
        </w:rPr>
        <w:t xml:space="preserve">or </w:t>
      </w:r>
      <w:r w:rsidR="00207DC0">
        <w:rPr>
          <w:rFonts w:ascii="Times New Roman" w:hAnsi="Times New Roman"/>
          <w:sz w:val="24"/>
          <w:szCs w:val="24"/>
        </w:rPr>
        <w:t>NSEN</w:t>
      </w:r>
      <w:r w:rsidRPr="00E2458A">
        <w:rPr>
          <w:rFonts w:ascii="Times New Roman" w:hAnsi="Times New Roman"/>
          <w:sz w:val="24"/>
          <w:szCs w:val="24"/>
        </w:rPr>
        <w:t xml:space="preserve"> interested in horror, gothic, or weird fiction literature. The invitations were distributed among them </w:t>
      </w:r>
      <w:r w:rsidRPr="00E2458A">
        <w:rPr>
          <w:rFonts w:ascii="Times New Roman" w:hAnsi="Times New Roman"/>
          <w:i/>
          <w:iCs/>
          <w:sz w:val="24"/>
          <w:szCs w:val="24"/>
        </w:rPr>
        <w:t>via</w:t>
      </w:r>
      <w:r w:rsidRPr="00E2458A">
        <w:rPr>
          <w:rFonts w:ascii="Times New Roman" w:hAnsi="Times New Roman"/>
          <w:sz w:val="24"/>
          <w:szCs w:val="24"/>
        </w:rPr>
        <w:t xml:space="preserve"> mailing lists and social media groups. The dissemination of the invitations among other fans of the genres by word of mouth was also encouraged</w:t>
      </w:r>
      <w:r>
        <w:rPr>
          <w:rFonts w:ascii="Times New Roman" w:hAnsi="Times New Roman"/>
          <w:sz w:val="24"/>
          <w:szCs w:val="24"/>
        </w:rPr>
        <w:t>.</w:t>
      </w:r>
    </w:p>
    <w:p w14:paraId="59B98A17" w14:textId="77777777" w:rsidR="00873911" w:rsidRPr="00E2458A" w:rsidRDefault="00873911" w:rsidP="00873911">
      <w:pPr>
        <w:pStyle w:val="MDPI31text"/>
        <w:spacing w:after="240"/>
        <w:ind w:firstLine="708"/>
        <w:rPr>
          <w:rFonts w:ascii="Times New Roman" w:hAnsi="Times New Roman"/>
          <w:sz w:val="24"/>
          <w:szCs w:val="24"/>
        </w:rPr>
      </w:pPr>
      <w:r w:rsidRPr="00E2458A">
        <w:rPr>
          <w:rFonts w:ascii="Times New Roman" w:hAnsi="Times New Roman"/>
          <w:sz w:val="24"/>
          <w:szCs w:val="24"/>
        </w:rPr>
        <w:t xml:space="preserve">The </w:t>
      </w:r>
      <w:r w:rsidRPr="00E2458A">
        <w:rPr>
          <w:rFonts w:ascii="Times New Roman" w:hAnsi="Times New Roman"/>
          <w:smallCaps/>
          <w:sz w:val="24"/>
          <w:szCs w:val="24"/>
        </w:rPr>
        <w:t xml:space="preserve">BDsM-31-pl </w:t>
      </w:r>
      <w:r w:rsidRPr="00E2458A">
        <w:rPr>
          <w:rFonts w:ascii="Times New Roman" w:hAnsi="Times New Roman"/>
          <w:sz w:val="24"/>
          <w:szCs w:val="24"/>
        </w:rPr>
        <w:t>sub-study was launched online in April 2021 and the data were collected over the course of the next seven months. The invitations for the follow-up study (</w:t>
      </w:r>
      <w:r w:rsidRPr="00E2458A">
        <w:rPr>
          <w:rFonts w:ascii="Times New Roman" w:hAnsi="Times New Roman"/>
          <w:smallCaps/>
          <w:sz w:val="24"/>
          <w:szCs w:val="24"/>
        </w:rPr>
        <w:t>BDsM-10-pl</w:t>
      </w:r>
      <w:r w:rsidRPr="00E2458A">
        <w:rPr>
          <w:rFonts w:ascii="Times New Roman" w:hAnsi="Times New Roman"/>
          <w:sz w:val="24"/>
          <w:szCs w:val="24"/>
        </w:rPr>
        <w:t>) were issued in May 2022, and the form remained open until November 2022. The survey for English-speaking audiences (</w:t>
      </w:r>
      <w:r w:rsidRPr="00E2458A">
        <w:rPr>
          <w:rFonts w:ascii="Times New Roman" w:hAnsi="Times New Roman"/>
          <w:smallCaps/>
          <w:sz w:val="24"/>
          <w:szCs w:val="24"/>
        </w:rPr>
        <w:t>BDsM-41-en</w:t>
      </w:r>
      <w:r w:rsidRPr="00E2458A">
        <w:rPr>
          <w:rFonts w:ascii="Times New Roman" w:hAnsi="Times New Roman"/>
          <w:sz w:val="24"/>
          <w:szCs w:val="24"/>
        </w:rPr>
        <w:t xml:space="preserve">) was made available in June 2022, and the data were collected through November 2022. </w:t>
      </w:r>
    </w:p>
    <w:p w14:paraId="3DF3795C" w14:textId="77777777" w:rsidR="00873911" w:rsidRPr="00E2458A" w:rsidRDefault="00873911" w:rsidP="00D91399">
      <w:pPr>
        <w:keepNext/>
        <w:autoSpaceDE w:val="0"/>
        <w:autoSpaceDN w:val="0"/>
        <w:adjustRightInd w:val="0"/>
        <w:spacing w:line="240" w:lineRule="auto"/>
        <w:jc w:val="center"/>
        <w:rPr>
          <w:rFonts w:ascii="Times New Roman" w:hAnsi="Times New Roman" w:cs="Times New Roman"/>
          <w:b/>
          <w:bCs/>
          <w:smallCaps/>
          <w:kern w:val="0"/>
          <w:sz w:val="20"/>
          <w:szCs w:val="20"/>
          <w:lang w:val="en-US"/>
        </w:rPr>
      </w:pPr>
      <w:r w:rsidRPr="00E2458A">
        <w:rPr>
          <w:rFonts w:ascii="Times New Roman" w:hAnsi="Times New Roman" w:cs="Times New Roman"/>
          <w:b/>
          <w:bCs/>
          <w:smallCaps/>
          <w:kern w:val="0"/>
          <w:sz w:val="20"/>
          <w:szCs w:val="20"/>
          <w:lang w:val="en-US"/>
        </w:rPr>
        <w:lastRenderedPageBreak/>
        <w:t>Participants</w:t>
      </w:r>
    </w:p>
    <w:p w14:paraId="40839291" w14:textId="77777777" w:rsidR="00873911" w:rsidRPr="00E2458A" w:rsidRDefault="00873911" w:rsidP="00D91399">
      <w:pPr>
        <w:keepNext/>
        <w:autoSpaceDE w:val="0"/>
        <w:autoSpaceDN w:val="0"/>
        <w:adjustRightInd w:val="0"/>
        <w:spacing w:after="0" w:line="240" w:lineRule="auto"/>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 xml:space="preserve">The 212 participants of the first </w:t>
      </w:r>
      <w:r w:rsidRPr="00E2458A">
        <w:rPr>
          <w:rFonts w:ascii="Times New Roman" w:hAnsi="Times New Roman" w:cs="Times New Roman"/>
          <w:smallCaps/>
          <w:kern w:val="0"/>
          <w:sz w:val="24"/>
          <w:szCs w:val="24"/>
          <w:lang w:val="en-US"/>
        </w:rPr>
        <w:t>BDsM</w:t>
      </w:r>
      <w:r w:rsidRPr="00E2458A">
        <w:rPr>
          <w:rFonts w:ascii="Times New Roman" w:hAnsi="Times New Roman" w:cs="Times New Roman"/>
          <w:kern w:val="0"/>
          <w:sz w:val="24"/>
          <w:szCs w:val="24"/>
          <w:lang w:val="en-US"/>
        </w:rPr>
        <w:t>-31-</w:t>
      </w:r>
      <w:r w:rsidRPr="00E2458A">
        <w:rPr>
          <w:rFonts w:ascii="Times New Roman" w:hAnsi="Times New Roman" w:cs="Times New Roman"/>
          <w:smallCaps/>
          <w:kern w:val="0"/>
          <w:sz w:val="24"/>
          <w:szCs w:val="24"/>
          <w:lang w:val="en-US"/>
        </w:rPr>
        <w:t xml:space="preserve">pl </w:t>
      </w:r>
      <w:r w:rsidRPr="00E2458A">
        <w:rPr>
          <w:rFonts w:ascii="Times New Roman" w:hAnsi="Times New Roman" w:cs="Times New Roman"/>
          <w:kern w:val="0"/>
          <w:sz w:val="24"/>
          <w:szCs w:val="24"/>
          <w:lang w:val="en-US"/>
        </w:rPr>
        <w:t>sub-study were randomly assigned to one of four groups, each numbering 52–54 persons, and the 302 participants of the follow-up study (</w:t>
      </w:r>
      <w:r w:rsidRPr="00E2458A">
        <w:rPr>
          <w:rFonts w:ascii="Times New Roman" w:hAnsi="Times New Roman" w:cs="Times New Roman"/>
          <w:smallCaps/>
          <w:kern w:val="0"/>
          <w:sz w:val="24"/>
          <w:szCs w:val="24"/>
          <w:lang w:val="en-US"/>
        </w:rPr>
        <w:t>BDsM-10-pl</w:t>
      </w:r>
      <w:r w:rsidRPr="00E2458A">
        <w:rPr>
          <w:rFonts w:ascii="Times New Roman" w:hAnsi="Times New Roman" w:cs="Times New Roman"/>
          <w:kern w:val="0"/>
          <w:sz w:val="24"/>
          <w:szCs w:val="24"/>
          <w:lang w:val="en-US"/>
        </w:rPr>
        <w:t xml:space="preserve">) were randomly assigned to one of four groups with 73–77 persons each. Because the latter was a follow-up to the </w:t>
      </w:r>
      <w:r w:rsidRPr="00E2458A">
        <w:rPr>
          <w:rFonts w:ascii="Times New Roman" w:hAnsi="Times New Roman" w:cs="Times New Roman"/>
          <w:smallCaps/>
          <w:kern w:val="0"/>
          <w:sz w:val="24"/>
          <w:szCs w:val="24"/>
          <w:lang w:val="en-US"/>
        </w:rPr>
        <w:t>BDsM</w:t>
      </w:r>
      <w:r w:rsidRPr="00E2458A">
        <w:rPr>
          <w:rFonts w:ascii="Times New Roman" w:hAnsi="Times New Roman" w:cs="Times New Roman"/>
          <w:kern w:val="0"/>
          <w:sz w:val="24"/>
          <w:szCs w:val="24"/>
          <w:lang w:val="en-US"/>
        </w:rPr>
        <w:t>-31-</w:t>
      </w:r>
      <w:r w:rsidRPr="00E2458A">
        <w:rPr>
          <w:rFonts w:ascii="Times New Roman" w:hAnsi="Times New Roman" w:cs="Times New Roman"/>
          <w:smallCaps/>
          <w:kern w:val="0"/>
          <w:sz w:val="24"/>
          <w:szCs w:val="24"/>
          <w:lang w:val="en-US"/>
        </w:rPr>
        <w:t xml:space="preserve">pl </w:t>
      </w:r>
      <w:r w:rsidRPr="00E2458A">
        <w:rPr>
          <w:rFonts w:ascii="Times New Roman" w:hAnsi="Times New Roman" w:cs="Times New Roman"/>
          <w:kern w:val="0"/>
          <w:sz w:val="24"/>
          <w:szCs w:val="24"/>
          <w:lang w:val="en-US"/>
        </w:rPr>
        <w:t>(both can be seen as two parts of the same inquiry) and their results are not compared against each other, the entire Polish-speaking sample is presented in one demographic profile. Out of 514 individuals</w:t>
      </w:r>
      <w:r w:rsidRPr="00E2458A">
        <w:rPr>
          <w:rFonts w:ascii="Times New Roman" w:hAnsi="Times New Roman" w:cs="Times New Roman"/>
          <w:sz w:val="24"/>
          <w:szCs w:val="24"/>
          <w:lang w:val="en-US"/>
        </w:rPr>
        <w:t>, 235 (45.7%) were women, 277 (53.9%) were men, and 2 (0.4%)</w:t>
      </w:r>
      <w:r w:rsidRPr="00E2458A">
        <w:rPr>
          <w:rFonts w:ascii="Times New Roman" w:hAnsi="Times New Roman" w:cs="Times New Roman"/>
          <w:kern w:val="0"/>
          <w:sz w:val="24"/>
          <w:szCs w:val="24"/>
          <w:lang w:val="en-US"/>
        </w:rPr>
        <w:t xml:space="preserve"> chose not to provide this information</w:t>
      </w:r>
      <w:r w:rsidRPr="00E2458A">
        <w:rPr>
          <w:rFonts w:ascii="Times New Roman" w:hAnsi="Times New Roman" w:cs="Times New Roman"/>
          <w:sz w:val="24"/>
          <w:szCs w:val="24"/>
          <w:lang w:val="en-US"/>
        </w:rPr>
        <w:t xml:space="preserve">. The </w:t>
      </w:r>
      <w:proofErr w:type="spellStart"/>
      <w:r>
        <w:rPr>
          <w:rFonts w:ascii="Times New Roman" w:hAnsi="Times New Roman" w:cs="Times New Roman"/>
          <w:sz w:val="24"/>
          <w:szCs w:val="24"/>
          <w:lang w:val="en-US"/>
        </w:rPr>
        <w:t>participants</w:t>
      </w:r>
      <w:r w:rsidRPr="00E2458A">
        <w:rPr>
          <w:rFonts w:ascii="Times New Roman" w:hAnsi="Times New Roman" w:cs="Times New Roman"/>
          <w:sz w:val="24"/>
          <w:szCs w:val="24"/>
          <w:lang w:val="en-US"/>
        </w:rPr>
        <w:t>’s</w:t>
      </w:r>
      <w:proofErr w:type="spellEnd"/>
      <w:r w:rsidRPr="00E2458A">
        <w:rPr>
          <w:rFonts w:ascii="Times New Roman" w:hAnsi="Times New Roman" w:cs="Times New Roman"/>
          <w:sz w:val="24"/>
          <w:szCs w:val="24"/>
          <w:lang w:val="en-US"/>
        </w:rPr>
        <w:t xml:space="preserve"> age spanned between </w:t>
      </w:r>
      <w:r w:rsidRPr="00E2458A">
        <w:rPr>
          <w:rFonts w:ascii="Times New Roman" w:hAnsi="Times New Roman" w:cs="Times New Roman"/>
          <w:kern w:val="0"/>
          <w:sz w:val="24"/>
          <w:szCs w:val="24"/>
          <w:lang w:val="en-US"/>
        </w:rPr>
        <w:t xml:space="preserve">18 and 63 years </w:t>
      </w:r>
      <w:r w:rsidRPr="00E2458A">
        <w:rPr>
          <w:rFonts w:ascii="Times New Roman" w:hAnsi="Times New Roman" w:cs="Times New Roman"/>
          <w:sz w:val="24"/>
          <w:szCs w:val="24"/>
          <w:lang w:val="en-US"/>
        </w:rPr>
        <w:t>(</w:t>
      </w:r>
      <w:r w:rsidRPr="00E2458A">
        <w:rPr>
          <w:rFonts w:ascii="Times New Roman" w:hAnsi="Times New Roman" w:cs="Times New Roman"/>
          <w:i/>
          <w:iCs/>
          <w:sz w:val="24"/>
          <w:szCs w:val="24"/>
          <w:lang w:val="en-US"/>
        </w:rPr>
        <w:t>M</w:t>
      </w:r>
      <w:r w:rsidRPr="00E2458A">
        <w:rPr>
          <w:rFonts w:ascii="Times New Roman" w:hAnsi="Times New Roman" w:cs="Times New Roman"/>
          <w:sz w:val="24"/>
          <w:szCs w:val="24"/>
          <w:lang w:val="en-US"/>
        </w:rPr>
        <w:t xml:space="preserve"> = 28.57; </w:t>
      </w:r>
      <w:r w:rsidRPr="00E2458A">
        <w:rPr>
          <w:rFonts w:ascii="Times New Roman" w:hAnsi="Times New Roman" w:cs="Times New Roman"/>
          <w:i/>
          <w:iCs/>
          <w:sz w:val="24"/>
          <w:szCs w:val="24"/>
          <w:lang w:val="en-US"/>
        </w:rPr>
        <w:t>SD</w:t>
      </w:r>
      <w:r w:rsidRPr="00E2458A">
        <w:rPr>
          <w:rFonts w:ascii="Times New Roman" w:hAnsi="Times New Roman" w:cs="Times New Roman"/>
          <w:sz w:val="24"/>
          <w:szCs w:val="24"/>
          <w:lang w:val="en-US"/>
        </w:rPr>
        <w:t xml:space="preserve"> = 8.175)</w:t>
      </w:r>
      <w:r w:rsidRPr="00E2458A">
        <w:rPr>
          <w:rFonts w:ascii="Times New Roman" w:hAnsi="Times New Roman" w:cs="Times New Roman"/>
          <w:kern w:val="0"/>
          <w:sz w:val="24"/>
          <w:szCs w:val="24"/>
          <w:lang w:val="en-US"/>
        </w:rPr>
        <w:t xml:space="preserve">. In terms of English proficiency of the Polish-speaking group, 12 (2.3%) participants declared they were at A1 level, 13 (2.5%) A2, 76 (14.8%) B1, 215 (41.8%) B2, 149 (29.0%) C1, and 49 (9.5%) C2. </w:t>
      </w:r>
    </w:p>
    <w:p w14:paraId="129A9DD8" w14:textId="77777777" w:rsidR="00873911" w:rsidRPr="00E2458A" w:rsidRDefault="00873911" w:rsidP="00873911">
      <w:pPr>
        <w:autoSpaceDE w:val="0"/>
        <w:autoSpaceDN w:val="0"/>
        <w:adjustRightInd w:val="0"/>
        <w:spacing w:line="240" w:lineRule="auto"/>
        <w:ind w:firstLine="708"/>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 xml:space="preserve">In the case of the third study, 100 individuals consented to participate and completed the </w:t>
      </w:r>
      <w:r w:rsidRPr="00E2458A">
        <w:rPr>
          <w:rFonts w:ascii="Times New Roman" w:hAnsi="Times New Roman" w:cs="Times New Roman"/>
          <w:smallCaps/>
          <w:kern w:val="0"/>
          <w:sz w:val="24"/>
          <w:szCs w:val="24"/>
          <w:lang w:val="en-US"/>
        </w:rPr>
        <w:t>BDsM-41-en</w:t>
      </w:r>
      <w:r w:rsidRPr="00E2458A">
        <w:rPr>
          <w:rFonts w:ascii="Times New Roman" w:hAnsi="Times New Roman" w:cs="Times New Roman"/>
          <w:kern w:val="0"/>
          <w:sz w:val="24"/>
          <w:szCs w:val="24"/>
          <w:lang w:val="en-US"/>
        </w:rPr>
        <w:t xml:space="preserve"> questionnaire. However, the results from one of the participants were removed from the pool due to low data quality, and another 18 individuals were excluded from the analyses because even though they came from an English-speaking country, they assessed their English fluency at a C1 or C2 levels (meaning that English might have been their second language). Ultimately, the data pool came from 81 individuals—39 (48.1%) women, 41</w:t>
      </w:r>
      <w:r>
        <w:rPr>
          <w:rFonts w:ascii="Times New Roman" w:hAnsi="Times New Roman" w:cs="Times New Roman"/>
          <w:kern w:val="0"/>
          <w:sz w:val="24"/>
          <w:szCs w:val="24"/>
          <w:lang w:val="en-US"/>
        </w:rPr>
        <w:t> </w:t>
      </w:r>
      <w:r w:rsidRPr="00E2458A">
        <w:rPr>
          <w:rFonts w:ascii="Times New Roman" w:hAnsi="Times New Roman" w:cs="Times New Roman"/>
          <w:kern w:val="0"/>
          <w:sz w:val="24"/>
          <w:szCs w:val="24"/>
          <w:lang w:val="en-US"/>
        </w:rPr>
        <w:t>(50.6%) men, and 1 (1.2%) person who chose not to supply this information. Their age ranged between 18 and 71 (</w:t>
      </w:r>
      <w:r w:rsidRPr="00E2458A">
        <w:rPr>
          <w:rFonts w:ascii="Times New Roman" w:hAnsi="Times New Roman" w:cs="Times New Roman"/>
          <w:i/>
          <w:iCs/>
          <w:kern w:val="0"/>
          <w:sz w:val="24"/>
          <w:szCs w:val="24"/>
          <w:lang w:val="en-US"/>
        </w:rPr>
        <w:t>M</w:t>
      </w:r>
      <w:r w:rsidRPr="00E2458A">
        <w:rPr>
          <w:rFonts w:ascii="Times New Roman" w:hAnsi="Times New Roman" w:cs="Times New Roman"/>
          <w:kern w:val="0"/>
          <w:sz w:val="24"/>
          <w:szCs w:val="24"/>
          <w:lang w:val="en-US"/>
        </w:rPr>
        <w:t xml:space="preserve"> = 37.02, </w:t>
      </w:r>
      <w:r w:rsidRPr="00E2458A">
        <w:rPr>
          <w:rFonts w:ascii="Times New Roman" w:hAnsi="Times New Roman" w:cs="Times New Roman"/>
          <w:i/>
          <w:iCs/>
          <w:kern w:val="0"/>
          <w:sz w:val="24"/>
          <w:szCs w:val="24"/>
          <w:lang w:val="en-US"/>
        </w:rPr>
        <w:t xml:space="preserve">SD </w:t>
      </w:r>
      <w:r w:rsidRPr="00E2458A">
        <w:rPr>
          <w:rFonts w:ascii="Times New Roman" w:hAnsi="Times New Roman" w:cs="Times New Roman"/>
          <w:kern w:val="0"/>
          <w:sz w:val="24"/>
          <w:szCs w:val="24"/>
          <w:lang w:val="en-US"/>
        </w:rPr>
        <w:t xml:space="preserve">= 13.650). With regard to the country best describing the participants’ LC background, 54 (66.7%) indicated the United States, 15 (18.5%) the United Kingdom, 8 (9.9%) Canada, and 4 (4.9%) New Zealand. </w:t>
      </w:r>
    </w:p>
    <w:p w14:paraId="50A620CA" w14:textId="77777777" w:rsidR="00873911" w:rsidRPr="00E2458A" w:rsidRDefault="00873911" w:rsidP="00873911">
      <w:pPr>
        <w:autoSpaceDE w:val="0"/>
        <w:autoSpaceDN w:val="0"/>
        <w:adjustRightInd w:val="0"/>
        <w:spacing w:line="240" w:lineRule="auto"/>
        <w:jc w:val="center"/>
        <w:rPr>
          <w:rFonts w:ascii="Times New Roman" w:hAnsi="Times New Roman" w:cs="Times New Roman"/>
          <w:b/>
          <w:bCs/>
          <w:smallCaps/>
          <w:kern w:val="0"/>
          <w:sz w:val="20"/>
          <w:szCs w:val="20"/>
          <w:lang w:val="en-US"/>
        </w:rPr>
      </w:pPr>
      <w:r w:rsidRPr="00E2458A">
        <w:rPr>
          <w:rFonts w:ascii="Times New Roman" w:hAnsi="Times New Roman" w:cs="Times New Roman"/>
          <w:b/>
          <w:bCs/>
          <w:smallCaps/>
          <w:kern w:val="0"/>
          <w:sz w:val="20"/>
          <w:szCs w:val="20"/>
          <w:lang w:val="en-US"/>
        </w:rPr>
        <w:t>Analyses</w:t>
      </w:r>
    </w:p>
    <w:p w14:paraId="1044BD80" w14:textId="77777777" w:rsidR="00873911" w:rsidRPr="00E2458A" w:rsidRDefault="00873911" w:rsidP="00873911">
      <w:pPr>
        <w:autoSpaceDE w:val="0"/>
        <w:autoSpaceDN w:val="0"/>
        <w:adjustRightInd w:val="0"/>
        <w:spacing w:after="0" w:line="240" w:lineRule="auto"/>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 xml:space="preserve">The statistical analyses were conducted by the means of the IBM SPSS Statistics 29 software. Because the data were not normally distributed and the groups varied in sizes, Mann-Whitney </w:t>
      </w:r>
      <w:r w:rsidRPr="00E2458A">
        <w:rPr>
          <w:rFonts w:ascii="Times New Roman" w:hAnsi="Times New Roman" w:cs="Times New Roman"/>
          <w:i/>
          <w:iCs/>
          <w:kern w:val="0"/>
          <w:sz w:val="24"/>
          <w:szCs w:val="24"/>
          <w:lang w:val="en-US"/>
        </w:rPr>
        <w:t>U</w:t>
      </w:r>
      <w:r w:rsidRPr="00E2458A">
        <w:rPr>
          <w:rFonts w:ascii="Times New Roman" w:hAnsi="Times New Roman" w:cs="Times New Roman"/>
          <w:kern w:val="0"/>
          <w:sz w:val="24"/>
          <w:szCs w:val="24"/>
          <w:lang w:val="en-US"/>
        </w:rPr>
        <w:t xml:space="preserve"> tests were performed. The effects’ sizes (Eta-squared) were calculated form the </w:t>
      </w:r>
      <w:r w:rsidRPr="00E2458A">
        <w:rPr>
          <w:rFonts w:ascii="Times New Roman" w:hAnsi="Times New Roman" w:cs="Times New Roman"/>
          <w:i/>
          <w:iCs/>
          <w:kern w:val="0"/>
          <w:sz w:val="24"/>
          <w:szCs w:val="24"/>
          <w:lang w:val="en-US"/>
        </w:rPr>
        <w:t>Z</w:t>
      </w:r>
      <w:r w:rsidRPr="00E2458A">
        <w:rPr>
          <w:rFonts w:ascii="Times New Roman" w:hAnsi="Times New Roman" w:cs="Times New Roman"/>
          <w:kern w:val="0"/>
          <w:sz w:val="24"/>
          <w:szCs w:val="24"/>
          <w:lang w:val="en-US"/>
        </w:rPr>
        <w:t>-values provided by the inferential tests with the help of the MS Excel package, which was also used to visualize the final results.</w:t>
      </w:r>
    </w:p>
    <w:p w14:paraId="3826A25B" w14:textId="77777777" w:rsidR="00873911" w:rsidRPr="00E2458A" w:rsidRDefault="00873911" w:rsidP="00873911">
      <w:pPr>
        <w:autoSpaceDE w:val="0"/>
        <w:autoSpaceDN w:val="0"/>
        <w:adjustRightInd w:val="0"/>
        <w:spacing w:after="0" w:line="240" w:lineRule="auto"/>
        <w:ind w:firstLine="708"/>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Prior to the analyses, the raw numerical values for each pair—ranging from 1 to 7—were transformed so that the neutral label’s value was zero and the scale ranged from −3 to +3 (left to right). Although the Mann-Whitney test does not compare means, median would be hardly useful in visualizing the data, and for that reason for each of the binary dimensions the mean was also calculated and then transformed into percentages of the extreme values of the scales (i.e., x̄/3×100%; meaning that −3 would translate to −100% and +3 to +100%). The values were then visualized as bars in Figure 1; each reflecting the group’s average perception of a given toponym with regard to the particular connotational category.</w:t>
      </w:r>
    </w:p>
    <w:p w14:paraId="3D2F4225" w14:textId="10E7DDBF" w:rsidR="00873911" w:rsidRPr="00E2458A" w:rsidRDefault="00873911" w:rsidP="00873911">
      <w:pPr>
        <w:autoSpaceDE w:val="0"/>
        <w:autoSpaceDN w:val="0"/>
        <w:adjustRightInd w:val="0"/>
        <w:spacing w:line="240" w:lineRule="auto"/>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ab/>
        <w:t>The first analysis aimed to verify the H</w:t>
      </w:r>
      <w:r w:rsidRPr="00E2458A">
        <w:rPr>
          <w:rFonts w:ascii="Times New Roman" w:hAnsi="Times New Roman" w:cs="Times New Roman"/>
          <w:kern w:val="0"/>
          <w:sz w:val="24"/>
          <w:szCs w:val="24"/>
          <w:vertAlign w:val="subscript"/>
          <w:lang w:val="en-US"/>
        </w:rPr>
        <w:t>1.1</w:t>
      </w:r>
      <w:r w:rsidRPr="00E2458A">
        <w:rPr>
          <w:rFonts w:ascii="Times New Roman" w:hAnsi="Times New Roman" w:cs="Times New Roman"/>
          <w:kern w:val="0"/>
          <w:sz w:val="24"/>
          <w:szCs w:val="24"/>
          <w:lang w:val="en-US"/>
        </w:rPr>
        <w:t xml:space="preserve"> and H</w:t>
      </w:r>
      <w:r w:rsidRPr="00E2458A">
        <w:rPr>
          <w:rFonts w:ascii="Times New Roman" w:hAnsi="Times New Roman" w:cs="Times New Roman"/>
          <w:kern w:val="0"/>
          <w:sz w:val="24"/>
          <w:szCs w:val="24"/>
          <w:vertAlign w:val="subscript"/>
          <w:lang w:val="en-US"/>
        </w:rPr>
        <w:t>1.2</w:t>
      </w:r>
      <w:r w:rsidRPr="00E2458A">
        <w:rPr>
          <w:rFonts w:ascii="Times New Roman" w:hAnsi="Times New Roman" w:cs="Times New Roman"/>
          <w:kern w:val="0"/>
          <w:sz w:val="24"/>
          <w:szCs w:val="24"/>
          <w:lang w:val="en-US"/>
        </w:rPr>
        <w:t xml:space="preserve"> and compared the </w:t>
      </w:r>
      <w:proofErr w:type="spellStart"/>
      <w:r w:rsidRPr="00E2458A">
        <w:rPr>
          <w:rFonts w:ascii="Times New Roman" w:hAnsi="Times New Roman" w:cs="Times New Roman"/>
          <w:smallCaps/>
          <w:kern w:val="0"/>
          <w:sz w:val="24"/>
          <w:szCs w:val="24"/>
          <w:lang w:val="en-US"/>
        </w:rPr>
        <w:t>BDsM</w:t>
      </w:r>
      <w:proofErr w:type="spellEnd"/>
      <w:r w:rsidRPr="00E2458A">
        <w:rPr>
          <w:rFonts w:ascii="Times New Roman" w:hAnsi="Times New Roman" w:cs="Times New Roman"/>
          <w:kern w:val="0"/>
          <w:sz w:val="24"/>
          <w:szCs w:val="24"/>
          <w:lang w:val="en-US"/>
        </w:rPr>
        <w:t xml:space="preserve"> results from two groups of</w:t>
      </w:r>
      <w:r w:rsidR="00207DC0">
        <w:rPr>
          <w:rFonts w:ascii="Times New Roman" w:hAnsi="Times New Roman" w:cs="Times New Roman"/>
          <w:kern w:val="0"/>
          <w:sz w:val="24"/>
          <w:szCs w:val="24"/>
          <w:lang w:val="en-US"/>
        </w:rPr>
        <w:t xml:space="preserve"> the</w:t>
      </w:r>
      <w:r w:rsidRPr="00E2458A">
        <w:rPr>
          <w:rFonts w:ascii="Times New Roman" w:hAnsi="Times New Roman" w:cs="Times New Roman"/>
          <w:kern w:val="0"/>
          <w:sz w:val="24"/>
          <w:szCs w:val="24"/>
          <w:lang w:val="en-US"/>
        </w:rPr>
        <w:t xml:space="preserve"> </w:t>
      </w:r>
      <w:r w:rsidR="00207DC0">
        <w:rPr>
          <w:rFonts w:ascii="Times New Roman" w:hAnsi="Times New Roman" w:cs="Times New Roman"/>
          <w:kern w:val="0"/>
          <w:sz w:val="24"/>
          <w:szCs w:val="24"/>
          <w:lang w:val="en-US"/>
        </w:rPr>
        <w:t>NSPL</w:t>
      </w:r>
      <w:r w:rsidRPr="00E2458A">
        <w:rPr>
          <w:rFonts w:ascii="Times New Roman" w:hAnsi="Times New Roman" w:cs="Times New Roman"/>
          <w:kern w:val="0"/>
          <w:sz w:val="24"/>
          <w:szCs w:val="24"/>
          <w:lang w:val="en-US"/>
        </w:rPr>
        <w:t xml:space="preserve">. Each member of the first group, </w:t>
      </w:r>
      <w:r w:rsidR="00207DC0">
        <w:rPr>
          <w:rFonts w:ascii="Times New Roman" w:hAnsi="Times New Roman" w:cs="Times New Roman"/>
          <w:i/>
          <w:iCs/>
          <w:smallCaps/>
          <w:kern w:val="0"/>
          <w:sz w:val="24"/>
          <w:szCs w:val="24"/>
          <w:lang w:val="en-US"/>
        </w:rPr>
        <w:t>NSPL</w:t>
      </w:r>
      <w:r w:rsidRPr="00E2458A">
        <w:rPr>
          <w:rFonts w:ascii="Times New Roman" w:hAnsi="Times New Roman" w:cs="Times New Roman"/>
          <w:i/>
          <w:iCs/>
          <w:kern w:val="0"/>
          <w:sz w:val="24"/>
          <w:szCs w:val="24"/>
          <w:lang w:val="en-US"/>
        </w:rPr>
        <w:t xml:space="preserve"> Witches’ Hollow</w:t>
      </w:r>
      <w:r w:rsidRPr="00E2458A">
        <w:rPr>
          <w:rFonts w:ascii="Times New Roman" w:hAnsi="Times New Roman" w:cs="Times New Roman"/>
          <w:kern w:val="0"/>
          <w:sz w:val="24"/>
          <w:szCs w:val="24"/>
          <w:lang w:val="en-US"/>
        </w:rPr>
        <w:t xml:space="preserve">, was presented with the toponym in its original form (copying technique), and each member of the other group, </w:t>
      </w:r>
      <w:r w:rsidR="00207DC0">
        <w:rPr>
          <w:rFonts w:ascii="Times New Roman" w:hAnsi="Times New Roman" w:cs="Times New Roman"/>
          <w:i/>
          <w:iCs/>
          <w:smallCaps/>
          <w:kern w:val="0"/>
          <w:sz w:val="24"/>
          <w:szCs w:val="24"/>
          <w:lang w:val="en-US"/>
        </w:rPr>
        <w:t xml:space="preserve">NSPL </w:t>
      </w:r>
      <w:r w:rsidRPr="00E2458A">
        <w:rPr>
          <w:rFonts w:ascii="Times New Roman" w:hAnsi="Times New Roman" w:cs="Times New Roman"/>
          <w:i/>
          <w:iCs/>
          <w:kern w:val="0"/>
          <w:sz w:val="24"/>
          <w:szCs w:val="24"/>
          <w:lang w:val="en-US"/>
        </w:rPr>
        <w:t>aggregated renditions</w:t>
      </w:r>
      <w:r w:rsidRPr="00E2458A">
        <w:rPr>
          <w:rFonts w:ascii="Times New Roman" w:hAnsi="Times New Roman" w:cs="Times New Roman"/>
          <w:kern w:val="0"/>
          <w:sz w:val="24"/>
          <w:szCs w:val="24"/>
          <w:lang w:val="en-US"/>
        </w:rPr>
        <w:t xml:space="preserve">, was presented with one of three Polish renditions of Witches’ Hollow. The second analysis aimed to verify </w:t>
      </w:r>
      <w:r>
        <w:rPr>
          <w:rFonts w:ascii="Times New Roman" w:hAnsi="Times New Roman" w:cs="Times New Roman"/>
          <w:kern w:val="0"/>
          <w:sz w:val="24"/>
          <w:szCs w:val="24"/>
          <w:lang w:val="en-US"/>
        </w:rPr>
        <w:t xml:space="preserve">the </w:t>
      </w:r>
      <w:r w:rsidRPr="00E2458A">
        <w:rPr>
          <w:rFonts w:ascii="Times New Roman" w:hAnsi="Times New Roman" w:cs="Times New Roman"/>
          <w:kern w:val="0"/>
          <w:sz w:val="24"/>
          <w:szCs w:val="24"/>
          <w:lang w:val="en-US"/>
        </w:rPr>
        <w:t>H</w:t>
      </w:r>
      <w:r w:rsidRPr="00E2458A">
        <w:rPr>
          <w:rFonts w:ascii="Times New Roman" w:hAnsi="Times New Roman" w:cs="Times New Roman"/>
          <w:kern w:val="0"/>
          <w:sz w:val="24"/>
          <w:szCs w:val="24"/>
          <w:vertAlign w:val="subscript"/>
          <w:lang w:val="en-US"/>
        </w:rPr>
        <w:t>2</w:t>
      </w:r>
      <w:r w:rsidRPr="00E2458A">
        <w:rPr>
          <w:rFonts w:ascii="Times New Roman" w:hAnsi="Times New Roman" w:cs="Times New Roman"/>
          <w:kern w:val="0"/>
          <w:sz w:val="24"/>
          <w:szCs w:val="24"/>
          <w:lang w:val="en-US"/>
        </w:rPr>
        <w:t xml:space="preserve"> and compared the </w:t>
      </w:r>
      <w:r w:rsidR="00207DC0">
        <w:rPr>
          <w:rFonts w:ascii="Times New Roman" w:hAnsi="Times New Roman" w:cs="Times New Roman"/>
          <w:kern w:val="0"/>
          <w:sz w:val="24"/>
          <w:szCs w:val="24"/>
          <w:lang w:val="en-US"/>
        </w:rPr>
        <w:t>NSEN</w:t>
      </w:r>
      <w:r w:rsidRPr="00E2458A">
        <w:rPr>
          <w:rFonts w:ascii="Times New Roman" w:hAnsi="Times New Roman" w:cs="Times New Roman"/>
          <w:kern w:val="0"/>
          <w:sz w:val="24"/>
          <w:szCs w:val="24"/>
          <w:lang w:val="en-US"/>
        </w:rPr>
        <w:t>’</w:t>
      </w:r>
      <w:r>
        <w:rPr>
          <w:rFonts w:ascii="Times New Roman" w:hAnsi="Times New Roman" w:cs="Times New Roman"/>
          <w:kern w:val="0"/>
          <w:sz w:val="24"/>
          <w:szCs w:val="24"/>
          <w:lang w:val="en-US"/>
        </w:rPr>
        <w:t>s</w:t>
      </w:r>
      <w:r w:rsidRPr="00E2458A">
        <w:rPr>
          <w:rFonts w:ascii="Times New Roman" w:hAnsi="Times New Roman" w:cs="Times New Roman"/>
          <w:kern w:val="0"/>
          <w:sz w:val="24"/>
          <w:szCs w:val="24"/>
          <w:lang w:val="en-US"/>
        </w:rPr>
        <w:t xml:space="preserve"> perception of Witches’ Hollow </w:t>
      </w:r>
      <w:r w:rsidR="00207DC0">
        <w:rPr>
          <w:rFonts w:ascii="Times New Roman" w:hAnsi="Times New Roman" w:cs="Times New Roman"/>
          <w:kern w:val="0"/>
          <w:sz w:val="24"/>
          <w:szCs w:val="24"/>
          <w:lang w:val="en-US"/>
        </w:rPr>
        <w:t>with the NSPL</w:t>
      </w:r>
      <w:r>
        <w:rPr>
          <w:rFonts w:ascii="Times New Roman" w:hAnsi="Times New Roman" w:cs="Times New Roman"/>
          <w:kern w:val="0"/>
          <w:sz w:val="24"/>
          <w:szCs w:val="24"/>
          <w:lang w:val="en-US"/>
        </w:rPr>
        <w:t>’s</w:t>
      </w:r>
      <w:r w:rsidRPr="00E2458A">
        <w:rPr>
          <w:rFonts w:ascii="Times New Roman" w:hAnsi="Times New Roman" w:cs="Times New Roman"/>
          <w:kern w:val="0"/>
          <w:sz w:val="24"/>
          <w:szCs w:val="24"/>
          <w:lang w:val="en-US"/>
        </w:rPr>
        <w:t xml:space="preserve"> perception of Witches’ Hollow and with the aggregated Polish renditions (the two above-mentioned groups).</w:t>
      </w:r>
    </w:p>
    <w:p w14:paraId="59094B0C" w14:textId="77777777" w:rsidR="00873911" w:rsidRPr="00E2458A" w:rsidRDefault="00873911" w:rsidP="00D91399">
      <w:pPr>
        <w:keepNext/>
        <w:autoSpaceDE w:val="0"/>
        <w:autoSpaceDN w:val="0"/>
        <w:adjustRightInd w:val="0"/>
        <w:spacing w:line="240" w:lineRule="auto"/>
        <w:jc w:val="center"/>
        <w:rPr>
          <w:rFonts w:ascii="Times New Roman" w:hAnsi="Times New Roman" w:cs="Times New Roman"/>
          <w:b/>
          <w:bCs/>
          <w:smallCaps/>
          <w:kern w:val="0"/>
          <w:sz w:val="20"/>
          <w:szCs w:val="20"/>
          <w:lang w:val="en-US"/>
        </w:rPr>
      </w:pPr>
      <w:r w:rsidRPr="00E2458A">
        <w:rPr>
          <w:rFonts w:ascii="Times New Roman" w:hAnsi="Times New Roman" w:cs="Times New Roman"/>
          <w:b/>
          <w:bCs/>
          <w:smallCaps/>
          <w:kern w:val="0"/>
          <w:sz w:val="20"/>
          <w:szCs w:val="20"/>
          <w:lang w:val="en-US"/>
        </w:rPr>
        <w:t>Results</w:t>
      </w:r>
    </w:p>
    <w:p w14:paraId="549101BF" w14:textId="77777777" w:rsidR="00873911" w:rsidRPr="00E2458A" w:rsidRDefault="00873911" w:rsidP="00D91399">
      <w:pPr>
        <w:keepNext/>
        <w:autoSpaceDE w:val="0"/>
        <w:autoSpaceDN w:val="0"/>
        <w:adjustRightInd w:val="0"/>
        <w:spacing w:after="0" w:line="240" w:lineRule="auto"/>
        <w:jc w:val="both"/>
        <w:rPr>
          <w:rFonts w:ascii="Times New Roman" w:hAnsi="Times New Roman" w:cs="Times New Roman"/>
          <w:kern w:val="0"/>
          <w:sz w:val="24"/>
          <w:szCs w:val="24"/>
          <w:lang w:val="en-US"/>
        </w:rPr>
      </w:pPr>
      <w:r w:rsidRPr="00E2458A">
        <w:rPr>
          <w:rFonts w:ascii="Times New Roman" w:hAnsi="Times New Roman" w:cs="Times New Roman"/>
          <w:kern w:val="0"/>
          <w:sz w:val="24"/>
          <w:szCs w:val="24"/>
          <w:lang w:val="en-US"/>
        </w:rPr>
        <w:t>Tables 1–3 present the detailed analyses for dimensions that reached the assumed significance level (α</w:t>
      </w:r>
      <w:r>
        <w:rPr>
          <w:rFonts w:ascii="Times New Roman" w:hAnsi="Times New Roman" w:cs="Times New Roman"/>
          <w:kern w:val="0"/>
          <w:sz w:val="24"/>
          <w:szCs w:val="24"/>
          <w:lang w:val="en-US"/>
        </w:rPr>
        <w:t> </w:t>
      </w:r>
      <w:r w:rsidRPr="00E2458A">
        <w:rPr>
          <w:rFonts w:ascii="Times New Roman" w:hAnsi="Times New Roman" w:cs="Times New Roman"/>
          <w:kern w:val="0"/>
          <w:sz w:val="24"/>
          <w:szCs w:val="24"/>
          <w:lang w:val="en-US"/>
        </w:rPr>
        <w:t>=</w:t>
      </w:r>
      <w:r>
        <w:rPr>
          <w:rFonts w:ascii="Times New Roman" w:hAnsi="Times New Roman" w:cs="Times New Roman"/>
          <w:kern w:val="0"/>
          <w:sz w:val="24"/>
          <w:szCs w:val="24"/>
          <w:lang w:val="en-US"/>
        </w:rPr>
        <w:t> </w:t>
      </w:r>
      <w:r w:rsidRPr="00E2458A">
        <w:rPr>
          <w:rFonts w:ascii="Times New Roman" w:hAnsi="Times New Roman" w:cs="Times New Roman"/>
          <w:kern w:val="0"/>
          <w:sz w:val="24"/>
          <w:szCs w:val="24"/>
          <w:lang w:val="en-US"/>
        </w:rPr>
        <w:t xml:space="preserve">5%) or were nearly significant. Although the results for the remainder—non-significant—dimensions are not included, the complete connotational profile for all three conditions is visualized in Figure 1. Customarily, eta-squared values 0.14 and above indicate </w:t>
      </w:r>
      <w:r w:rsidRPr="00E2458A">
        <w:rPr>
          <w:rFonts w:ascii="Times New Roman" w:hAnsi="Times New Roman" w:cs="Times New Roman"/>
          <w:kern w:val="0"/>
          <w:sz w:val="24"/>
          <w:szCs w:val="24"/>
          <w:lang w:val="en-US"/>
        </w:rPr>
        <w:lastRenderedPageBreak/>
        <w:t xml:space="preserve">large effects, </w:t>
      </w:r>
      <w:r>
        <w:rPr>
          <w:rFonts w:ascii="Times New Roman" w:hAnsi="Times New Roman" w:cs="Times New Roman"/>
          <w:kern w:val="0"/>
          <w:sz w:val="24"/>
          <w:szCs w:val="24"/>
          <w:lang w:val="en-US"/>
        </w:rPr>
        <w:t xml:space="preserve">below 0.14 but equal or above </w:t>
      </w:r>
      <w:r w:rsidRPr="00E2458A">
        <w:rPr>
          <w:rFonts w:ascii="Times New Roman" w:hAnsi="Times New Roman" w:cs="Times New Roman"/>
          <w:kern w:val="0"/>
          <w:sz w:val="24"/>
          <w:szCs w:val="24"/>
          <w:lang w:val="en-US"/>
        </w:rPr>
        <w:t xml:space="preserve">0.06—medium, </w:t>
      </w:r>
      <w:r>
        <w:rPr>
          <w:rFonts w:ascii="Times New Roman" w:hAnsi="Times New Roman" w:cs="Times New Roman"/>
          <w:kern w:val="0"/>
          <w:sz w:val="24"/>
          <w:szCs w:val="24"/>
          <w:lang w:val="en-US"/>
        </w:rPr>
        <w:t>while below 0.06 but above 0.01</w:t>
      </w:r>
      <w:r w:rsidRPr="00E2458A">
        <w:rPr>
          <w:rFonts w:ascii="Times New Roman" w:hAnsi="Times New Roman" w:cs="Times New Roman"/>
          <w:kern w:val="0"/>
          <w:sz w:val="24"/>
          <w:szCs w:val="24"/>
          <w:lang w:val="en-US"/>
        </w:rPr>
        <w:t xml:space="preserve">—small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{"citationID":"PviajIJ2","properties":{"formattedCitation":"(Cohen, 1988, pp. 283\\uc0\\u8211{}288)","plainCitation":"(Cohen, 1988, pp. 283–288)","noteIndex":0},"citationItems":[{"id":94,"uris":["http://zotero.org/users/12744911/items/UF42LN9V"],"itemData":{"id":94,"type":"book","edition":"0","ISBN":"978-1-134-74270-7","language":"en","note":"DOI: 10.4324/9780203771587","publisher":"Routledge","source":"DOI.org (Crossref)","title":"Statistical Power Analysis for the Behavioral Sciences","URL":"https://www.taylorfrancis.com/books/9781134742707","author":[{"family":"Cohen","given":"Jacob"}],"accessed":{"date-parts":[["2023",11,6]]},"issued":{"date-parts":[["1988"]]}},"locator":"283–288"}],"schema":"https://github.com/citation-style-language/schema/raw/master/csl-citation.json"} </w:instrText>
      </w:r>
      <w:r w:rsidRPr="00E2458A">
        <w:rPr>
          <w:rFonts w:ascii="Times New Roman" w:hAnsi="Times New Roman" w:cs="Times New Roman"/>
          <w:kern w:val="0"/>
          <w:sz w:val="24"/>
          <w:szCs w:val="24"/>
          <w:lang w:val="en-US"/>
        </w:rPr>
        <w:fldChar w:fldCharType="separate"/>
      </w:r>
      <w:r w:rsidRPr="00E2458A">
        <w:rPr>
          <w:rFonts w:ascii="Times New Roman" w:hAnsi="Times New Roman" w:cs="Times New Roman"/>
          <w:kern w:val="0"/>
          <w:sz w:val="24"/>
          <w:szCs w:val="24"/>
          <w:lang w:val="en-US"/>
        </w:rPr>
        <w:t>(Cohen, 1988, pp. 283–288)</w:t>
      </w:r>
      <w:r w:rsidRPr="00E2458A">
        <w:rPr>
          <w:rFonts w:ascii="Times New Roman" w:hAnsi="Times New Roman" w:cs="Times New Roman"/>
          <w:kern w:val="0"/>
          <w:sz w:val="24"/>
          <w:szCs w:val="24"/>
          <w:lang w:val="en-US"/>
        </w:rPr>
        <w:fldChar w:fldCharType="end"/>
      </w:r>
      <w:r w:rsidRPr="00E2458A">
        <w:rPr>
          <w:rFonts w:ascii="Times New Roman" w:hAnsi="Times New Roman" w:cs="Times New Roman"/>
          <w:kern w:val="0"/>
          <w:sz w:val="24"/>
          <w:szCs w:val="24"/>
          <w:lang w:val="en-US"/>
        </w:rPr>
        <w:t>.</w:t>
      </w:r>
    </w:p>
    <w:p w14:paraId="59FCD5ED" w14:textId="511E09C2" w:rsidR="00873911" w:rsidRPr="00E164A6" w:rsidRDefault="00873911" w:rsidP="00873911">
      <w:pPr>
        <w:autoSpaceDE w:val="0"/>
        <w:autoSpaceDN w:val="0"/>
        <w:adjustRightInd w:val="0"/>
        <w:spacing w:after="0" w:line="240" w:lineRule="auto"/>
        <w:ind w:firstLine="708"/>
        <w:jc w:val="both"/>
        <w:rPr>
          <w:rFonts w:ascii="Times New Roman" w:hAnsi="Times New Roman" w:cs="Times New Roman"/>
          <w:smallCaps/>
          <w:kern w:val="0"/>
          <w:lang w:val="en-US"/>
        </w:rPr>
      </w:pPr>
      <w:r w:rsidRPr="00E2458A">
        <w:rPr>
          <w:rFonts w:ascii="Times New Roman" w:hAnsi="Times New Roman" w:cs="Times New Roman"/>
          <w:kern w:val="0"/>
          <w:sz w:val="24"/>
          <w:szCs w:val="24"/>
          <w:lang w:val="en-US"/>
        </w:rPr>
        <w:t xml:space="preserve">The comparison of connotations for two types of translation in </w:t>
      </w:r>
      <w:r w:rsidR="00207DC0">
        <w:rPr>
          <w:rFonts w:ascii="Times New Roman" w:hAnsi="Times New Roman" w:cs="Times New Roman"/>
          <w:kern w:val="0"/>
          <w:sz w:val="24"/>
          <w:szCs w:val="24"/>
          <w:lang w:val="en-US"/>
        </w:rPr>
        <w:t>the NSPL</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t xml:space="preserve">found that out of 41 binary oppositions of the inventory, 12 showed statistically significant divergence in connoted meaning, while 2 more results reached near-significant levels (see Table 1). In terms of </w:t>
      </w:r>
      <w:r w:rsidRPr="00E2458A">
        <w:rPr>
          <w:rFonts w:ascii="Times New Roman" w:hAnsi="Times New Roman" w:cs="Times New Roman"/>
          <w:smallCaps/>
          <w:kern w:val="0"/>
          <w:sz w:val="24"/>
          <w:szCs w:val="24"/>
          <w:lang w:val="en-US"/>
        </w:rPr>
        <w:t xml:space="preserve">calm(ness)—anxiety, </w:t>
      </w:r>
      <w:r w:rsidRPr="00E2458A">
        <w:rPr>
          <w:rFonts w:ascii="Times New Roman" w:hAnsi="Times New Roman" w:cs="Times New Roman"/>
          <w:kern w:val="0"/>
          <w:sz w:val="24"/>
          <w:szCs w:val="24"/>
          <w:lang w:val="en-US"/>
        </w:rPr>
        <w:t>the</w:t>
      </w:r>
      <w:r w:rsidRPr="00E2458A">
        <w:rPr>
          <w:rFonts w:ascii="Times New Roman" w:hAnsi="Times New Roman" w:cs="Times New Roman"/>
          <w:smallCaps/>
          <w:kern w:val="0"/>
          <w:sz w:val="24"/>
          <w:szCs w:val="24"/>
          <w:lang w:val="en-US"/>
        </w:rPr>
        <w:t xml:space="preserve"> </w:t>
      </w:r>
      <w:r w:rsidRPr="00E2458A">
        <w:rPr>
          <w:rFonts w:ascii="Times New Roman" w:hAnsi="Times New Roman" w:cs="Times New Roman"/>
          <w:kern w:val="0"/>
          <w:sz w:val="24"/>
          <w:szCs w:val="24"/>
          <w:lang w:val="en-US"/>
        </w:rPr>
        <w:t xml:space="preserve">original version connoted greater anxiety than its Polish renditions. Witches’ Hollow was also </w:t>
      </w:r>
      <w:r w:rsidRPr="00E2458A">
        <w:rPr>
          <w:rFonts w:ascii="Times New Roman" w:hAnsi="Times New Roman" w:cs="Times New Roman"/>
          <w:smallCaps/>
          <w:kern w:val="0"/>
          <w:sz w:val="24"/>
          <w:szCs w:val="24"/>
          <w:lang w:val="en-US"/>
        </w:rPr>
        <w:t xml:space="preserve">darker </w:t>
      </w:r>
      <w:r w:rsidRPr="00E2458A">
        <w:rPr>
          <w:rFonts w:ascii="Times New Roman" w:hAnsi="Times New Roman" w:cs="Times New Roman"/>
          <w:kern w:val="0"/>
          <w:sz w:val="24"/>
          <w:szCs w:val="24"/>
          <w:lang w:val="en-US"/>
        </w:rPr>
        <w:t>and</w:t>
      </w:r>
      <w:r w:rsidRPr="00E2458A">
        <w:rPr>
          <w:rFonts w:ascii="Times New Roman" w:hAnsi="Times New Roman" w:cs="Times New Roman"/>
          <w:smallCaps/>
          <w:kern w:val="0"/>
          <w:sz w:val="24"/>
          <w:szCs w:val="24"/>
          <w:lang w:val="en-US"/>
        </w:rPr>
        <w:t xml:space="preserve"> </w:t>
      </w:r>
      <w:r w:rsidRPr="00E2458A">
        <w:rPr>
          <w:rFonts w:ascii="Times New Roman" w:hAnsi="Times New Roman" w:cs="Times New Roman"/>
          <w:kern w:val="0"/>
          <w:sz w:val="24"/>
          <w:szCs w:val="24"/>
          <w:lang w:val="en-US"/>
        </w:rPr>
        <w:t>more</w:t>
      </w:r>
      <w:r w:rsidRPr="00E2458A">
        <w:rPr>
          <w:rFonts w:ascii="Times New Roman" w:hAnsi="Times New Roman" w:cs="Times New Roman"/>
          <w:smallCaps/>
          <w:kern w:val="0"/>
          <w:sz w:val="24"/>
          <w:szCs w:val="24"/>
          <w:lang w:val="en-US"/>
        </w:rPr>
        <w:t xml:space="preserve"> alien</w:t>
      </w:r>
      <w:r w:rsidRPr="00E2458A">
        <w:rPr>
          <w:rFonts w:ascii="Times New Roman" w:hAnsi="Times New Roman" w:cs="Times New Roman"/>
          <w:kern w:val="0"/>
          <w:sz w:val="24"/>
          <w:szCs w:val="24"/>
          <w:lang w:val="en-US"/>
        </w:rPr>
        <w:t>,</w:t>
      </w:r>
      <w:r w:rsidRPr="00E2458A">
        <w:rPr>
          <w:rFonts w:ascii="Times New Roman" w:hAnsi="Times New Roman" w:cs="Times New Roman"/>
          <w:smallCaps/>
          <w:kern w:val="0"/>
          <w:sz w:val="24"/>
          <w:szCs w:val="24"/>
          <w:lang w:val="en-US"/>
        </w:rPr>
        <w:t xml:space="preserve"> evil, (ac)cursed, death-</w:t>
      </w:r>
      <w:r w:rsidRPr="00E2458A">
        <w:rPr>
          <w:rFonts w:ascii="Times New Roman" w:hAnsi="Times New Roman" w:cs="Times New Roman"/>
          <w:kern w:val="0"/>
          <w:sz w:val="24"/>
          <w:szCs w:val="24"/>
          <w:lang w:val="en-US"/>
        </w:rPr>
        <w:t xml:space="preserve">related, </w:t>
      </w:r>
      <w:r w:rsidRPr="00E2458A">
        <w:rPr>
          <w:rFonts w:ascii="Times New Roman" w:hAnsi="Times New Roman" w:cs="Times New Roman"/>
          <w:smallCaps/>
          <w:kern w:val="0"/>
          <w:sz w:val="24"/>
          <w:szCs w:val="24"/>
          <w:lang w:val="en-US"/>
        </w:rPr>
        <w:t>impure</w:t>
      </w:r>
      <w:r w:rsidRPr="00E2458A">
        <w:rPr>
          <w:rFonts w:ascii="Times New Roman" w:hAnsi="Times New Roman" w:cs="Times New Roman"/>
          <w:kern w:val="0"/>
          <w:sz w:val="24"/>
          <w:szCs w:val="24"/>
          <w:lang w:val="en-US"/>
        </w:rPr>
        <w:t xml:space="preserve">, and </w:t>
      </w:r>
      <w:r w:rsidRPr="00E2458A">
        <w:rPr>
          <w:rFonts w:ascii="Times New Roman" w:hAnsi="Times New Roman" w:cs="Times New Roman"/>
          <w:smallCaps/>
          <w:kern w:val="0"/>
          <w:sz w:val="24"/>
          <w:szCs w:val="24"/>
          <w:lang w:val="en-US"/>
        </w:rPr>
        <w:t xml:space="preserve">dangerous </w:t>
      </w:r>
      <w:r w:rsidRPr="00E2458A">
        <w:rPr>
          <w:rFonts w:ascii="Times New Roman" w:hAnsi="Times New Roman" w:cs="Times New Roman"/>
          <w:kern w:val="0"/>
          <w:sz w:val="24"/>
          <w:szCs w:val="24"/>
          <w:lang w:val="en-US"/>
        </w:rPr>
        <w:t>than</w:t>
      </w:r>
      <w:r w:rsidRPr="00E2458A">
        <w:rPr>
          <w:rFonts w:ascii="Times New Roman" w:hAnsi="Times New Roman" w:cs="Times New Roman"/>
          <w:smallCaps/>
          <w:kern w:val="0"/>
          <w:sz w:val="24"/>
          <w:szCs w:val="24"/>
          <w:lang w:val="en-US"/>
        </w:rPr>
        <w:t xml:space="preserve"> </w:t>
      </w:r>
      <w:r w:rsidRPr="00E2458A">
        <w:rPr>
          <w:rFonts w:ascii="Times New Roman" w:hAnsi="Times New Roman" w:cs="Times New Roman"/>
          <w:kern w:val="0"/>
          <w:sz w:val="24"/>
          <w:szCs w:val="24"/>
          <w:lang w:val="en-US"/>
        </w:rPr>
        <w:t xml:space="preserve">the same place imagined on the basis of the Polish renditions of the toponym. The dimension of </w:t>
      </w:r>
      <w:r w:rsidRPr="00E2458A">
        <w:rPr>
          <w:rFonts w:ascii="Times New Roman" w:hAnsi="Times New Roman" w:cs="Times New Roman"/>
          <w:smallCaps/>
          <w:kern w:val="0"/>
          <w:sz w:val="24"/>
          <w:szCs w:val="24"/>
          <w:lang w:val="en-US"/>
        </w:rPr>
        <w:t xml:space="preserve">order—chaos </w:t>
      </w:r>
      <w:r w:rsidRPr="00E2458A">
        <w:rPr>
          <w:rFonts w:ascii="Times New Roman" w:hAnsi="Times New Roman" w:cs="Times New Roman"/>
          <w:kern w:val="0"/>
          <w:sz w:val="24"/>
          <w:szCs w:val="24"/>
          <w:lang w:val="en-US"/>
        </w:rPr>
        <w:t>was found to be significant, although by a whisker as it reached significance only for the directional H</w:t>
      </w:r>
      <w:r w:rsidRPr="00E2458A">
        <w:rPr>
          <w:rFonts w:ascii="Times New Roman" w:hAnsi="Times New Roman" w:cs="Times New Roman"/>
          <w:kern w:val="0"/>
          <w:sz w:val="24"/>
          <w:szCs w:val="24"/>
          <w:vertAlign w:val="subscript"/>
          <w:lang w:val="en-US"/>
        </w:rPr>
        <w:t>1.2</w:t>
      </w:r>
      <w:r w:rsidRPr="00E2458A">
        <w:rPr>
          <w:rFonts w:ascii="Times New Roman" w:hAnsi="Times New Roman" w:cs="Times New Roman"/>
          <w:kern w:val="0"/>
          <w:sz w:val="24"/>
          <w:szCs w:val="24"/>
          <w:lang w:val="en-US"/>
        </w:rPr>
        <w:t xml:space="preserve"> (for the purpose of verifying the H</w:t>
      </w:r>
      <w:r w:rsidRPr="00E2458A">
        <w:rPr>
          <w:rFonts w:ascii="Times New Roman" w:hAnsi="Times New Roman" w:cs="Times New Roman"/>
          <w:kern w:val="0"/>
          <w:sz w:val="24"/>
          <w:szCs w:val="24"/>
          <w:vertAlign w:val="subscript"/>
          <w:lang w:val="en-US"/>
        </w:rPr>
        <w:t>1.1</w:t>
      </w:r>
      <w:r w:rsidRPr="00E2458A">
        <w:rPr>
          <w:rFonts w:ascii="Times New Roman" w:hAnsi="Times New Roman" w:cs="Times New Roman"/>
          <w:kern w:val="0"/>
          <w:sz w:val="24"/>
          <w:szCs w:val="24"/>
          <w:lang w:val="en-US"/>
        </w:rPr>
        <w:t xml:space="preserve"> it was not significant). Additionally, the translation by copying was also related to greater levels of </w:t>
      </w:r>
      <w:r w:rsidRPr="00E2458A">
        <w:rPr>
          <w:rFonts w:ascii="Times New Roman" w:hAnsi="Times New Roman" w:cs="Times New Roman"/>
          <w:smallCaps/>
          <w:kern w:val="0"/>
          <w:sz w:val="24"/>
          <w:szCs w:val="24"/>
          <w:lang w:val="en-US"/>
        </w:rPr>
        <w:t>cold, stench</w:t>
      </w:r>
      <w:r w:rsidRPr="00E2458A">
        <w:rPr>
          <w:rFonts w:ascii="Times New Roman" w:hAnsi="Times New Roman" w:cs="Times New Roman"/>
          <w:kern w:val="0"/>
          <w:sz w:val="24"/>
          <w:szCs w:val="24"/>
          <w:lang w:val="en-US"/>
        </w:rPr>
        <w:t>, and</w:t>
      </w:r>
      <w:r w:rsidRPr="00E2458A">
        <w:rPr>
          <w:rFonts w:ascii="Times New Roman" w:hAnsi="Times New Roman" w:cs="Times New Roman"/>
          <w:smallCaps/>
          <w:kern w:val="0"/>
          <w:sz w:val="24"/>
          <w:szCs w:val="24"/>
          <w:lang w:val="en-US"/>
        </w:rPr>
        <w:t xml:space="preserve"> misfortune</w:t>
      </w:r>
      <w:r w:rsidRPr="00E2458A">
        <w:rPr>
          <w:rFonts w:ascii="Times New Roman" w:hAnsi="Times New Roman" w:cs="Times New Roman"/>
          <w:kern w:val="0"/>
          <w:sz w:val="24"/>
          <w:szCs w:val="24"/>
          <w:lang w:val="en-US"/>
        </w:rPr>
        <w:t xml:space="preserve">. Furthermore, </w:t>
      </w:r>
      <w:proofErr w:type="spellStart"/>
      <w:r w:rsidRPr="00E2458A">
        <w:rPr>
          <w:rFonts w:ascii="Times New Roman" w:hAnsi="Times New Roman" w:cs="Times New Roman"/>
          <w:i/>
          <w:iCs/>
          <w:kern w:val="0"/>
          <w:sz w:val="24"/>
          <w:szCs w:val="24"/>
          <w:lang w:val="en-US"/>
        </w:rPr>
        <w:t>Wiedźmi</w:t>
      </w:r>
      <w:proofErr w:type="spellEnd"/>
      <w:r w:rsidRPr="00E2458A">
        <w:rPr>
          <w:rFonts w:ascii="Times New Roman" w:hAnsi="Times New Roman" w:cs="Times New Roman"/>
          <w:i/>
          <w:iCs/>
          <w:kern w:val="0"/>
          <w:sz w:val="24"/>
          <w:szCs w:val="24"/>
          <w:lang w:val="en-US"/>
        </w:rPr>
        <w:t xml:space="preserve"> Jar, </w:t>
      </w:r>
      <w:proofErr w:type="spellStart"/>
      <w:r w:rsidRPr="00E2458A">
        <w:rPr>
          <w:rFonts w:ascii="Times New Roman" w:hAnsi="Times New Roman" w:cs="Times New Roman"/>
          <w:i/>
          <w:iCs/>
          <w:kern w:val="0"/>
          <w:sz w:val="24"/>
          <w:szCs w:val="24"/>
          <w:lang w:val="en-US"/>
        </w:rPr>
        <w:t>Wiedźmia</w:t>
      </w:r>
      <w:proofErr w:type="spellEnd"/>
      <w:r w:rsidRPr="00E2458A">
        <w:rPr>
          <w:rFonts w:ascii="Times New Roman" w:hAnsi="Times New Roman" w:cs="Times New Roman"/>
          <w:i/>
          <w:iCs/>
          <w:kern w:val="0"/>
          <w:sz w:val="24"/>
          <w:szCs w:val="24"/>
          <w:lang w:val="en-US"/>
        </w:rPr>
        <w:t xml:space="preserve"> </w:t>
      </w:r>
      <w:proofErr w:type="spellStart"/>
      <w:r w:rsidRPr="00E2458A">
        <w:rPr>
          <w:rFonts w:ascii="Times New Roman" w:hAnsi="Times New Roman" w:cs="Times New Roman"/>
          <w:i/>
          <w:iCs/>
          <w:kern w:val="0"/>
          <w:sz w:val="24"/>
          <w:szCs w:val="24"/>
          <w:lang w:val="en-US"/>
        </w:rPr>
        <w:t>Kotlina</w:t>
      </w:r>
      <w:proofErr w:type="spellEnd"/>
      <w:r w:rsidRPr="00E2458A">
        <w:rPr>
          <w:rFonts w:ascii="Times New Roman" w:hAnsi="Times New Roman" w:cs="Times New Roman"/>
          <w:kern w:val="0"/>
          <w:sz w:val="24"/>
          <w:szCs w:val="24"/>
          <w:lang w:val="en-US"/>
        </w:rPr>
        <w:t xml:space="preserve">, and </w:t>
      </w:r>
      <w:r w:rsidRPr="00E2458A">
        <w:rPr>
          <w:rFonts w:ascii="Times New Roman" w:hAnsi="Times New Roman" w:cs="Times New Roman"/>
          <w:i/>
          <w:iCs/>
          <w:kern w:val="0"/>
          <w:sz w:val="24"/>
          <w:szCs w:val="24"/>
          <w:lang w:val="en-US"/>
        </w:rPr>
        <w:t xml:space="preserve">Dolina </w:t>
      </w:r>
      <w:proofErr w:type="spellStart"/>
      <w:r w:rsidRPr="00E2458A">
        <w:rPr>
          <w:rFonts w:ascii="Times New Roman" w:hAnsi="Times New Roman" w:cs="Times New Roman"/>
          <w:i/>
          <w:iCs/>
          <w:kern w:val="0"/>
          <w:sz w:val="24"/>
          <w:szCs w:val="24"/>
          <w:lang w:val="en-US"/>
        </w:rPr>
        <w:t>Wiedźm</w:t>
      </w:r>
      <w:proofErr w:type="spellEnd"/>
      <w:r w:rsidRPr="00E2458A">
        <w:rPr>
          <w:rFonts w:ascii="Times New Roman" w:hAnsi="Times New Roman" w:cs="Times New Roman"/>
          <w:kern w:val="0"/>
          <w:sz w:val="24"/>
          <w:szCs w:val="24"/>
          <w:lang w:val="en-US"/>
        </w:rPr>
        <w:t xml:space="preserve"> together proved to be more </w:t>
      </w:r>
      <w:r w:rsidRPr="00E2458A">
        <w:rPr>
          <w:rFonts w:ascii="Times New Roman" w:hAnsi="Times New Roman" w:cs="Times New Roman"/>
          <w:smallCaps/>
          <w:kern w:val="0"/>
          <w:sz w:val="24"/>
          <w:szCs w:val="24"/>
          <w:lang w:val="en-US"/>
        </w:rPr>
        <w:t xml:space="preserve">inaccessible </w:t>
      </w:r>
      <w:r w:rsidRPr="00E2458A">
        <w:rPr>
          <w:rFonts w:ascii="Times New Roman" w:hAnsi="Times New Roman" w:cs="Times New Roman"/>
          <w:kern w:val="0"/>
          <w:sz w:val="24"/>
          <w:szCs w:val="24"/>
          <w:lang w:val="en-US"/>
        </w:rPr>
        <w:t xml:space="preserve">than Witches’ Hollow. With the exception of medium effect for </w:t>
      </w:r>
      <w:r w:rsidRPr="00E2458A">
        <w:rPr>
          <w:rFonts w:ascii="Times New Roman" w:hAnsi="Times New Roman" w:cs="Times New Roman"/>
          <w:smallCaps/>
          <w:kern w:val="0"/>
          <w:sz w:val="24"/>
          <w:szCs w:val="24"/>
          <w:lang w:val="en-US"/>
        </w:rPr>
        <w:t xml:space="preserve">safety—danger, </w:t>
      </w:r>
      <w:r w:rsidRPr="00E2458A">
        <w:rPr>
          <w:rFonts w:ascii="Times New Roman" w:hAnsi="Times New Roman" w:cs="Times New Roman"/>
          <w:kern w:val="0"/>
          <w:sz w:val="24"/>
          <w:szCs w:val="24"/>
          <w:lang w:val="en-US"/>
        </w:rPr>
        <w:t>the remainder of the above-mentioned effects were small. The results lend support to the H</w:t>
      </w:r>
      <w:r w:rsidRPr="00E2458A">
        <w:rPr>
          <w:rFonts w:ascii="Times New Roman" w:hAnsi="Times New Roman" w:cs="Times New Roman"/>
          <w:kern w:val="0"/>
          <w:sz w:val="24"/>
          <w:szCs w:val="24"/>
          <w:vertAlign w:val="subscript"/>
          <w:lang w:val="en-US"/>
        </w:rPr>
        <w:t xml:space="preserve">1.1 </w:t>
      </w:r>
      <w:r w:rsidRPr="00E2458A">
        <w:rPr>
          <w:rFonts w:ascii="Times New Roman" w:hAnsi="Times New Roman" w:cs="Times New Roman"/>
          <w:kern w:val="0"/>
          <w:sz w:val="24"/>
          <w:szCs w:val="24"/>
          <w:lang w:val="en-US"/>
        </w:rPr>
        <w:t>and H</w:t>
      </w:r>
      <w:r w:rsidRPr="00E2458A">
        <w:rPr>
          <w:rFonts w:ascii="Times New Roman" w:hAnsi="Times New Roman" w:cs="Times New Roman"/>
          <w:kern w:val="0"/>
          <w:sz w:val="24"/>
          <w:szCs w:val="24"/>
          <w:vertAlign w:val="subscript"/>
          <w:lang w:val="en-US"/>
        </w:rPr>
        <w:t>1.2</w:t>
      </w:r>
      <w:r w:rsidRPr="00E2458A">
        <w:rPr>
          <w:rFonts w:ascii="Times New Roman" w:hAnsi="Times New Roman" w:cs="Times New Roman"/>
          <w:kern w:val="0"/>
          <w:sz w:val="24"/>
          <w:szCs w:val="24"/>
          <w:lang w:val="en-US"/>
        </w:rPr>
        <w:t xml:space="preserve"> (significance levels for the latter hypothesis are one-tailed, as it postulated the direction of the relationship). Additionally, an </w:t>
      </w:r>
      <w:r w:rsidRPr="00E2458A">
        <w:rPr>
          <w:rFonts w:ascii="Times New Roman" w:hAnsi="Times New Roman" w:cs="Times New Roman"/>
          <w:iCs/>
          <w:kern w:val="0"/>
          <w:sz w:val="24"/>
          <w:szCs w:val="24"/>
          <w:lang w:val="en-US"/>
        </w:rPr>
        <w:t xml:space="preserve">almost-significant difference was found for the </w:t>
      </w:r>
      <w:r w:rsidRPr="00E2458A">
        <w:rPr>
          <w:rFonts w:ascii="Times New Roman" w:hAnsi="Times New Roman" w:cs="Times New Roman"/>
          <w:smallCaps/>
          <w:kern w:val="0"/>
          <w:sz w:val="24"/>
          <w:szCs w:val="24"/>
          <w:lang w:val="en-US"/>
        </w:rPr>
        <w:t xml:space="preserve">pleasant—unpleasant </w:t>
      </w:r>
      <w:r w:rsidRPr="00E2458A">
        <w:rPr>
          <w:rFonts w:ascii="Times New Roman" w:hAnsi="Times New Roman" w:cs="Times New Roman"/>
          <w:iCs/>
          <w:kern w:val="0"/>
          <w:sz w:val="24"/>
          <w:szCs w:val="24"/>
          <w:lang w:val="en-US"/>
        </w:rPr>
        <w:t>dimension</w:t>
      </w:r>
      <w:r w:rsidRPr="00E2458A">
        <w:rPr>
          <w:rFonts w:ascii="Times New Roman" w:hAnsi="Times New Roman" w:cs="Times New Roman"/>
          <w:kern w:val="0"/>
          <w:sz w:val="24"/>
          <w:szCs w:val="24"/>
          <w:lang w:val="en-US"/>
        </w:rPr>
        <w:t>, in which case</w:t>
      </w:r>
      <w:r w:rsidRPr="00E2458A">
        <w:rPr>
          <w:rFonts w:ascii="Times New Roman" w:hAnsi="Times New Roman" w:cs="Times New Roman"/>
          <w:smallCaps/>
          <w:kern w:val="0"/>
          <w:sz w:val="24"/>
          <w:szCs w:val="24"/>
          <w:lang w:val="en-US"/>
        </w:rPr>
        <w:t xml:space="preserve"> </w:t>
      </w:r>
      <w:r w:rsidRPr="00E2458A">
        <w:rPr>
          <w:rFonts w:ascii="Times New Roman" w:hAnsi="Times New Roman" w:cs="Times New Roman"/>
          <w:kern w:val="0"/>
          <w:sz w:val="24"/>
          <w:szCs w:val="24"/>
          <w:lang w:val="en-US"/>
        </w:rPr>
        <w:t>the toponym in its original form seemed to have stronger negative connotations.</w:t>
      </w:r>
    </w:p>
    <w:p w14:paraId="53A7C142" w14:textId="471714E3" w:rsidR="00873911" w:rsidRDefault="00873911" w:rsidP="00873911">
      <w:pPr>
        <w:autoSpaceDE w:val="0"/>
        <w:autoSpaceDN w:val="0"/>
        <w:adjustRightInd w:val="0"/>
        <w:spacing w:line="240" w:lineRule="auto"/>
        <w:jc w:val="both"/>
        <w:rPr>
          <w:rFonts w:ascii="Candara" w:hAnsi="Candara" w:cstheme="majorHAnsi"/>
          <w:kern w:val="0"/>
          <w:lang w:val="en-US"/>
        </w:rPr>
      </w:pPr>
      <w:r w:rsidRPr="001C01C9">
        <w:rPr>
          <w:rFonts w:ascii="Candara" w:hAnsi="Candara" w:cstheme="majorHAnsi"/>
          <w:kern w:val="0"/>
          <w:lang w:val="en-US"/>
        </w:rPr>
        <w:lastRenderedPageBreak/>
        <w:t xml:space="preserve"> </w:t>
      </w:r>
      <w:r w:rsidR="00C10F08" w:rsidRPr="00C10F08">
        <w:rPr>
          <w:rFonts w:ascii="Candara" w:hAnsi="Candara" w:cstheme="majorHAnsi"/>
          <w:noProof/>
          <w:kern w:val="0"/>
          <w:lang w:val="en-US"/>
        </w:rPr>
        <w:drawing>
          <wp:inline distT="0" distB="0" distL="0" distR="0" wp14:anchorId="5B89121E" wp14:editId="3120FAAD">
            <wp:extent cx="5760720" cy="5704840"/>
            <wp:effectExtent l="0" t="0" r="0" b="0"/>
            <wp:docPr id="301717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1759" name=""/>
                    <pic:cNvPicPr/>
                  </pic:nvPicPr>
                  <pic:blipFill>
                    <a:blip r:embed="rId8"/>
                    <a:stretch>
                      <a:fillRect/>
                    </a:stretch>
                  </pic:blipFill>
                  <pic:spPr>
                    <a:xfrm>
                      <a:off x="0" y="0"/>
                      <a:ext cx="5760720" cy="5704840"/>
                    </a:xfrm>
                    <a:prstGeom prst="rect">
                      <a:avLst/>
                    </a:prstGeom>
                  </pic:spPr>
                </pic:pic>
              </a:graphicData>
            </a:graphic>
          </wp:inline>
        </w:drawing>
      </w:r>
      <w:r>
        <w:rPr>
          <w:rFonts w:ascii="Candara" w:hAnsi="Candara" w:cstheme="majorHAnsi"/>
          <w:kern w:val="0"/>
          <w:lang w:val="en-US"/>
        </w:rPr>
        <w:t xml:space="preserve"> </w:t>
      </w:r>
    </w:p>
    <w:p w14:paraId="65ADEAD9" w14:textId="7167D33E" w:rsidR="00873911" w:rsidRPr="00E2458A" w:rsidRDefault="00873911" w:rsidP="00873911">
      <w:pPr>
        <w:autoSpaceDE w:val="0"/>
        <w:autoSpaceDN w:val="0"/>
        <w:adjustRightInd w:val="0"/>
        <w:spacing w:after="0" w:line="240" w:lineRule="auto"/>
        <w:jc w:val="both"/>
        <w:rPr>
          <w:rFonts w:ascii="Times New Roman" w:hAnsi="Times New Roman" w:cs="Times New Roman"/>
          <w:kern w:val="0"/>
          <w:sz w:val="24"/>
          <w:szCs w:val="24"/>
          <w:lang w:val="en-US"/>
        </w:rPr>
      </w:pPr>
      <w:r>
        <w:rPr>
          <w:rFonts w:ascii="Candara" w:hAnsi="Candara" w:cstheme="majorHAnsi"/>
          <w:kern w:val="0"/>
          <w:lang w:val="en-US"/>
        </w:rPr>
        <w:tab/>
      </w:r>
      <w:r w:rsidRPr="00E2458A">
        <w:rPr>
          <w:rFonts w:ascii="Times New Roman" w:hAnsi="Times New Roman" w:cs="Times New Roman"/>
          <w:kern w:val="0"/>
          <w:sz w:val="24"/>
          <w:szCs w:val="24"/>
          <w:lang w:val="en-US"/>
        </w:rPr>
        <w:t xml:space="preserve">Significant and near-significant results of the comparison of the Witches’ Hollow’s connotations for the </w:t>
      </w:r>
      <w:r w:rsidR="00207DC0">
        <w:rPr>
          <w:rFonts w:ascii="Times New Roman" w:hAnsi="Times New Roman" w:cs="Times New Roman"/>
          <w:kern w:val="0"/>
          <w:sz w:val="24"/>
          <w:szCs w:val="24"/>
          <w:lang w:val="en-US"/>
        </w:rPr>
        <w:t>NSPL</w:t>
      </w:r>
      <w:r w:rsidRPr="00E2458A">
        <w:rPr>
          <w:rFonts w:ascii="Times New Roman" w:hAnsi="Times New Roman" w:cs="Times New Roman"/>
          <w:kern w:val="0"/>
          <w:sz w:val="24"/>
          <w:szCs w:val="24"/>
          <w:lang w:val="en-US"/>
        </w:rPr>
        <w:t xml:space="preserve"> and </w:t>
      </w:r>
      <w:r w:rsidR="00207DC0">
        <w:rPr>
          <w:rFonts w:ascii="Times New Roman" w:hAnsi="Times New Roman" w:cs="Times New Roman"/>
          <w:kern w:val="0"/>
          <w:sz w:val="24"/>
          <w:szCs w:val="24"/>
          <w:lang w:val="en-US"/>
        </w:rPr>
        <w:t>NSEN</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t xml:space="preserve">are shown in Table 2. Out of 41 of the </w:t>
      </w:r>
      <w:proofErr w:type="spellStart"/>
      <w:r w:rsidRPr="00E2458A">
        <w:rPr>
          <w:rFonts w:ascii="Times New Roman" w:hAnsi="Times New Roman" w:cs="Times New Roman"/>
          <w:smallCaps/>
          <w:kern w:val="0"/>
          <w:sz w:val="24"/>
          <w:szCs w:val="24"/>
          <w:lang w:val="en-US"/>
        </w:rPr>
        <w:t>BDsM’s</w:t>
      </w:r>
      <w:proofErr w:type="spellEnd"/>
      <w:r w:rsidRPr="00E2458A">
        <w:rPr>
          <w:rFonts w:ascii="Times New Roman" w:hAnsi="Times New Roman" w:cs="Times New Roman"/>
          <w:kern w:val="0"/>
          <w:sz w:val="24"/>
          <w:szCs w:val="24"/>
          <w:lang w:val="en-US"/>
        </w:rPr>
        <w:t xml:space="preserve"> items, 12 showed significant differences, and another five—near-significant. Compared to </w:t>
      </w:r>
      <w:r>
        <w:rPr>
          <w:rFonts w:ascii="Times New Roman" w:hAnsi="Times New Roman" w:cs="Times New Roman"/>
          <w:kern w:val="0"/>
          <w:sz w:val="24"/>
          <w:szCs w:val="24"/>
          <w:lang w:val="en-US"/>
        </w:rPr>
        <w:t xml:space="preserve">the </w:t>
      </w:r>
      <w:r w:rsidR="00207DC0">
        <w:rPr>
          <w:rFonts w:ascii="Times New Roman" w:hAnsi="Times New Roman" w:cs="Times New Roman"/>
          <w:kern w:val="0"/>
          <w:sz w:val="24"/>
          <w:szCs w:val="24"/>
          <w:lang w:val="en-US"/>
        </w:rPr>
        <w:t>NSEN</w:t>
      </w:r>
      <w:r w:rsidRPr="00E2458A">
        <w:rPr>
          <w:rFonts w:ascii="Times New Roman" w:hAnsi="Times New Roman" w:cs="Times New Roman"/>
          <w:kern w:val="0"/>
          <w:sz w:val="24"/>
          <w:szCs w:val="24"/>
          <w:lang w:val="en-US"/>
        </w:rPr>
        <w:t xml:space="preserve">, the </w:t>
      </w:r>
      <w:r w:rsidR="00207DC0">
        <w:rPr>
          <w:rFonts w:ascii="Times New Roman" w:hAnsi="Times New Roman" w:cs="Times New Roman"/>
          <w:kern w:val="0"/>
          <w:sz w:val="24"/>
          <w:szCs w:val="24"/>
          <w:lang w:val="en-US"/>
        </w:rPr>
        <w:t>NSPL</w:t>
      </w:r>
      <w:r w:rsidRPr="00E2458A">
        <w:rPr>
          <w:rFonts w:ascii="Times New Roman" w:hAnsi="Times New Roman" w:cs="Times New Roman"/>
          <w:kern w:val="0"/>
          <w:sz w:val="24"/>
          <w:szCs w:val="24"/>
          <w:lang w:val="en-US"/>
        </w:rPr>
        <w:t xml:space="preserve"> found Witches’ Hollow to be less </w:t>
      </w:r>
      <w:r w:rsidRPr="00E2458A">
        <w:rPr>
          <w:rFonts w:ascii="Times New Roman" w:hAnsi="Times New Roman" w:cs="Times New Roman"/>
          <w:smallCaps/>
          <w:kern w:val="0"/>
          <w:sz w:val="24"/>
          <w:szCs w:val="24"/>
          <w:lang w:val="en-US"/>
        </w:rPr>
        <w:t xml:space="preserve">interesting, </w:t>
      </w:r>
      <w:r w:rsidRPr="00E2458A">
        <w:rPr>
          <w:rFonts w:ascii="Times New Roman" w:hAnsi="Times New Roman" w:cs="Times New Roman"/>
          <w:kern w:val="0"/>
          <w:sz w:val="24"/>
          <w:szCs w:val="24"/>
          <w:lang w:val="en-US"/>
        </w:rPr>
        <w:t xml:space="preserve">less </w:t>
      </w:r>
      <w:r w:rsidRPr="00E2458A">
        <w:rPr>
          <w:rFonts w:ascii="Times New Roman" w:hAnsi="Times New Roman" w:cs="Times New Roman"/>
          <w:smallCaps/>
          <w:kern w:val="0"/>
          <w:sz w:val="24"/>
          <w:szCs w:val="24"/>
          <w:lang w:val="en-US"/>
        </w:rPr>
        <w:t>spiritual</w:t>
      </w:r>
      <w:r w:rsidRPr="00E2458A">
        <w:rPr>
          <w:rFonts w:ascii="Times New Roman" w:hAnsi="Times New Roman" w:cs="Times New Roman"/>
          <w:kern w:val="0"/>
          <w:sz w:val="24"/>
          <w:szCs w:val="24"/>
          <w:lang w:val="en-US"/>
        </w:rPr>
        <w:t xml:space="preserve">, and more related to </w:t>
      </w:r>
      <w:r w:rsidRPr="00E2458A">
        <w:rPr>
          <w:rFonts w:ascii="Times New Roman" w:hAnsi="Times New Roman" w:cs="Times New Roman"/>
          <w:smallCaps/>
          <w:kern w:val="0"/>
          <w:sz w:val="24"/>
          <w:szCs w:val="24"/>
          <w:lang w:val="en-US"/>
        </w:rPr>
        <w:t>anxiety</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 xml:space="preserve">evil, </w:t>
      </w:r>
      <w:r w:rsidRPr="00E2458A">
        <w:rPr>
          <w:rFonts w:ascii="Times New Roman" w:hAnsi="Times New Roman" w:cs="Times New Roman"/>
          <w:kern w:val="0"/>
          <w:sz w:val="24"/>
          <w:szCs w:val="24"/>
          <w:lang w:val="en-US"/>
        </w:rPr>
        <w:t>the</w:t>
      </w:r>
      <w:r w:rsidRPr="00E2458A">
        <w:rPr>
          <w:rFonts w:ascii="Times New Roman" w:hAnsi="Times New Roman" w:cs="Times New Roman"/>
          <w:smallCaps/>
          <w:kern w:val="0"/>
          <w:sz w:val="24"/>
          <w:szCs w:val="24"/>
          <w:lang w:val="en-US"/>
        </w:rPr>
        <w:t xml:space="preserve"> (ac)cursed, </w:t>
      </w:r>
      <w:r w:rsidRPr="00E2458A">
        <w:rPr>
          <w:rFonts w:ascii="Times New Roman" w:hAnsi="Times New Roman" w:cs="Times New Roman"/>
          <w:kern w:val="0"/>
          <w:sz w:val="24"/>
          <w:szCs w:val="24"/>
          <w:lang w:val="en-US"/>
        </w:rPr>
        <w:t>the</w:t>
      </w:r>
      <w:r w:rsidRPr="00E2458A">
        <w:rPr>
          <w:rFonts w:ascii="Times New Roman" w:hAnsi="Times New Roman" w:cs="Times New Roman"/>
          <w:smallCaps/>
          <w:kern w:val="0"/>
          <w:sz w:val="24"/>
          <w:szCs w:val="24"/>
          <w:lang w:val="en-US"/>
        </w:rPr>
        <w:t xml:space="preserve"> secret</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north</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chaos</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 xml:space="preserve">impurity, </w:t>
      </w:r>
      <w:r w:rsidRPr="00E2458A">
        <w:rPr>
          <w:rFonts w:ascii="Times New Roman" w:hAnsi="Times New Roman" w:cs="Times New Roman"/>
          <w:kern w:val="0"/>
          <w:sz w:val="24"/>
          <w:szCs w:val="24"/>
          <w:lang w:val="en-US"/>
        </w:rPr>
        <w:t>the</w:t>
      </w:r>
      <w:r w:rsidRPr="00E2458A">
        <w:rPr>
          <w:rFonts w:ascii="Times New Roman" w:hAnsi="Times New Roman" w:cs="Times New Roman"/>
          <w:smallCaps/>
          <w:kern w:val="0"/>
          <w:sz w:val="24"/>
          <w:szCs w:val="24"/>
          <w:lang w:val="en-US"/>
        </w:rPr>
        <w:t xml:space="preserve"> inaccessible, danger</w:t>
      </w:r>
      <w:r w:rsidRPr="00E2458A">
        <w:rPr>
          <w:rFonts w:ascii="Times New Roman" w:hAnsi="Times New Roman" w:cs="Times New Roman"/>
          <w:kern w:val="0"/>
          <w:sz w:val="24"/>
          <w:szCs w:val="24"/>
          <w:lang w:val="en-US"/>
        </w:rPr>
        <w:t xml:space="preserve">, and </w:t>
      </w:r>
      <w:r w:rsidRPr="00E2458A">
        <w:rPr>
          <w:rFonts w:ascii="Times New Roman" w:hAnsi="Times New Roman" w:cs="Times New Roman"/>
          <w:smallCaps/>
          <w:kern w:val="0"/>
          <w:sz w:val="24"/>
          <w:szCs w:val="24"/>
          <w:lang w:val="en-US"/>
        </w:rPr>
        <w:t>depth</w:t>
      </w:r>
      <w:r w:rsidRPr="00E2458A">
        <w:rPr>
          <w:rFonts w:ascii="Times New Roman" w:hAnsi="Times New Roman" w:cs="Times New Roman"/>
          <w:kern w:val="0"/>
          <w:sz w:val="24"/>
          <w:szCs w:val="24"/>
          <w:lang w:val="en-US"/>
        </w:rPr>
        <w:t xml:space="preserve">. Despite not having reached the assumed significance levels, other differences might also include Polish-speakers associating the place to a lesser extent with the </w:t>
      </w:r>
      <w:r w:rsidRPr="00E2458A">
        <w:rPr>
          <w:rFonts w:ascii="Times New Roman" w:hAnsi="Times New Roman" w:cs="Times New Roman"/>
          <w:smallCaps/>
          <w:kern w:val="0"/>
          <w:sz w:val="24"/>
          <w:szCs w:val="24"/>
          <w:lang w:val="en-US"/>
        </w:rPr>
        <w:t>exotic</w:t>
      </w:r>
      <w:r w:rsidRPr="00E2458A">
        <w:rPr>
          <w:rFonts w:ascii="Times New Roman" w:hAnsi="Times New Roman" w:cs="Times New Roman"/>
          <w:kern w:val="0"/>
          <w:sz w:val="24"/>
          <w:szCs w:val="24"/>
          <w:lang w:val="en-US"/>
        </w:rPr>
        <w:t xml:space="preserve">, and to a greater degree with </w:t>
      </w:r>
      <w:r w:rsidRPr="00E2458A">
        <w:rPr>
          <w:rFonts w:ascii="Times New Roman" w:hAnsi="Times New Roman" w:cs="Times New Roman"/>
          <w:smallCaps/>
          <w:kern w:val="0"/>
          <w:sz w:val="24"/>
          <w:szCs w:val="24"/>
          <w:lang w:val="en-US"/>
        </w:rPr>
        <w:t>sadness</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death, misfortune,</w:t>
      </w:r>
      <w:r w:rsidRPr="00E2458A">
        <w:rPr>
          <w:rFonts w:ascii="Times New Roman" w:hAnsi="Times New Roman" w:cs="Times New Roman"/>
          <w:kern w:val="0"/>
          <w:sz w:val="24"/>
          <w:szCs w:val="24"/>
          <w:lang w:val="en-US"/>
        </w:rPr>
        <w:t xml:space="preserve"> and </w:t>
      </w:r>
      <w:r w:rsidRPr="00E2458A">
        <w:rPr>
          <w:rFonts w:ascii="Times New Roman" w:hAnsi="Times New Roman" w:cs="Times New Roman"/>
          <w:smallCaps/>
          <w:kern w:val="0"/>
          <w:sz w:val="24"/>
          <w:szCs w:val="24"/>
          <w:lang w:val="en-US"/>
        </w:rPr>
        <w:t>small</w:t>
      </w:r>
      <w:r w:rsidRPr="00E2458A">
        <w:rPr>
          <w:rFonts w:ascii="Times New Roman" w:hAnsi="Times New Roman" w:cs="Times New Roman"/>
          <w:kern w:val="0"/>
          <w:sz w:val="24"/>
          <w:szCs w:val="24"/>
          <w:lang w:val="en-US"/>
        </w:rPr>
        <w:t xml:space="preserve"> size. The effect size was large for </w:t>
      </w:r>
      <w:r w:rsidRPr="00E2458A">
        <w:rPr>
          <w:rFonts w:ascii="Times New Roman" w:hAnsi="Times New Roman" w:cs="Times New Roman"/>
          <w:smallCaps/>
          <w:kern w:val="0"/>
          <w:sz w:val="24"/>
          <w:szCs w:val="24"/>
          <w:lang w:val="en-US"/>
        </w:rPr>
        <w:t>calmness—anxiety</w:t>
      </w:r>
      <w:r w:rsidRPr="00E2458A">
        <w:rPr>
          <w:rFonts w:ascii="Times New Roman" w:hAnsi="Times New Roman" w:cs="Times New Roman"/>
          <w:kern w:val="0"/>
          <w:sz w:val="24"/>
          <w:szCs w:val="24"/>
          <w:lang w:val="en-US"/>
        </w:rPr>
        <w:t xml:space="preserve">, medium for </w:t>
      </w:r>
      <w:r w:rsidRPr="00E2458A">
        <w:rPr>
          <w:rFonts w:ascii="Times New Roman" w:hAnsi="Times New Roman" w:cs="Times New Roman"/>
          <w:smallCaps/>
          <w:kern w:val="0"/>
          <w:sz w:val="24"/>
          <w:szCs w:val="24"/>
          <w:lang w:val="en-US"/>
        </w:rPr>
        <w:t>good—evil, north—south,</w:t>
      </w:r>
      <w:r w:rsidRPr="00E2458A">
        <w:rPr>
          <w:rFonts w:ascii="Times New Roman" w:hAnsi="Times New Roman" w:cs="Times New Roman"/>
          <w:kern w:val="0"/>
          <w:sz w:val="24"/>
          <w:szCs w:val="24"/>
          <w:lang w:val="en-US"/>
        </w:rPr>
        <w:t xml:space="preserve"> and </w:t>
      </w:r>
      <w:r w:rsidRPr="00E2458A">
        <w:rPr>
          <w:rFonts w:ascii="Times New Roman" w:hAnsi="Times New Roman" w:cs="Times New Roman"/>
          <w:smallCaps/>
          <w:kern w:val="0"/>
          <w:sz w:val="24"/>
          <w:szCs w:val="24"/>
          <w:lang w:val="en-US"/>
        </w:rPr>
        <w:t>purity—impurity</w:t>
      </w:r>
      <w:r w:rsidRPr="00E2458A">
        <w:rPr>
          <w:rFonts w:ascii="Times New Roman" w:hAnsi="Times New Roman" w:cs="Times New Roman"/>
          <w:kern w:val="0"/>
          <w:sz w:val="24"/>
          <w:szCs w:val="24"/>
          <w:lang w:val="en-US"/>
        </w:rPr>
        <w:t xml:space="preserve">, and small for the remaining dimensions. </w:t>
      </w:r>
    </w:p>
    <w:p w14:paraId="5C1779EC" w14:textId="21A4C031" w:rsidR="00873911" w:rsidRDefault="00267AB8" w:rsidP="00DC79BA">
      <w:pPr>
        <w:autoSpaceDE w:val="0"/>
        <w:autoSpaceDN w:val="0"/>
        <w:adjustRightInd w:val="0"/>
        <w:spacing w:before="240" w:line="240" w:lineRule="auto"/>
        <w:jc w:val="both"/>
        <w:rPr>
          <w:rFonts w:ascii="Candara" w:hAnsi="Candara" w:cstheme="majorHAnsi"/>
          <w:kern w:val="0"/>
          <w:lang w:val="en-US"/>
        </w:rPr>
      </w:pPr>
      <w:r>
        <w:rPr>
          <w:noProof/>
        </w:rPr>
        <w:lastRenderedPageBreak/>
        <w:drawing>
          <wp:inline distT="0" distB="0" distL="0" distR="0" wp14:anchorId="3B5EE3CC" wp14:editId="51800241">
            <wp:extent cx="5760720" cy="6466205"/>
            <wp:effectExtent l="0" t="0" r="0" b="0"/>
            <wp:docPr id="11159693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466205"/>
                    </a:xfrm>
                    <a:prstGeom prst="rect">
                      <a:avLst/>
                    </a:prstGeom>
                    <a:noFill/>
                    <a:ln>
                      <a:noFill/>
                    </a:ln>
                  </pic:spPr>
                </pic:pic>
              </a:graphicData>
            </a:graphic>
          </wp:inline>
        </w:drawing>
      </w:r>
    </w:p>
    <w:p w14:paraId="0BAD2C94" w14:textId="6CB68DF2" w:rsidR="00873911" w:rsidRPr="00E2458A" w:rsidRDefault="00873911" w:rsidP="00873911">
      <w:pPr>
        <w:autoSpaceDE w:val="0"/>
        <w:autoSpaceDN w:val="0"/>
        <w:adjustRightInd w:val="0"/>
        <w:spacing w:after="0" w:line="240" w:lineRule="auto"/>
        <w:jc w:val="both"/>
        <w:rPr>
          <w:rFonts w:ascii="Times New Roman" w:hAnsi="Times New Roman" w:cs="Times New Roman"/>
          <w:kern w:val="0"/>
          <w:lang w:val="en-US"/>
        </w:rPr>
      </w:pPr>
      <w:r>
        <w:rPr>
          <w:rFonts w:ascii="Candara" w:hAnsi="Candara" w:cstheme="majorHAnsi"/>
          <w:kern w:val="0"/>
          <w:lang w:val="en-US"/>
        </w:rPr>
        <w:tab/>
      </w:r>
      <w:r w:rsidRPr="00E2458A">
        <w:rPr>
          <w:rFonts w:ascii="Times New Roman" w:hAnsi="Times New Roman" w:cs="Times New Roman"/>
          <w:kern w:val="0"/>
          <w:sz w:val="24"/>
          <w:szCs w:val="24"/>
          <w:lang w:val="en-US"/>
        </w:rPr>
        <w:t xml:space="preserve">The analyses of connotations of Witches’ Hollow in the </w:t>
      </w:r>
      <w:r w:rsidR="00207DC0">
        <w:rPr>
          <w:rFonts w:ascii="Times New Roman" w:hAnsi="Times New Roman" w:cs="Times New Roman"/>
          <w:kern w:val="0"/>
          <w:sz w:val="24"/>
          <w:szCs w:val="24"/>
          <w:lang w:val="en-US"/>
        </w:rPr>
        <w:t>NSEN</w:t>
      </w:r>
      <w:r w:rsidRPr="00E2458A">
        <w:rPr>
          <w:rFonts w:ascii="Times New Roman" w:hAnsi="Times New Roman" w:cs="Times New Roman"/>
          <w:kern w:val="0"/>
          <w:sz w:val="24"/>
          <w:szCs w:val="24"/>
          <w:lang w:val="en-US"/>
        </w:rPr>
        <w:t xml:space="preserve"> and of the toponym’s renditions in the </w:t>
      </w:r>
      <w:r w:rsidR="00207DC0">
        <w:rPr>
          <w:rFonts w:ascii="Times New Roman" w:hAnsi="Times New Roman" w:cs="Times New Roman"/>
          <w:kern w:val="0"/>
          <w:sz w:val="24"/>
          <w:szCs w:val="24"/>
          <w:lang w:val="en-US"/>
        </w:rPr>
        <w:t>NSPL</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t xml:space="preserve">yielded 13 significant results and one almost-significant (Table 3). Compared to the </w:t>
      </w:r>
      <w:r w:rsidR="00207DC0">
        <w:rPr>
          <w:rFonts w:ascii="Times New Roman" w:hAnsi="Times New Roman" w:cs="Times New Roman"/>
          <w:kern w:val="0"/>
          <w:sz w:val="24"/>
          <w:szCs w:val="24"/>
          <w:lang w:val="en-US"/>
        </w:rPr>
        <w:t>NSEN</w:t>
      </w:r>
      <w:r w:rsidRPr="00E2458A">
        <w:rPr>
          <w:rFonts w:ascii="Times New Roman" w:hAnsi="Times New Roman" w:cs="Times New Roman"/>
          <w:kern w:val="0"/>
          <w:sz w:val="24"/>
          <w:szCs w:val="24"/>
          <w:lang w:val="en-US"/>
        </w:rPr>
        <w:t xml:space="preserve">, the Polish group, on average, associated </w:t>
      </w:r>
      <w:proofErr w:type="spellStart"/>
      <w:r w:rsidRPr="00E2458A">
        <w:rPr>
          <w:rFonts w:ascii="Times New Roman" w:hAnsi="Times New Roman" w:cs="Times New Roman"/>
          <w:i/>
          <w:iCs/>
          <w:kern w:val="0"/>
          <w:sz w:val="24"/>
          <w:szCs w:val="24"/>
          <w:lang w:val="en-US"/>
        </w:rPr>
        <w:t>Wiedźmi</w:t>
      </w:r>
      <w:proofErr w:type="spellEnd"/>
      <w:r w:rsidRPr="00E2458A">
        <w:rPr>
          <w:rFonts w:ascii="Times New Roman" w:hAnsi="Times New Roman" w:cs="Times New Roman"/>
          <w:i/>
          <w:iCs/>
          <w:kern w:val="0"/>
          <w:sz w:val="24"/>
          <w:szCs w:val="24"/>
          <w:lang w:val="en-US"/>
        </w:rPr>
        <w:t xml:space="preserve"> Jar, </w:t>
      </w:r>
      <w:proofErr w:type="spellStart"/>
      <w:r w:rsidRPr="00E2458A">
        <w:rPr>
          <w:rFonts w:ascii="Times New Roman" w:hAnsi="Times New Roman" w:cs="Times New Roman"/>
          <w:i/>
          <w:iCs/>
          <w:kern w:val="0"/>
          <w:sz w:val="24"/>
          <w:szCs w:val="24"/>
          <w:lang w:val="en-US"/>
        </w:rPr>
        <w:t>Wiedźmia</w:t>
      </w:r>
      <w:proofErr w:type="spellEnd"/>
      <w:r w:rsidRPr="00E2458A">
        <w:rPr>
          <w:rFonts w:ascii="Times New Roman" w:hAnsi="Times New Roman" w:cs="Times New Roman"/>
          <w:i/>
          <w:iCs/>
          <w:kern w:val="0"/>
          <w:sz w:val="24"/>
          <w:szCs w:val="24"/>
          <w:lang w:val="en-US"/>
        </w:rPr>
        <w:t xml:space="preserve"> </w:t>
      </w:r>
      <w:proofErr w:type="spellStart"/>
      <w:r w:rsidRPr="00E2458A">
        <w:rPr>
          <w:rFonts w:ascii="Times New Roman" w:hAnsi="Times New Roman" w:cs="Times New Roman"/>
          <w:i/>
          <w:iCs/>
          <w:kern w:val="0"/>
          <w:sz w:val="24"/>
          <w:szCs w:val="24"/>
          <w:lang w:val="en-US"/>
        </w:rPr>
        <w:t>Kotlina</w:t>
      </w:r>
      <w:proofErr w:type="spellEnd"/>
      <w:r w:rsidRPr="00E2458A">
        <w:rPr>
          <w:rFonts w:ascii="Times New Roman" w:hAnsi="Times New Roman" w:cs="Times New Roman"/>
          <w:kern w:val="0"/>
          <w:sz w:val="24"/>
          <w:szCs w:val="24"/>
          <w:lang w:val="en-US"/>
        </w:rPr>
        <w:t xml:space="preserve">, and </w:t>
      </w:r>
      <w:r w:rsidRPr="00E2458A">
        <w:rPr>
          <w:rFonts w:ascii="Times New Roman" w:hAnsi="Times New Roman" w:cs="Times New Roman"/>
          <w:i/>
          <w:iCs/>
          <w:kern w:val="0"/>
          <w:sz w:val="24"/>
          <w:szCs w:val="24"/>
          <w:lang w:val="en-US"/>
        </w:rPr>
        <w:t xml:space="preserve">Dolina </w:t>
      </w:r>
      <w:proofErr w:type="spellStart"/>
      <w:r w:rsidRPr="00E2458A">
        <w:rPr>
          <w:rFonts w:ascii="Times New Roman" w:hAnsi="Times New Roman" w:cs="Times New Roman"/>
          <w:i/>
          <w:iCs/>
          <w:kern w:val="0"/>
          <w:sz w:val="24"/>
          <w:szCs w:val="24"/>
          <w:lang w:val="en-US"/>
        </w:rPr>
        <w:t>Wiedźm</w:t>
      </w:r>
      <w:proofErr w:type="spellEnd"/>
      <w:r w:rsidRPr="00E2458A">
        <w:rPr>
          <w:rFonts w:ascii="Times New Roman" w:hAnsi="Times New Roman" w:cs="Times New Roman"/>
          <w:kern w:val="0"/>
          <w:sz w:val="24"/>
          <w:szCs w:val="24"/>
          <w:lang w:val="en-US"/>
        </w:rPr>
        <w:t xml:space="preserve"> to a lesser extent with such qualities as the </w:t>
      </w:r>
      <w:r w:rsidRPr="00E2458A">
        <w:rPr>
          <w:rFonts w:ascii="Times New Roman" w:hAnsi="Times New Roman" w:cs="Times New Roman"/>
          <w:smallCaps/>
          <w:kern w:val="0"/>
          <w:sz w:val="24"/>
          <w:szCs w:val="24"/>
          <w:lang w:val="en-US"/>
        </w:rPr>
        <w:t>interesting</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 xml:space="preserve">cold, </w:t>
      </w:r>
      <w:r w:rsidRPr="00E2458A">
        <w:rPr>
          <w:rFonts w:ascii="Times New Roman" w:hAnsi="Times New Roman" w:cs="Times New Roman"/>
          <w:kern w:val="0"/>
          <w:sz w:val="24"/>
          <w:szCs w:val="24"/>
          <w:lang w:val="en-US"/>
        </w:rPr>
        <w:t xml:space="preserve">the </w:t>
      </w:r>
      <w:r w:rsidRPr="00E2458A">
        <w:rPr>
          <w:rFonts w:ascii="Times New Roman" w:hAnsi="Times New Roman" w:cs="Times New Roman"/>
          <w:smallCaps/>
          <w:kern w:val="0"/>
          <w:sz w:val="24"/>
          <w:szCs w:val="24"/>
          <w:lang w:val="en-US"/>
        </w:rPr>
        <w:t>spiritual, darkness</w:t>
      </w:r>
      <w:r w:rsidRPr="00E2458A">
        <w:rPr>
          <w:rFonts w:ascii="Times New Roman" w:hAnsi="Times New Roman" w:cs="Times New Roman"/>
          <w:kern w:val="0"/>
          <w:sz w:val="24"/>
          <w:szCs w:val="24"/>
          <w:lang w:val="en-US"/>
        </w:rPr>
        <w:t xml:space="preserve">, and the </w:t>
      </w:r>
      <w:r w:rsidRPr="00E2458A">
        <w:rPr>
          <w:rFonts w:ascii="Times New Roman" w:hAnsi="Times New Roman" w:cs="Times New Roman"/>
          <w:smallCaps/>
          <w:kern w:val="0"/>
          <w:sz w:val="24"/>
          <w:szCs w:val="24"/>
          <w:lang w:val="en-US"/>
        </w:rPr>
        <w:t>alien</w:t>
      </w:r>
      <w:r w:rsidRPr="00E2458A">
        <w:rPr>
          <w:rFonts w:ascii="Times New Roman" w:hAnsi="Times New Roman" w:cs="Times New Roman"/>
          <w:kern w:val="0"/>
          <w:sz w:val="24"/>
          <w:szCs w:val="24"/>
          <w:lang w:val="en-US"/>
        </w:rPr>
        <w:t xml:space="preserve">; at the same time, they also associated the rendered toponyms to a greater degree with </w:t>
      </w:r>
      <w:r w:rsidRPr="00E2458A">
        <w:rPr>
          <w:rFonts w:ascii="Times New Roman" w:hAnsi="Times New Roman" w:cs="Times New Roman"/>
          <w:smallCaps/>
          <w:kern w:val="0"/>
          <w:sz w:val="24"/>
          <w:szCs w:val="24"/>
          <w:lang w:val="en-US"/>
        </w:rPr>
        <w:t>anxiety</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rage</w:t>
      </w:r>
      <w:r w:rsidRPr="00E2458A">
        <w:rPr>
          <w:rFonts w:ascii="Times New Roman" w:hAnsi="Times New Roman" w:cs="Times New Roman"/>
          <w:kern w:val="0"/>
          <w:sz w:val="24"/>
          <w:szCs w:val="24"/>
          <w:lang w:val="en-US"/>
        </w:rPr>
        <w:t xml:space="preserve"> (contrary to the </w:t>
      </w:r>
      <w:r w:rsidR="00207DC0">
        <w:rPr>
          <w:rFonts w:ascii="Times New Roman" w:hAnsi="Times New Roman" w:cs="Times New Roman"/>
          <w:kern w:val="0"/>
          <w:sz w:val="24"/>
          <w:szCs w:val="24"/>
          <w:lang w:val="en-US"/>
        </w:rPr>
        <w:t>NSEN</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t xml:space="preserve">who linked Witches’ Hollow with </w:t>
      </w:r>
      <w:r w:rsidRPr="00E2458A">
        <w:rPr>
          <w:rFonts w:ascii="Times New Roman" w:hAnsi="Times New Roman" w:cs="Times New Roman"/>
          <w:smallCaps/>
          <w:kern w:val="0"/>
          <w:sz w:val="24"/>
          <w:szCs w:val="24"/>
          <w:lang w:val="en-US"/>
        </w:rPr>
        <w:t>calm(ness)</w:t>
      </w:r>
      <w:r w:rsidRPr="00E2458A">
        <w:rPr>
          <w:rFonts w:ascii="Times New Roman" w:hAnsi="Times New Roman" w:cs="Times New Roman"/>
          <w:kern w:val="0"/>
          <w:sz w:val="24"/>
          <w:szCs w:val="24"/>
          <w:lang w:val="en-US"/>
        </w:rPr>
        <w:t xml:space="preserve">), the </w:t>
      </w:r>
      <w:r w:rsidRPr="00E2458A">
        <w:rPr>
          <w:rFonts w:ascii="Times New Roman" w:hAnsi="Times New Roman" w:cs="Times New Roman"/>
          <w:smallCaps/>
          <w:kern w:val="0"/>
          <w:sz w:val="24"/>
          <w:szCs w:val="24"/>
          <w:lang w:val="en-US"/>
        </w:rPr>
        <w:t>ancient</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wetness</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secrecy</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north</w:t>
      </w:r>
      <w:r w:rsidRPr="00E2458A">
        <w:rPr>
          <w:rFonts w:ascii="Times New Roman" w:hAnsi="Times New Roman" w:cs="Times New Roman"/>
          <w:kern w:val="0"/>
          <w:sz w:val="24"/>
          <w:szCs w:val="24"/>
          <w:lang w:val="en-US"/>
        </w:rPr>
        <w:t xml:space="preserve">, </w:t>
      </w:r>
      <w:r w:rsidRPr="00E2458A">
        <w:rPr>
          <w:rFonts w:ascii="Times New Roman" w:hAnsi="Times New Roman" w:cs="Times New Roman"/>
          <w:smallCaps/>
          <w:kern w:val="0"/>
          <w:sz w:val="24"/>
          <w:szCs w:val="24"/>
          <w:lang w:val="en-US"/>
        </w:rPr>
        <w:t>inaccessibility</w:t>
      </w:r>
      <w:r w:rsidRPr="00E2458A">
        <w:rPr>
          <w:rFonts w:ascii="Times New Roman" w:hAnsi="Times New Roman" w:cs="Times New Roman"/>
          <w:kern w:val="0"/>
          <w:sz w:val="24"/>
          <w:szCs w:val="24"/>
          <w:lang w:val="en-US"/>
        </w:rPr>
        <w:t xml:space="preserve">, and </w:t>
      </w:r>
      <w:r w:rsidRPr="00E2458A">
        <w:rPr>
          <w:rFonts w:ascii="Times New Roman" w:hAnsi="Times New Roman" w:cs="Times New Roman"/>
          <w:smallCaps/>
          <w:kern w:val="0"/>
          <w:sz w:val="24"/>
          <w:szCs w:val="24"/>
          <w:lang w:val="en-US"/>
        </w:rPr>
        <w:t>depth</w:t>
      </w:r>
      <w:r w:rsidRPr="00E2458A">
        <w:rPr>
          <w:rFonts w:ascii="Times New Roman" w:hAnsi="Times New Roman" w:cs="Times New Roman"/>
          <w:kern w:val="0"/>
          <w:sz w:val="24"/>
          <w:szCs w:val="24"/>
          <w:lang w:val="en-US"/>
        </w:rPr>
        <w:t xml:space="preserve">. The </w:t>
      </w:r>
      <w:r w:rsidRPr="00E2458A">
        <w:rPr>
          <w:rFonts w:ascii="Times New Roman" w:hAnsi="Times New Roman" w:cs="Times New Roman"/>
          <w:smallCaps/>
          <w:kern w:val="0"/>
          <w:sz w:val="24"/>
          <w:szCs w:val="24"/>
          <w:lang w:val="en-US"/>
        </w:rPr>
        <w:t>common—exotic</w:t>
      </w:r>
      <w:r w:rsidRPr="00E2458A">
        <w:rPr>
          <w:rFonts w:ascii="Times New Roman" w:hAnsi="Times New Roman" w:cs="Times New Roman"/>
          <w:kern w:val="0"/>
          <w:sz w:val="24"/>
          <w:szCs w:val="24"/>
          <w:lang w:val="en-US"/>
        </w:rPr>
        <w:t xml:space="preserve"> dimension, although nearly-significant, might suggest that Polish renditions seemed less exotic to the </w:t>
      </w:r>
      <w:r w:rsidR="00207DC0">
        <w:rPr>
          <w:rFonts w:ascii="Times New Roman" w:hAnsi="Times New Roman" w:cs="Times New Roman"/>
          <w:kern w:val="0"/>
          <w:sz w:val="24"/>
          <w:szCs w:val="24"/>
          <w:lang w:val="en-US"/>
        </w:rPr>
        <w:t>NSPL</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t xml:space="preserve">than the original toponym to the </w:t>
      </w:r>
      <w:r w:rsidR="00207DC0">
        <w:rPr>
          <w:rFonts w:ascii="Times New Roman" w:hAnsi="Times New Roman" w:cs="Times New Roman"/>
          <w:kern w:val="0"/>
          <w:sz w:val="24"/>
          <w:szCs w:val="24"/>
          <w:lang w:val="en-US"/>
        </w:rPr>
        <w:t>NSEN</w:t>
      </w:r>
      <w:r w:rsidRPr="00E2458A">
        <w:rPr>
          <w:rFonts w:ascii="Times New Roman" w:hAnsi="Times New Roman" w:cs="Times New Roman"/>
          <w:kern w:val="0"/>
          <w:sz w:val="24"/>
          <w:szCs w:val="24"/>
          <w:lang w:val="en-US"/>
        </w:rPr>
        <w:t xml:space="preserve">. One effect, for </w:t>
      </w:r>
      <w:r w:rsidRPr="00E2458A">
        <w:rPr>
          <w:rFonts w:ascii="Times New Roman" w:hAnsi="Times New Roman" w:cs="Times New Roman"/>
          <w:smallCaps/>
          <w:kern w:val="0"/>
          <w:sz w:val="24"/>
          <w:szCs w:val="24"/>
          <w:lang w:val="en-US"/>
        </w:rPr>
        <w:t>reachable—inaccessible,</w:t>
      </w:r>
      <w:r w:rsidRPr="00E2458A">
        <w:rPr>
          <w:rFonts w:ascii="Times New Roman" w:hAnsi="Times New Roman" w:cs="Times New Roman"/>
          <w:kern w:val="0"/>
          <w:sz w:val="24"/>
          <w:szCs w:val="24"/>
          <w:lang w:val="en-US"/>
        </w:rPr>
        <w:t xml:space="preserve"> was medium, and the rest were small.</w:t>
      </w:r>
    </w:p>
    <w:p w14:paraId="0D93D514" w14:textId="01B6E654" w:rsidR="00873911" w:rsidRDefault="00267AB8" w:rsidP="00DC79BA">
      <w:pPr>
        <w:autoSpaceDE w:val="0"/>
        <w:autoSpaceDN w:val="0"/>
        <w:adjustRightInd w:val="0"/>
        <w:spacing w:before="240" w:line="240" w:lineRule="auto"/>
        <w:jc w:val="both"/>
        <w:rPr>
          <w:rFonts w:ascii="Candara" w:hAnsi="Candara" w:cstheme="majorHAnsi"/>
          <w:b/>
          <w:bCs/>
          <w:smallCaps/>
          <w:kern w:val="0"/>
          <w:lang w:val="en-US"/>
        </w:rPr>
      </w:pPr>
      <w:r>
        <w:rPr>
          <w:noProof/>
        </w:rPr>
        <w:lastRenderedPageBreak/>
        <w:drawing>
          <wp:inline distT="0" distB="0" distL="0" distR="0" wp14:anchorId="794CB48A" wp14:editId="093DB141">
            <wp:extent cx="5760720" cy="5513070"/>
            <wp:effectExtent l="0" t="0" r="0" b="0"/>
            <wp:docPr id="175251874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513070"/>
                    </a:xfrm>
                    <a:prstGeom prst="rect">
                      <a:avLst/>
                    </a:prstGeom>
                    <a:noFill/>
                    <a:ln>
                      <a:noFill/>
                    </a:ln>
                  </pic:spPr>
                </pic:pic>
              </a:graphicData>
            </a:graphic>
          </wp:inline>
        </w:drawing>
      </w:r>
    </w:p>
    <w:p w14:paraId="7B62134A" w14:textId="1D7D3C1A" w:rsidR="00873911" w:rsidRPr="00E2458A" w:rsidRDefault="00873911" w:rsidP="00873911">
      <w:pPr>
        <w:autoSpaceDE w:val="0"/>
        <w:autoSpaceDN w:val="0"/>
        <w:adjustRightInd w:val="0"/>
        <w:spacing w:after="0" w:line="240" w:lineRule="auto"/>
        <w:jc w:val="both"/>
        <w:rPr>
          <w:rFonts w:ascii="Times New Roman" w:hAnsi="Times New Roman" w:cs="Times New Roman"/>
          <w:kern w:val="0"/>
          <w:sz w:val="24"/>
          <w:szCs w:val="24"/>
          <w:lang w:val="en-US"/>
        </w:rPr>
      </w:pPr>
      <w:r w:rsidRPr="004F52CD">
        <w:rPr>
          <w:rFonts w:ascii="Candara" w:hAnsi="Candara" w:cstheme="majorHAnsi"/>
          <w:kern w:val="0"/>
          <w:lang w:val="en-US"/>
        </w:rPr>
        <w:tab/>
      </w:r>
      <w:r w:rsidRPr="00E2458A">
        <w:rPr>
          <w:rFonts w:ascii="Times New Roman" w:hAnsi="Times New Roman" w:cs="Times New Roman"/>
          <w:kern w:val="0"/>
          <w:sz w:val="24"/>
          <w:szCs w:val="24"/>
          <w:lang w:val="en-US"/>
        </w:rPr>
        <w:t xml:space="preserve">Given that there were 12 significant connotational differences between the </w:t>
      </w:r>
      <w:r w:rsidR="00207DC0">
        <w:rPr>
          <w:rFonts w:ascii="Times New Roman" w:hAnsi="Times New Roman" w:cs="Times New Roman"/>
          <w:kern w:val="0"/>
          <w:sz w:val="24"/>
          <w:szCs w:val="24"/>
          <w:lang w:val="en-US"/>
        </w:rPr>
        <w:t>NSPL</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t xml:space="preserve">and </w:t>
      </w:r>
      <w:r w:rsidR="00207DC0">
        <w:rPr>
          <w:rFonts w:ascii="Times New Roman" w:hAnsi="Times New Roman" w:cs="Times New Roman"/>
          <w:kern w:val="0"/>
          <w:sz w:val="24"/>
          <w:szCs w:val="24"/>
          <w:lang w:val="en-US"/>
        </w:rPr>
        <w:t>NSEN</w:t>
      </w:r>
      <w:r>
        <w:rPr>
          <w:rFonts w:ascii="Times New Roman" w:hAnsi="Times New Roman" w:cs="Times New Roman"/>
          <w:kern w:val="0"/>
          <w:sz w:val="24"/>
          <w:szCs w:val="24"/>
          <w:lang w:val="en-US"/>
        </w:rPr>
        <w:t xml:space="preserve"> </w:t>
      </w:r>
      <w:r w:rsidRPr="00E2458A">
        <w:rPr>
          <w:rFonts w:ascii="Times New Roman" w:hAnsi="Times New Roman" w:cs="Times New Roman"/>
          <w:kern w:val="0"/>
          <w:sz w:val="24"/>
          <w:szCs w:val="24"/>
          <w:lang w:val="en-US"/>
        </w:rPr>
        <w:t xml:space="preserve">with regard to the name Witches’ Hollow and 13 significant differences between the </w:t>
      </w:r>
      <w:r w:rsidR="00207DC0">
        <w:rPr>
          <w:rFonts w:ascii="Times New Roman" w:hAnsi="Times New Roman" w:cs="Times New Roman"/>
          <w:kern w:val="0"/>
          <w:sz w:val="24"/>
          <w:szCs w:val="24"/>
          <w:lang w:val="en-US"/>
        </w:rPr>
        <w:t>NSEN</w:t>
      </w:r>
      <w:r w:rsidRPr="00E2458A">
        <w:rPr>
          <w:rFonts w:ascii="Times New Roman" w:hAnsi="Times New Roman" w:cs="Times New Roman"/>
          <w:kern w:val="0"/>
          <w:sz w:val="24"/>
          <w:szCs w:val="24"/>
          <w:lang w:val="en-US"/>
        </w:rPr>
        <w:t xml:space="preserve"> and the Polish renditions it would seem that the H</w:t>
      </w:r>
      <w:r w:rsidRPr="00E2458A">
        <w:rPr>
          <w:rFonts w:ascii="Times New Roman" w:hAnsi="Times New Roman" w:cs="Times New Roman"/>
          <w:kern w:val="0"/>
          <w:sz w:val="24"/>
          <w:szCs w:val="24"/>
          <w:vertAlign w:val="subscript"/>
          <w:lang w:val="en-US"/>
        </w:rPr>
        <w:t>2</w:t>
      </w:r>
      <w:r w:rsidRPr="00E2458A">
        <w:rPr>
          <w:rFonts w:ascii="Times New Roman" w:hAnsi="Times New Roman" w:cs="Times New Roman"/>
          <w:kern w:val="0"/>
          <w:sz w:val="24"/>
          <w:szCs w:val="24"/>
          <w:lang w:val="en-US"/>
        </w:rPr>
        <w:t xml:space="preserve"> was also confirmed, if only by a skin of a witch’s teeth. However, having considered the effects’ sizes—1 large, 3 medium, and 8 small in the former case vs. 1 medium and 12 small in the latter case—it need be noted that even though technically confirmed (fewer instances of divergence), with the overall strength of the divergence pointing in the opposite direction, the matter may be more complex.</w:t>
      </w:r>
    </w:p>
    <w:p w14:paraId="7C8AF278" w14:textId="77777777" w:rsidR="00873911" w:rsidRPr="00E2458A" w:rsidRDefault="00873911" w:rsidP="00873911">
      <w:pPr>
        <w:ind w:firstLine="708"/>
        <w:jc w:val="both"/>
        <w:rPr>
          <w:rFonts w:ascii="Times New Roman" w:hAnsi="Times New Roman" w:cs="Times New Roman"/>
          <w:sz w:val="24"/>
          <w:szCs w:val="24"/>
          <w:lang w:val="en-US"/>
        </w:rPr>
      </w:pPr>
      <w:r w:rsidRPr="00E2458A">
        <w:rPr>
          <w:rFonts w:ascii="Times New Roman" w:hAnsi="Times New Roman" w:cs="Times New Roman"/>
          <w:sz w:val="24"/>
          <w:szCs w:val="24"/>
          <w:lang w:val="en-US"/>
        </w:rPr>
        <w:t>With regard to translation assessment, the mean rating of the excerpt with Witches’ Hollow was 3.00, while the mean for the aggregated renditions was slightly higher and amounted to 3.27.</w:t>
      </w:r>
    </w:p>
    <w:p w14:paraId="7984D7B5" w14:textId="7D6C19A9" w:rsidR="00873911" w:rsidRDefault="00C108EA" w:rsidP="00873911">
      <w:pPr>
        <w:autoSpaceDE w:val="0"/>
        <w:autoSpaceDN w:val="0"/>
        <w:adjustRightInd w:val="0"/>
        <w:spacing w:after="0" w:line="240" w:lineRule="auto"/>
        <w:jc w:val="both"/>
        <w:rPr>
          <w:rFonts w:ascii="Candara" w:hAnsi="Candara" w:cstheme="majorHAnsi"/>
          <w:kern w:val="0"/>
          <w:lang w:val="en-US"/>
        </w:rPr>
      </w:pPr>
      <w:r>
        <w:rPr>
          <w:noProof/>
        </w:rPr>
        <w:lastRenderedPageBreak/>
        <w:drawing>
          <wp:inline distT="0" distB="0" distL="0" distR="0" wp14:anchorId="690F7D8B" wp14:editId="0D35C001">
            <wp:extent cx="5760720" cy="8467090"/>
            <wp:effectExtent l="0" t="0" r="0" b="0"/>
            <wp:docPr id="99617325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467090"/>
                    </a:xfrm>
                    <a:prstGeom prst="rect">
                      <a:avLst/>
                    </a:prstGeom>
                    <a:noFill/>
                    <a:ln>
                      <a:noFill/>
                    </a:ln>
                  </pic:spPr>
                </pic:pic>
              </a:graphicData>
            </a:graphic>
          </wp:inline>
        </w:drawing>
      </w:r>
    </w:p>
    <w:p w14:paraId="78542D2B" w14:textId="77777777" w:rsidR="00873911" w:rsidRPr="00E164A6" w:rsidRDefault="00873911" w:rsidP="00873911">
      <w:pPr>
        <w:autoSpaceDE w:val="0"/>
        <w:autoSpaceDN w:val="0"/>
        <w:adjustRightInd w:val="0"/>
        <w:spacing w:after="0" w:line="240" w:lineRule="auto"/>
        <w:jc w:val="both"/>
        <w:rPr>
          <w:rFonts w:ascii="Times New Roman" w:hAnsi="Times New Roman" w:cs="Times New Roman"/>
          <w:kern w:val="0"/>
          <w:sz w:val="18"/>
          <w:szCs w:val="18"/>
          <w:lang w:val="en-US"/>
        </w:rPr>
      </w:pPr>
      <w:r w:rsidRPr="00E164A6">
        <w:rPr>
          <w:rFonts w:ascii="Times New Roman" w:hAnsi="Times New Roman" w:cs="Times New Roman"/>
          <w:smallCaps/>
          <w:kern w:val="0"/>
          <w:sz w:val="18"/>
          <w:szCs w:val="18"/>
          <w:lang w:val="en-US"/>
        </w:rPr>
        <w:t xml:space="preserve">Figure 1. </w:t>
      </w:r>
      <w:r w:rsidRPr="00E164A6">
        <w:rPr>
          <w:rFonts w:ascii="Times New Roman" w:hAnsi="Times New Roman" w:cs="Times New Roman"/>
          <w:kern w:val="0"/>
          <w:sz w:val="18"/>
          <w:szCs w:val="18"/>
          <w:lang w:val="en-US"/>
        </w:rPr>
        <w:t>Connotations by the participant’s native language and by the proper name’s translation type.</w:t>
      </w:r>
    </w:p>
    <w:p w14:paraId="5055B28C" w14:textId="77777777" w:rsidR="00873911" w:rsidRPr="00E164A6" w:rsidRDefault="00873911" w:rsidP="00873911">
      <w:pPr>
        <w:autoSpaceDE w:val="0"/>
        <w:autoSpaceDN w:val="0"/>
        <w:adjustRightInd w:val="0"/>
        <w:spacing w:after="0" w:line="240" w:lineRule="auto"/>
        <w:jc w:val="both"/>
        <w:rPr>
          <w:rFonts w:ascii="Times New Roman" w:hAnsi="Times New Roman" w:cs="Times New Roman"/>
          <w:kern w:val="0"/>
          <w:sz w:val="18"/>
          <w:szCs w:val="18"/>
          <w:lang w:val="en-US"/>
        </w:rPr>
      </w:pPr>
    </w:p>
    <w:p w14:paraId="02AF7C4E" w14:textId="2EBEBDA0" w:rsidR="00873911" w:rsidRPr="00C369A4" w:rsidRDefault="00C108EA" w:rsidP="00873911">
      <w:pPr>
        <w:autoSpaceDE w:val="0"/>
        <w:autoSpaceDN w:val="0"/>
        <w:adjustRightInd w:val="0"/>
        <w:spacing w:after="0" w:line="240" w:lineRule="auto"/>
        <w:jc w:val="both"/>
        <w:rPr>
          <w:rFonts w:ascii="Candara" w:hAnsi="Candara" w:cstheme="majorHAnsi"/>
          <w:kern w:val="0"/>
          <w:sz w:val="18"/>
          <w:szCs w:val="18"/>
          <w:lang w:val="en-US"/>
        </w:rPr>
      </w:pPr>
      <w:r>
        <w:rPr>
          <w:noProof/>
        </w:rPr>
        <w:lastRenderedPageBreak/>
        <w:drawing>
          <wp:inline distT="0" distB="0" distL="0" distR="0" wp14:anchorId="4D7A39CF" wp14:editId="31866DF9">
            <wp:extent cx="5760720" cy="5753100"/>
            <wp:effectExtent l="0" t="0" r="0" b="0"/>
            <wp:docPr id="44486118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753100"/>
                    </a:xfrm>
                    <a:prstGeom prst="rect">
                      <a:avLst/>
                    </a:prstGeom>
                    <a:noFill/>
                    <a:ln>
                      <a:noFill/>
                    </a:ln>
                  </pic:spPr>
                </pic:pic>
              </a:graphicData>
            </a:graphic>
          </wp:inline>
        </w:drawing>
      </w:r>
    </w:p>
    <w:p w14:paraId="21406ED7" w14:textId="77777777" w:rsidR="00873911" w:rsidRPr="00E164A6" w:rsidRDefault="00873911" w:rsidP="00873911">
      <w:pPr>
        <w:autoSpaceDE w:val="0"/>
        <w:autoSpaceDN w:val="0"/>
        <w:adjustRightInd w:val="0"/>
        <w:spacing w:after="0" w:line="240" w:lineRule="auto"/>
        <w:jc w:val="both"/>
        <w:rPr>
          <w:rFonts w:ascii="Times New Roman" w:hAnsi="Times New Roman" w:cs="Times New Roman"/>
          <w:kern w:val="0"/>
          <w:sz w:val="18"/>
          <w:szCs w:val="18"/>
          <w:lang w:val="en-US"/>
        </w:rPr>
      </w:pPr>
      <w:r w:rsidRPr="00E164A6">
        <w:rPr>
          <w:rFonts w:ascii="Times New Roman" w:hAnsi="Times New Roman" w:cs="Times New Roman"/>
          <w:smallCaps/>
          <w:kern w:val="0"/>
          <w:sz w:val="18"/>
          <w:szCs w:val="18"/>
          <w:lang w:val="en-US"/>
        </w:rPr>
        <w:t xml:space="preserve">Figure 1—continued. </w:t>
      </w:r>
      <w:r w:rsidRPr="00E164A6">
        <w:rPr>
          <w:rFonts w:ascii="Times New Roman" w:hAnsi="Times New Roman" w:cs="Times New Roman"/>
          <w:kern w:val="0"/>
          <w:sz w:val="18"/>
          <w:szCs w:val="18"/>
          <w:lang w:val="en-US"/>
        </w:rPr>
        <w:t>Connotations by the participant’s native language and by the proper name’s translation type.</w:t>
      </w:r>
    </w:p>
    <w:p w14:paraId="3FE8F1EB" w14:textId="77777777" w:rsidR="00873911" w:rsidRPr="00E164A6" w:rsidRDefault="00873911" w:rsidP="00873911">
      <w:pPr>
        <w:autoSpaceDE w:val="0"/>
        <w:autoSpaceDN w:val="0"/>
        <w:adjustRightInd w:val="0"/>
        <w:spacing w:after="0" w:line="240" w:lineRule="auto"/>
        <w:jc w:val="both"/>
        <w:rPr>
          <w:rFonts w:ascii="Times New Roman" w:hAnsi="Times New Roman" w:cs="Times New Roman"/>
          <w:smallCaps/>
          <w:kern w:val="0"/>
          <w:sz w:val="18"/>
          <w:szCs w:val="18"/>
          <w:lang w:val="en-US"/>
        </w:rPr>
      </w:pPr>
    </w:p>
    <w:p w14:paraId="66959D9C" w14:textId="77777777" w:rsidR="00873911" w:rsidRPr="008C7E6F" w:rsidRDefault="00873911" w:rsidP="00873911">
      <w:pPr>
        <w:autoSpaceDE w:val="0"/>
        <w:autoSpaceDN w:val="0"/>
        <w:adjustRightInd w:val="0"/>
        <w:spacing w:line="240" w:lineRule="auto"/>
        <w:jc w:val="center"/>
        <w:rPr>
          <w:rFonts w:ascii="Times New Roman" w:hAnsi="Times New Roman" w:cs="Times New Roman"/>
          <w:b/>
          <w:bCs/>
          <w:smallCaps/>
          <w:kern w:val="0"/>
          <w:sz w:val="24"/>
          <w:szCs w:val="24"/>
          <w:lang w:val="en-US"/>
        </w:rPr>
      </w:pPr>
      <w:r w:rsidRPr="008C7E6F">
        <w:rPr>
          <w:rFonts w:ascii="Times New Roman" w:hAnsi="Times New Roman" w:cs="Times New Roman"/>
          <w:b/>
          <w:bCs/>
          <w:smallCaps/>
          <w:kern w:val="0"/>
          <w:sz w:val="24"/>
          <w:szCs w:val="24"/>
          <w:lang w:val="en-US"/>
        </w:rPr>
        <w:t>Discussion</w:t>
      </w:r>
    </w:p>
    <w:p w14:paraId="14CC5054" w14:textId="77777777" w:rsidR="00873911" w:rsidRPr="008C7E6F" w:rsidRDefault="00873911" w:rsidP="00873911">
      <w:pPr>
        <w:autoSpaceDE w:val="0"/>
        <w:autoSpaceDN w:val="0"/>
        <w:adjustRightInd w:val="0"/>
        <w:spacing w:after="0" w:line="240" w:lineRule="auto"/>
        <w:jc w:val="both"/>
        <w:rPr>
          <w:rFonts w:ascii="Times New Roman" w:hAnsi="Times New Roman" w:cs="Times New Roman"/>
          <w:kern w:val="0"/>
          <w:sz w:val="24"/>
          <w:szCs w:val="24"/>
          <w:lang w:val="en-US"/>
        </w:rPr>
      </w:pPr>
      <w:r w:rsidRPr="008C7E6F">
        <w:rPr>
          <w:rFonts w:ascii="Times New Roman" w:hAnsi="Times New Roman" w:cs="Times New Roman"/>
          <w:kern w:val="0"/>
          <w:sz w:val="24"/>
          <w:szCs w:val="24"/>
          <w:lang w:val="en-US"/>
        </w:rPr>
        <w:t>In behavioral sciences, the majority of the effect sizes obtained are traditionally classified as small (but not negligible). This is to be expected when comparing connotations of linguistic items whose literal meanings are considered to be as close to equivalent as possible, as it is the numerous details, feelings, and associations that differentiate between them. Despite that, the measures of effect sizes were calculated because they provide more practical insights into the data obtained. The value of eta-squared is the proportion of the total variance in the results that can be explained by—in this case—the toponym variant. Although the values for several items cannot be summed up, they can still indicate which dimensions are subject to the greatest changes. Additionally, the values can serve to establish a benchmark for similar studies in the future.</w:t>
      </w:r>
    </w:p>
    <w:p w14:paraId="7D325425" w14:textId="77777777" w:rsidR="00873911" w:rsidRPr="008C7E6F" w:rsidRDefault="00873911" w:rsidP="00873911">
      <w:pPr>
        <w:autoSpaceDE w:val="0"/>
        <w:autoSpaceDN w:val="0"/>
        <w:adjustRightInd w:val="0"/>
        <w:spacing w:after="0" w:line="240" w:lineRule="auto"/>
        <w:ind w:firstLine="708"/>
        <w:jc w:val="both"/>
        <w:rPr>
          <w:rFonts w:ascii="Times New Roman" w:hAnsi="Times New Roman" w:cs="Times New Roman"/>
          <w:kern w:val="0"/>
          <w:sz w:val="24"/>
          <w:szCs w:val="24"/>
          <w:lang w:val="en-US"/>
        </w:rPr>
      </w:pPr>
      <w:r w:rsidRPr="008C7E6F">
        <w:rPr>
          <w:rFonts w:ascii="Times New Roman" w:hAnsi="Times New Roman" w:cs="Times New Roman"/>
          <w:kern w:val="0"/>
          <w:sz w:val="24"/>
          <w:szCs w:val="24"/>
          <w:lang w:val="en-US"/>
        </w:rPr>
        <w:t>The H</w:t>
      </w:r>
      <w:r w:rsidRPr="008C7E6F">
        <w:rPr>
          <w:rFonts w:ascii="Times New Roman" w:hAnsi="Times New Roman" w:cs="Times New Roman"/>
          <w:kern w:val="0"/>
          <w:sz w:val="24"/>
          <w:szCs w:val="24"/>
          <w:vertAlign w:val="subscript"/>
          <w:lang w:val="en-US"/>
        </w:rPr>
        <w:t>1.1</w:t>
      </w:r>
      <w:r w:rsidRPr="008C7E6F">
        <w:rPr>
          <w:rFonts w:ascii="Times New Roman" w:hAnsi="Times New Roman" w:cs="Times New Roman"/>
          <w:kern w:val="0"/>
          <w:sz w:val="24"/>
          <w:szCs w:val="24"/>
          <w:lang w:val="en-US"/>
        </w:rPr>
        <w:t xml:space="preserve"> was confirmed on the account of 12 significant connotational differences discovered. Given that 30% of the questionnaire’s items indicated significant differences, this seems like a very good result, especially since not all the items must necessarily be relevant to </w:t>
      </w:r>
      <w:r>
        <w:rPr>
          <w:rFonts w:ascii="Times New Roman" w:hAnsi="Times New Roman" w:cs="Times New Roman"/>
          <w:kern w:val="0"/>
          <w:sz w:val="24"/>
          <w:szCs w:val="24"/>
          <w:lang w:val="en-US"/>
        </w:rPr>
        <w:t xml:space="preserve">this particular toponym </w:t>
      </w:r>
      <w:r w:rsidRPr="008C7E6F">
        <w:rPr>
          <w:rFonts w:ascii="Times New Roman" w:hAnsi="Times New Roman" w:cs="Times New Roman"/>
          <w:kern w:val="0"/>
          <w:sz w:val="24"/>
          <w:szCs w:val="24"/>
          <w:lang w:val="en-US"/>
        </w:rPr>
        <w:t xml:space="preserve">and that not all the items are expected to always yield differences. Take </w:t>
      </w:r>
      <w:r w:rsidRPr="008C7E6F">
        <w:rPr>
          <w:rFonts w:ascii="Times New Roman" w:hAnsi="Times New Roman" w:cs="Times New Roman"/>
          <w:smallCaps/>
          <w:kern w:val="0"/>
          <w:sz w:val="24"/>
          <w:szCs w:val="24"/>
          <w:lang w:val="en-US"/>
        </w:rPr>
        <w:lastRenderedPageBreak/>
        <w:t>west—east</w:t>
      </w:r>
      <w:r w:rsidRPr="008C7E6F">
        <w:rPr>
          <w:rFonts w:ascii="Times New Roman" w:hAnsi="Times New Roman" w:cs="Times New Roman"/>
          <w:kern w:val="0"/>
          <w:sz w:val="24"/>
          <w:szCs w:val="24"/>
          <w:lang w:val="en-US"/>
        </w:rPr>
        <w:t xml:space="preserve">. The copied toponym implies the place is located in an English-speaking country, so probably the so-called Western world (relatively to Poland), but it may also be just a conventional exotic name in a fantastic world. There is also no reason to expect that any of the Polish renditions would suggest any particular location of the place along the </w:t>
      </w:r>
      <w:r w:rsidRPr="008C7E6F">
        <w:rPr>
          <w:rFonts w:ascii="Times New Roman" w:hAnsi="Times New Roman" w:cs="Times New Roman"/>
          <w:smallCaps/>
          <w:kern w:val="0"/>
          <w:sz w:val="24"/>
          <w:szCs w:val="24"/>
          <w:lang w:val="en-US"/>
        </w:rPr>
        <w:t>west—east</w:t>
      </w:r>
      <w:r w:rsidRPr="008C7E6F">
        <w:rPr>
          <w:rFonts w:ascii="Times New Roman" w:hAnsi="Times New Roman" w:cs="Times New Roman"/>
          <w:kern w:val="0"/>
          <w:sz w:val="24"/>
          <w:szCs w:val="24"/>
          <w:lang w:val="en-US"/>
        </w:rPr>
        <w:t xml:space="preserve"> axis; the meanings (and connotations) of </w:t>
      </w:r>
      <w:r w:rsidRPr="008C7E6F">
        <w:rPr>
          <w:rFonts w:ascii="Times New Roman" w:hAnsi="Times New Roman" w:cs="Times New Roman"/>
          <w:i/>
          <w:iCs/>
          <w:kern w:val="0"/>
          <w:sz w:val="24"/>
          <w:szCs w:val="24"/>
          <w:lang w:val="en-US"/>
        </w:rPr>
        <w:t>dolina</w:t>
      </w:r>
      <w:r w:rsidRPr="008C7E6F">
        <w:rPr>
          <w:rFonts w:ascii="Times New Roman" w:hAnsi="Times New Roman" w:cs="Times New Roman"/>
          <w:kern w:val="0"/>
          <w:sz w:val="24"/>
          <w:szCs w:val="24"/>
          <w:lang w:val="en-US"/>
        </w:rPr>
        <w:t xml:space="preserve">, </w:t>
      </w:r>
      <w:proofErr w:type="spellStart"/>
      <w:r w:rsidRPr="008C7E6F">
        <w:rPr>
          <w:rFonts w:ascii="Times New Roman" w:hAnsi="Times New Roman" w:cs="Times New Roman"/>
          <w:i/>
          <w:iCs/>
          <w:kern w:val="0"/>
          <w:sz w:val="24"/>
          <w:szCs w:val="24"/>
          <w:lang w:val="en-US"/>
        </w:rPr>
        <w:t>kotlina</w:t>
      </w:r>
      <w:proofErr w:type="spellEnd"/>
      <w:r w:rsidRPr="008C7E6F">
        <w:rPr>
          <w:rFonts w:ascii="Times New Roman" w:hAnsi="Times New Roman" w:cs="Times New Roman"/>
          <w:kern w:val="0"/>
          <w:sz w:val="24"/>
          <w:szCs w:val="24"/>
          <w:lang w:val="en-US"/>
        </w:rPr>
        <w:t xml:space="preserve">, and </w:t>
      </w:r>
      <w:r w:rsidRPr="008C7E6F">
        <w:rPr>
          <w:rFonts w:ascii="Times New Roman" w:hAnsi="Times New Roman" w:cs="Times New Roman"/>
          <w:i/>
          <w:iCs/>
          <w:kern w:val="0"/>
          <w:sz w:val="24"/>
          <w:szCs w:val="24"/>
          <w:lang w:val="en-US"/>
        </w:rPr>
        <w:t>jar</w:t>
      </w:r>
      <w:r w:rsidRPr="008C7E6F">
        <w:rPr>
          <w:rFonts w:ascii="Times New Roman" w:hAnsi="Times New Roman" w:cs="Times New Roman"/>
          <w:kern w:val="0"/>
          <w:sz w:val="24"/>
          <w:szCs w:val="24"/>
          <w:lang w:val="en-US"/>
        </w:rPr>
        <w:t xml:space="preserve"> in members of the Polish LC are contingent on their (prototypical) experience with Polish lay of the land, which gives no preference to any of them based the location on the </w:t>
      </w:r>
      <w:r w:rsidRPr="008C7E6F">
        <w:rPr>
          <w:rFonts w:ascii="Times New Roman" w:hAnsi="Times New Roman" w:cs="Times New Roman"/>
          <w:smallCaps/>
          <w:kern w:val="0"/>
          <w:sz w:val="24"/>
          <w:szCs w:val="24"/>
          <w:lang w:val="en-US"/>
        </w:rPr>
        <w:t>west—east</w:t>
      </w:r>
      <w:r w:rsidRPr="008C7E6F">
        <w:rPr>
          <w:rFonts w:ascii="Times New Roman" w:hAnsi="Times New Roman" w:cs="Times New Roman"/>
          <w:kern w:val="0"/>
          <w:sz w:val="24"/>
          <w:szCs w:val="24"/>
          <w:lang w:val="en-US"/>
        </w:rPr>
        <w:t xml:space="preserve"> axis. This is consistent with the fact that in both Polish groups the mode was located in the middle of the scale (no preference). The fact that the results are slightly leaning towards west most probably stems from the combination of the name’s exoticism and genre’s convention—the inability to pinpoint the location would shroud it in a veil of mystery, adding to the atmosphere</w:t>
      </w:r>
      <w:r>
        <w:rPr>
          <w:rFonts w:ascii="Times New Roman" w:hAnsi="Times New Roman" w:cs="Times New Roman"/>
          <w:kern w:val="0"/>
          <w:sz w:val="24"/>
          <w:szCs w:val="24"/>
          <w:lang w:val="en-US"/>
        </w:rPr>
        <w:t xml:space="preserve"> of obscurity</w:t>
      </w:r>
      <w:r w:rsidRPr="008C7E6F">
        <w:rPr>
          <w:rFonts w:ascii="Times New Roman" w:hAnsi="Times New Roman" w:cs="Times New Roman"/>
          <w:kern w:val="0"/>
          <w:sz w:val="24"/>
          <w:szCs w:val="24"/>
          <w:lang w:val="en-US"/>
        </w:rPr>
        <w:t xml:space="preserve">. Perhaps that is also one of the reasons </w:t>
      </w:r>
      <w:r>
        <w:rPr>
          <w:rFonts w:ascii="Times New Roman" w:hAnsi="Times New Roman" w:cs="Times New Roman"/>
          <w:kern w:val="0"/>
          <w:sz w:val="24"/>
          <w:szCs w:val="24"/>
          <w:lang w:val="en-US"/>
        </w:rPr>
        <w:t xml:space="preserve">for </w:t>
      </w:r>
      <w:r w:rsidRPr="008C7E6F">
        <w:rPr>
          <w:rFonts w:ascii="Times New Roman" w:hAnsi="Times New Roman" w:cs="Times New Roman"/>
          <w:kern w:val="0"/>
          <w:sz w:val="24"/>
          <w:szCs w:val="24"/>
          <w:lang w:val="en-US"/>
        </w:rPr>
        <w:t>the perceived inaccessibility</w:t>
      </w:r>
      <w:r>
        <w:rPr>
          <w:rFonts w:ascii="Times New Roman" w:hAnsi="Times New Roman" w:cs="Times New Roman"/>
          <w:kern w:val="0"/>
          <w:sz w:val="24"/>
          <w:szCs w:val="24"/>
          <w:lang w:val="en-US"/>
        </w:rPr>
        <w:t xml:space="preserve"> of the place.</w:t>
      </w:r>
    </w:p>
    <w:p w14:paraId="0ED30109" w14:textId="1B621DBB" w:rsidR="00873911" w:rsidRPr="008C7E6F" w:rsidRDefault="00873911" w:rsidP="00873911">
      <w:pPr>
        <w:autoSpaceDE w:val="0"/>
        <w:autoSpaceDN w:val="0"/>
        <w:adjustRightInd w:val="0"/>
        <w:spacing w:after="0" w:line="240" w:lineRule="auto"/>
        <w:ind w:firstLine="708"/>
        <w:jc w:val="both"/>
        <w:rPr>
          <w:rFonts w:ascii="Times New Roman" w:hAnsi="Times New Roman" w:cs="Times New Roman"/>
          <w:kern w:val="0"/>
          <w:sz w:val="24"/>
          <w:szCs w:val="24"/>
          <w:lang w:val="en-US"/>
        </w:rPr>
      </w:pPr>
      <w:r w:rsidRPr="008C7E6F">
        <w:rPr>
          <w:rFonts w:ascii="Times New Roman" w:hAnsi="Times New Roman" w:cs="Times New Roman"/>
          <w:kern w:val="0"/>
          <w:sz w:val="24"/>
          <w:szCs w:val="24"/>
          <w:lang w:val="en-US"/>
        </w:rPr>
        <w:t xml:space="preserve">In order of the decreasing effect size, copying proved superior in connoting </w:t>
      </w:r>
      <w:r w:rsidRPr="008C7E6F">
        <w:rPr>
          <w:rFonts w:ascii="Times New Roman" w:hAnsi="Times New Roman" w:cs="Times New Roman"/>
          <w:b/>
          <w:bCs/>
          <w:smallCaps/>
          <w:kern w:val="0"/>
          <w:sz w:val="24"/>
          <w:szCs w:val="24"/>
          <w:lang w:val="en-US"/>
        </w:rPr>
        <w:t>danger</w:t>
      </w:r>
      <w:r w:rsidRPr="008C7E6F">
        <w:rPr>
          <w:rFonts w:ascii="Times New Roman" w:hAnsi="Times New Roman" w:cs="Times New Roman"/>
          <w:smallCaps/>
          <w:kern w:val="0"/>
          <w:sz w:val="24"/>
          <w:szCs w:val="24"/>
          <w:lang w:val="en-US"/>
        </w:rPr>
        <w:t xml:space="preserve">, </w:t>
      </w:r>
      <w:r w:rsidRPr="008C7E6F">
        <w:rPr>
          <w:rFonts w:ascii="Times New Roman" w:hAnsi="Times New Roman" w:cs="Times New Roman"/>
          <w:b/>
          <w:bCs/>
          <w:smallCaps/>
          <w:kern w:val="0"/>
          <w:sz w:val="24"/>
          <w:szCs w:val="24"/>
          <w:lang w:val="en-US"/>
        </w:rPr>
        <w:t>evil</w:t>
      </w:r>
      <w:r w:rsidRPr="008C7E6F">
        <w:rPr>
          <w:rFonts w:ascii="Times New Roman" w:hAnsi="Times New Roman" w:cs="Times New Roman"/>
          <w:smallCaps/>
          <w:kern w:val="0"/>
          <w:sz w:val="24"/>
          <w:szCs w:val="24"/>
          <w:lang w:val="en-US"/>
        </w:rPr>
        <w:t xml:space="preserve">, </w:t>
      </w:r>
      <w:r w:rsidRPr="008C7E6F">
        <w:rPr>
          <w:rFonts w:ascii="Times New Roman" w:hAnsi="Times New Roman" w:cs="Times New Roman"/>
          <w:b/>
          <w:bCs/>
          <w:smallCaps/>
          <w:kern w:val="0"/>
          <w:sz w:val="24"/>
          <w:szCs w:val="24"/>
          <w:lang w:val="en-US"/>
        </w:rPr>
        <w:t>impurity</w:t>
      </w:r>
      <w:r w:rsidRPr="008C7E6F">
        <w:rPr>
          <w:rFonts w:ascii="Times New Roman" w:hAnsi="Times New Roman" w:cs="Times New Roman"/>
          <w:kern w:val="0"/>
          <w:sz w:val="24"/>
          <w:szCs w:val="24"/>
          <w:lang w:val="en-US"/>
        </w:rPr>
        <w:t xml:space="preserve">, the </w:t>
      </w:r>
      <w:r w:rsidRPr="008C7E6F">
        <w:rPr>
          <w:rFonts w:ascii="Times New Roman" w:hAnsi="Times New Roman" w:cs="Times New Roman"/>
          <w:b/>
          <w:bCs/>
          <w:smallCaps/>
          <w:kern w:val="0"/>
          <w:sz w:val="24"/>
          <w:szCs w:val="24"/>
          <w:lang w:val="en-US"/>
        </w:rPr>
        <w:t>(ac)cursed</w:t>
      </w:r>
      <w:r w:rsidRPr="008C7E6F">
        <w:rPr>
          <w:rFonts w:ascii="Times New Roman" w:hAnsi="Times New Roman" w:cs="Times New Roman"/>
          <w:kern w:val="0"/>
          <w:sz w:val="24"/>
          <w:szCs w:val="24"/>
          <w:lang w:val="en-US"/>
        </w:rPr>
        <w:t xml:space="preserve">, the </w:t>
      </w:r>
      <w:r w:rsidRPr="008C7E6F">
        <w:rPr>
          <w:rFonts w:ascii="Times New Roman" w:hAnsi="Times New Roman" w:cs="Times New Roman"/>
          <w:b/>
          <w:bCs/>
          <w:smallCaps/>
          <w:kern w:val="0"/>
          <w:sz w:val="24"/>
          <w:szCs w:val="24"/>
          <w:lang w:val="en-US"/>
        </w:rPr>
        <w:t>alien</w:t>
      </w:r>
      <w:r w:rsidRPr="008C7E6F">
        <w:rPr>
          <w:rFonts w:ascii="Times New Roman" w:hAnsi="Times New Roman" w:cs="Times New Roman"/>
          <w:smallCaps/>
          <w:kern w:val="0"/>
          <w:sz w:val="24"/>
          <w:szCs w:val="24"/>
          <w:lang w:val="en-US"/>
        </w:rPr>
        <w:t xml:space="preserve">, </w:t>
      </w:r>
      <w:r w:rsidRPr="008C7E6F">
        <w:rPr>
          <w:rFonts w:ascii="Times New Roman" w:hAnsi="Times New Roman" w:cs="Times New Roman"/>
          <w:b/>
          <w:bCs/>
          <w:smallCaps/>
          <w:kern w:val="0"/>
          <w:sz w:val="24"/>
          <w:szCs w:val="24"/>
          <w:lang w:val="en-US"/>
        </w:rPr>
        <w:t>darkness</w:t>
      </w:r>
      <w:r w:rsidRPr="008C7E6F">
        <w:rPr>
          <w:rFonts w:ascii="Times New Roman" w:hAnsi="Times New Roman" w:cs="Times New Roman"/>
          <w:smallCaps/>
          <w:kern w:val="0"/>
          <w:sz w:val="24"/>
          <w:szCs w:val="24"/>
          <w:lang w:val="en-US"/>
        </w:rPr>
        <w:t xml:space="preserve">, misfortune, </w:t>
      </w:r>
      <w:r w:rsidRPr="008C7E6F">
        <w:rPr>
          <w:rFonts w:ascii="Times New Roman" w:hAnsi="Times New Roman" w:cs="Times New Roman"/>
          <w:b/>
          <w:bCs/>
          <w:smallCaps/>
          <w:kern w:val="0"/>
          <w:sz w:val="24"/>
          <w:szCs w:val="24"/>
          <w:lang w:val="en-US"/>
        </w:rPr>
        <w:t>anxiety</w:t>
      </w:r>
      <w:r w:rsidRPr="008C7E6F">
        <w:rPr>
          <w:rFonts w:ascii="Times New Roman" w:hAnsi="Times New Roman" w:cs="Times New Roman"/>
          <w:smallCaps/>
          <w:kern w:val="0"/>
          <w:sz w:val="24"/>
          <w:szCs w:val="24"/>
          <w:lang w:val="en-US"/>
        </w:rPr>
        <w:t xml:space="preserve">, </w:t>
      </w:r>
      <w:r w:rsidRPr="008C7E6F">
        <w:rPr>
          <w:rFonts w:ascii="Times New Roman" w:hAnsi="Times New Roman" w:cs="Times New Roman"/>
          <w:b/>
          <w:bCs/>
          <w:smallCaps/>
          <w:kern w:val="0"/>
          <w:sz w:val="24"/>
          <w:szCs w:val="24"/>
          <w:lang w:val="en-US"/>
        </w:rPr>
        <w:t>death</w:t>
      </w:r>
      <w:r w:rsidRPr="008C7E6F">
        <w:rPr>
          <w:rFonts w:ascii="Times New Roman" w:hAnsi="Times New Roman" w:cs="Times New Roman"/>
          <w:smallCaps/>
          <w:kern w:val="0"/>
          <w:sz w:val="24"/>
          <w:szCs w:val="24"/>
          <w:lang w:val="en-US"/>
        </w:rPr>
        <w:t xml:space="preserve">, </w:t>
      </w:r>
      <w:r w:rsidRPr="008C7E6F">
        <w:rPr>
          <w:rFonts w:ascii="Times New Roman" w:hAnsi="Times New Roman" w:cs="Times New Roman"/>
          <w:b/>
          <w:bCs/>
          <w:smallCaps/>
          <w:kern w:val="0"/>
          <w:sz w:val="24"/>
          <w:szCs w:val="24"/>
          <w:lang w:val="en-US"/>
        </w:rPr>
        <w:t>chaos</w:t>
      </w:r>
      <w:r w:rsidRPr="008C7E6F">
        <w:rPr>
          <w:rFonts w:ascii="Times New Roman" w:hAnsi="Times New Roman" w:cs="Times New Roman"/>
          <w:smallCaps/>
          <w:kern w:val="0"/>
          <w:sz w:val="24"/>
          <w:szCs w:val="24"/>
          <w:lang w:val="en-US"/>
        </w:rPr>
        <w:t xml:space="preserve">, </w:t>
      </w:r>
      <w:r w:rsidRPr="008C7E6F">
        <w:rPr>
          <w:rFonts w:ascii="Times New Roman" w:hAnsi="Times New Roman" w:cs="Times New Roman"/>
          <w:kern w:val="0"/>
          <w:sz w:val="24"/>
          <w:szCs w:val="24"/>
          <w:lang w:val="en-US"/>
        </w:rPr>
        <w:t>and</w:t>
      </w:r>
      <w:r w:rsidRPr="008C7E6F">
        <w:rPr>
          <w:rFonts w:ascii="Times New Roman" w:hAnsi="Times New Roman" w:cs="Times New Roman"/>
          <w:smallCaps/>
          <w:kern w:val="0"/>
          <w:sz w:val="24"/>
          <w:szCs w:val="24"/>
          <w:lang w:val="en-US"/>
        </w:rPr>
        <w:t xml:space="preserve"> coldness</w:t>
      </w:r>
      <w:r w:rsidRPr="008C7E6F">
        <w:rPr>
          <w:rFonts w:ascii="Times New Roman" w:hAnsi="Times New Roman" w:cs="Times New Roman"/>
          <w:kern w:val="0"/>
          <w:sz w:val="24"/>
          <w:szCs w:val="24"/>
          <w:lang w:val="en-US"/>
        </w:rPr>
        <w:t>. In bold are the qualities that lend support to the H</w:t>
      </w:r>
      <w:r w:rsidRPr="008C7E6F">
        <w:rPr>
          <w:rFonts w:ascii="Times New Roman" w:hAnsi="Times New Roman" w:cs="Times New Roman"/>
          <w:kern w:val="0"/>
          <w:sz w:val="24"/>
          <w:szCs w:val="24"/>
          <w:vertAlign w:val="subscript"/>
          <w:lang w:val="en-US"/>
        </w:rPr>
        <w:t>1.2</w:t>
      </w:r>
      <w:r w:rsidRPr="008C7E6F">
        <w:rPr>
          <w:rFonts w:ascii="Times New Roman" w:hAnsi="Times New Roman" w:cs="Times New Roman"/>
          <w:kern w:val="0"/>
          <w:sz w:val="24"/>
          <w:szCs w:val="24"/>
          <w:lang w:val="en-US"/>
        </w:rPr>
        <w:t xml:space="preserve"> as they were hypothesized to be stronger when foreignized. It would seem that the technique proved very efficient in evoking all the desired associations, with danger being the greatest (medium size) connotational difference, as it is the sense of danger that fuels the thrill. Evil, impurity, and unholiness that are the next to follow, seem to form a semantic complex whose in-depth analysis—</w:t>
      </w:r>
      <w:r>
        <w:rPr>
          <w:rFonts w:ascii="Times New Roman" w:hAnsi="Times New Roman" w:cs="Times New Roman"/>
          <w:kern w:val="0"/>
          <w:sz w:val="24"/>
          <w:szCs w:val="24"/>
          <w:lang w:val="en-US"/>
        </w:rPr>
        <w:t xml:space="preserve">informed by </w:t>
      </w:r>
      <w:r w:rsidRPr="008C7E6F">
        <w:rPr>
          <w:rFonts w:ascii="Times New Roman" w:hAnsi="Times New Roman" w:cs="Times New Roman"/>
          <w:kern w:val="0"/>
          <w:sz w:val="24"/>
          <w:szCs w:val="24"/>
          <w:lang w:val="en-US"/>
        </w:rPr>
        <w:t xml:space="preserve">religious studies—would require a separate paper. The next two dimensions, alienness and darkness, are also related to the unknown; the notion is supported by consistently high results in the categories of the </w:t>
      </w:r>
      <w:r w:rsidRPr="008C7E6F">
        <w:rPr>
          <w:rFonts w:ascii="Times New Roman" w:hAnsi="Times New Roman" w:cs="Times New Roman"/>
          <w:smallCaps/>
          <w:kern w:val="0"/>
          <w:sz w:val="24"/>
          <w:szCs w:val="24"/>
          <w:lang w:val="en-US"/>
        </w:rPr>
        <w:t>hidden</w:t>
      </w:r>
      <w:r w:rsidRPr="008C7E6F">
        <w:rPr>
          <w:rFonts w:ascii="Times New Roman" w:hAnsi="Times New Roman" w:cs="Times New Roman"/>
          <w:kern w:val="0"/>
          <w:sz w:val="24"/>
          <w:szCs w:val="24"/>
          <w:lang w:val="en-US"/>
        </w:rPr>
        <w:t xml:space="preserve"> and </w:t>
      </w:r>
      <w:r w:rsidRPr="008C7E6F">
        <w:rPr>
          <w:rFonts w:ascii="Times New Roman" w:hAnsi="Times New Roman" w:cs="Times New Roman"/>
          <w:smallCaps/>
          <w:kern w:val="0"/>
          <w:sz w:val="24"/>
          <w:szCs w:val="24"/>
          <w:lang w:val="en-US"/>
        </w:rPr>
        <w:t>secret</w:t>
      </w:r>
      <w:r w:rsidRPr="008C7E6F">
        <w:rPr>
          <w:rFonts w:ascii="Times New Roman" w:hAnsi="Times New Roman" w:cs="Times New Roman"/>
          <w:kern w:val="0"/>
          <w:sz w:val="24"/>
          <w:szCs w:val="24"/>
          <w:lang w:val="en-US"/>
        </w:rPr>
        <w:t xml:space="preserve">. Although the hypothesis did not mention </w:t>
      </w:r>
      <w:r w:rsidRPr="008C7E6F">
        <w:rPr>
          <w:rFonts w:ascii="Times New Roman" w:hAnsi="Times New Roman" w:cs="Times New Roman"/>
          <w:smallCaps/>
          <w:kern w:val="0"/>
          <w:sz w:val="24"/>
          <w:szCs w:val="24"/>
          <w:lang w:val="en-US"/>
        </w:rPr>
        <w:t>misfortune</w:t>
      </w:r>
      <w:r w:rsidRPr="008C7E6F">
        <w:rPr>
          <w:rFonts w:ascii="Times New Roman" w:hAnsi="Times New Roman" w:cs="Times New Roman"/>
          <w:kern w:val="0"/>
          <w:sz w:val="24"/>
          <w:szCs w:val="24"/>
          <w:lang w:val="en-US"/>
        </w:rPr>
        <w:t>, it is also consistent with the overall notion of malevolent higher power present in Witches’ Hollow. A</w:t>
      </w:r>
      <w:r w:rsidRPr="008C7E6F">
        <w:rPr>
          <w:rFonts w:ascii="Times New Roman" w:hAnsi="Times New Roman" w:cs="Times New Roman"/>
          <w:smallCaps/>
          <w:kern w:val="0"/>
          <w:sz w:val="24"/>
          <w:szCs w:val="24"/>
          <w:lang w:val="en-US"/>
        </w:rPr>
        <w:t xml:space="preserve">nxiety, </w:t>
      </w:r>
      <w:r w:rsidRPr="008C7E6F">
        <w:rPr>
          <w:rFonts w:ascii="Times New Roman" w:hAnsi="Times New Roman" w:cs="Times New Roman"/>
          <w:kern w:val="0"/>
          <w:sz w:val="24"/>
          <w:szCs w:val="24"/>
          <w:lang w:val="en-US"/>
        </w:rPr>
        <w:t>a connate to</w:t>
      </w:r>
      <w:r w:rsidRPr="008C7E6F">
        <w:rPr>
          <w:rFonts w:ascii="Times New Roman" w:hAnsi="Times New Roman" w:cs="Times New Roman"/>
          <w:smallCaps/>
          <w:kern w:val="0"/>
          <w:sz w:val="24"/>
          <w:szCs w:val="24"/>
          <w:lang w:val="en-US"/>
        </w:rPr>
        <w:t xml:space="preserve"> danger</w:t>
      </w:r>
      <w:r w:rsidRPr="008C7E6F">
        <w:rPr>
          <w:rFonts w:ascii="Times New Roman" w:hAnsi="Times New Roman" w:cs="Times New Roman"/>
          <w:kern w:val="0"/>
          <w:sz w:val="24"/>
          <w:szCs w:val="24"/>
          <w:lang w:val="en-US"/>
        </w:rPr>
        <w:t xml:space="preserve">, shows a far weaker effect, which is hardly surprising when the comparison with </w:t>
      </w:r>
      <w:r>
        <w:rPr>
          <w:rFonts w:ascii="Times New Roman" w:hAnsi="Times New Roman" w:cs="Times New Roman"/>
          <w:kern w:val="0"/>
          <w:sz w:val="24"/>
          <w:szCs w:val="24"/>
          <w:lang w:val="en-US"/>
        </w:rPr>
        <w:t xml:space="preserve">the </w:t>
      </w:r>
      <w:r w:rsidR="00207DC0">
        <w:rPr>
          <w:rFonts w:ascii="Times New Roman" w:hAnsi="Times New Roman" w:cs="Times New Roman"/>
          <w:kern w:val="0"/>
          <w:sz w:val="24"/>
          <w:szCs w:val="24"/>
          <w:lang w:val="en-US"/>
        </w:rPr>
        <w:t>NSEN</w:t>
      </w:r>
      <w:r w:rsidRPr="008C7E6F">
        <w:rPr>
          <w:rFonts w:ascii="Times New Roman" w:hAnsi="Times New Roman" w:cs="Times New Roman"/>
          <w:kern w:val="0"/>
          <w:sz w:val="24"/>
          <w:szCs w:val="24"/>
          <w:lang w:val="en-US"/>
        </w:rPr>
        <w:t xml:space="preserve"> is taken into account. Apparently, the Polish renditions are not associated with </w:t>
      </w:r>
      <w:r w:rsidRPr="008C7E6F">
        <w:rPr>
          <w:rFonts w:ascii="Times New Roman" w:hAnsi="Times New Roman" w:cs="Times New Roman"/>
          <w:smallCaps/>
          <w:kern w:val="0"/>
          <w:sz w:val="24"/>
          <w:szCs w:val="24"/>
          <w:lang w:val="en-US"/>
        </w:rPr>
        <w:t>anxiety</w:t>
      </w:r>
      <w:r w:rsidRPr="008C7E6F">
        <w:rPr>
          <w:rFonts w:ascii="Times New Roman" w:hAnsi="Times New Roman" w:cs="Times New Roman"/>
          <w:kern w:val="0"/>
          <w:sz w:val="24"/>
          <w:szCs w:val="24"/>
          <w:lang w:val="en-US"/>
        </w:rPr>
        <w:t xml:space="preserve"> as much as the copy, but they are still significantly more </w:t>
      </w:r>
      <w:r w:rsidRPr="008C7E6F">
        <w:rPr>
          <w:rFonts w:ascii="Times New Roman" w:hAnsi="Times New Roman" w:cs="Times New Roman"/>
          <w:smallCaps/>
          <w:kern w:val="0"/>
          <w:sz w:val="24"/>
          <w:szCs w:val="24"/>
          <w:lang w:val="en-US"/>
        </w:rPr>
        <w:t>anxiety</w:t>
      </w:r>
      <w:r w:rsidRPr="008C7E6F">
        <w:rPr>
          <w:rFonts w:ascii="Times New Roman" w:hAnsi="Times New Roman" w:cs="Times New Roman"/>
          <w:kern w:val="0"/>
          <w:sz w:val="24"/>
          <w:szCs w:val="24"/>
          <w:lang w:val="en-US"/>
        </w:rPr>
        <w:t xml:space="preserve">-laden than Witches’ Hollow for the </w:t>
      </w:r>
      <w:r w:rsidR="00207DC0">
        <w:rPr>
          <w:rFonts w:ascii="Times New Roman" w:hAnsi="Times New Roman" w:cs="Times New Roman"/>
          <w:kern w:val="0"/>
          <w:sz w:val="24"/>
          <w:szCs w:val="24"/>
          <w:lang w:val="en-US"/>
        </w:rPr>
        <w:t>NSEN</w:t>
      </w:r>
      <w:r w:rsidRPr="008C7E6F">
        <w:rPr>
          <w:rFonts w:ascii="Times New Roman" w:hAnsi="Times New Roman" w:cs="Times New Roman"/>
          <w:kern w:val="0"/>
          <w:sz w:val="24"/>
          <w:szCs w:val="24"/>
          <w:lang w:val="en-US"/>
        </w:rPr>
        <w:t xml:space="preserve">. It seems that even Polish renditions sound </w:t>
      </w:r>
      <w:r w:rsidRPr="008C7E6F">
        <w:rPr>
          <w:rFonts w:ascii="Times New Roman" w:hAnsi="Times New Roman" w:cs="Times New Roman"/>
          <w:smallCaps/>
          <w:kern w:val="0"/>
          <w:sz w:val="24"/>
          <w:szCs w:val="24"/>
          <w:lang w:val="en-US"/>
        </w:rPr>
        <w:t>exotic</w:t>
      </w:r>
      <w:r w:rsidRPr="008C7E6F">
        <w:rPr>
          <w:rFonts w:ascii="Times New Roman" w:hAnsi="Times New Roman" w:cs="Times New Roman"/>
          <w:kern w:val="0"/>
          <w:sz w:val="24"/>
          <w:szCs w:val="24"/>
          <w:lang w:val="en-US"/>
        </w:rPr>
        <w:t xml:space="preserve">, if not peculiar, which is consistent with the fact that the renditions also proved significantly more </w:t>
      </w:r>
      <w:r w:rsidRPr="008C7E6F">
        <w:rPr>
          <w:rFonts w:ascii="Times New Roman" w:hAnsi="Times New Roman" w:cs="Times New Roman"/>
          <w:smallCaps/>
          <w:kern w:val="0"/>
          <w:sz w:val="24"/>
          <w:szCs w:val="24"/>
          <w:lang w:val="en-US"/>
        </w:rPr>
        <w:t>inaccessible</w:t>
      </w:r>
      <w:r w:rsidRPr="008C7E6F">
        <w:rPr>
          <w:rFonts w:ascii="Times New Roman" w:hAnsi="Times New Roman" w:cs="Times New Roman"/>
          <w:kern w:val="0"/>
          <w:sz w:val="24"/>
          <w:szCs w:val="24"/>
          <w:lang w:val="en-US"/>
        </w:rPr>
        <w:t xml:space="preserve">. In the case of the next two dimensions </w:t>
      </w:r>
      <w:r w:rsidRPr="008C7E6F">
        <w:rPr>
          <w:rFonts w:ascii="Times New Roman" w:hAnsi="Times New Roman" w:cs="Times New Roman"/>
          <w:smallCaps/>
          <w:kern w:val="0"/>
          <w:sz w:val="24"/>
          <w:szCs w:val="24"/>
          <w:lang w:val="en-US"/>
        </w:rPr>
        <w:t>life—death</w:t>
      </w:r>
      <w:r w:rsidRPr="008C7E6F">
        <w:rPr>
          <w:rFonts w:ascii="Times New Roman" w:hAnsi="Times New Roman" w:cs="Times New Roman"/>
          <w:kern w:val="0"/>
          <w:sz w:val="24"/>
          <w:szCs w:val="24"/>
          <w:lang w:val="en-US"/>
        </w:rPr>
        <w:t xml:space="preserve"> and </w:t>
      </w:r>
      <w:r w:rsidRPr="008C7E6F">
        <w:rPr>
          <w:rFonts w:ascii="Times New Roman" w:hAnsi="Times New Roman" w:cs="Times New Roman"/>
          <w:smallCaps/>
          <w:kern w:val="0"/>
          <w:sz w:val="24"/>
          <w:szCs w:val="24"/>
          <w:lang w:val="en-US"/>
        </w:rPr>
        <w:t>order—chaos,</w:t>
      </w:r>
      <w:r w:rsidRPr="008C7E6F">
        <w:rPr>
          <w:rFonts w:ascii="Times New Roman" w:hAnsi="Times New Roman" w:cs="Times New Roman"/>
          <w:kern w:val="0"/>
          <w:sz w:val="24"/>
          <w:szCs w:val="24"/>
          <w:lang w:val="en-US"/>
        </w:rPr>
        <w:t xml:space="preserve"> the renditions are on a par with how the </w:t>
      </w:r>
      <w:r w:rsidR="00207DC0">
        <w:rPr>
          <w:rFonts w:ascii="Times New Roman" w:hAnsi="Times New Roman" w:cs="Times New Roman"/>
          <w:kern w:val="0"/>
          <w:sz w:val="24"/>
          <w:szCs w:val="24"/>
          <w:lang w:val="en-US"/>
        </w:rPr>
        <w:t>NSEN</w:t>
      </w:r>
      <w:r w:rsidRPr="008C7E6F">
        <w:rPr>
          <w:rFonts w:ascii="Times New Roman" w:hAnsi="Times New Roman" w:cs="Times New Roman"/>
          <w:kern w:val="0"/>
          <w:sz w:val="24"/>
          <w:szCs w:val="24"/>
          <w:lang w:val="en-US"/>
        </w:rPr>
        <w:t xml:space="preserve"> experience the toponym, but the connotations are weaker than for the copied name. Being a known danger, </w:t>
      </w:r>
      <w:r w:rsidRPr="008C7E6F">
        <w:rPr>
          <w:rFonts w:ascii="Times New Roman" w:hAnsi="Times New Roman" w:cs="Times New Roman"/>
          <w:smallCaps/>
          <w:kern w:val="0"/>
          <w:sz w:val="24"/>
          <w:szCs w:val="24"/>
          <w:lang w:val="en-US"/>
        </w:rPr>
        <w:t>death</w:t>
      </w:r>
      <w:r w:rsidRPr="008C7E6F">
        <w:rPr>
          <w:rFonts w:ascii="Times New Roman" w:hAnsi="Times New Roman" w:cs="Times New Roman"/>
          <w:kern w:val="0"/>
          <w:sz w:val="24"/>
          <w:szCs w:val="24"/>
          <w:lang w:val="en-US"/>
        </w:rPr>
        <w:t xml:space="preserve"> is not as terrifying as the unknown, perhaps that is why the un</w:t>
      </w:r>
      <w:r>
        <w:rPr>
          <w:rFonts w:ascii="Times New Roman" w:hAnsi="Times New Roman" w:cs="Times New Roman"/>
          <w:kern w:val="0"/>
          <w:sz w:val="24"/>
          <w:szCs w:val="24"/>
          <w:lang w:val="en-US"/>
        </w:rPr>
        <w:t xml:space="preserve">specified </w:t>
      </w:r>
      <w:r w:rsidRPr="008C7E6F">
        <w:rPr>
          <w:rFonts w:ascii="Times New Roman" w:hAnsi="Times New Roman" w:cs="Times New Roman"/>
          <w:smallCaps/>
          <w:kern w:val="0"/>
          <w:sz w:val="24"/>
          <w:szCs w:val="24"/>
          <w:lang w:val="en-US"/>
        </w:rPr>
        <w:t>danger</w:t>
      </w:r>
      <w:r w:rsidRPr="008C7E6F">
        <w:rPr>
          <w:rFonts w:ascii="Times New Roman" w:hAnsi="Times New Roman" w:cs="Times New Roman"/>
          <w:kern w:val="0"/>
          <w:sz w:val="24"/>
          <w:szCs w:val="24"/>
          <w:lang w:val="en-US"/>
        </w:rPr>
        <w:t xml:space="preserve"> ranks higher. Had the direction of the associations not been hypothesized the </w:t>
      </w:r>
      <w:r w:rsidRPr="008C7E6F">
        <w:rPr>
          <w:rFonts w:ascii="Times New Roman" w:hAnsi="Times New Roman" w:cs="Times New Roman"/>
          <w:smallCaps/>
          <w:kern w:val="0"/>
          <w:sz w:val="24"/>
          <w:szCs w:val="24"/>
          <w:lang w:val="en-US"/>
        </w:rPr>
        <w:t>order—chaos</w:t>
      </w:r>
      <w:r w:rsidRPr="008C7E6F">
        <w:rPr>
          <w:rFonts w:ascii="Times New Roman" w:hAnsi="Times New Roman" w:cs="Times New Roman"/>
          <w:kern w:val="0"/>
          <w:sz w:val="24"/>
          <w:szCs w:val="24"/>
          <w:lang w:val="en-US"/>
        </w:rPr>
        <w:t xml:space="preserve"> dimension would not have qualified as a significant difference. It seemed, however, only logical that a Lovecraftian toponym be brimming with </w:t>
      </w:r>
      <w:r w:rsidRPr="008C7E6F">
        <w:rPr>
          <w:rFonts w:ascii="Times New Roman" w:hAnsi="Times New Roman" w:cs="Times New Roman"/>
          <w:smallCaps/>
          <w:kern w:val="0"/>
          <w:sz w:val="24"/>
          <w:szCs w:val="24"/>
          <w:lang w:val="en-US"/>
        </w:rPr>
        <w:t>chaos</w:t>
      </w:r>
      <w:r w:rsidRPr="008C7E6F">
        <w:rPr>
          <w:rFonts w:ascii="Times New Roman" w:hAnsi="Times New Roman" w:cs="Times New Roman"/>
          <w:kern w:val="0"/>
          <w:sz w:val="24"/>
          <w:szCs w:val="24"/>
          <w:lang w:val="en-US"/>
        </w:rPr>
        <w:t xml:space="preserve">. At the same time, it should be noted that Witches’ Hollow is not a name that implies anything unearthly large, immeasurably ancient, or even balefully sentient as the Old Ones, so—perhaps—that is why its relationship with chaos is only crawling, as it is nowhere near the </w:t>
      </w:r>
      <w:proofErr w:type="spellStart"/>
      <w:r w:rsidRPr="008C7E6F">
        <w:rPr>
          <w:rFonts w:ascii="Times New Roman" w:hAnsi="Times New Roman" w:cs="Times New Roman"/>
          <w:kern w:val="0"/>
          <w:sz w:val="24"/>
          <w:szCs w:val="24"/>
          <w:lang w:val="en-US"/>
        </w:rPr>
        <w:t>numinotic</w:t>
      </w:r>
      <w:proofErr w:type="spellEnd"/>
      <w:r w:rsidRPr="008C7E6F">
        <w:rPr>
          <w:rFonts w:ascii="Times New Roman" w:hAnsi="Times New Roman" w:cs="Times New Roman"/>
          <w:kern w:val="0"/>
          <w:sz w:val="24"/>
          <w:szCs w:val="24"/>
          <w:lang w:val="en-US"/>
        </w:rPr>
        <w:t xml:space="preserve"> experience that places such as Lovecraftian R’lyeh would instantly evoke. </w:t>
      </w:r>
    </w:p>
    <w:p w14:paraId="4FDB77D5" w14:textId="77777777" w:rsidR="00873911" w:rsidRPr="008C7E6F" w:rsidRDefault="00873911" w:rsidP="00873911">
      <w:pPr>
        <w:autoSpaceDE w:val="0"/>
        <w:autoSpaceDN w:val="0"/>
        <w:adjustRightInd w:val="0"/>
        <w:spacing w:after="0" w:line="240" w:lineRule="auto"/>
        <w:ind w:firstLine="708"/>
        <w:jc w:val="both"/>
        <w:rPr>
          <w:rFonts w:ascii="Times New Roman" w:hAnsi="Times New Roman" w:cs="Times New Roman"/>
          <w:kern w:val="0"/>
          <w:sz w:val="24"/>
          <w:szCs w:val="24"/>
          <w:lang w:val="en-US"/>
        </w:rPr>
      </w:pPr>
      <w:r w:rsidRPr="008C7E6F">
        <w:rPr>
          <w:rFonts w:ascii="Times New Roman" w:eastAsiaTheme="minorHAnsi" w:hAnsi="Times New Roman" w:cs="Times New Roman"/>
          <w:color w:val="231F20"/>
          <w:kern w:val="0"/>
          <w:sz w:val="24"/>
          <w:szCs w:val="24"/>
          <w:lang w:val="en-US"/>
        </w:rPr>
        <w:t>Although technically the H</w:t>
      </w:r>
      <w:r w:rsidRPr="008C7E6F">
        <w:rPr>
          <w:rFonts w:ascii="Times New Roman" w:eastAsiaTheme="minorHAnsi" w:hAnsi="Times New Roman" w:cs="Times New Roman"/>
          <w:color w:val="231F20"/>
          <w:kern w:val="0"/>
          <w:sz w:val="24"/>
          <w:szCs w:val="24"/>
          <w:vertAlign w:val="subscript"/>
          <w:lang w:val="en-US"/>
        </w:rPr>
        <w:t>2</w:t>
      </w:r>
      <w:r w:rsidRPr="008C7E6F">
        <w:rPr>
          <w:rFonts w:ascii="Times New Roman" w:eastAsiaTheme="minorHAnsi" w:hAnsi="Times New Roman" w:cs="Times New Roman"/>
          <w:color w:val="231F20"/>
          <w:kern w:val="0"/>
          <w:sz w:val="24"/>
          <w:szCs w:val="24"/>
          <w:lang w:val="en-US"/>
        </w:rPr>
        <w:t xml:space="preserve"> has been confirmed—which would suggest that foreignization </w:t>
      </w:r>
      <w:r w:rsidRPr="008C7E6F">
        <w:rPr>
          <w:rFonts w:ascii="Times New Roman" w:hAnsi="Times New Roman" w:cs="Times New Roman"/>
          <w:sz w:val="24"/>
          <w:szCs w:val="24"/>
          <w:lang w:val="en-US"/>
        </w:rPr>
        <w:t>ensures less connotational divergence than domestication—</w:t>
      </w:r>
      <w:r w:rsidRPr="008C7E6F">
        <w:rPr>
          <w:rFonts w:ascii="Times New Roman" w:eastAsiaTheme="minorHAnsi" w:hAnsi="Times New Roman" w:cs="Times New Roman"/>
          <w:color w:val="231F20"/>
          <w:kern w:val="0"/>
          <w:sz w:val="24"/>
          <w:szCs w:val="24"/>
          <w:lang w:val="en-US"/>
        </w:rPr>
        <w:t>the number of differences found may not be the only measure of fidelity. On average, t</w:t>
      </w:r>
      <w:r w:rsidRPr="008C7E6F">
        <w:rPr>
          <w:rFonts w:ascii="Times New Roman" w:hAnsi="Times New Roman" w:cs="Times New Roman"/>
          <w:kern w:val="0"/>
          <w:sz w:val="24"/>
          <w:szCs w:val="24"/>
          <w:lang w:val="en-US"/>
        </w:rPr>
        <w:t xml:space="preserve">he effect sizes in Table 3 are smaller than the ones in Table 2 (also in terms of the number of medium effects: one in Table 2 vs. none in Table 3), which may indicate that domesticating causes the translation loss to manifest at smaller strength but across greater number of categories, while foreignizing is more limited in scope but greater in intensity. This would also indicate that translation loss </w:t>
      </w:r>
      <w:r w:rsidRPr="008C7E6F">
        <w:rPr>
          <w:rFonts w:ascii="Times New Roman" w:hAnsi="Times New Roman" w:cs="Times New Roman"/>
          <w:kern w:val="0"/>
          <w:sz w:val="24"/>
          <w:szCs w:val="24"/>
          <w:lang w:val="en-US"/>
        </w:rPr>
        <w:fldChar w:fldCharType="begin"/>
      </w:r>
      <w:r w:rsidRPr="008C7E6F">
        <w:rPr>
          <w:rFonts w:ascii="Times New Roman" w:hAnsi="Times New Roman" w:cs="Times New Roman"/>
          <w:kern w:val="0"/>
          <w:sz w:val="24"/>
          <w:szCs w:val="24"/>
          <w:lang w:val="en-US"/>
        </w:rPr>
        <w:instrText xml:space="preserve"> ADDIN ZOTERO_ITEM CSL_CITATION {"citationID":"KJzngYd4","properties":{"formattedCitation":"(Hervey &amp; Higgins, 2002, p. 20)","plainCitation":"(Hervey &amp; Higgins, 2002, p. 20)","noteIndex":0},"citationItems":[{"id":100,"uris":["http://zotero.org/users/12744911/items/KIQWEZJE"],"itemData":{"id":100,"type":"book","abstract":"This new edition features material from business, law and literary texts. This is Essential reading for advanced undergraduates and postgraduate students of French, the book will also appeal to language students and tutors","edition":"Second edition","event-place":"London","ISBN":"978-0-203-16712-0","language":"eng","note":"OCLC: 56909252","publisher":"Routledge","publisher-place":"London","source":"Open WorldCat","title":"Thinking French translation: a course in translation method : French to English","title-short":"Thinking French translation","author":[{"family":"Hervey","given":"Sándor G. J."},{"family":"Higgins","given":"Ian"}],"issued":{"date-parts":[["2002"]]}},"locator":"20"}],"schema":"https://github.com/citation-style-language/schema/raw/master/csl-citation.json"} </w:instrText>
      </w:r>
      <w:r w:rsidRPr="008C7E6F">
        <w:rPr>
          <w:rFonts w:ascii="Times New Roman" w:hAnsi="Times New Roman" w:cs="Times New Roman"/>
          <w:kern w:val="0"/>
          <w:sz w:val="24"/>
          <w:szCs w:val="24"/>
          <w:lang w:val="en-US"/>
        </w:rPr>
        <w:fldChar w:fldCharType="separate"/>
      </w:r>
      <w:r w:rsidRPr="008C7E6F">
        <w:rPr>
          <w:rFonts w:ascii="Times New Roman" w:hAnsi="Times New Roman" w:cs="Times New Roman"/>
          <w:sz w:val="24"/>
          <w:szCs w:val="24"/>
          <w:lang w:val="en-US"/>
        </w:rPr>
        <w:t>(Hervey &amp; Higgins, 2002, p. 20)</w:t>
      </w:r>
      <w:r w:rsidRPr="008C7E6F">
        <w:rPr>
          <w:rFonts w:ascii="Times New Roman" w:hAnsi="Times New Roman" w:cs="Times New Roman"/>
          <w:kern w:val="0"/>
          <w:sz w:val="24"/>
          <w:szCs w:val="24"/>
          <w:lang w:val="en-US"/>
        </w:rPr>
        <w:fldChar w:fldCharType="end"/>
      </w:r>
      <w:r w:rsidRPr="008C7E6F">
        <w:rPr>
          <w:rFonts w:ascii="Times New Roman" w:hAnsi="Times New Roman" w:cs="Times New Roman"/>
          <w:kern w:val="0"/>
          <w:sz w:val="24"/>
          <w:szCs w:val="24"/>
          <w:lang w:val="en-US"/>
        </w:rPr>
        <w:t xml:space="preserve"> may be seen as a two-dimensional phenomenon wherein translators may decide to ‘minimize difference’ by increasing its scope and decreasing intensity (domestication) or decreasing the number of qualitative differences at the cost of making them stronger (foreignization). This interpretation is consistent with the fact that </w:t>
      </w:r>
      <w:r>
        <w:rPr>
          <w:rFonts w:ascii="Times New Roman" w:hAnsi="Times New Roman" w:cs="Times New Roman"/>
          <w:kern w:val="0"/>
          <w:sz w:val="24"/>
          <w:szCs w:val="24"/>
          <w:lang w:val="en-US"/>
        </w:rPr>
        <w:t xml:space="preserve">included in </w:t>
      </w:r>
      <w:r w:rsidRPr="008C7E6F">
        <w:rPr>
          <w:rFonts w:ascii="Times New Roman" w:hAnsi="Times New Roman" w:cs="Times New Roman"/>
          <w:kern w:val="0"/>
          <w:sz w:val="24"/>
          <w:szCs w:val="24"/>
          <w:lang w:val="en-US"/>
        </w:rPr>
        <w:t xml:space="preserve">Table 3 </w:t>
      </w:r>
      <w:r>
        <w:rPr>
          <w:rFonts w:ascii="Times New Roman" w:hAnsi="Times New Roman" w:cs="Times New Roman"/>
          <w:kern w:val="0"/>
          <w:sz w:val="24"/>
          <w:szCs w:val="24"/>
          <w:lang w:val="en-US"/>
        </w:rPr>
        <w:lastRenderedPageBreak/>
        <w:t xml:space="preserve">are the </w:t>
      </w:r>
      <w:r w:rsidRPr="008C7E6F">
        <w:rPr>
          <w:rFonts w:ascii="Times New Roman" w:hAnsi="Times New Roman" w:cs="Times New Roman"/>
          <w:kern w:val="0"/>
          <w:sz w:val="24"/>
          <w:szCs w:val="24"/>
          <w:lang w:val="en-US"/>
        </w:rPr>
        <w:t>aggregated results for three separate renditions whose individual quirks mutually cancel out and accentuate the effects they have in common. Still, a more detailed analysis of the individual renditions would be required to further explore the matter.</w:t>
      </w:r>
    </w:p>
    <w:p w14:paraId="3190FDBF" w14:textId="77777777" w:rsidR="00873911" w:rsidRPr="008C7E6F" w:rsidRDefault="00873911" w:rsidP="00873911">
      <w:pPr>
        <w:ind w:firstLine="708"/>
        <w:jc w:val="both"/>
        <w:rPr>
          <w:rFonts w:ascii="Times New Roman" w:hAnsi="Times New Roman" w:cs="Times New Roman"/>
          <w:sz w:val="24"/>
          <w:szCs w:val="24"/>
          <w:lang w:val="en-US"/>
        </w:rPr>
      </w:pPr>
      <w:r w:rsidRPr="008C7E6F">
        <w:rPr>
          <w:rFonts w:ascii="Times New Roman" w:hAnsi="Times New Roman" w:cs="Times New Roman"/>
          <w:sz w:val="24"/>
          <w:szCs w:val="24"/>
          <w:lang w:val="en-US"/>
        </w:rPr>
        <w:t xml:space="preserve">The fact that the translation assessment question revealed a slight preference for the Polish renditions is far more difficult to interpret on its own because the participants’ assessment criteria are unknown—it might be due to the renditions having more appeal because of their creativity, the fact that declined names sound more natural in an inflectional language, a bias, or something else entirely. Combined with the more detailed data, however, the finding </w:t>
      </w:r>
      <w:r>
        <w:rPr>
          <w:rFonts w:ascii="Times New Roman" w:hAnsi="Times New Roman" w:cs="Times New Roman"/>
          <w:sz w:val="24"/>
          <w:szCs w:val="24"/>
          <w:lang w:val="en-US"/>
        </w:rPr>
        <w:t xml:space="preserve">may </w:t>
      </w:r>
      <w:r w:rsidRPr="008C7E6F">
        <w:rPr>
          <w:rFonts w:ascii="Times New Roman" w:hAnsi="Times New Roman" w:cs="Times New Roman"/>
          <w:sz w:val="24"/>
          <w:szCs w:val="24"/>
          <w:lang w:val="en-US"/>
        </w:rPr>
        <w:t xml:space="preserve">suggest that it is precisely the jarring aspect of the name that founds its evocative potential. Counter-intuitive as it may be, it supports the notion that connotational measures such as the </w:t>
      </w:r>
      <w:proofErr w:type="spellStart"/>
      <w:r w:rsidRPr="008C7E6F">
        <w:rPr>
          <w:rFonts w:ascii="Times New Roman" w:hAnsi="Times New Roman" w:cs="Times New Roman"/>
          <w:smallCaps/>
          <w:sz w:val="24"/>
          <w:szCs w:val="24"/>
          <w:lang w:val="en-US"/>
        </w:rPr>
        <w:t>BDsM</w:t>
      </w:r>
      <w:proofErr w:type="spellEnd"/>
      <w:r w:rsidRPr="008C7E6F">
        <w:rPr>
          <w:rFonts w:ascii="Times New Roman" w:hAnsi="Times New Roman" w:cs="Times New Roman"/>
          <w:sz w:val="24"/>
          <w:szCs w:val="24"/>
          <w:lang w:val="en-US"/>
        </w:rPr>
        <w:t xml:space="preserve"> can yield more reliable data</w:t>
      </w:r>
      <w:r>
        <w:rPr>
          <w:rFonts w:ascii="Times New Roman" w:hAnsi="Times New Roman" w:cs="Times New Roman"/>
          <w:sz w:val="24"/>
          <w:szCs w:val="24"/>
          <w:lang w:val="en-US"/>
        </w:rPr>
        <w:t xml:space="preserve">, </w:t>
      </w:r>
      <w:r w:rsidRPr="008C7E6F">
        <w:rPr>
          <w:rFonts w:ascii="Times New Roman" w:hAnsi="Times New Roman" w:cs="Times New Roman"/>
          <w:sz w:val="24"/>
          <w:szCs w:val="24"/>
          <w:lang w:val="en-US"/>
        </w:rPr>
        <w:t>explicitly show</w:t>
      </w:r>
      <w:r>
        <w:rPr>
          <w:rFonts w:ascii="Times New Roman" w:hAnsi="Times New Roman" w:cs="Times New Roman"/>
          <w:sz w:val="24"/>
          <w:szCs w:val="24"/>
          <w:lang w:val="en-US"/>
        </w:rPr>
        <w:t>ing</w:t>
      </w:r>
      <w:r w:rsidRPr="008C7E6F">
        <w:rPr>
          <w:rFonts w:ascii="Times New Roman" w:hAnsi="Times New Roman" w:cs="Times New Roman"/>
          <w:sz w:val="24"/>
          <w:szCs w:val="24"/>
          <w:lang w:val="en-US"/>
        </w:rPr>
        <w:t xml:space="preserve"> the implications of given techniques or strategies and reveal</w:t>
      </w:r>
      <w:r>
        <w:rPr>
          <w:rFonts w:ascii="Times New Roman" w:hAnsi="Times New Roman" w:cs="Times New Roman"/>
          <w:sz w:val="24"/>
          <w:szCs w:val="24"/>
          <w:lang w:val="en-US"/>
        </w:rPr>
        <w:t>ing</w:t>
      </w:r>
      <w:r w:rsidRPr="008C7E6F">
        <w:rPr>
          <w:rFonts w:ascii="Times New Roman" w:hAnsi="Times New Roman" w:cs="Times New Roman"/>
          <w:sz w:val="24"/>
          <w:szCs w:val="24"/>
          <w:lang w:val="en-US"/>
        </w:rPr>
        <w:t xml:space="preserve"> whole complexes of meaning for interpretation.</w:t>
      </w:r>
    </w:p>
    <w:p w14:paraId="22635A49" w14:textId="77777777" w:rsidR="00873911" w:rsidRPr="008C7E6F" w:rsidRDefault="00873911" w:rsidP="00873911">
      <w:pPr>
        <w:autoSpaceDE w:val="0"/>
        <w:autoSpaceDN w:val="0"/>
        <w:adjustRightInd w:val="0"/>
        <w:spacing w:line="240" w:lineRule="auto"/>
        <w:jc w:val="center"/>
        <w:rPr>
          <w:rFonts w:ascii="Times New Roman" w:hAnsi="Times New Roman" w:cs="Times New Roman"/>
          <w:b/>
          <w:bCs/>
          <w:smallCaps/>
          <w:kern w:val="0"/>
          <w:sz w:val="20"/>
          <w:szCs w:val="20"/>
          <w:lang w:val="en-US"/>
        </w:rPr>
      </w:pPr>
      <w:r w:rsidRPr="008C7E6F">
        <w:rPr>
          <w:rFonts w:ascii="Times New Roman" w:hAnsi="Times New Roman" w:cs="Times New Roman"/>
          <w:b/>
          <w:bCs/>
          <w:smallCaps/>
          <w:kern w:val="0"/>
          <w:sz w:val="20"/>
          <w:szCs w:val="20"/>
          <w:lang w:val="en-US"/>
        </w:rPr>
        <w:t>Limitations and further research</w:t>
      </w:r>
    </w:p>
    <w:p w14:paraId="588B6A73" w14:textId="77777777" w:rsidR="00873911" w:rsidRPr="008C7E6F" w:rsidRDefault="00873911" w:rsidP="00873911">
      <w:pPr>
        <w:autoSpaceDE w:val="0"/>
        <w:autoSpaceDN w:val="0"/>
        <w:adjustRightInd w:val="0"/>
        <w:spacing w:after="0" w:line="240" w:lineRule="auto"/>
        <w:jc w:val="both"/>
        <w:rPr>
          <w:rFonts w:ascii="Times New Roman" w:hAnsi="Times New Roman" w:cs="Times New Roman"/>
          <w:kern w:val="0"/>
          <w:sz w:val="24"/>
          <w:szCs w:val="24"/>
          <w:lang w:val="en-US"/>
        </w:rPr>
      </w:pPr>
      <w:r w:rsidRPr="008C7E6F">
        <w:rPr>
          <w:rFonts w:ascii="Times New Roman" w:hAnsi="Times New Roman" w:cs="Times New Roman"/>
          <w:kern w:val="0"/>
          <w:sz w:val="24"/>
          <w:szCs w:val="24"/>
          <w:lang w:val="en-US"/>
        </w:rPr>
        <w:t xml:space="preserve">Based on their self-assessment, the Polish participants can be regarded as possessing a good command of English (80.3% were at least B2), which presumably contributed to unlocking the meanings of words comprising the copied toponym. It remains unclear, however, how the two approaches would work for a group located in a greater cultural distance from the SLC (e.g., as in </w:t>
      </w:r>
      <w:r w:rsidRPr="008C7E6F">
        <w:rPr>
          <w:rFonts w:ascii="Times New Roman" w:hAnsi="Times New Roman" w:cs="Times New Roman"/>
          <w:kern w:val="0"/>
          <w:sz w:val="24"/>
          <w:szCs w:val="24"/>
          <w:lang w:val="en-US"/>
        </w:rPr>
        <w:fldChar w:fldCharType="begin"/>
      </w:r>
      <w:r w:rsidRPr="008C7E6F">
        <w:rPr>
          <w:rFonts w:ascii="Times New Roman" w:hAnsi="Times New Roman" w:cs="Times New Roman"/>
          <w:kern w:val="0"/>
          <w:sz w:val="24"/>
          <w:szCs w:val="24"/>
          <w:lang w:val="en-US"/>
        </w:rPr>
        <w:instrText xml:space="preserve"> ADDIN ZOTERO_ITEM CSL_CITATION {"citationID":"JqURG8mv","properties":{"formattedCitation":"(Zabir &amp; Haroon, 2018)","plainCitation":"(Zabir &amp; Haroon, 2018)","noteIndex":0},"citationItems":[{"id":66,"uris":["http://zotero.org/users/12744911/items/WLN98SIY"],"itemData":{"id":66,"type":"article-journal","container-title":"GEMA Online® Journal of Language Studies","DOI":"10.17576/gema-2018-1802-08","ISSN":"16758021, 25502131","issue":"2","journalAbbreviation":"GEMA","page":"108-123","source":"DOI.org (Crossref)","title":"Procedures in the Translation of Proper Names in Harry Potter and the Goblet of Fire into Malay","volume":"18","author":[{"family":"Zabir","given":"Atikah"},{"family":"Haroon","given":"Haslina"}],"issued":{"date-parts":[["2018",5,28]]}}}],"schema":"https://github.com/citation-style-language/schema/raw/master/csl-citation.json"} </w:instrText>
      </w:r>
      <w:r w:rsidRPr="008C7E6F">
        <w:rPr>
          <w:rFonts w:ascii="Times New Roman" w:hAnsi="Times New Roman" w:cs="Times New Roman"/>
          <w:kern w:val="0"/>
          <w:sz w:val="24"/>
          <w:szCs w:val="24"/>
          <w:lang w:val="en-US"/>
        </w:rPr>
        <w:fldChar w:fldCharType="separate"/>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{"citationID":"FaUVxd3W","properties":{"formattedCitation":"(Zabir &amp; Haroon, 2018)","plainCitation":"(Zabir &amp; Haroon, 2018)","noteIndex":0},"citationItems":[{"id":66,"uris":["http://zotero.org/users/12744911/items/WLN98SIY"],"itemData":{"id":66,"type":"article-journal","container-title":"GEMA Online® Journal of Language Studies","DOI":"10.17576/gema-2018-1802-08","ISSN":"16758021, 25502131","issue":"2","journalAbbreviation":"GEMA","page":"108-123","source":"DOI.org (Crossref)","title":"Procedures in the Translation of Proper Names in Harry Potter and the Goblet of Fire into Malay","volume":"18","author":[{"family":"Zabir","given":"Atikah"},{"family":"Haroon","given":"Haslina"}],"issued":{"date-parts":[["2018",5,28]]}}}],"schema":"https://github.com/citation-style-language/schema/raw/master/csl-citation.json"} </w:instrText>
      </w:r>
      <w:r w:rsidRPr="00E2458A">
        <w:rPr>
          <w:rFonts w:ascii="Times New Roman" w:hAnsi="Times New Roman" w:cs="Times New Roman"/>
          <w:kern w:val="0"/>
          <w:sz w:val="24"/>
          <w:szCs w:val="24"/>
          <w:lang w:val="en-US"/>
        </w:rPr>
        <w:fldChar w:fldCharType="separate"/>
      </w:r>
      <w:r>
        <w:rPr>
          <w:rFonts w:ascii="Times New Roman" w:hAnsi="Times New Roman" w:cs="Times New Roman"/>
          <w:sz w:val="24"/>
          <w:szCs w:val="24"/>
          <w:lang w:val="en-US"/>
        </w:rPr>
        <w:t>Atikah Z</w:t>
      </w:r>
      <w:r w:rsidRPr="00E2458A">
        <w:rPr>
          <w:rFonts w:ascii="Times New Roman" w:hAnsi="Times New Roman" w:cs="Times New Roman"/>
          <w:sz w:val="24"/>
          <w:szCs w:val="24"/>
          <w:lang w:val="en-US"/>
        </w:rPr>
        <w:t xml:space="preserve">abir &amp; </w:t>
      </w:r>
      <w:r>
        <w:rPr>
          <w:rFonts w:ascii="Times New Roman" w:hAnsi="Times New Roman" w:cs="Times New Roman"/>
          <w:sz w:val="24"/>
          <w:szCs w:val="24"/>
          <w:lang w:val="en-US"/>
        </w:rPr>
        <w:t xml:space="preserve">Haslina </w:t>
      </w:r>
      <w:r w:rsidRPr="00E2458A">
        <w:rPr>
          <w:rFonts w:ascii="Times New Roman" w:hAnsi="Times New Roman" w:cs="Times New Roman"/>
          <w:sz w:val="24"/>
          <w:szCs w:val="24"/>
          <w:lang w:val="en-US"/>
        </w:rPr>
        <w:t>Haroon, 2018</w:t>
      </w:r>
      <w:r w:rsidRPr="00E2458A">
        <w:rPr>
          <w:rFonts w:ascii="Times New Roman" w:hAnsi="Times New Roman" w:cs="Times New Roman"/>
          <w:kern w:val="0"/>
          <w:sz w:val="24"/>
          <w:szCs w:val="24"/>
          <w:lang w:val="en-US"/>
        </w:rPr>
        <w:fldChar w:fldCharType="end"/>
      </w:r>
      <w:r w:rsidRPr="008C7E6F">
        <w:rPr>
          <w:rFonts w:ascii="Times New Roman" w:hAnsi="Times New Roman" w:cs="Times New Roman"/>
          <w:sz w:val="24"/>
          <w:szCs w:val="24"/>
          <w:lang w:val="en-US"/>
        </w:rPr>
        <w:t>)</w:t>
      </w:r>
      <w:r w:rsidRPr="008C7E6F">
        <w:rPr>
          <w:rFonts w:ascii="Times New Roman" w:hAnsi="Times New Roman" w:cs="Times New Roman"/>
          <w:kern w:val="0"/>
          <w:sz w:val="24"/>
          <w:szCs w:val="24"/>
          <w:lang w:val="en-US"/>
        </w:rPr>
        <w:fldChar w:fldCharType="end"/>
      </w:r>
      <w:r w:rsidRPr="008C7E6F">
        <w:rPr>
          <w:rFonts w:ascii="Times New Roman" w:hAnsi="Times New Roman" w:cs="Times New Roman"/>
          <w:kern w:val="0"/>
          <w:sz w:val="24"/>
          <w:szCs w:val="24"/>
          <w:lang w:val="en-US"/>
        </w:rPr>
        <w:t xml:space="preserve">. </w:t>
      </w:r>
    </w:p>
    <w:p w14:paraId="777FA600" w14:textId="77777777" w:rsidR="00873911" w:rsidRPr="008C7E6F" w:rsidRDefault="00873911" w:rsidP="00873911">
      <w:pPr>
        <w:autoSpaceDE w:val="0"/>
        <w:autoSpaceDN w:val="0"/>
        <w:adjustRightInd w:val="0"/>
        <w:spacing w:line="240" w:lineRule="auto"/>
        <w:ind w:firstLine="708"/>
        <w:jc w:val="both"/>
        <w:rPr>
          <w:rFonts w:ascii="Times New Roman" w:hAnsi="Times New Roman" w:cs="Times New Roman"/>
          <w:kern w:val="0"/>
          <w:sz w:val="24"/>
          <w:szCs w:val="24"/>
          <w:lang w:val="en-US" w:eastAsia="ja-JP"/>
        </w:rPr>
      </w:pPr>
      <w:r w:rsidRPr="008C7E6F">
        <w:rPr>
          <w:rFonts w:ascii="Times New Roman" w:hAnsi="Times New Roman" w:cs="Times New Roman"/>
          <w:kern w:val="0"/>
          <w:sz w:val="24"/>
          <w:szCs w:val="24"/>
          <w:lang w:val="en-US"/>
        </w:rPr>
        <w:t xml:space="preserve">It should also be noted that since the participants were recruited by purposive and snowball sampling methods, it is not possible to know whether the same approach to translation would have similar effects in other genres and for other—less weird, so to say—audiences. The extent to which the effectiveness of the translative techniques is contingent on the genre’s convention and readers’ familiarity with it also requires further investigation. </w:t>
      </w:r>
    </w:p>
    <w:p w14:paraId="7710413D" w14:textId="77777777" w:rsidR="00873911" w:rsidRPr="008C7E6F" w:rsidRDefault="00873911" w:rsidP="00873911">
      <w:pPr>
        <w:autoSpaceDE w:val="0"/>
        <w:autoSpaceDN w:val="0"/>
        <w:adjustRightInd w:val="0"/>
        <w:spacing w:line="240" w:lineRule="auto"/>
        <w:jc w:val="center"/>
        <w:rPr>
          <w:rFonts w:ascii="Times New Roman" w:hAnsi="Times New Roman" w:cs="Times New Roman"/>
          <w:b/>
          <w:bCs/>
          <w:smallCaps/>
          <w:kern w:val="0"/>
          <w:sz w:val="24"/>
          <w:szCs w:val="24"/>
          <w:lang w:val="en-US"/>
        </w:rPr>
      </w:pPr>
      <w:r w:rsidRPr="008C7E6F">
        <w:rPr>
          <w:rFonts w:ascii="Times New Roman" w:hAnsi="Times New Roman" w:cs="Times New Roman"/>
          <w:b/>
          <w:bCs/>
          <w:smallCaps/>
          <w:kern w:val="0"/>
          <w:sz w:val="24"/>
          <w:szCs w:val="24"/>
          <w:lang w:val="en-US"/>
        </w:rPr>
        <w:t>Conclusions</w:t>
      </w:r>
    </w:p>
    <w:p w14:paraId="45A3A916" w14:textId="77777777" w:rsidR="00873911" w:rsidRPr="005100E5" w:rsidRDefault="00873911" w:rsidP="00873911">
      <w:pPr>
        <w:autoSpaceDE w:val="0"/>
        <w:autoSpaceDN w:val="0"/>
        <w:adjustRightInd w:val="0"/>
        <w:spacing w:after="0" w:line="240" w:lineRule="auto"/>
        <w:jc w:val="both"/>
        <w:rPr>
          <w:rFonts w:ascii="Times New Roman" w:hAnsi="Times New Roman" w:cs="Times New Roman"/>
          <w:kern w:val="0"/>
          <w:sz w:val="24"/>
          <w:szCs w:val="24"/>
          <w:lang w:val="en-US" w:eastAsia="ja-JP"/>
        </w:rPr>
      </w:pPr>
      <w:r w:rsidRPr="005100E5">
        <w:rPr>
          <w:rFonts w:ascii="Times New Roman" w:hAnsi="Times New Roman" w:cs="Times New Roman"/>
          <w:kern w:val="0"/>
          <w:sz w:val="24"/>
          <w:szCs w:val="24"/>
          <w:lang w:val="en-US" w:eastAsia="ja-JP"/>
        </w:rPr>
        <w:t xml:space="preserve">Despite being taken somewhat out of the original context of </w:t>
      </w:r>
      <w:proofErr w:type="spellStart"/>
      <w:r w:rsidRPr="005100E5">
        <w:rPr>
          <w:rFonts w:ascii="Times New Roman" w:hAnsi="Times New Roman" w:cs="Times New Roman"/>
          <w:kern w:val="0"/>
          <w:sz w:val="24"/>
          <w:szCs w:val="24"/>
          <w:lang w:val="en-US" w:eastAsia="ja-JP"/>
        </w:rPr>
        <w:t>Tymoczko’s</w:t>
      </w:r>
      <w:proofErr w:type="spellEnd"/>
      <w:r w:rsidRPr="005100E5">
        <w:rPr>
          <w:rFonts w:ascii="Times New Roman" w:hAnsi="Times New Roman" w:cs="Times New Roman"/>
          <w:kern w:val="0"/>
          <w:sz w:val="24"/>
          <w:szCs w:val="24"/>
          <w:lang w:val="en-US" w:eastAsia="ja-JP"/>
        </w:rPr>
        <w:t xml:space="preserve"> work, the question opening this paper remains fundamental to the work of a translator—particularly so, when telling names are in question. And while the answer to it—at least with regard to the scope of this inquiry—would be negative, it is also true that even rendered meaningful weird fiction toponyms are not the same name as the name from the source text, as both the SLC and TLC may construe and experience them differently.</w:t>
      </w:r>
    </w:p>
    <w:p w14:paraId="329A886F" w14:textId="77777777" w:rsidR="00873911" w:rsidRPr="005100E5" w:rsidRDefault="00873911" w:rsidP="00873911">
      <w:pPr>
        <w:autoSpaceDE w:val="0"/>
        <w:autoSpaceDN w:val="0"/>
        <w:adjustRightInd w:val="0"/>
        <w:spacing w:after="0" w:line="240" w:lineRule="auto"/>
        <w:ind w:firstLine="708"/>
        <w:jc w:val="both"/>
        <w:rPr>
          <w:rFonts w:ascii="Times New Roman" w:hAnsi="Times New Roman" w:cs="Times New Roman"/>
          <w:kern w:val="0"/>
          <w:sz w:val="24"/>
          <w:szCs w:val="24"/>
          <w:lang w:val="en-US" w:eastAsia="ja-JP"/>
        </w:rPr>
      </w:pPr>
      <w:r w:rsidRPr="005100E5">
        <w:rPr>
          <w:rFonts w:ascii="Times New Roman" w:hAnsi="Times New Roman" w:cs="Times New Roman"/>
          <w:kern w:val="0"/>
          <w:sz w:val="24"/>
          <w:szCs w:val="24"/>
          <w:lang w:val="en-US" w:eastAsia="ja-JP"/>
        </w:rPr>
        <w:t xml:space="preserve">What the study has demonstrated was that there is no single most appropriate choice, as all depends on a number of factors, chiefly the </w:t>
      </w:r>
      <w:proofErr w:type="spellStart"/>
      <w:r w:rsidRPr="005100E5">
        <w:rPr>
          <w:rFonts w:ascii="Times New Roman" w:hAnsi="Times New Roman" w:cs="Times New Roman"/>
          <w:kern w:val="0"/>
          <w:sz w:val="24"/>
          <w:szCs w:val="24"/>
          <w:lang w:val="en-US" w:eastAsia="ja-JP"/>
        </w:rPr>
        <w:t>skopos</w:t>
      </w:r>
      <w:proofErr w:type="spellEnd"/>
      <w:r w:rsidRPr="005100E5">
        <w:rPr>
          <w:rFonts w:ascii="Times New Roman" w:hAnsi="Times New Roman" w:cs="Times New Roman"/>
          <w:kern w:val="0"/>
          <w:sz w:val="24"/>
          <w:szCs w:val="24"/>
          <w:lang w:val="en-US" w:eastAsia="ja-JP"/>
        </w:rPr>
        <w:t xml:space="preserve">, the textual function of the proprium, and the distance between the SLC and TLC. Consequently, the most appropriate approach is the one that takes these factors into account. It also shows that—at least in the case of weird fiction—unlike a name, the experience of the weird or the horror cannot be copied into to TLC, as in both cases there may be unique qualities to the experience that can only be shared by members of the same languaculture, thus partially confirming the conclusions of </w:t>
      </w:r>
      <w:r w:rsidRPr="00E2458A">
        <w:rPr>
          <w:rFonts w:ascii="Times New Roman" w:hAnsi="Times New Roman" w:cs="Times New Roman"/>
          <w:kern w:val="0"/>
          <w:sz w:val="24"/>
          <w:szCs w:val="24"/>
          <w:lang w:val="en-US"/>
        </w:rPr>
        <w:fldChar w:fldCharType="begin"/>
      </w:r>
      <w:r w:rsidRPr="00E2458A">
        <w:rPr>
          <w:rFonts w:ascii="Times New Roman" w:hAnsi="Times New Roman" w:cs="Times New Roman"/>
          <w:kern w:val="0"/>
          <w:sz w:val="24"/>
          <w:szCs w:val="24"/>
          <w:lang w:val="en-US"/>
        </w:rPr>
        <w:instrText xml:space="preserve"> ADDIN ZOTERO_ITEM CSL_CITATION {"citationID":"FaUVxd3W","properties":{"formattedCitation":"(Zabir &amp; Haroon, 2018)","plainCitation":"(Zabir &amp; Haroon, 2018)","noteIndex":0},"citationItems":[{"id":66,"uris":["http://zotero.org/users/12744911/items/WLN98SIY"],"itemData":{"id":66,"type":"article-journal","container-title":"GEMA Online® Journal of Language Studies","DOI":"10.17576/gema-2018-1802-08","ISSN":"16758021, 25502131","issue":"2","journalAbbreviation":"GEMA","page":"108-123","source":"DOI.org (Crossref)","title":"Procedures in the Translation of Proper Names in Harry Potter and the Goblet of Fire into Malay","volume":"18","author":[{"family":"Zabir","given":"Atikah"},{"family":"Haroon","given":"Haslina"}],"issued":{"date-parts":[["2018",5,28]]}}}],"schema":"https://github.com/citation-style-language/schema/raw/master/csl-citation.json"} </w:instrText>
      </w:r>
      <w:r w:rsidRPr="00E2458A">
        <w:rPr>
          <w:rFonts w:ascii="Times New Roman" w:hAnsi="Times New Roman" w:cs="Times New Roman"/>
          <w:kern w:val="0"/>
          <w:sz w:val="24"/>
          <w:szCs w:val="24"/>
          <w:lang w:val="en-US"/>
        </w:rPr>
        <w:fldChar w:fldCharType="separate"/>
      </w:r>
      <w:r>
        <w:rPr>
          <w:rFonts w:ascii="Times New Roman" w:hAnsi="Times New Roman" w:cs="Times New Roman"/>
          <w:sz w:val="24"/>
          <w:szCs w:val="24"/>
          <w:lang w:val="en-US"/>
        </w:rPr>
        <w:t>Atikah Z</w:t>
      </w:r>
      <w:r w:rsidRPr="00E2458A">
        <w:rPr>
          <w:rFonts w:ascii="Times New Roman" w:hAnsi="Times New Roman" w:cs="Times New Roman"/>
          <w:sz w:val="24"/>
          <w:szCs w:val="24"/>
          <w:lang w:val="en-US"/>
        </w:rPr>
        <w:t xml:space="preserve">abir </w:t>
      </w:r>
      <w:r>
        <w:rPr>
          <w:rFonts w:ascii="Times New Roman" w:hAnsi="Times New Roman" w:cs="Times New Roman"/>
          <w:sz w:val="24"/>
          <w:szCs w:val="24"/>
          <w:lang w:val="en-US"/>
        </w:rPr>
        <w:t>and</w:t>
      </w:r>
      <w:r w:rsidRPr="00E245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Haslina </w:t>
      </w:r>
      <w:r w:rsidRPr="00E2458A">
        <w:rPr>
          <w:rFonts w:ascii="Times New Roman" w:hAnsi="Times New Roman" w:cs="Times New Roman"/>
          <w:sz w:val="24"/>
          <w:szCs w:val="24"/>
          <w:lang w:val="en-US"/>
        </w:rPr>
        <w:t xml:space="preserve">Haroon </w:t>
      </w:r>
      <w:r>
        <w:rPr>
          <w:rFonts w:ascii="Times New Roman" w:hAnsi="Times New Roman" w:cs="Times New Roman"/>
          <w:sz w:val="24"/>
          <w:szCs w:val="24"/>
          <w:lang w:val="en-US"/>
        </w:rPr>
        <w:t>(</w:t>
      </w:r>
      <w:r w:rsidRPr="00E2458A">
        <w:rPr>
          <w:rFonts w:ascii="Times New Roman" w:hAnsi="Times New Roman" w:cs="Times New Roman"/>
          <w:sz w:val="24"/>
          <w:szCs w:val="24"/>
          <w:lang w:val="en-US"/>
        </w:rPr>
        <w:t>201</w:t>
      </w:r>
      <w:r>
        <w:rPr>
          <w:rFonts w:ascii="Times New Roman" w:hAnsi="Times New Roman" w:cs="Times New Roman"/>
          <w:sz w:val="24"/>
          <w:szCs w:val="24"/>
          <w:lang w:val="en-US"/>
        </w:rPr>
        <w:t>8)</w:t>
      </w:r>
      <w:r w:rsidRPr="00E2458A">
        <w:rPr>
          <w:rFonts w:ascii="Times New Roman" w:hAnsi="Times New Roman" w:cs="Times New Roman"/>
          <w:kern w:val="0"/>
          <w:sz w:val="24"/>
          <w:szCs w:val="24"/>
          <w:lang w:val="en-US"/>
        </w:rPr>
        <w:fldChar w:fldCharType="end"/>
      </w:r>
      <w:r>
        <w:rPr>
          <w:rFonts w:ascii="Times New Roman" w:hAnsi="Times New Roman" w:cs="Times New Roman"/>
          <w:kern w:val="0"/>
          <w:sz w:val="24"/>
          <w:szCs w:val="24"/>
          <w:lang w:val="en-US"/>
        </w:rPr>
        <w:t xml:space="preserve"> </w:t>
      </w:r>
      <w:r w:rsidRPr="005100E5">
        <w:rPr>
          <w:rFonts w:ascii="Times New Roman" w:hAnsi="Times New Roman" w:cs="Times New Roman"/>
          <w:kern w:val="0"/>
          <w:sz w:val="24"/>
          <w:szCs w:val="24"/>
          <w:lang w:val="en-US" w:eastAsia="ja-JP"/>
        </w:rPr>
        <w:t xml:space="preserve">and adding to the understanding of the notion of translation loss as described by </w:t>
      </w:r>
      <w:r w:rsidRPr="005100E5">
        <w:rPr>
          <w:rFonts w:ascii="Times New Roman" w:hAnsi="Times New Roman" w:cs="Times New Roman"/>
          <w:kern w:val="0"/>
          <w:sz w:val="24"/>
          <w:szCs w:val="24"/>
          <w:lang w:val="en-US" w:eastAsia="ja-JP"/>
        </w:rPr>
        <w:fldChar w:fldCharType="begin"/>
      </w:r>
      <w:r w:rsidRPr="005100E5">
        <w:rPr>
          <w:rFonts w:ascii="Times New Roman" w:hAnsi="Times New Roman" w:cs="Times New Roman"/>
          <w:kern w:val="0"/>
          <w:sz w:val="24"/>
          <w:szCs w:val="24"/>
          <w:lang w:val="en-US" w:eastAsia="ja-JP"/>
        </w:rPr>
        <w:instrText xml:space="preserve"> ADDIN ZOTERO_ITEM CSL_CITATION {"citationID":"pALHzSNF","properties":{"formattedCitation":"(Hervey &amp; Higgins, 2002)","plainCitation":"(Hervey &amp; Higgins, 2002)","noteIndex":0},"citationItems":[{"id":100,"uris":["http://zotero.org/users/12744911/items/KIQWEZJE"],"itemData":{"id":100,"type":"book","abstract":"This new edition features material from business, law and literary texts. This is Essential reading for advanced undergraduates and postgraduate students of French, the book will also appeal to language students and tutors","edition":"Second edition","event-place":"London","ISBN":"978-0-203-16712-0","language":"eng","note":"OCLC: 56909252","publisher":"Routledge","publisher-place":"London","source":"Open WorldCat","title":"Thinking French translation: a course in translation method : French to English","title-short":"Thinking French translation","author":[{"family":"Hervey","given":"Sándor G. J."},{"family":"Higgins","given":"Ian"}],"issued":{"date-parts":[["2002"]]}}}],"schema":"https://github.com/citation-style-language/schema/raw/master/csl-citation.json"} </w:instrText>
      </w:r>
      <w:r w:rsidRPr="005100E5">
        <w:rPr>
          <w:rFonts w:ascii="Times New Roman" w:hAnsi="Times New Roman" w:cs="Times New Roman"/>
          <w:kern w:val="0"/>
          <w:sz w:val="24"/>
          <w:szCs w:val="24"/>
          <w:lang w:val="en-US" w:eastAsia="ja-JP"/>
        </w:rPr>
        <w:fldChar w:fldCharType="separate"/>
      </w:r>
      <w:r w:rsidRPr="005100E5">
        <w:rPr>
          <w:rFonts w:ascii="Times New Roman" w:hAnsi="Times New Roman" w:cs="Times New Roman"/>
          <w:sz w:val="24"/>
          <w:szCs w:val="24"/>
          <w:lang w:val="en-US"/>
        </w:rPr>
        <w:t>(Hervey &amp; Higgins, 2002)</w:t>
      </w:r>
      <w:r w:rsidRPr="005100E5">
        <w:rPr>
          <w:rFonts w:ascii="Times New Roman" w:hAnsi="Times New Roman" w:cs="Times New Roman"/>
          <w:kern w:val="0"/>
          <w:sz w:val="24"/>
          <w:szCs w:val="24"/>
          <w:lang w:val="en-US" w:eastAsia="ja-JP"/>
        </w:rPr>
        <w:fldChar w:fldCharType="end"/>
      </w:r>
      <w:r w:rsidRPr="005100E5">
        <w:rPr>
          <w:rFonts w:ascii="Times New Roman" w:hAnsi="Times New Roman" w:cs="Times New Roman"/>
          <w:kern w:val="0"/>
          <w:sz w:val="24"/>
          <w:szCs w:val="24"/>
          <w:lang w:val="en-US" w:eastAsia="ja-JP"/>
        </w:rPr>
        <w:t>. Incorporating the scope-intensity trade-off into the concept may contribute to more effective use of domestication and foreignization, especially with regard to designing readers’ emotions.</w:t>
      </w:r>
    </w:p>
    <w:p w14:paraId="6D70E330" w14:textId="77777777" w:rsidR="00873911" w:rsidRPr="005100E5" w:rsidRDefault="00873911" w:rsidP="00873911">
      <w:pPr>
        <w:autoSpaceDE w:val="0"/>
        <w:autoSpaceDN w:val="0"/>
        <w:adjustRightInd w:val="0"/>
        <w:spacing w:line="240" w:lineRule="auto"/>
        <w:ind w:firstLine="708"/>
        <w:jc w:val="both"/>
        <w:rPr>
          <w:rFonts w:ascii="Times New Roman" w:hAnsi="Times New Roman" w:cs="Times New Roman"/>
          <w:kern w:val="0"/>
          <w:sz w:val="24"/>
          <w:szCs w:val="24"/>
          <w:lang w:val="en-US" w:eastAsia="ja-JP"/>
        </w:rPr>
      </w:pPr>
      <w:r w:rsidRPr="005100E5">
        <w:rPr>
          <w:rFonts w:ascii="Times New Roman" w:hAnsi="Times New Roman" w:cs="Times New Roman"/>
          <w:kern w:val="0"/>
          <w:sz w:val="24"/>
          <w:szCs w:val="24"/>
          <w:lang w:val="en-US" w:eastAsia="ja-JP"/>
        </w:rPr>
        <w:t xml:space="preserve">In terms of a new approach to Reception and Translation Studies, although participants’ general statements and judgements may offer valuable insights, their usefulness is strongly conditioned by the fact that the assessment criteria are not known to researchers and vary from participant to participant (i.e., each participant may understand and operationalize the question differently). As a result, the </w:t>
      </w:r>
      <w:proofErr w:type="spellStart"/>
      <w:r w:rsidRPr="005100E5">
        <w:rPr>
          <w:rFonts w:ascii="Times New Roman" w:hAnsi="Times New Roman" w:cs="Times New Roman"/>
          <w:smallCaps/>
          <w:kern w:val="0"/>
          <w:sz w:val="24"/>
          <w:szCs w:val="24"/>
          <w:lang w:val="en-US" w:eastAsia="ja-JP"/>
        </w:rPr>
        <w:t>BDsM</w:t>
      </w:r>
      <w:proofErr w:type="spellEnd"/>
      <w:r w:rsidRPr="005100E5">
        <w:rPr>
          <w:rFonts w:ascii="Times New Roman" w:hAnsi="Times New Roman" w:cs="Times New Roman"/>
          <w:kern w:val="0"/>
          <w:sz w:val="24"/>
          <w:szCs w:val="24"/>
          <w:lang w:val="en-US" w:eastAsia="ja-JP"/>
        </w:rPr>
        <w:t xml:space="preserve"> shows much promise as a user-friendly, comparable measure that can deliver quantifiable, easily interpretable data.</w:t>
      </w:r>
    </w:p>
    <w:p w14:paraId="1EC8929D" w14:textId="77777777" w:rsidR="00873911" w:rsidRDefault="00873911" w:rsidP="00873911">
      <w:pPr>
        <w:autoSpaceDE w:val="0"/>
        <w:autoSpaceDN w:val="0"/>
        <w:adjustRightInd w:val="0"/>
        <w:spacing w:line="240" w:lineRule="auto"/>
        <w:jc w:val="center"/>
        <w:rPr>
          <w:rFonts w:ascii="Times New Roman" w:hAnsi="Times New Roman" w:cs="Times New Roman"/>
          <w:b/>
          <w:bCs/>
          <w:smallCaps/>
          <w:kern w:val="0"/>
          <w:sz w:val="20"/>
          <w:szCs w:val="20"/>
          <w:lang w:val="en-US" w:eastAsia="ja-JP"/>
        </w:rPr>
      </w:pPr>
      <w:r w:rsidRPr="008A6DB9">
        <w:rPr>
          <w:rFonts w:ascii="Times New Roman" w:hAnsi="Times New Roman" w:cs="Times New Roman"/>
          <w:b/>
          <w:bCs/>
          <w:smallCaps/>
          <w:kern w:val="0"/>
          <w:sz w:val="20"/>
          <w:szCs w:val="20"/>
          <w:lang w:val="en-US" w:eastAsia="ja-JP"/>
        </w:rPr>
        <w:lastRenderedPageBreak/>
        <w:t>Acknowledgement</w:t>
      </w:r>
      <w:r>
        <w:rPr>
          <w:rFonts w:ascii="Times New Roman" w:hAnsi="Times New Roman" w:cs="Times New Roman"/>
          <w:b/>
          <w:bCs/>
          <w:smallCaps/>
          <w:kern w:val="0"/>
          <w:sz w:val="20"/>
          <w:szCs w:val="20"/>
          <w:lang w:val="en-US" w:eastAsia="ja-JP"/>
        </w:rPr>
        <w:t>s</w:t>
      </w:r>
    </w:p>
    <w:p w14:paraId="0FAD535A" w14:textId="77777777" w:rsidR="00873911" w:rsidRPr="00FB5285" w:rsidRDefault="00873911" w:rsidP="00873911">
      <w:pPr>
        <w:autoSpaceDE w:val="0"/>
        <w:autoSpaceDN w:val="0"/>
        <w:adjustRightInd w:val="0"/>
        <w:spacing w:line="240" w:lineRule="auto"/>
        <w:jc w:val="both"/>
        <w:rPr>
          <w:rFonts w:ascii="Times New Roman" w:hAnsi="Times New Roman" w:cs="Times New Roman"/>
          <w:sz w:val="24"/>
          <w:szCs w:val="24"/>
          <w:lang w:val="en-US"/>
        </w:rPr>
      </w:pPr>
      <w:r w:rsidRPr="005100E5">
        <w:rPr>
          <w:rFonts w:ascii="Times New Roman" w:hAnsi="Times New Roman" w:cs="Times New Roman"/>
          <w:sz w:val="24"/>
          <w:szCs w:val="24"/>
          <w:lang w:val="en-US"/>
        </w:rPr>
        <w:t>The author would like to extend their gratitude to</w:t>
      </w:r>
      <w:r w:rsidRPr="005100E5">
        <w:rPr>
          <w:rFonts w:ascii="Times New Roman" w:hAnsi="Times New Roman" w:cs="Times New Roman"/>
          <w:i/>
          <w:iCs/>
          <w:sz w:val="24"/>
          <w:szCs w:val="24"/>
          <w:lang w:val="en-US"/>
        </w:rPr>
        <w:t xml:space="preserve"> </w:t>
      </w:r>
      <w:r w:rsidRPr="005100E5">
        <w:rPr>
          <w:rFonts w:ascii="Times New Roman" w:hAnsi="Times New Roman" w:cs="Times New Roman"/>
          <w:sz w:val="24"/>
          <w:szCs w:val="24"/>
          <w:lang w:val="en-US"/>
        </w:rPr>
        <w:t>Dr</w:t>
      </w:r>
      <w:r>
        <w:rPr>
          <w:rFonts w:ascii="Times New Roman" w:hAnsi="Times New Roman" w:cs="Times New Roman"/>
          <w:sz w:val="24"/>
          <w:szCs w:val="24"/>
          <w:lang w:val="en-US"/>
        </w:rPr>
        <w:t>.</w:t>
      </w:r>
      <w:r w:rsidRPr="005100E5">
        <w:rPr>
          <w:rFonts w:ascii="Times New Roman" w:hAnsi="Times New Roman" w:cs="Times New Roman"/>
          <w:sz w:val="24"/>
          <w:szCs w:val="24"/>
          <w:lang w:val="en-US"/>
        </w:rPr>
        <w:t xml:space="preserve"> Aeddan Shaw for his </w:t>
      </w:r>
      <w:r>
        <w:rPr>
          <w:rFonts w:ascii="Times New Roman" w:hAnsi="Times New Roman" w:cs="Times New Roman"/>
          <w:sz w:val="24"/>
          <w:szCs w:val="24"/>
          <w:lang w:val="en-US"/>
        </w:rPr>
        <w:t xml:space="preserve">time and </w:t>
      </w:r>
      <w:r w:rsidRPr="005100E5">
        <w:rPr>
          <w:rFonts w:ascii="Times New Roman" w:hAnsi="Times New Roman" w:cs="Times New Roman"/>
          <w:sz w:val="24"/>
          <w:szCs w:val="24"/>
          <w:lang w:val="en-US"/>
        </w:rPr>
        <w:t xml:space="preserve">invaluable </w:t>
      </w:r>
      <w:r>
        <w:rPr>
          <w:rFonts w:ascii="Times New Roman" w:hAnsi="Times New Roman" w:cs="Times New Roman"/>
          <w:sz w:val="24"/>
          <w:szCs w:val="24"/>
          <w:lang w:val="en-US"/>
        </w:rPr>
        <w:t>assistance</w:t>
      </w:r>
      <w:r w:rsidRPr="005100E5">
        <w:rPr>
          <w:rFonts w:ascii="Times New Roman" w:hAnsi="Times New Roman" w:cs="Times New Roman"/>
          <w:sz w:val="24"/>
          <w:szCs w:val="24"/>
          <w:lang w:val="en-US"/>
        </w:rPr>
        <w:t xml:space="preserve"> and to the following </w:t>
      </w:r>
      <w:r>
        <w:rPr>
          <w:rFonts w:ascii="Times New Roman" w:hAnsi="Times New Roman" w:cs="Times New Roman"/>
          <w:sz w:val="24"/>
          <w:szCs w:val="24"/>
          <w:lang w:val="en-US"/>
        </w:rPr>
        <w:t>F</w:t>
      </w:r>
      <w:r w:rsidRPr="005100E5">
        <w:rPr>
          <w:rFonts w:ascii="Times New Roman" w:hAnsi="Times New Roman" w:cs="Times New Roman"/>
          <w:sz w:val="24"/>
          <w:szCs w:val="24"/>
          <w:lang w:val="en-US"/>
        </w:rPr>
        <w:t xml:space="preserve">acebook communities for their support and engagement in the study: </w:t>
      </w:r>
      <w:proofErr w:type="spellStart"/>
      <w:r w:rsidRPr="005100E5">
        <w:rPr>
          <w:rFonts w:ascii="Times New Roman" w:hAnsi="Times New Roman" w:cs="Times New Roman"/>
          <w:i/>
          <w:iCs/>
          <w:sz w:val="24"/>
          <w:szCs w:val="24"/>
          <w:lang w:val="en-US"/>
        </w:rPr>
        <w:t>Zew</w:t>
      </w:r>
      <w:proofErr w:type="spellEnd"/>
      <w:r w:rsidRPr="005100E5">
        <w:rPr>
          <w:rFonts w:ascii="Times New Roman" w:hAnsi="Times New Roman" w:cs="Times New Roman"/>
          <w:i/>
          <w:iCs/>
          <w:sz w:val="24"/>
          <w:szCs w:val="24"/>
          <w:lang w:val="en-US"/>
        </w:rPr>
        <w:t xml:space="preserve"> Cthulhu RPG, Horror Weird Fiction, </w:t>
      </w:r>
      <w:proofErr w:type="spellStart"/>
      <w:r w:rsidRPr="005100E5">
        <w:rPr>
          <w:rFonts w:ascii="Times New Roman" w:hAnsi="Times New Roman" w:cs="Times New Roman"/>
          <w:i/>
          <w:iCs/>
          <w:sz w:val="24"/>
          <w:szCs w:val="24"/>
          <w:lang w:val="en-US"/>
        </w:rPr>
        <w:t>Grozownia</w:t>
      </w:r>
      <w:proofErr w:type="spellEnd"/>
      <w:r w:rsidRPr="005100E5">
        <w:rPr>
          <w:rFonts w:ascii="Times New Roman" w:hAnsi="Times New Roman" w:cs="Times New Roman"/>
          <w:sz w:val="24"/>
          <w:szCs w:val="24"/>
          <w:lang w:val="en-US"/>
        </w:rPr>
        <w:t xml:space="preserve">, and </w:t>
      </w:r>
      <w:r w:rsidRPr="005100E5">
        <w:rPr>
          <w:rFonts w:ascii="Times New Roman" w:hAnsi="Times New Roman" w:cs="Times New Roman"/>
          <w:i/>
          <w:iCs/>
          <w:sz w:val="24"/>
          <w:szCs w:val="24"/>
          <w:lang w:val="en-US"/>
        </w:rPr>
        <w:t>H.P. Lovecraft Historical Society</w:t>
      </w:r>
      <w:r w:rsidRPr="005100E5">
        <w:rPr>
          <w:rFonts w:ascii="Times New Roman" w:hAnsi="Times New Roman" w:cs="Times New Roman"/>
          <w:sz w:val="24"/>
          <w:szCs w:val="24"/>
          <w:lang w:val="en-US"/>
        </w:rPr>
        <w:t>.</w:t>
      </w:r>
    </w:p>
    <w:p w14:paraId="7D3B3007" w14:textId="0757DBAB" w:rsidR="009817C3" w:rsidRPr="000A08A7" w:rsidRDefault="009817C3" w:rsidP="005100E5">
      <w:pPr>
        <w:autoSpaceDE w:val="0"/>
        <w:autoSpaceDN w:val="0"/>
        <w:adjustRightInd w:val="0"/>
        <w:spacing w:before="240" w:line="240" w:lineRule="auto"/>
        <w:jc w:val="center"/>
        <w:rPr>
          <w:rFonts w:ascii="Times New Roman" w:hAnsi="Times New Roman" w:cs="Times New Roman"/>
          <w:b/>
          <w:bCs/>
          <w:smallCaps/>
          <w:kern w:val="0"/>
          <w:sz w:val="24"/>
          <w:szCs w:val="24"/>
          <w:lang w:val="en-US" w:eastAsia="ja-JP"/>
        </w:rPr>
      </w:pPr>
      <w:r w:rsidRPr="000A08A7">
        <w:rPr>
          <w:rFonts w:ascii="Times New Roman" w:hAnsi="Times New Roman" w:cs="Times New Roman"/>
          <w:b/>
          <w:bCs/>
          <w:smallCaps/>
          <w:kern w:val="0"/>
          <w:sz w:val="24"/>
          <w:szCs w:val="24"/>
          <w:lang w:val="en-US" w:eastAsia="ja-JP"/>
        </w:rPr>
        <w:t>References</w:t>
      </w:r>
    </w:p>
    <w:p w14:paraId="572FB618"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Agar, M. (2008). A Linguistics for Ethnography. Why Not Second Languaculture Learning and Translation? </w:t>
      </w:r>
      <w:r w:rsidRPr="000A08A7">
        <w:rPr>
          <w:rFonts w:ascii="Times New Roman" w:hAnsi="Times New Roman" w:cs="Times New Roman"/>
          <w:i/>
          <w:iCs/>
          <w:sz w:val="24"/>
          <w:szCs w:val="24"/>
          <w:lang w:val="en-US"/>
        </w:rPr>
        <w:t>Journal of Intercultural Communication</w:t>
      </w:r>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8</w:t>
      </w:r>
      <w:r w:rsidRPr="000A08A7">
        <w:rPr>
          <w:rFonts w:ascii="Times New Roman" w:hAnsi="Times New Roman" w:cs="Times New Roman"/>
          <w:sz w:val="24"/>
          <w:szCs w:val="24"/>
          <w:lang w:val="en-US"/>
        </w:rPr>
        <w:t xml:space="preserve">(1), 1–12. </w:t>
      </w:r>
      <w:hyperlink r:id="rId13" w:history="1">
        <w:r w:rsidRPr="000A08A7">
          <w:rPr>
            <w:rStyle w:val="Hipercze"/>
            <w:rFonts w:ascii="Times New Roman" w:hAnsi="Times New Roman" w:cs="Times New Roman"/>
            <w:sz w:val="24"/>
            <w:szCs w:val="24"/>
            <w:lang w:val="en-US"/>
          </w:rPr>
          <w:t>https://doi.org/10.36923/jicc.v8i1.449</w:t>
        </w:r>
      </w:hyperlink>
    </w:p>
    <w:p w14:paraId="5C699CB2" w14:textId="05ABE96C" w:rsidR="009817C3" w:rsidRDefault="009817C3" w:rsidP="009817C3">
      <w:pPr>
        <w:spacing w:after="60" w:line="240" w:lineRule="auto"/>
        <w:ind w:left="284" w:hanging="284"/>
        <w:rPr>
          <w:rStyle w:val="Hipercze"/>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Amenta, A. (2020). </w:t>
      </w:r>
      <w:r w:rsidRPr="000A08A7">
        <w:rPr>
          <w:rFonts w:ascii="Times New Roman" w:hAnsi="Times New Roman" w:cs="Times New Roman"/>
          <w:sz w:val="24"/>
          <w:szCs w:val="24"/>
        </w:rPr>
        <w:t xml:space="preserve">O tłumaczeniu literatury </w:t>
      </w:r>
      <w:proofErr w:type="spellStart"/>
      <w:r w:rsidRPr="000A08A7">
        <w:rPr>
          <w:rFonts w:ascii="Times New Roman" w:hAnsi="Times New Roman" w:cs="Times New Roman"/>
          <w:sz w:val="24"/>
          <w:szCs w:val="24"/>
        </w:rPr>
        <w:t>fantasy</w:t>
      </w:r>
      <w:proofErr w:type="spellEnd"/>
      <w:r w:rsidRPr="000A08A7">
        <w:rPr>
          <w:rFonts w:ascii="Times New Roman" w:hAnsi="Times New Roman" w:cs="Times New Roman"/>
          <w:sz w:val="24"/>
          <w:szCs w:val="24"/>
        </w:rPr>
        <w:t xml:space="preserve"> na podstawie włoskiego przekładu cyklu </w:t>
      </w:r>
      <w:proofErr w:type="spellStart"/>
      <w:r w:rsidRPr="000A08A7">
        <w:rPr>
          <w:rFonts w:ascii="Times New Roman" w:hAnsi="Times New Roman" w:cs="Times New Roman"/>
          <w:sz w:val="24"/>
          <w:szCs w:val="24"/>
        </w:rPr>
        <w:t>wiedźmińskiego</w:t>
      </w:r>
      <w:proofErr w:type="spellEnd"/>
      <w:r w:rsidRPr="000A08A7">
        <w:rPr>
          <w:rFonts w:ascii="Times New Roman" w:hAnsi="Times New Roman" w:cs="Times New Roman"/>
          <w:sz w:val="24"/>
          <w:szCs w:val="24"/>
        </w:rPr>
        <w:t xml:space="preserve"> Andrzeja Sapkowskiego. </w:t>
      </w:r>
      <w:proofErr w:type="spellStart"/>
      <w:r w:rsidRPr="000A08A7">
        <w:rPr>
          <w:rFonts w:ascii="Times New Roman" w:hAnsi="Times New Roman" w:cs="Times New Roman"/>
          <w:i/>
          <w:iCs/>
          <w:sz w:val="24"/>
          <w:szCs w:val="24"/>
          <w:lang w:val="en-US"/>
        </w:rPr>
        <w:t>Przekładaniec</w:t>
      </w:r>
      <w:proofErr w:type="spellEnd"/>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40</w:t>
      </w:r>
      <w:r w:rsidRPr="000A08A7">
        <w:rPr>
          <w:rFonts w:ascii="Times New Roman" w:hAnsi="Times New Roman" w:cs="Times New Roman"/>
          <w:sz w:val="24"/>
          <w:szCs w:val="24"/>
          <w:lang w:val="en-US"/>
        </w:rPr>
        <w:t xml:space="preserve">, 7–21. </w:t>
      </w:r>
      <w:hyperlink r:id="rId14" w:history="1">
        <w:r w:rsidR="009631AC" w:rsidRPr="000442F5">
          <w:rPr>
            <w:rStyle w:val="Hipercze"/>
            <w:rFonts w:ascii="Times New Roman" w:hAnsi="Times New Roman" w:cs="Times New Roman"/>
            <w:sz w:val="24"/>
            <w:szCs w:val="24"/>
            <w:lang w:val="en-US"/>
          </w:rPr>
          <w:t>https://doi.org/10.4467/16891864PC.20.001.13164</w:t>
        </w:r>
      </w:hyperlink>
    </w:p>
    <w:p w14:paraId="029F9605" w14:textId="77777777" w:rsidR="000A08A7" w:rsidRPr="000A08A7" w:rsidRDefault="000A08A7" w:rsidP="000A08A7">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Atikah Zabir, &amp; </w:t>
      </w:r>
      <w:proofErr w:type="spellStart"/>
      <w:r w:rsidRPr="000A08A7">
        <w:rPr>
          <w:rFonts w:ascii="Times New Roman" w:hAnsi="Times New Roman" w:cs="Times New Roman"/>
          <w:sz w:val="24"/>
          <w:szCs w:val="24"/>
          <w:lang w:val="en-US"/>
        </w:rPr>
        <w:t>Haslina</w:t>
      </w:r>
      <w:proofErr w:type="spellEnd"/>
      <w:r>
        <w:rPr>
          <w:rFonts w:ascii="Times New Roman" w:hAnsi="Times New Roman" w:cs="Times New Roman"/>
          <w:sz w:val="24"/>
          <w:szCs w:val="24"/>
          <w:lang w:val="en-US"/>
        </w:rPr>
        <w:t xml:space="preserve"> </w:t>
      </w:r>
      <w:r w:rsidRPr="000A08A7">
        <w:rPr>
          <w:rFonts w:ascii="Times New Roman" w:hAnsi="Times New Roman" w:cs="Times New Roman"/>
          <w:sz w:val="24"/>
          <w:szCs w:val="24"/>
          <w:lang w:val="en-US"/>
        </w:rPr>
        <w:t xml:space="preserve">Haroon. (2018). Procedures in the Translation of Proper Names in Harry Potter and the Goblet of Fire into Malay. </w:t>
      </w:r>
      <w:r w:rsidRPr="000A08A7">
        <w:rPr>
          <w:rFonts w:ascii="Times New Roman" w:hAnsi="Times New Roman" w:cs="Times New Roman"/>
          <w:i/>
          <w:iCs/>
          <w:sz w:val="24"/>
          <w:szCs w:val="24"/>
          <w:lang w:val="en-US"/>
        </w:rPr>
        <w:t>GEMA Online® Journal of Language Studies</w:t>
      </w:r>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18</w:t>
      </w:r>
      <w:r w:rsidRPr="000A08A7">
        <w:rPr>
          <w:rFonts w:ascii="Times New Roman" w:hAnsi="Times New Roman" w:cs="Times New Roman"/>
          <w:sz w:val="24"/>
          <w:szCs w:val="24"/>
          <w:lang w:val="en-US"/>
        </w:rPr>
        <w:t xml:space="preserve">(2), 108–123. </w:t>
      </w:r>
      <w:hyperlink r:id="rId15" w:history="1">
        <w:r w:rsidRPr="000A08A7">
          <w:rPr>
            <w:rStyle w:val="Hipercze"/>
            <w:rFonts w:ascii="Times New Roman" w:hAnsi="Times New Roman" w:cs="Times New Roman"/>
            <w:sz w:val="24"/>
            <w:szCs w:val="24"/>
            <w:lang w:val="en-US"/>
          </w:rPr>
          <w:t>https://doi.org/10.17576/gema-2018-1802-08</w:t>
        </w:r>
      </w:hyperlink>
    </w:p>
    <w:p w14:paraId="5AAD3AAB" w14:textId="6064C9E0"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Cohen, J. (1988). </w:t>
      </w:r>
      <w:r w:rsidRPr="000A08A7">
        <w:rPr>
          <w:rFonts w:ascii="Times New Roman" w:hAnsi="Times New Roman" w:cs="Times New Roman"/>
          <w:i/>
          <w:iCs/>
          <w:sz w:val="24"/>
          <w:szCs w:val="24"/>
          <w:lang w:val="en-US"/>
        </w:rPr>
        <w:t>Statistical Power Analysis for the Behavioral Sciences</w:t>
      </w:r>
      <w:r w:rsidRPr="000A08A7">
        <w:rPr>
          <w:rFonts w:ascii="Times New Roman" w:hAnsi="Times New Roman" w:cs="Times New Roman"/>
          <w:sz w:val="24"/>
          <w:szCs w:val="24"/>
          <w:lang w:val="en-US"/>
        </w:rPr>
        <w:t xml:space="preserve"> (</w:t>
      </w:r>
      <w:r w:rsidR="00227ACB" w:rsidRPr="000A08A7">
        <w:rPr>
          <w:rFonts w:ascii="Times New Roman" w:hAnsi="Times New Roman" w:cs="Times New Roman"/>
          <w:sz w:val="24"/>
          <w:szCs w:val="24"/>
          <w:lang w:val="en-US"/>
        </w:rPr>
        <w:t>2</w:t>
      </w:r>
      <w:r w:rsidRPr="000A08A7">
        <w:rPr>
          <w:rFonts w:ascii="Times New Roman" w:hAnsi="Times New Roman" w:cs="Times New Roman"/>
          <w:sz w:val="24"/>
          <w:szCs w:val="24"/>
          <w:lang w:val="en-US"/>
        </w:rPr>
        <w:t xml:space="preserve"> ed.). Routledge. </w:t>
      </w:r>
      <w:hyperlink r:id="rId16" w:history="1">
        <w:r w:rsidRPr="000A08A7">
          <w:rPr>
            <w:rStyle w:val="Hipercze"/>
            <w:rFonts w:ascii="Times New Roman" w:hAnsi="Times New Roman" w:cs="Times New Roman"/>
            <w:sz w:val="24"/>
            <w:szCs w:val="24"/>
            <w:lang w:val="en-US"/>
          </w:rPr>
          <w:t>https://doi.org/10.4324/9780203771587</w:t>
        </w:r>
      </w:hyperlink>
    </w:p>
    <w:p w14:paraId="42B0A270"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Eliot, T. S. (1920). </w:t>
      </w:r>
      <w:r w:rsidRPr="000A08A7">
        <w:rPr>
          <w:rFonts w:ascii="Times New Roman" w:hAnsi="Times New Roman" w:cs="Times New Roman"/>
          <w:i/>
          <w:iCs/>
          <w:sz w:val="24"/>
          <w:szCs w:val="24"/>
          <w:lang w:val="en-US"/>
        </w:rPr>
        <w:t>The Sacred Wood: Essays on Poetry and Criticism</w:t>
      </w:r>
      <w:r w:rsidRPr="000A08A7">
        <w:rPr>
          <w:rFonts w:ascii="Times New Roman" w:hAnsi="Times New Roman" w:cs="Times New Roman"/>
          <w:sz w:val="24"/>
          <w:szCs w:val="24"/>
          <w:lang w:val="en-US"/>
        </w:rPr>
        <w:t>. Methuen &amp; Co. Ltd.</w:t>
      </w:r>
    </w:p>
    <w:p w14:paraId="0D54873F"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Ellefsen, U., &amp; Bernal-Merino, M. Á. (2018). Harnessing the roar of the crowd: A quantitative study of language preferences in video games of French players of the northern hemisphere. </w:t>
      </w:r>
      <w:r w:rsidRPr="000A08A7">
        <w:rPr>
          <w:rFonts w:ascii="Times New Roman" w:hAnsi="Times New Roman" w:cs="Times New Roman"/>
          <w:i/>
          <w:iCs/>
          <w:sz w:val="24"/>
          <w:szCs w:val="24"/>
          <w:lang w:val="en-US"/>
        </w:rPr>
        <w:t>The Journal of Internationalization and Localization</w:t>
      </w:r>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5</w:t>
      </w:r>
      <w:r w:rsidRPr="000A08A7">
        <w:rPr>
          <w:rFonts w:ascii="Times New Roman" w:hAnsi="Times New Roman" w:cs="Times New Roman"/>
          <w:sz w:val="24"/>
          <w:szCs w:val="24"/>
          <w:lang w:val="en-US"/>
        </w:rPr>
        <w:t xml:space="preserve">(1), 21–48. </w:t>
      </w:r>
      <w:hyperlink r:id="rId17" w:history="1">
        <w:r w:rsidRPr="000A08A7">
          <w:rPr>
            <w:rStyle w:val="Hipercze"/>
            <w:rFonts w:ascii="Times New Roman" w:hAnsi="Times New Roman" w:cs="Times New Roman"/>
            <w:sz w:val="24"/>
            <w:szCs w:val="24"/>
            <w:lang w:val="en-US"/>
          </w:rPr>
          <w:t>https://doi.org/10.1075/jial.00009.ell</w:t>
        </w:r>
      </w:hyperlink>
    </w:p>
    <w:p w14:paraId="7ED52638" w14:textId="77777777" w:rsidR="009817C3" w:rsidRPr="000A08A7" w:rsidRDefault="009817C3" w:rsidP="009817C3">
      <w:pPr>
        <w:spacing w:after="60" w:line="240" w:lineRule="auto"/>
        <w:ind w:left="284" w:hanging="284"/>
        <w:rPr>
          <w:rFonts w:ascii="Times New Roman" w:hAnsi="Times New Roman" w:cs="Times New Roman"/>
          <w:sz w:val="24"/>
          <w:szCs w:val="24"/>
        </w:rPr>
      </w:pPr>
      <w:r w:rsidRPr="000A08A7">
        <w:rPr>
          <w:rFonts w:ascii="Times New Roman" w:hAnsi="Times New Roman" w:cs="Times New Roman"/>
          <w:sz w:val="24"/>
          <w:szCs w:val="24"/>
          <w:lang w:val="en-US"/>
        </w:rPr>
        <w:t xml:space="preserve">Fergusson, A. (2016). </w:t>
      </w:r>
      <w:r w:rsidRPr="000A08A7">
        <w:rPr>
          <w:rFonts w:ascii="Times New Roman" w:hAnsi="Times New Roman" w:cs="Times New Roman"/>
          <w:i/>
          <w:iCs/>
          <w:sz w:val="24"/>
          <w:szCs w:val="24"/>
          <w:lang w:val="en-US"/>
        </w:rPr>
        <w:t>Designing online experiments using Google forms+ random redirect tool.</w:t>
      </w:r>
      <w:r w:rsidRPr="000A08A7">
        <w:rPr>
          <w:rFonts w:ascii="Times New Roman" w:hAnsi="Times New Roman" w:cs="Times New Roman"/>
          <w:sz w:val="24"/>
          <w:szCs w:val="24"/>
          <w:lang w:val="en-US"/>
        </w:rPr>
        <w:t xml:space="preserve"> </w:t>
      </w:r>
      <w:hyperlink r:id="rId18" w:history="1">
        <w:r w:rsidRPr="000A08A7">
          <w:rPr>
            <w:rStyle w:val="Hipercze"/>
            <w:rFonts w:ascii="Times New Roman" w:hAnsi="Times New Roman" w:cs="Times New Roman"/>
            <w:sz w:val="24"/>
            <w:szCs w:val="24"/>
          </w:rPr>
          <w:t>https://teaching.statistics-is-awesome.org/designing-online-experiments-using-google-forms-random-redirect-tool</w:t>
        </w:r>
      </w:hyperlink>
    </w:p>
    <w:p w14:paraId="5228243C"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Fernandes, L. (2006). Translation of Names in Children’s Fantasy Literature: Bringing the Young Reader into Play. </w:t>
      </w:r>
      <w:r w:rsidRPr="000A08A7">
        <w:rPr>
          <w:rFonts w:ascii="Times New Roman" w:hAnsi="Times New Roman" w:cs="Times New Roman"/>
          <w:i/>
          <w:iCs/>
          <w:sz w:val="24"/>
          <w:szCs w:val="24"/>
          <w:lang w:val="en-US"/>
        </w:rPr>
        <w:t>New Voices in Translation Studies</w:t>
      </w:r>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2</w:t>
      </w:r>
      <w:r w:rsidRPr="000A08A7">
        <w:rPr>
          <w:rFonts w:ascii="Times New Roman" w:hAnsi="Times New Roman" w:cs="Times New Roman"/>
          <w:sz w:val="24"/>
          <w:szCs w:val="24"/>
          <w:lang w:val="en-US"/>
        </w:rPr>
        <w:t xml:space="preserve">(1), 44–57. </w:t>
      </w:r>
      <w:hyperlink r:id="rId19" w:history="1">
        <w:r w:rsidRPr="000A08A7">
          <w:rPr>
            <w:rStyle w:val="Hipercze"/>
            <w:rFonts w:ascii="Times New Roman" w:hAnsi="Times New Roman" w:cs="Times New Roman"/>
            <w:sz w:val="24"/>
            <w:szCs w:val="24"/>
            <w:lang w:val="en-US"/>
          </w:rPr>
          <w:t>https://doi.org/10.14456/nvts.2006.5</w:t>
        </w:r>
      </w:hyperlink>
    </w:p>
    <w:p w14:paraId="6902EF3B"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Fernández Costales, A. (2014). Video game </w:t>
      </w:r>
      <w:proofErr w:type="spellStart"/>
      <w:r w:rsidRPr="000A08A7">
        <w:rPr>
          <w:rFonts w:ascii="Times New Roman" w:hAnsi="Times New Roman" w:cs="Times New Roman"/>
          <w:sz w:val="24"/>
          <w:szCs w:val="24"/>
          <w:lang w:val="en-US"/>
        </w:rPr>
        <w:t>localisation</w:t>
      </w:r>
      <w:proofErr w:type="spellEnd"/>
      <w:r w:rsidRPr="000A08A7">
        <w:rPr>
          <w:rFonts w:ascii="Times New Roman" w:hAnsi="Times New Roman" w:cs="Times New Roman"/>
          <w:sz w:val="24"/>
          <w:szCs w:val="24"/>
          <w:lang w:val="en-US"/>
        </w:rPr>
        <w:t xml:space="preserve">: Adapting superheroes to different cultures. </w:t>
      </w:r>
      <w:proofErr w:type="spellStart"/>
      <w:r w:rsidRPr="000A08A7">
        <w:rPr>
          <w:rFonts w:ascii="Times New Roman" w:hAnsi="Times New Roman" w:cs="Times New Roman"/>
          <w:i/>
          <w:iCs/>
          <w:sz w:val="24"/>
          <w:szCs w:val="24"/>
          <w:lang w:val="en-US"/>
        </w:rPr>
        <w:t>Quaderns</w:t>
      </w:r>
      <w:proofErr w:type="spellEnd"/>
      <w:r w:rsidRPr="000A08A7">
        <w:rPr>
          <w:rFonts w:ascii="Times New Roman" w:hAnsi="Times New Roman" w:cs="Times New Roman"/>
          <w:i/>
          <w:iCs/>
          <w:sz w:val="24"/>
          <w:szCs w:val="24"/>
          <w:lang w:val="en-US"/>
        </w:rPr>
        <w:t xml:space="preserve">: </w:t>
      </w:r>
      <w:proofErr w:type="spellStart"/>
      <w:r w:rsidRPr="000A08A7">
        <w:rPr>
          <w:rFonts w:ascii="Times New Roman" w:hAnsi="Times New Roman" w:cs="Times New Roman"/>
          <w:i/>
          <w:iCs/>
          <w:sz w:val="24"/>
          <w:szCs w:val="24"/>
          <w:lang w:val="en-US"/>
        </w:rPr>
        <w:t>Revista</w:t>
      </w:r>
      <w:proofErr w:type="spellEnd"/>
      <w:r w:rsidRPr="000A08A7">
        <w:rPr>
          <w:rFonts w:ascii="Times New Roman" w:hAnsi="Times New Roman" w:cs="Times New Roman"/>
          <w:i/>
          <w:iCs/>
          <w:sz w:val="24"/>
          <w:szCs w:val="24"/>
          <w:lang w:val="en-US"/>
        </w:rPr>
        <w:t xml:space="preserve"> de </w:t>
      </w:r>
      <w:proofErr w:type="spellStart"/>
      <w:r w:rsidRPr="000A08A7">
        <w:rPr>
          <w:rFonts w:ascii="Times New Roman" w:hAnsi="Times New Roman" w:cs="Times New Roman"/>
          <w:i/>
          <w:iCs/>
          <w:sz w:val="24"/>
          <w:szCs w:val="24"/>
          <w:lang w:val="en-US"/>
        </w:rPr>
        <w:t>Traducció</w:t>
      </w:r>
      <w:proofErr w:type="spellEnd"/>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21</w:t>
      </w:r>
      <w:r w:rsidRPr="000A08A7">
        <w:rPr>
          <w:rFonts w:ascii="Times New Roman" w:hAnsi="Times New Roman" w:cs="Times New Roman"/>
          <w:sz w:val="24"/>
          <w:szCs w:val="24"/>
          <w:lang w:val="en-US"/>
        </w:rPr>
        <w:t>, 225–239.</w:t>
      </w:r>
    </w:p>
    <w:p w14:paraId="30A097AE" w14:textId="77777777" w:rsidR="009817C3" w:rsidRPr="000A08A7" w:rsidRDefault="009817C3" w:rsidP="009817C3">
      <w:pPr>
        <w:spacing w:after="60" w:line="240" w:lineRule="auto"/>
        <w:ind w:left="284" w:hanging="284"/>
        <w:rPr>
          <w:rFonts w:ascii="Times New Roman" w:hAnsi="Times New Roman" w:cs="Times New Roman"/>
          <w:sz w:val="24"/>
          <w:szCs w:val="24"/>
        </w:rPr>
      </w:pPr>
      <w:r w:rsidRPr="000A08A7">
        <w:rPr>
          <w:rFonts w:ascii="Times New Roman" w:hAnsi="Times New Roman" w:cs="Times New Roman"/>
          <w:sz w:val="24"/>
          <w:szCs w:val="24"/>
          <w:lang w:val="en-US"/>
        </w:rPr>
        <w:t xml:space="preserve">Fernández Costales, A. (2016). Analyzing Players’ Perceptions on the Translation of Video Games: Assessing the Tension between the Local and the Global Concerning Language Use. In A. Esser, M. Á. Bernal-Merino, &amp; I. R. Smith (Eds.), </w:t>
      </w:r>
      <w:r w:rsidRPr="000A08A7">
        <w:rPr>
          <w:rFonts w:ascii="Times New Roman" w:hAnsi="Times New Roman" w:cs="Times New Roman"/>
          <w:i/>
          <w:iCs/>
          <w:sz w:val="24"/>
          <w:szCs w:val="24"/>
          <w:lang w:val="en-US"/>
        </w:rPr>
        <w:t>Media across borders: Localizing tv, film and video games</w:t>
      </w:r>
      <w:r w:rsidRPr="000A08A7">
        <w:rPr>
          <w:rFonts w:ascii="Times New Roman" w:hAnsi="Times New Roman" w:cs="Times New Roman"/>
          <w:sz w:val="24"/>
          <w:szCs w:val="24"/>
          <w:lang w:val="en-US"/>
        </w:rPr>
        <w:t xml:space="preserve"> (pp. 183–201). </w:t>
      </w:r>
      <w:proofErr w:type="spellStart"/>
      <w:r w:rsidRPr="000A08A7">
        <w:rPr>
          <w:rFonts w:ascii="Times New Roman" w:hAnsi="Times New Roman" w:cs="Times New Roman"/>
          <w:sz w:val="24"/>
          <w:szCs w:val="24"/>
        </w:rPr>
        <w:t>Routledge</w:t>
      </w:r>
      <w:proofErr w:type="spellEnd"/>
      <w:r w:rsidRPr="000A08A7">
        <w:rPr>
          <w:rFonts w:ascii="Times New Roman" w:hAnsi="Times New Roman" w:cs="Times New Roman"/>
          <w:sz w:val="24"/>
          <w:szCs w:val="24"/>
        </w:rPr>
        <w:t xml:space="preserve">, Taylor &amp; Francis </w:t>
      </w:r>
      <w:proofErr w:type="spellStart"/>
      <w:r w:rsidRPr="000A08A7">
        <w:rPr>
          <w:rFonts w:ascii="Times New Roman" w:hAnsi="Times New Roman" w:cs="Times New Roman"/>
          <w:sz w:val="24"/>
          <w:szCs w:val="24"/>
        </w:rPr>
        <w:t>Group</w:t>
      </w:r>
      <w:proofErr w:type="spellEnd"/>
      <w:r w:rsidRPr="000A08A7">
        <w:rPr>
          <w:rFonts w:ascii="Times New Roman" w:hAnsi="Times New Roman" w:cs="Times New Roman"/>
          <w:sz w:val="24"/>
          <w:szCs w:val="24"/>
        </w:rPr>
        <w:t>.</w:t>
      </w:r>
    </w:p>
    <w:p w14:paraId="1BE7C19C"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rPr>
        <w:t xml:space="preserve">Filar, D. (2015). Język jako wielka narracja: Teoria narracyjności w semantyce. </w:t>
      </w:r>
      <w:r w:rsidRPr="000A08A7">
        <w:rPr>
          <w:rFonts w:ascii="Times New Roman" w:hAnsi="Times New Roman" w:cs="Times New Roman"/>
          <w:i/>
          <w:iCs/>
          <w:sz w:val="24"/>
          <w:szCs w:val="24"/>
          <w:lang w:val="en-US"/>
        </w:rPr>
        <w:t xml:space="preserve">Bulletin de La Société Polonaise de </w:t>
      </w:r>
      <w:proofErr w:type="spellStart"/>
      <w:r w:rsidRPr="000A08A7">
        <w:rPr>
          <w:rFonts w:ascii="Times New Roman" w:hAnsi="Times New Roman" w:cs="Times New Roman"/>
          <w:i/>
          <w:iCs/>
          <w:sz w:val="24"/>
          <w:szCs w:val="24"/>
          <w:lang w:val="en-US"/>
        </w:rPr>
        <w:t>Linguistique</w:t>
      </w:r>
      <w:proofErr w:type="spellEnd"/>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LXXI</w:t>
      </w:r>
      <w:r w:rsidRPr="000A08A7">
        <w:rPr>
          <w:rFonts w:ascii="Times New Roman" w:hAnsi="Times New Roman" w:cs="Times New Roman"/>
          <w:sz w:val="24"/>
          <w:szCs w:val="24"/>
          <w:lang w:val="en-US"/>
        </w:rPr>
        <w:t>, 9–26.</w:t>
      </w:r>
    </w:p>
    <w:p w14:paraId="24FB3785"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Galewska, K. (2019). </w:t>
      </w:r>
      <w:r w:rsidRPr="000A08A7">
        <w:rPr>
          <w:rFonts w:ascii="Times New Roman" w:hAnsi="Times New Roman" w:cs="Times New Roman"/>
          <w:sz w:val="24"/>
          <w:szCs w:val="24"/>
        </w:rPr>
        <w:t xml:space="preserve">Tłumaczenie chińskich nazw własnych w ujęciu kognitywnym. </w:t>
      </w:r>
      <w:proofErr w:type="spellStart"/>
      <w:r w:rsidRPr="000A08A7">
        <w:rPr>
          <w:rFonts w:ascii="Times New Roman" w:hAnsi="Times New Roman" w:cs="Times New Roman"/>
          <w:i/>
          <w:iCs/>
          <w:sz w:val="24"/>
          <w:szCs w:val="24"/>
          <w:lang w:val="en-US"/>
        </w:rPr>
        <w:t>Onomastica</w:t>
      </w:r>
      <w:proofErr w:type="spellEnd"/>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63</w:t>
      </w:r>
      <w:r w:rsidRPr="000A08A7">
        <w:rPr>
          <w:rFonts w:ascii="Times New Roman" w:hAnsi="Times New Roman" w:cs="Times New Roman"/>
          <w:sz w:val="24"/>
          <w:szCs w:val="24"/>
          <w:lang w:val="en-US"/>
        </w:rPr>
        <w:t xml:space="preserve">, 263–278. </w:t>
      </w:r>
      <w:hyperlink r:id="rId20" w:history="1">
        <w:r w:rsidRPr="000A08A7">
          <w:rPr>
            <w:rStyle w:val="Hipercze"/>
            <w:rFonts w:ascii="Times New Roman" w:hAnsi="Times New Roman" w:cs="Times New Roman"/>
            <w:sz w:val="24"/>
            <w:szCs w:val="24"/>
            <w:lang w:val="en-US"/>
          </w:rPr>
          <w:t>https://doi.org/10.17651/ONOMAST.63.14</w:t>
        </w:r>
      </w:hyperlink>
    </w:p>
    <w:p w14:paraId="548DA57C"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Garland, R. (1990). A Comparison of Three Forms of the Semantic Differential. </w:t>
      </w:r>
      <w:r w:rsidRPr="000A08A7">
        <w:rPr>
          <w:rFonts w:ascii="Times New Roman" w:hAnsi="Times New Roman" w:cs="Times New Roman"/>
          <w:i/>
          <w:iCs/>
          <w:sz w:val="24"/>
          <w:szCs w:val="24"/>
          <w:lang w:val="en-US"/>
        </w:rPr>
        <w:t>Marketing Bulletin</w:t>
      </w:r>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1</w:t>
      </w:r>
      <w:r w:rsidRPr="000A08A7">
        <w:rPr>
          <w:rFonts w:ascii="Times New Roman" w:hAnsi="Times New Roman" w:cs="Times New Roman"/>
          <w:sz w:val="24"/>
          <w:szCs w:val="24"/>
          <w:lang w:val="en-US"/>
        </w:rPr>
        <w:t>, 19–24.</w:t>
      </w:r>
    </w:p>
    <w:p w14:paraId="59125A6A"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Harkness, J. A., Villar, A., &amp; Edwards, B. (2010). Translation, adaptation, and design. In </w:t>
      </w:r>
      <w:r w:rsidRPr="000A08A7">
        <w:rPr>
          <w:rFonts w:ascii="Times New Roman" w:hAnsi="Times New Roman" w:cs="Times New Roman"/>
          <w:i/>
          <w:iCs/>
          <w:sz w:val="24"/>
          <w:szCs w:val="24"/>
          <w:lang w:val="en-US"/>
        </w:rPr>
        <w:t>Survey methods in multinational, multiregional, and multicultural contexts.</w:t>
      </w:r>
      <w:r w:rsidRPr="000A08A7">
        <w:rPr>
          <w:rFonts w:ascii="Times New Roman" w:hAnsi="Times New Roman" w:cs="Times New Roman"/>
          <w:sz w:val="24"/>
          <w:szCs w:val="24"/>
          <w:lang w:val="en-US"/>
        </w:rPr>
        <w:t xml:space="preserve"> (pp. 117–140). John Wiley &amp; Sons, Inc. </w:t>
      </w:r>
      <w:hyperlink r:id="rId21" w:history="1">
        <w:r w:rsidRPr="000A08A7">
          <w:rPr>
            <w:rStyle w:val="Hipercze"/>
            <w:rFonts w:ascii="Times New Roman" w:hAnsi="Times New Roman" w:cs="Times New Roman"/>
            <w:sz w:val="24"/>
            <w:szCs w:val="24"/>
            <w:lang w:val="en-US"/>
          </w:rPr>
          <w:t>https://doi.org/10.1002/9780470609927.ch7</w:t>
        </w:r>
      </w:hyperlink>
    </w:p>
    <w:p w14:paraId="5D553B16"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Hervey, S. G. J., &amp; Higgins, I. (2002). </w:t>
      </w:r>
      <w:r w:rsidRPr="000A08A7">
        <w:rPr>
          <w:rFonts w:ascii="Times New Roman" w:hAnsi="Times New Roman" w:cs="Times New Roman"/>
          <w:i/>
          <w:iCs/>
          <w:sz w:val="24"/>
          <w:szCs w:val="24"/>
          <w:lang w:val="en-US"/>
        </w:rPr>
        <w:t>Thinking French translation: A course in translation method : French to English</w:t>
      </w:r>
      <w:r w:rsidRPr="000A08A7">
        <w:rPr>
          <w:rFonts w:ascii="Times New Roman" w:hAnsi="Times New Roman" w:cs="Times New Roman"/>
          <w:sz w:val="24"/>
          <w:szCs w:val="24"/>
          <w:lang w:val="en-US"/>
        </w:rPr>
        <w:t xml:space="preserve"> (Second edition). Routledge.</w:t>
      </w:r>
    </w:p>
    <w:p w14:paraId="29C8943C"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lastRenderedPageBreak/>
        <w:t xml:space="preserve">Joshi, S. T. (2013). </w:t>
      </w:r>
      <w:r w:rsidRPr="000A08A7">
        <w:rPr>
          <w:rFonts w:ascii="Times New Roman" w:hAnsi="Times New Roman" w:cs="Times New Roman"/>
          <w:i/>
          <w:iCs/>
          <w:sz w:val="24"/>
          <w:szCs w:val="24"/>
          <w:lang w:val="en-US"/>
        </w:rPr>
        <w:t>I am providence: The life and times of H.P. Lovecraft</w:t>
      </w:r>
      <w:r w:rsidRPr="000A08A7">
        <w:rPr>
          <w:rFonts w:ascii="Times New Roman" w:hAnsi="Times New Roman" w:cs="Times New Roman"/>
          <w:sz w:val="24"/>
          <w:szCs w:val="24"/>
          <w:lang w:val="en-US"/>
        </w:rPr>
        <w:t>. Hippocampus Press.</w:t>
      </w:r>
    </w:p>
    <w:p w14:paraId="0EEB8217"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Joshi, S. T., &amp; Schultz, D. E. (2001). </w:t>
      </w:r>
      <w:r w:rsidRPr="000A08A7">
        <w:rPr>
          <w:rFonts w:ascii="Times New Roman" w:hAnsi="Times New Roman" w:cs="Times New Roman"/>
          <w:i/>
          <w:iCs/>
          <w:sz w:val="24"/>
          <w:szCs w:val="24"/>
          <w:lang w:val="en-US"/>
        </w:rPr>
        <w:t>An H.P. Lovecraft encyclopedia</w:t>
      </w:r>
      <w:r w:rsidRPr="000A08A7">
        <w:rPr>
          <w:rFonts w:ascii="Times New Roman" w:hAnsi="Times New Roman" w:cs="Times New Roman"/>
          <w:sz w:val="24"/>
          <w:szCs w:val="24"/>
          <w:lang w:val="en-US"/>
        </w:rPr>
        <w:t>. Greenwood Press.</w:t>
      </w:r>
    </w:p>
    <w:p w14:paraId="7BEA59FC"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proofErr w:type="spellStart"/>
      <w:r w:rsidRPr="000A08A7">
        <w:rPr>
          <w:rFonts w:ascii="Times New Roman" w:hAnsi="Times New Roman" w:cs="Times New Roman"/>
          <w:sz w:val="24"/>
          <w:szCs w:val="24"/>
          <w:lang w:val="en-US"/>
        </w:rPr>
        <w:t>Kohlheim</w:t>
      </w:r>
      <w:proofErr w:type="spellEnd"/>
      <w:r w:rsidRPr="000A08A7">
        <w:rPr>
          <w:rFonts w:ascii="Times New Roman" w:hAnsi="Times New Roman" w:cs="Times New Roman"/>
          <w:sz w:val="24"/>
          <w:szCs w:val="24"/>
          <w:lang w:val="en-US"/>
        </w:rPr>
        <w:t xml:space="preserve">, V. (2018). Proper names in literature: A “reevaluation of all values.” </w:t>
      </w:r>
      <w:proofErr w:type="spellStart"/>
      <w:r w:rsidRPr="000A08A7">
        <w:rPr>
          <w:rFonts w:ascii="Times New Roman" w:hAnsi="Times New Roman" w:cs="Times New Roman"/>
          <w:i/>
          <w:iCs/>
          <w:sz w:val="24"/>
          <w:szCs w:val="24"/>
          <w:lang w:val="en-US"/>
        </w:rPr>
        <w:t>Onoma</w:t>
      </w:r>
      <w:proofErr w:type="spellEnd"/>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53</w:t>
      </w:r>
      <w:r w:rsidRPr="000A08A7">
        <w:rPr>
          <w:rFonts w:ascii="Times New Roman" w:hAnsi="Times New Roman" w:cs="Times New Roman"/>
          <w:sz w:val="24"/>
          <w:szCs w:val="24"/>
          <w:lang w:val="en-US"/>
        </w:rPr>
        <w:t xml:space="preserve">, 81–92. </w:t>
      </w:r>
      <w:hyperlink r:id="rId22" w:history="1">
        <w:r w:rsidRPr="000A08A7">
          <w:rPr>
            <w:rStyle w:val="Hipercze"/>
            <w:rFonts w:ascii="Times New Roman" w:hAnsi="Times New Roman" w:cs="Times New Roman"/>
            <w:sz w:val="24"/>
            <w:szCs w:val="24"/>
            <w:lang w:val="en-US"/>
          </w:rPr>
          <w:t>https://doi.org/10.34158/ONOMA.53/2018/6</w:t>
        </w:r>
      </w:hyperlink>
    </w:p>
    <w:p w14:paraId="688B0A23"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Lungu-Badea, G. (2013). Translation of Literary Proper Names. In O. </w:t>
      </w:r>
      <w:proofErr w:type="spellStart"/>
      <w:r w:rsidRPr="000A08A7">
        <w:rPr>
          <w:rFonts w:ascii="Times New Roman" w:hAnsi="Times New Roman" w:cs="Times New Roman"/>
          <w:sz w:val="24"/>
          <w:szCs w:val="24"/>
          <w:lang w:val="en-US"/>
        </w:rPr>
        <w:t>Felecan</w:t>
      </w:r>
      <w:proofErr w:type="spellEnd"/>
      <w:r w:rsidRPr="000A08A7">
        <w:rPr>
          <w:rFonts w:ascii="Times New Roman" w:hAnsi="Times New Roman" w:cs="Times New Roman"/>
          <w:sz w:val="24"/>
          <w:szCs w:val="24"/>
          <w:lang w:val="en-US"/>
        </w:rPr>
        <w:t xml:space="preserve"> (Ed.), </w:t>
      </w:r>
      <w:r w:rsidRPr="000A08A7">
        <w:rPr>
          <w:rFonts w:ascii="Times New Roman" w:hAnsi="Times New Roman" w:cs="Times New Roman"/>
          <w:i/>
          <w:iCs/>
          <w:sz w:val="24"/>
          <w:szCs w:val="24"/>
          <w:lang w:val="en-US"/>
        </w:rPr>
        <w:t>Onomastics in contemporary public space</w:t>
      </w:r>
      <w:r w:rsidRPr="000A08A7">
        <w:rPr>
          <w:rFonts w:ascii="Times New Roman" w:hAnsi="Times New Roman" w:cs="Times New Roman"/>
          <w:sz w:val="24"/>
          <w:szCs w:val="24"/>
          <w:lang w:val="en-US"/>
        </w:rPr>
        <w:t xml:space="preserve"> (pp. 443–457). Cambridge Scholars Publ.</w:t>
      </w:r>
    </w:p>
    <w:p w14:paraId="3910C8A4"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proofErr w:type="spellStart"/>
      <w:r w:rsidRPr="000A08A7">
        <w:rPr>
          <w:rFonts w:ascii="Times New Roman" w:hAnsi="Times New Roman" w:cs="Times New Roman"/>
          <w:sz w:val="24"/>
          <w:szCs w:val="24"/>
          <w:lang w:val="en-US"/>
        </w:rPr>
        <w:t>Mangiron</w:t>
      </w:r>
      <w:proofErr w:type="spellEnd"/>
      <w:r w:rsidRPr="000A08A7">
        <w:rPr>
          <w:rFonts w:ascii="Times New Roman" w:hAnsi="Times New Roman" w:cs="Times New Roman"/>
          <w:sz w:val="24"/>
          <w:szCs w:val="24"/>
          <w:lang w:val="en-US"/>
        </w:rPr>
        <w:t xml:space="preserve">, C. (2018). Reception studies in game </w:t>
      </w:r>
      <w:proofErr w:type="spellStart"/>
      <w:r w:rsidRPr="000A08A7">
        <w:rPr>
          <w:rFonts w:ascii="Times New Roman" w:hAnsi="Times New Roman" w:cs="Times New Roman"/>
          <w:sz w:val="24"/>
          <w:szCs w:val="24"/>
          <w:lang w:val="en-US"/>
        </w:rPr>
        <w:t>localisation</w:t>
      </w:r>
      <w:proofErr w:type="spellEnd"/>
      <w:r w:rsidRPr="000A08A7">
        <w:rPr>
          <w:rFonts w:ascii="Times New Roman" w:hAnsi="Times New Roman" w:cs="Times New Roman"/>
          <w:sz w:val="24"/>
          <w:szCs w:val="24"/>
          <w:lang w:val="en-US"/>
        </w:rPr>
        <w:t xml:space="preserve">: Taking stock. In E. Di Giovanni &amp; Y. Gambier (Eds.), </w:t>
      </w:r>
      <w:r w:rsidRPr="000A08A7">
        <w:rPr>
          <w:rFonts w:ascii="Times New Roman" w:hAnsi="Times New Roman" w:cs="Times New Roman"/>
          <w:i/>
          <w:iCs/>
          <w:sz w:val="24"/>
          <w:szCs w:val="24"/>
          <w:lang w:val="en-US"/>
        </w:rPr>
        <w:t>Reception studies and audiovisual translation</w:t>
      </w:r>
      <w:r w:rsidRPr="000A08A7">
        <w:rPr>
          <w:rFonts w:ascii="Times New Roman" w:hAnsi="Times New Roman" w:cs="Times New Roman"/>
          <w:sz w:val="24"/>
          <w:szCs w:val="24"/>
          <w:lang w:val="en-US"/>
        </w:rPr>
        <w:t xml:space="preserve"> (pp. 277–296). John Benjamins Publishing Company.</w:t>
      </w:r>
    </w:p>
    <w:p w14:paraId="53EE12F2"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Mazi-Leskovar, D. (2017). Names in Literary Translation: A Case Study of English Versions of the Slovenian Tale Martin Krpan. </w:t>
      </w:r>
      <w:r w:rsidRPr="000A08A7">
        <w:rPr>
          <w:rFonts w:ascii="Times New Roman" w:hAnsi="Times New Roman" w:cs="Times New Roman"/>
          <w:i/>
          <w:iCs/>
          <w:sz w:val="24"/>
          <w:szCs w:val="24"/>
          <w:lang w:val="en-US"/>
        </w:rPr>
        <w:t xml:space="preserve">Acta </w:t>
      </w:r>
      <w:proofErr w:type="spellStart"/>
      <w:r w:rsidRPr="000A08A7">
        <w:rPr>
          <w:rFonts w:ascii="Times New Roman" w:hAnsi="Times New Roman" w:cs="Times New Roman"/>
          <w:i/>
          <w:iCs/>
          <w:sz w:val="24"/>
          <w:szCs w:val="24"/>
          <w:lang w:val="en-US"/>
        </w:rPr>
        <w:t>Neophilologica</w:t>
      </w:r>
      <w:proofErr w:type="spellEnd"/>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50</w:t>
      </w:r>
      <w:r w:rsidRPr="000A08A7">
        <w:rPr>
          <w:rFonts w:ascii="Times New Roman" w:hAnsi="Times New Roman" w:cs="Times New Roman"/>
          <w:sz w:val="24"/>
          <w:szCs w:val="24"/>
          <w:lang w:val="en-US"/>
        </w:rPr>
        <w:t xml:space="preserve">(1–2), 137–152. </w:t>
      </w:r>
      <w:hyperlink r:id="rId23" w:history="1">
        <w:r w:rsidRPr="000A08A7">
          <w:rPr>
            <w:rStyle w:val="Hipercze"/>
            <w:rFonts w:ascii="Times New Roman" w:hAnsi="Times New Roman" w:cs="Times New Roman"/>
            <w:sz w:val="24"/>
            <w:szCs w:val="24"/>
            <w:lang w:val="en-US"/>
          </w:rPr>
          <w:t>https://doi.org/10.4312/an.50.1-2.137-152</w:t>
        </w:r>
      </w:hyperlink>
    </w:p>
    <w:p w14:paraId="6F599FCF"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Newmark, P. (1986). </w:t>
      </w:r>
      <w:r w:rsidRPr="000A08A7">
        <w:rPr>
          <w:rFonts w:ascii="Times New Roman" w:hAnsi="Times New Roman" w:cs="Times New Roman"/>
          <w:i/>
          <w:iCs/>
          <w:sz w:val="24"/>
          <w:szCs w:val="24"/>
          <w:lang w:val="en-US"/>
        </w:rPr>
        <w:t>Approaches to translation</w:t>
      </w:r>
      <w:r w:rsidRPr="000A08A7">
        <w:rPr>
          <w:rFonts w:ascii="Times New Roman" w:hAnsi="Times New Roman" w:cs="Times New Roman"/>
          <w:sz w:val="24"/>
          <w:szCs w:val="24"/>
          <w:lang w:val="en-US"/>
        </w:rPr>
        <w:t>. Pergamon Press.</w:t>
      </w:r>
    </w:p>
    <w:p w14:paraId="5C54B67E"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Nida, E. (2000). Principles of Correspondence. In L. Venuti (Ed.), </w:t>
      </w:r>
      <w:r w:rsidRPr="000A08A7">
        <w:rPr>
          <w:rFonts w:ascii="Times New Roman" w:hAnsi="Times New Roman" w:cs="Times New Roman"/>
          <w:i/>
          <w:iCs/>
          <w:sz w:val="24"/>
          <w:szCs w:val="24"/>
          <w:lang w:val="en-US"/>
        </w:rPr>
        <w:t>The Translation studies reader</w:t>
      </w:r>
      <w:r w:rsidRPr="000A08A7">
        <w:rPr>
          <w:rFonts w:ascii="Times New Roman" w:hAnsi="Times New Roman" w:cs="Times New Roman"/>
          <w:sz w:val="24"/>
          <w:szCs w:val="24"/>
          <w:lang w:val="en-US"/>
        </w:rPr>
        <w:t xml:space="preserve"> (pp. 126–140). Routledge.</w:t>
      </w:r>
    </w:p>
    <w:p w14:paraId="38E9E800" w14:textId="77777777" w:rsidR="009817C3" w:rsidRPr="000A08A7" w:rsidRDefault="009817C3" w:rsidP="009817C3">
      <w:pPr>
        <w:spacing w:after="60" w:line="240" w:lineRule="auto"/>
        <w:ind w:left="284" w:hanging="284"/>
        <w:rPr>
          <w:rFonts w:ascii="Times New Roman" w:hAnsi="Times New Roman" w:cs="Times New Roman"/>
          <w:sz w:val="24"/>
          <w:szCs w:val="24"/>
        </w:rPr>
      </w:pPr>
      <w:r w:rsidRPr="000A08A7">
        <w:rPr>
          <w:rFonts w:ascii="Times New Roman" w:hAnsi="Times New Roman" w:cs="Times New Roman"/>
          <w:sz w:val="24"/>
          <w:szCs w:val="24"/>
          <w:lang w:val="en-US"/>
        </w:rPr>
        <w:t xml:space="preserve">Nord, C. (2003). Proper Names in Translations for Children: Alice in Wonderland as a Case in Point. </w:t>
      </w:r>
      <w:r w:rsidRPr="000A08A7">
        <w:rPr>
          <w:rFonts w:ascii="Times New Roman" w:hAnsi="Times New Roman" w:cs="Times New Roman"/>
          <w:i/>
          <w:iCs/>
          <w:sz w:val="24"/>
          <w:szCs w:val="24"/>
        </w:rPr>
        <w:t>Meta</w:t>
      </w:r>
      <w:r w:rsidRPr="000A08A7">
        <w:rPr>
          <w:rFonts w:ascii="Times New Roman" w:hAnsi="Times New Roman" w:cs="Times New Roman"/>
          <w:sz w:val="24"/>
          <w:szCs w:val="24"/>
        </w:rPr>
        <w:t xml:space="preserve">, </w:t>
      </w:r>
      <w:r w:rsidRPr="000A08A7">
        <w:rPr>
          <w:rFonts w:ascii="Times New Roman" w:hAnsi="Times New Roman" w:cs="Times New Roman"/>
          <w:i/>
          <w:iCs/>
          <w:sz w:val="24"/>
          <w:szCs w:val="24"/>
        </w:rPr>
        <w:t>48</w:t>
      </w:r>
      <w:r w:rsidRPr="000A08A7">
        <w:rPr>
          <w:rFonts w:ascii="Times New Roman" w:hAnsi="Times New Roman" w:cs="Times New Roman"/>
          <w:sz w:val="24"/>
          <w:szCs w:val="24"/>
        </w:rPr>
        <w:t xml:space="preserve">(1–2), 182–196. </w:t>
      </w:r>
      <w:hyperlink r:id="rId24" w:history="1">
        <w:r w:rsidRPr="000A08A7">
          <w:rPr>
            <w:rStyle w:val="Hipercze"/>
            <w:rFonts w:ascii="Times New Roman" w:hAnsi="Times New Roman" w:cs="Times New Roman"/>
            <w:sz w:val="24"/>
            <w:szCs w:val="24"/>
          </w:rPr>
          <w:t>https://doi.org/10.7202/006966ar</w:t>
        </w:r>
      </w:hyperlink>
    </w:p>
    <w:p w14:paraId="007614E1"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proofErr w:type="spellStart"/>
      <w:r w:rsidRPr="000A08A7">
        <w:rPr>
          <w:rFonts w:ascii="Times New Roman" w:hAnsi="Times New Roman" w:cs="Times New Roman"/>
          <w:sz w:val="24"/>
          <w:szCs w:val="24"/>
        </w:rPr>
        <w:t>Osgood</w:t>
      </w:r>
      <w:proofErr w:type="spellEnd"/>
      <w:r w:rsidRPr="000A08A7">
        <w:rPr>
          <w:rFonts w:ascii="Times New Roman" w:hAnsi="Times New Roman" w:cs="Times New Roman"/>
          <w:sz w:val="24"/>
          <w:szCs w:val="24"/>
        </w:rPr>
        <w:t xml:space="preserve">, C. E., Suci, G. J., &amp; </w:t>
      </w:r>
      <w:proofErr w:type="spellStart"/>
      <w:r w:rsidRPr="000A08A7">
        <w:rPr>
          <w:rFonts w:ascii="Times New Roman" w:hAnsi="Times New Roman" w:cs="Times New Roman"/>
          <w:sz w:val="24"/>
          <w:szCs w:val="24"/>
        </w:rPr>
        <w:t>Tannenbaum</w:t>
      </w:r>
      <w:proofErr w:type="spellEnd"/>
      <w:r w:rsidRPr="000A08A7">
        <w:rPr>
          <w:rFonts w:ascii="Times New Roman" w:hAnsi="Times New Roman" w:cs="Times New Roman"/>
          <w:sz w:val="24"/>
          <w:szCs w:val="24"/>
        </w:rPr>
        <w:t xml:space="preserve">, P. H. (1967). </w:t>
      </w:r>
      <w:r w:rsidRPr="000A08A7">
        <w:rPr>
          <w:rFonts w:ascii="Times New Roman" w:hAnsi="Times New Roman" w:cs="Times New Roman"/>
          <w:i/>
          <w:iCs/>
          <w:sz w:val="24"/>
          <w:szCs w:val="24"/>
          <w:lang w:val="en-US"/>
        </w:rPr>
        <w:t>The measurement of meaning</w:t>
      </w:r>
      <w:r w:rsidRPr="000A08A7">
        <w:rPr>
          <w:rFonts w:ascii="Times New Roman" w:hAnsi="Times New Roman" w:cs="Times New Roman"/>
          <w:sz w:val="24"/>
          <w:szCs w:val="24"/>
          <w:lang w:val="en-US"/>
        </w:rPr>
        <w:t>. University of Illinois Press.</w:t>
      </w:r>
    </w:p>
    <w:p w14:paraId="4D0BBD26"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proofErr w:type="spellStart"/>
      <w:r w:rsidRPr="000A08A7">
        <w:rPr>
          <w:rFonts w:ascii="Times New Roman" w:hAnsi="Times New Roman" w:cs="Times New Roman"/>
          <w:sz w:val="24"/>
          <w:szCs w:val="24"/>
          <w:lang w:val="en-US"/>
        </w:rPr>
        <w:t>Parianou</w:t>
      </w:r>
      <w:proofErr w:type="spellEnd"/>
      <w:r w:rsidRPr="000A08A7">
        <w:rPr>
          <w:rFonts w:ascii="Times New Roman" w:hAnsi="Times New Roman" w:cs="Times New Roman"/>
          <w:sz w:val="24"/>
          <w:szCs w:val="24"/>
          <w:lang w:val="en-US"/>
        </w:rPr>
        <w:t xml:space="preserve">, A. (2007). Translating Proper Names: A Functionalist Approach. </w:t>
      </w:r>
      <w:r w:rsidRPr="000A08A7">
        <w:rPr>
          <w:rFonts w:ascii="Times New Roman" w:hAnsi="Times New Roman" w:cs="Times New Roman"/>
          <w:i/>
          <w:iCs/>
          <w:sz w:val="24"/>
          <w:szCs w:val="24"/>
          <w:lang w:val="en-US"/>
        </w:rPr>
        <w:t>NAMES: A Journal of Onomastics</w:t>
      </w:r>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55</w:t>
      </w:r>
      <w:r w:rsidRPr="000A08A7">
        <w:rPr>
          <w:rFonts w:ascii="Times New Roman" w:hAnsi="Times New Roman" w:cs="Times New Roman"/>
          <w:sz w:val="24"/>
          <w:szCs w:val="24"/>
          <w:lang w:val="en-US"/>
        </w:rPr>
        <w:t>(4), 407–416.</w:t>
      </w:r>
    </w:p>
    <w:p w14:paraId="56644A99" w14:textId="77777777" w:rsidR="009817C3"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Phillips, W., &amp; Boroditsky, L. (2003). Can Quirks of Grammar Affect the Way You Think? Grammatical Gender and Object Concepts. </w:t>
      </w:r>
      <w:r w:rsidRPr="000A08A7">
        <w:rPr>
          <w:rFonts w:ascii="Times New Roman" w:hAnsi="Times New Roman" w:cs="Times New Roman"/>
          <w:i/>
          <w:iCs/>
          <w:sz w:val="24"/>
          <w:szCs w:val="24"/>
          <w:lang w:val="en-US"/>
        </w:rPr>
        <w:t>Proceedings of the Annual Meeting of the Cognitive Science Society</w:t>
      </w:r>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Volume 25</w:t>
      </w:r>
      <w:r w:rsidRPr="000A08A7">
        <w:rPr>
          <w:rFonts w:ascii="Times New Roman" w:hAnsi="Times New Roman" w:cs="Times New Roman"/>
          <w:sz w:val="24"/>
          <w:szCs w:val="24"/>
          <w:lang w:val="en-US"/>
        </w:rPr>
        <w:t>, 928–933.</w:t>
      </w:r>
    </w:p>
    <w:p w14:paraId="0CE66E8B" w14:textId="77777777" w:rsidR="000A08A7" w:rsidRPr="000A08A7" w:rsidRDefault="000A08A7" w:rsidP="000A08A7">
      <w:pPr>
        <w:spacing w:after="60" w:line="240" w:lineRule="auto"/>
        <w:ind w:left="284" w:hanging="284"/>
        <w:rPr>
          <w:rFonts w:ascii="Times New Roman" w:hAnsi="Times New Roman" w:cs="Times New Roman"/>
          <w:sz w:val="24"/>
          <w:szCs w:val="24"/>
          <w:lang w:val="en-US"/>
        </w:rPr>
      </w:pPr>
      <w:proofErr w:type="spellStart"/>
      <w:r w:rsidRPr="000A08A7">
        <w:rPr>
          <w:rFonts w:ascii="Times New Roman" w:hAnsi="Times New Roman" w:cs="Times New Roman"/>
          <w:sz w:val="24"/>
          <w:szCs w:val="24"/>
          <w:lang w:val="en-US"/>
        </w:rPr>
        <w:t>Qiangqiang</w:t>
      </w:r>
      <w:proofErr w:type="spellEnd"/>
      <w:r w:rsidRPr="000A08A7">
        <w:rPr>
          <w:rFonts w:ascii="Times New Roman" w:hAnsi="Times New Roman" w:cs="Times New Roman"/>
          <w:sz w:val="24"/>
          <w:szCs w:val="24"/>
          <w:lang w:val="en-US"/>
        </w:rPr>
        <w:t xml:space="preserve"> Wang, </w:t>
      </w:r>
      <w:proofErr w:type="spellStart"/>
      <w:r w:rsidRPr="000A08A7">
        <w:rPr>
          <w:rFonts w:ascii="Times New Roman" w:hAnsi="Times New Roman" w:cs="Times New Roman"/>
          <w:sz w:val="24"/>
          <w:szCs w:val="24"/>
          <w:lang w:val="en-US"/>
        </w:rPr>
        <w:t>Mowei</w:t>
      </w:r>
      <w:proofErr w:type="spellEnd"/>
      <w:r w:rsidRPr="000A08A7">
        <w:rPr>
          <w:rFonts w:ascii="Times New Roman" w:hAnsi="Times New Roman" w:cs="Times New Roman"/>
          <w:sz w:val="24"/>
          <w:szCs w:val="24"/>
          <w:lang w:val="en-US"/>
        </w:rPr>
        <w:t xml:space="preserve"> Liu, Wendian Shi, &amp; </w:t>
      </w:r>
      <w:proofErr w:type="spellStart"/>
      <w:r w:rsidRPr="000A08A7">
        <w:rPr>
          <w:rFonts w:ascii="Times New Roman" w:hAnsi="Times New Roman" w:cs="Times New Roman"/>
          <w:sz w:val="24"/>
          <w:szCs w:val="24"/>
          <w:lang w:val="en-US"/>
        </w:rPr>
        <w:t>Jingmei</w:t>
      </w:r>
      <w:proofErr w:type="spellEnd"/>
      <w:r w:rsidRPr="000A08A7">
        <w:rPr>
          <w:rFonts w:ascii="Times New Roman" w:hAnsi="Times New Roman" w:cs="Times New Roman"/>
          <w:sz w:val="24"/>
          <w:szCs w:val="24"/>
          <w:lang w:val="en-US"/>
        </w:rPr>
        <w:t xml:space="preserve"> Kang. (2018). Mechanism of the SNARC Effect in Numerical Magnitude, Time Sequence, and Spatial Sequence Tasks: Involvement of LTM and WM. </w:t>
      </w:r>
      <w:r w:rsidRPr="000A08A7">
        <w:rPr>
          <w:rFonts w:ascii="Times New Roman" w:hAnsi="Times New Roman" w:cs="Times New Roman"/>
          <w:i/>
          <w:iCs/>
          <w:sz w:val="24"/>
          <w:szCs w:val="24"/>
          <w:lang w:val="en-US"/>
        </w:rPr>
        <w:t>Frontiers in Psychology</w:t>
      </w:r>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9</w:t>
      </w:r>
      <w:r w:rsidRPr="000A08A7">
        <w:rPr>
          <w:rFonts w:ascii="Times New Roman" w:hAnsi="Times New Roman" w:cs="Times New Roman"/>
          <w:sz w:val="24"/>
          <w:szCs w:val="24"/>
          <w:lang w:val="en-US"/>
        </w:rPr>
        <w:t xml:space="preserve">, 1558. </w:t>
      </w:r>
      <w:hyperlink r:id="rId25" w:history="1">
        <w:r w:rsidRPr="000A08A7">
          <w:rPr>
            <w:rStyle w:val="Hipercze"/>
            <w:rFonts w:ascii="Times New Roman" w:hAnsi="Times New Roman" w:cs="Times New Roman"/>
            <w:sz w:val="24"/>
            <w:szCs w:val="24"/>
            <w:lang w:val="en-US"/>
          </w:rPr>
          <w:t>https://doi.org/10.3389/fpsyg.2018.01558</w:t>
        </w:r>
      </w:hyperlink>
    </w:p>
    <w:p w14:paraId="608EB52F"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proofErr w:type="spellStart"/>
      <w:r w:rsidRPr="000A08A7">
        <w:rPr>
          <w:rFonts w:ascii="Times New Roman" w:hAnsi="Times New Roman" w:cs="Times New Roman"/>
          <w:sz w:val="24"/>
          <w:szCs w:val="24"/>
          <w:lang w:val="en-US"/>
        </w:rPr>
        <w:t>Rachut</w:t>
      </w:r>
      <w:proofErr w:type="spellEnd"/>
      <w:r w:rsidRPr="000A08A7">
        <w:rPr>
          <w:rFonts w:ascii="Times New Roman" w:hAnsi="Times New Roman" w:cs="Times New Roman"/>
          <w:sz w:val="24"/>
          <w:szCs w:val="24"/>
          <w:lang w:val="en-US"/>
        </w:rPr>
        <w:t xml:space="preserve">, K. (2017). The specificity of literary proper names: Harry potter in translation into polish and </w:t>
      </w:r>
      <w:proofErr w:type="spellStart"/>
      <w:r w:rsidRPr="000A08A7">
        <w:rPr>
          <w:rFonts w:ascii="Times New Roman" w:hAnsi="Times New Roman" w:cs="Times New Roman"/>
          <w:sz w:val="24"/>
          <w:szCs w:val="24"/>
          <w:lang w:val="en-US"/>
        </w:rPr>
        <w:t>russian</w:t>
      </w:r>
      <w:proofErr w:type="spellEnd"/>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 xml:space="preserve">Annales </w:t>
      </w:r>
      <w:proofErr w:type="spellStart"/>
      <w:r w:rsidRPr="000A08A7">
        <w:rPr>
          <w:rFonts w:ascii="Times New Roman" w:hAnsi="Times New Roman" w:cs="Times New Roman"/>
          <w:i/>
          <w:iCs/>
          <w:sz w:val="24"/>
          <w:szCs w:val="24"/>
          <w:lang w:val="en-US"/>
        </w:rPr>
        <w:t>Neophilologiarum</w:t>
      </w:r>
      <w:proofErr w:type="spellEnd"/>
      <w:r w:rsidRPr="000A08A7">
        <w:rPr>
          <w:rFonts w:ascii="Times New Roman" w:hAnsi="Times New Roman" w:cs="Times New Roman"/>
          <w:sz w:val="24"/>
          <w:szCs w:val="24"/>
          <w:lang w:val="en-US"/>
        </w:rPr>
        <w:t xml:space="preserve">, </w:t>
      </w:r>
      <w:r w:rsidRPr="000A08A7">
        <w:rPr>
          <w:rFonts w:ascii="Times New Roman" w:hAnsi="Times New Roman" w:cs="Times New Roman"/>
          <w:i/>
          <w:iCs/>
          <w:sz w:val="24"/>
          <w:szCs w:val="24"/>
          <w:lang w:val="en-US"/>
        </w:rPr>
        <w:t>11</w:t>
      </w:r>
      <w:r w:rsidRPr="000A08A7">
        <w:rPr>
          <w:rFonts w:ascii="Times New Roman" w:hAnsi="Times New Roman" w:cs="Times New Roman"/>
          <w:sz w:val="24"/>
          <w:szCs w:val="24"/>
          <w:lang w:val="en-US"/>
        </w:rPr>
        <w:t xml:space="preserve">, 127–142. </w:t>
      </w:r>
      <w:hyperlink r:id="rId26" w:history="1">
        <w:r w:rsidRPr="000A08A7">
          <w:rPr>
            <w:rStyle w:val="Hipercze"/>
            <w:rFonts w:ascii="Times New Roman" w:hAnsi="Times New Roman" w:cs="Times New Roman"/>
            <w:sz w:val="24"/>
            <w:szCs w:val="24"/>
            <w:lang w:val="en-US"/>
          </w:rPr>
          <w:t>https://doi.org/10.18276/an.2017.11-10</w:t>
        </w:r>
      </w:hyperlink>
    </w:p>
    <w:p w14:paraId="5DC9B19A" w14:textId="77777777" w:rsidR="009817C3" w:rsidRPr="000A08A7" w:rsidRDefault="009817C3" w:rsidP="009817C3">
      <w:pPr>
        <w:spacing w:after="60" w:line="240" w:lineRule="auto"/>
        <w:ind w:left="284" w:hanging="284"/>
        <w:rPr>
          <w:rFonts w:ascii="Times New Roman" w:hAnsi="Times New Roman" w:cs="Times New Roman"/>
          <w:sz w:val="24"/>
          <w:szCs w:val="24"/>
        </w:rPr>
      </w:pPr>
      <w:proofErr w:type="spellStart"/>
      <w:r w:rsidRPr="000A08A7">
        <w:rPr>
          <w:rFonts w:ascii="Times New Roman" w:hAnsi="Times New Roman" w:cs="Times New Roman"/>
          <w:sz w:val="24"/>
          <w:szCs w:val="24"/>
          <w:lang w:val="en-US"/>
        </w:rPr>
        <w:t>Suojanen</w:t>
      </w:r>
      <w:proofErr w:type="spellEnd"/>
      <w:r w:rsidRPr="000A08A7">
        <w:rPr>
          <w:rFonts w:ascii="Times New Roman" w:hAnsi="Times New Roman" w:cs="Times New Roman"/>
          <w:sz w:val="24"/>
          <w:szCs w:val="24"/>
          <w:lang w:val="en-US"/>
        </w:rPr>
        <w:t xml:space="preserve">, T., Koskinen, K., &amp; Tuominen, T. (2015). </w:t>
      </w:r>
      <w:r w:rsidRPr="000A08A7">
        <w:rPr>
          <w:rFonts w:ascii="Times New Roman" w:hAnsi="Times New Roman" w:cs="Times New Roman"/>
          <w:i/>
          <w:iCs/>
          <w:sz w:val="24"/>
          <w:szCs w:val="24"/>
          <w:lang w:val="en-US"/>
        </w:rPr>
        <w:t>User-centered translation</w:t>
      </w:r>
      <w:r w:rsidRPr="000A08A7">
        <w:rPr>
          <w:rFonts w:ascii="Times New Roman" w:hAnsi="Times New Roman" w:cs="Times New Roman"/>
          <w:sz w:val="24"/>
          <w:szCs w:val="24"/>
          <w:lang w:val="en-US"/>
        </w:rPr>
        <w:t xml:space="preserve"> (First published). </w:t>
      </w:r>
      <w:proofErr w:type="spellStart"/>
      <w:r w:rsidRPr="000A08A7">
        <w:rPr>
          <w:rFonts w:ascii="Times New Roman" w:hAnsi="Times New Roman" w:cs="Times New Roman"/>
          <w:sz w:val="24"/>
          <w:szCs w:val="24"/>
        </w:rPr>
        <w:t>Routledge</w:t>
      </w:r>
      <w:proofErr w:type="spellEnd"/>
      <w:r w:rsidRPr="000A08A7">
        <w:rPr>
          <w:rFonts w:ascii="Times New Roman" w:hAnsi="Times New Roman" w:cs="Times New Roman"/>
          <w:sz w:val="24"/>
          <w:szCs w:val="24"/>
        </w:rPr>
        <w:t>.</w:t>
      </w:r>
    </w:p>
    <w:p w14:paraId="1DAF3F82"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rPr>
        <w:t xml:space="preserve">Tucholska, K., </w:t>
      </w:r>
      <w:proofErr w:type="spellStart"/>
      <w:r w:rsidRPr="000A08A7">
        <w:rPr>
          <w:rFonts w:ascii="Times New Roman" w:hAnsi="Times New Roman" w:cs="Times New Roman"/>
          <w:sz w:val="24"/>
          <w:szCs w:val="24"/>
        </w:rPr>
        <w:t>Gulla</w:t>
      </w:r>
      <w:proofErr w:type="spellEnd"/>
      <w:r w:rsidRPr="000A08A7">
        <w:rPr>
          <w:rFonts w:ascii="Times New Roman" w:hAnsi="Times New Roman" w:cs="Times New Roman"/>
          <w:sz w:val="24"/>
          <w:szCs w:val="24"/>
        </w:rPr>
        <w:t xml:space="preserve">, B., </w:t>
      </w:r>
      <w:proofErr w:type="spellStart"/>
      <w:r w:rsidRPr="000A08A7">
        <w:rPr>
          <w:rFonts w:ascii="Times New Roman" w:hAnsi="Times New Roman" w:cs="Times New Roman"/>
          <w:sz w:val="24"/>
          <w:szCs w:val="24"/>
        </w:rPr>
        <w:t>Wysocka-Pleczyk</w:t>
      </w:r>
      <w:proofErr w:type="spellEnd"/>
      <w:r w:rsidRPr="000A08A7">
        <w:rPr>
          <w:rFonts w:ascii="Times New Roman" w:hAnsi="Times New Roman" w:cs="Times New Roman"/>
          <w:sz w:val="24"/>
          <w:szCs w:val="24"/>
        </w:rPr>
        <w:t xml:space="preserve">, M., Piotrowski, P., Florek, S., </w:t>
      </w:r>
      <w:proofErr w:type="spellStart"/>
      <w:r w:rsidRPr="000A08A7">
        <w:rPr>
          <w:rFonts w:ascii="Times New Roman" w:hAnsi="Times New Roman" w:cs="Times New Roman"/>
          <w:sz w:val="24"/>
          <w:szCs w:val="24"/>
        </w:rPr>
        <w:t>Sekulak</w:t>
      </w:r>
      <w:proofErr w:type="spellEnd"/>
      <w:r w:rsidRPr="000A08A7">
        <w:rPr>
          <w:rFonts w:ascii="Times New Roman" w:hAnsi="Times New Roman" w:cs="Times New Roman"/>
          <w:sz w:val="24"/>
          <w:szCs w:val="24"/>
        </w:rPr>
        <w:t xml:space="preserve">, M., &amp; Głomb, K. ((in </w:t>
      </w:r>
      <w:proofErr w:type="spellStart"/>
      <w:r w:rsidRPr="000A08A7">
        <w:rPr>
          <w:rFonts w:ascii="Times New Roman" w:hAnsi="Times New Roman" w:cs="Times New Roman"/>
          <w:sz w:val="24"/>
          <w:szCs w:val="24"/>
        </w:rPr>
        <w:t>print</w:t>
      </w:r>
      <w:proofErr w:type="spellEnd"/>
      <w:r w:rsidRPr="000A08A7">
        <w:rPr>
          <w:rFonts w:ascii="Times New Roman" w:hAnsi="Times New Roman" w:cs="Times New Roman"/>
          <w:sz w:val="24"/>
          <w:szCs w:val="24"/>
        </w:rPr>
        <w:t xml:space="preserve">)). </w:t>
      </w:r>
      <w:r w:rsidRPr="000A08A7">
        <w:rPr>
          <w:rFonts w:ascii="Times New Roman" w:hAnsi="Times New Roman" w:cs="Times New Roman"/>
          <w:sz w:val="24"/>
          <w:szCs w:val="24"/>
          <w:lang w:val="en-US"/>
        </w:rPr>
        <w:t xml:space="preserve">Time experiencing in men serving the term of imprisonment—A semantic differential study. </w:t>
      </w:r>
      <w:proofErr w:type="spellStart"/>
      <w:r w:rsidRPr="000A08A7">
        <w:rPr>
          <w:rFonts w:ascii="Times New Roman" w:hAnsi="Times New Roman" w:cs="Times New Roman"/>
          <w:i/>
          <w:iCs/>
          <w:sz w:val="24"/>
          <w:szCs w:val="24"/>
          <w:lang w:val="en-US"/>
        </w:rPr>
        <w:t>KronoScope</w:t>
      </w:r>
      <w:proofErr w:type="spellEnd"/>
      <w:r w:rsidRPr="000A08A7">
        <w:rPr>
          <w:rFonts w:ascii="Times New Roman" w:hAnsi="Times New Roman" w:cs="Times New Roman"/>
          <w:sz w:val="24"/>
          <w:szCs w:val="24"/>
          <w:lang w:val="en-US"/>
        </w:rPr>
        <w:t xml:space="preserve">. </w:t>
      </w:r>
      <w:hyperlink r:id="rId27" w:history="1">
        <w:r w:rsidRPr="000A08A7">
          <w:rPr>
            <w:rStyle w:val="Hipercze"/>
            <w:rFonts w:ascii="Times New Roman" w:hAnsi="Times New Roman" w:cs="Times New Roman"/>
            <w:sz w:val="24"/>
            <w:szCs w:val="24"/>
            <w:lang w:val="en-US"/>
          </w:rPr>
          <w:t>https://doi.org/10.57903/UJ/PBVUPE</w:t>
        </w:r>
      </w:hyperlink>
    </w:p>
    <w:p w14:paraId="67241A8B"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proofErr w:type="spellStart"/>
      <w:r w:rsidRPr="000A08A7">
        <w:rPr>
          <w:rFonts w:ascii="Times New Roman" w:hAnsi="Times New Roman" w:cs="Times New Roman"/>
          <w:sz w:val="24"/>
          <w:szCs w:val="24"/>
          <w:lang w:val="en-US"/>
        </w:rPr>
        <w:t>Tymoczko</w:t>
      </w:r>
      <w:proofErr w:type="spellEnd"/>
      <w:r w:rsidRPr="000A08A7">
        <w:rPr>
          <w:rFonts w:ascii="Times New Roman" w:hAnsi="Times New Roman" w:cs="Times New Roman"/>
          <w:sz w:val="24"/>
          <w:szCs w:val="24"/>
          <w:lang w:val="en-US"/>
        </w:rPr>
        <w:t xml:space="preserve">, M. (2014). </w:t>
      </w:r>
      <w:r w:rsidRPr="000A08A7">
        <w:rPr>
          <w:rFonts w:ascii="Times New Roman" w:hAnsi="Times New Roman" w:cs="Times New Roman"/>
          <w:i/>
          <w:iCs/>
          <w:sz w:val="24"/>
          <w:szCs w:val="24"/>
          <w:lang w:val="en-US"/>
        </w:rPr>
        <w:t>Translation in a postcolonial context: Early Irish literature in English translation</w:t>
      </w:r>
      <w:r w:rsidRPr="000A08A7">
        <w:rPr>
          <w:rFonts w:ascii="Times New Roman" w:hAnsi="Times New Roman" w:cs="Times New Roman"/>
          <w:sz w:val="24"/>
          <w:szCs w:val="24"/>
          <w:lang w:val="en-US"/>
        </w:rPr>
        <w:t>. Routledge.</w:t>
      </w:r>
    </w:p>
    <w:p w14:paraId="6F1B28CD" w14:textId="77777777" w:rsidR="009817C3" w:rsidRPr="000A08A7" w:rsidRDefault="009817C3" w:rsidP="009817C3">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Venuti, L. (1995). </w:t>
      </w:r>
      <w:r w:rsidRPr="000A08A7">
        <w:rPr>
          <w:rFonts w:ascii="Times New Roman" w:hAnsi="Times New Roman" w:cs="Times New Roman"/>
          <w:i/>
          <w:iCs/>
          <w:sz w:val="24"/>
          <w:szCs w:val="24"/>
          <w:lang w:val="en-US"/>
        </w:rPr>
        <w:t>The translator’s invisibility: A history of translation</w:t>
      </w:r>
      <w:r w:rsidRPr="000A08A7">
        <w:rPr>
          <w:rFonts w:ascii="Times New Roman" w:hAnsi="Times New Roman" w:cs="Times New Roman"/>
          <w:sz w:val="24"/>
          <w:szCs w:val="24"/>
          <w:lang w:val="en-US"/>
        </w:rPr>
        <w:t>. Routledge.</w:t>
      </w:r>
    </w:p>
    <w:p w14:paraId="61107288" w14:textId="1DC4922B" w:rsidR="009817C3" w:rsidRPr="000A08A7" w:rsidRDefault="009817C3" w:rsidP="000A08A7">
      <w:pPr>
        <w:spacing w:after="60" w:line="240" w:lineRule="auto"/>
        <w:ind w:left="284" w:hanging="284"/>
        <w:rPr>
          <w:rFonts w:ascii="Times New Roman" w:hAnsi="Times New Roman" w:cs="Times New Roman"/>
          <w:sz w:val="24"/>
          <w:szCs w:val="24"/>
          <w:lang w:val="en-US"/>
        </w:rPr>
      </w:pPr>
      <w:r w:rsidRPr="000A08A7">
        <w:rPr>
          <w:rFonts w:ascii="Times New Roman" w:hAnsi="Times New Roman" w:cs="Times New Roman"/>
          <w:sz w:val="24"/>
          <w:szCs w:val="24"/>
          <w:lang w:val="en-US"/>
        </w:rPr>
        <w:t xml:space="preserve">Vermeer, H. J. (2000). </w:t>
      </w:r>
      <w:proofErr w:type="spellStart"/>
      <w:r w:rsidRPr="000A08A7">
        <w:rPr>
          <w:rFonts w:ascii="Times New Roman" w:hAnsi="Times New Roman" w:cs="Times New Roman"/>
          <w:sz w:val="24"/>
          <w:szCs w:val="24"/>
          <w:lang w:val="en-US"/>
        </w:rPr>
        <w:t>Skopos</w:t>
      </w:r>
      <w:proofErr w:type="spellEnd"/>
      <w:r w:rsidRPr="000A08A7">
        <w:rPr>
          <w:rFonts w:ascii="Times New Roman" w:hAnsi="Times New Roman" w:cs="Times New Roman"/>
          <w:sz w:val="24"/>
          <w:szCs w:val="24"/>
          <w:lang w:val="en-US"/>
        </w:rPr>
        <w:t xml:space="preserve"> and </w:t>
      </w:r>
      <w:proofErr w:type="spellStart"/>
      <w:r w:rsidRPr="000A08A7">
        <w:rPr>
          <w:rFonts w:ascii="Times New Roman" w:hAnsi="Times New Roman" w:cs="Times New Roman"/>
          <w:sz w:val="24"/>
          <w:szCs w:val="24"/>
          <w:lang w:val="en-US"/>
        </w:rPr>
        <w:t>Comission</w:t>
      </w:r>
      <w:proofErr w:type="spellEnd"/>
      <w:r w:rsidRPr="000A08A7">
        <w:rPr>
          <w:rFonts w:ascii="Times New Roman" w:hAnsi="Times New Roman" w:cs="Times New Roman"/>
          <w:sz w:val="24"/>
          <w:szCs w:val="24"/>
          <w:lang w:val="en-US"/>
        </w:rPr>
        <w:t xml:space="preserve"> in Translational Action. In L. Venuti (Ed.), </w:t>
      </w:r>
      <w:r w:rsidRPr="000A08A7">
        <w:rPr>
          <w:rFonts w:ascii="Times New Roman" w:hAnsi="Times New Roman" w:cs="Times New Roman"/>
          <w:i/>
          <w:iCs/>
          <w:sz w:val="24"/>
          <w:szCs w:val="24"/>
          <w:lang w:val="en-US"/>
        </w:rPr>
        <w:t>The Translation studies reader</w:t>
      </w:r>
      <w:r w:rsidRPr="000A08A7">
        <w:rPr>
          <w:rFonts w:ascii="Times New Roman" w:hAnsi="Times New Roman" w:cs="Times New Roman"/>
          <w:sz w:val="24"/>
          <w:szCs w:val="24"/>
          <w:lang w:val="en-US"/>
        </w:rPr>
        <w:t xml:space="preserve"> (pp. 221–232). Routledge.</w:t>
      </w:r>
    </w:p>
    <w:sectPr w:rsidR="009817C3" w:rsidRPr="000A08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FC574" w14:textId="77777777" w:rsidR="00D55587" w:rsidRDefault="00D55587" w:rsidP="00D95B0C">
      <w:pPr>
        <w:spacing w:after="0" w:line="240" w:lineRule="auto"/>
      </w:pPr>
      <w:r>
        <w:separator/>
      </w:r>
    </w:p>
  </w:endnote>
  <w:endnote w:type="continuationSeparator" w:id="0">
    <w:p w14:paraId="456B15AA" w14:textId="77777777" w:rsidR="00D55587" w:rsidRDefault="00D55587" w:rsidP="00D95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ndara">
    <w:panose1 w:val="020E0502030303020204"/>
    <w:charset w:val="EE"/>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DD9C9" w14:textId="77777777" w:rsidR="00D55587" w:rsidRDefault="00D55587" w:rsidP="00D95B0C">
      <w:pPr>
        <w:spacing w:after="0" w:line="240" w:lineRule="auto"/>
      </w:pPr>
      <w:r>
        <w:separator/>
      </w:r>
    </w:p>
  </w:footnote>
  <w:footnote w:type="continuationSeparator" w:id="0">
    <w:p w14:paraId="421CECAA" w14:textId="77777777" w:rsidR="00D55587" w:rsidRDefault="00D55587" w:rsidP="00D95B0C">
      <w:pPr>
        <w:spacing w:after="0" w:line="240" w:lineRule="auto"/>
      </w:pPr>
      <w:r>
        <w:continuationSeparator/>
      </w:r>
    </w:p>
  </w:footnote>
  <w:footnote w:id="1">
    <w:p w14:paraId="7A689679" w14:textId="17BB2B6D" w:rsidR="00873911" w:rsidRPr="00B80126" w:rsidRDefault="00873911" w:rsidP="00873911">
      <w:pPr>
        <w:pStyle w:val="Tekstprzypisudolnego"/>
        <w:rPr>
          <w:rFonts w:ascii="Times New Roman" w:hAnsi="Times New Roman" w:cs="Times New Roman"/>
          <w:sz w:val="18"/>
          <w:szCs w:val="18"/>
          <w:lang w:val="en-US"/>
        </w:rPr>
      </w:pPr>
      <w:r w:rsidRPr="00B80126">
        <w:rPr>
          <w:rStyle w:val="Odwoanieprzypisudolnego"/>
          <w:rFonts w:ascii="Times New Roman" w:hAnsi="Times New Roman" w:cs="Times New Roman"/>
          <w:sz w:val="18"/>
          <w:szCs w:val="18"/>
        </w:rPr>
        <w:footnoteRef/>
      </w:r>
      <w:r w:rsidRPr="00B80126">
        <w:rPr>
          <w:rFonts w:ascii="Times New Roman" w:hAnsi="Times New Roman" w:cs="Times New Roman"/>
          <w:sz w:val="18"/>
          <w:szCs w:val="18"/>
          <w:lang w:val="en-US"/>
        </w:rPr>
        <w:t xml:space="preserve"> </w:t>
      </w:r>
      <w:r w:rsidRPr="00E17C04">
        <w:rPr>
          <w:rFonts w:ascii="Times New Roman" w:hAnsi="Times New Roman" w:cs="Times New Roman"/>
          <w:color w:val="70AD47" w:themeColor="accent6"/>
          <w:sz w:val="18"/>
          <w:szCs w:val="18"/>
          <w:lang w:val="en-US"/>
        </w:rPr>
        <w:t>[</w:t>
      </w:r>
      <w:r w:rsidR="00EA6D38">
        <w:rPr>
          <w:rFonts w:ascii="Times New Roman" w:hAnsi="Times New Roman" w:cs="Times New Roman"/>
          <w:color w:val="70AD47" w:themeColor="accent6"/>
          <w:sz w:val="18"/>
          <w:szCs w:val="18"/>
          <w:lang w:val="en-US"/>
        </w:rPr>
        <w:t xml:space="preserve">Research grant info </w:t>
      </w:r>
      <w:r w:rsidRPr="00E17C04">
        <w:rPr>
          <w:rFonts w:ascii="Times New Roman" w:hAnsi="Times New Roman" w:cs="Times New Roman"/>
          <w:color w:val="70AD47" w:themeColor="accent6"/>
          <w:sz w:val="18"/>
          <w:szCs w:val="18"/>
          <w:lang w:val="en-US"/>
        </w:rPr>
        <w:t>moved to biodata file</w:t>
      </w:r>
      <w:r>
        <w:rPr>
          <w:rFonts w:ascii="Times New Roman" w:hAnsi="Times New Roman" w:cs="Times New Roman"/>
          <w:color w:val="70AD47" w:themeColor="accent6"/>
          <w:sz w:val="18"/>
          <w:szCs w:val="18"/>
          <w:lang w:val="en-US"/>
        </w:rPr>
        <w:t xml:space="preserve"> for anonymity</w:t>
      </w:r>
      <w:r w:rsidRPr="00E17C04">
        <w:rPr>
          <w:rFonts w:ascii="Times New Roman" w:hAnsi="Times New Roman" w:cs="Times New Roman"/>
          <w:color w:val="70AD47" w:themeColor="accent6"/>
          <w:sz w:val="18"/>
          <w:szCs w:val="18"/>
          <w:lang w:val="en-US"/>
        </w:rPr>
        <w:t>.</w:t>
      </w:r>
      <w:r>
        <w:rPr>
          <w:rFonts w:ascii="Times New Roman" w:hAnsi="Times New Roman" w:cs="Times New Roman"/>
          <w:color w:val="70AD47" w:themeColor="accent6"/>
          <w:sz w:val="18"/>
          <w:szCs w:val="18"/>
          <w:lang w:val="en-US"/>
        </w:rPr>
        <w:t>]</w:t>
      </w:r>
    </w:p>
    <w:p w14:paraId="196194A0" w14:textId="77777777" w:rsidR="00873911" w:rsidRPr="00B80126" w:rsidRDefault="00873911" w:rsidP="00873911">
      <w:pPr>
        <w:pStyle w:val="Tekstprzypisudolnego"/>
        <w:rPr>
          <w:rFonts w:ascii="Times New Roman" w:hAnsi="Times New Roman" w:cs="Times New Roman"/>
          <w:sz w:val="18"/>
          <w:szCs w:val="18"/>
          <w:lang w:val="en-US"/>
        </w:rPr>
      </w:pPr>
    </w:p>
  </w:footnote>
  <w:footnote w:id="2">
    <w:p w14:paraId="4BF7BEC6" w14:textId="45BF9400" w:rsidR="00873911" w:rsidRPr="00603FCB" w:rsidRDefault="00873911" w:rsidP="00873911">
      <w:pPr>
        <w:pStyle w:val="Tekstprzypisudolnego"/>
        <w:rPr>
          <w:rFonts w:ascii="Candara" w:hAnsi="Candara"/>
          <w:sz w:val="18"/>
          <w:szCs w:val="18"/>
          <w:lang w:val="en-US"/>
        </w:rPr>
      </w:pPr>
      <w:r w:rsidRPr="00E164A6">
        <w:rPr>
          <w:rStyle w:val="Odwoanieprzypisudolnego"/>
          <w:rFonts w:ascii="Times New Roman" w:hAnsi="Times New Roman" w:cs="Times New Roman"/>
          <w:sz w:val="18"/>
          <w:szCs w:val="18"/>
        </w:rPr>
        <w:footnoteRef/>
      </w:r>
      <w:r w:rsidRPr="00E164A6">
        <w:rPr>
          <w:rFonts w:ascii="Times New Roman" w:hAnsi="Times New Roman" w:cs="Times New Roman"/>
          <w:sz w:val="18"/>
          <w:szCs w:val="18"/>
          <w:lang w:val="en-US"/>
        </w:rPr>
        <w:t xml:space="preserve"> Originally coined by Paul Friedrich as ‘</w:t>
      </w:r>
      <w:proofErr w:type="spellStart"/>
      <w:r w:rsidRPr="00E164A6">
        <w:rPr>
          <w:rFonts w:ascii="Times New Roman" w:hAnsi="Times New Roman" w:cs="Times New Roman"/>
          <w:sz w:val="18"/>
          <w:szCs w:val="18"/>
          <w:lang w:val="en-US"/>
        </w:rPr>
        <w:t>linguaculture</w:t>
      </w:r>
      <w:proofErr w:type="spellEnd"/>
      <w:r>
        <w:rPr>
          <w:rFonts w:ascii="Times New Roman" w:hAnsi="Times New Roman" w:cs="Times New Roman"/>
          <w:sz w:val="18"/>
          <w:szCs w:val="18"/>
          <w:lang w:val="en-US"/>
        </w:rPr>
        <w:t>,</w:t>
      </w:r>
      <w:r w:rsidRPr="00E164A6">
        <w:rPr>
          <w:rFonts w:ascii="Times New Roman" w:hAnsi="Times New Roman" w:cs="Times New Roman"/>
          <w:sz w:val="18"/>
          <w:szCs w:val="18"/>
          <w:lang w:val="en-US"/>
        </w:rPr>
        <w:t xml:space="preserve">’ the term was borrowed and modified by an American ethnographer, Michael </w:t>
      </w:r>
      <w:r w:rsidRPr="00E164A6">
        <w:rPr>
          <w:rFonts w:ascii="Times New Roman" w:hAnsi="Times New Roman" w:cs="Times New Roman"/>
          <w:sz w:val="18"/>
          <w:szCs w:val="18"/>
          <w:lang w:val="en-US"/>
        </w:rPr>
        <w:fldChar w:fldCharType="begin"/>
      </w:r>
      <w:r w:rsidRPr="00E164A6">
        <w:rPr>
          <w:rFonts w:ascii="Times New Roman" w:hAnsi="Times New Roman" w:cs="Times New Roman"/>
          <w:sz w:val="18"/>
          <w:szCs w:val="18"/>
          <w:lang w:val="en-US"/>
        </w:rPr>
        <w:instrText xml:space="preserve"> ADDIN ZOTERO_ITEM CSL_CITATION {"citationID":"QCMY6JMG","properties":{"formattedCitation":"(Agar, 2008)","plainCitation":"(Agar, 2008)","noteIndex":1},"citationItems":[{"id":55,"uris":["http://zotero.org/users/12744911/items/78ZVMKVJ"],"itemData":{"id":55,"type":"article-journal","abstract":"Language and ethnography have always gone hand in hand. In this article two kinds of linguistics are explored that seem to have a close relationship to ethnography, namely, second languaculture learning and translation theory. The article shows how the former resembles the ethnographic research process while the latter is similar to the usual ethnographic product. The irony is that neither of these two kinds of linguistics have played much of a role in ethnographic research in the past. By applying them to the author’s past work on ethnographic logic and exemplifying them with samples of applied ethnographic work, languaculture learning and translation help re-think the notion of \"method\" beyond the usual social science conversations while highlighting features of intercultural communication as it happens on the ground.","container-title":"Journal of Intercultural Communication","DOI":"10.36923/jicc.v8i1.449","ISSN":"1404-1634","issue":"1","journalAbbreviation":"J. inc. comm","page":"1-12","source":"DOI.org (Crossref)","title":"A Linguistics for Ethnography. Why Not Second Languaculture Learning and Translation?","volume":"8","author":[{"family":"Agar","given":"Michael"}],"issued":{"date-parts":[["2008",3,10]]}}}],"schema":"https://github.com/citation-style-language/schema/raw/master/csl-citation.json"} </w:instrText>
      </w:r>
      <w:r w:rsidRPr="00E164A6">
        <w:rPr>
          <w:rFonts w:ascii="Times New Roman" w:hAnsi="Times New Roman" w:cs="Times New Roman"/>
          <w:sz w:val="18"/>
          <w:szCs w:val="18"/>
          <w:lang w:val="en-US"/>
        </w:rPr>
        <w:fldChar w:fldCharType="separate"/>
      </w:r>
      <w:r w:rsidRPr="00E164A6">
        <w:rPr>
          <w:rFonts w:ascii="Times New Roman" w:hAnsi="Times New Roman" w:cs="Times New Roman"/>
          <w:sz w:val="18"/>
          <w:szCs w:val="18"/>
          <w:lang w:val="en-US"/>
        </w:rPr>
        <w:t>Agar (2008)</w:t>
      </w:r>
      <w:r w:rsidRPr="00E164A6">
        <w:rPr>
          <w:rFonts w:ascii="Times New Roman" w:hAnsi="Times New Roman" w:cs="Times New Roman"/>
          <w:sz w:val="18"/>
          <w:szCs w:val="18"/>
          <w:lang w:val="en-US"/>
        </w:rPr>
        <w:fldChar w:fldCharType="end"/>
      </w:r>
      <w:r w:rsidRPr="00E164A6">
        <w:rPr>
          <w:rFonts w:ascii="Times New Roman" w:hAnsi="Times New Roman" w:cs="Times New Roman"/>
          <w:sz w:val="18"/>
          <w:szCs w:val="18"/>
          <w:lang w:val="en-US"/>
        </w:rPr>
        <w:t xml:space="preserve"> to emphasize that learning—and making sense of—a second language is as much about vocabulary and syntax, as it is about culture—a map to finding the meanings buried in the linguistic code. The term ‘languaculture’ is used throughout this paper as a reminder that meanings, symbols, and dispositions to experience linguistic phenomena in a particular way are acquired </w:t>
      </w:r>
      <w:r>
        <w:rPr>
          <w:rFonts w:ascii="Times New Roman" w:hAnsi="Times New Roman" w:cs="Times New Roman"/>
          <w:sz w:val="18"/>
          <w:szCs w:val="18"/>
          <w:lang w:val="en-US"/>
        </w:rPr>
        <w:t xml:space="preserve">via </w:t>
      </w:r>
      <w:r w:rsidRPr="00E164A6">
        <w:rPr>
          <w:rFonts w:ascii="Times New Roman" w:hAnsi="Times New Roman" w:cs="Times New Roman"/>
          <w:sz w:val="18"/>
          <w:szCs w:val="18"/>
          <w:lang w:val="en-US"/>
        </w:rPr>
        <w:t xml:space="preserve">enculturation rather than studying dictionaries as “language is part of a culture” </w:t>
      </w:r>
      <w:r w:rsidRPr="00E164A6">
        <w:rPr>
          <w:rFonts w:ascii="Times New Roman" w:hAnsi="Times New Roman" w:cs="Times New Roman"/>
          <w:sz w:val="18"/>
          <w:szCs w:val="18"/>
          <w:lang w:val="en-US"/>
        </w:rPr>
        <w:fldChar w:fldCharType="begin"/>
      </w:r>
      <w:r w:rsidRPr="00E164A6">
        <w:rPr>
          <w:rFonts w:ascii="Times New Roman" w:hAnsi="Times New Roman" w:cs="Times New Roman"/>
          <w:sz w:val="18"/>
          <w:szCs w:val="18"/>
          <w:lang w:val="en-US"/>
        </w:rPr>
        <w:instrText xml:space="preserve"> ADDIN ZOTERO_ITEM CSL_CITATION {"citationID":"zeah3AuW","properties":{"formattedCitation":"(Vermeer, 2000)","plainCitation":"(Vermeer, 2000)","noteIndex":1},"citationItems":[{"id":47,"uris":["http://zotero.org/users/12744911/items/34MVE649"],"itemData":{"id":47,"type":"chapter","abstract":"This book is the definitive reader for the study of this dynamic interdisciplinary field. Providing an introduction to translation studies, this book places a wide range of readings within their social, thematic, and historical contexts","container-title":"The Translation studies reader","event-place":"New York","ISBN":"978-0-203-44662-1","language":"eng","note":"OCLC: 560064215","page":"221–232","publisher":"Routledge","publisher-place":"New York","source":"Open WorldCat","title":"Skopos and Comission in Translational Action","editor":[{"family":"Venuti","given":"Lawrence"}],"author":[{"family":"Vermeer","given":"Hans J."}],"issued":{"date-parts":[["2000"]]}}}],"schema":"https://github.com/citation-style-language/schema/raw/master/csl-citation.json"} </w:instrText>
      </w:r>
      <w:r w:rsidRPr="00E164A6">
        <w:rPr>
          <w:rFonts w:ascii="Times New Roman" w:hAnsi="Times New Roman" w:cs="Times New Roman"/>
          <w:sz w:val="18"/>
          <w:szCs w:val="18"/>
          <w:lang w:val="en-US"/>
        </w:rPr>
        <w:fldChar w:fldCharType="separate"/>
      </w:r>
      <w:r w:rsidRPr="00E164A6">
        <w:rPr>
          <w:rFonts w:ascii="Times New Roman" w:hAnsi="Times New Roman" w:cs="Times New Roman"/>
          <w:sz w:val="18"/>
          <w:szCs w:val="18"/>
          <w:lang w:val="en-US"/>
        </w:rPr>
        <w:t>(Vermeer, 2000</w:t>
      </w:r>
      <w:r w:rsidRPr="00E164A6">
        <w:rPr>
          <w:rFonts w:ascii="Times New Roman" w:hAnsi="Times New Roman" w:cs="Times New Roman"/>
          <w:sz w:val="18"/>
          <w:szCs w:val="18"/>
          <w:lang w:val="en-US"/>
        </w:rPr>
        <w:fldChar w:fldCharType="end"/>
      </w:r>
      <w:r w:rsidRPr="00E164A6">
        <w:rPr>
          <w:rFonts w:ascii="Times New Roman" w:hAnsi="Times New Roman" w:cs="Times New Roman"/>
          <w:sz w:val="18"/>
          <w:szCs w:val="18"/>
          <w:lang w:val="en-US"/>
        </w:rPr>
        <w:t xml:space="preserve">, p. 222). What is meant by ‘cultural distance’ is </w:t>
      </w:r>
      <w:r>
        <w:rPr>
          <w:rFonts w:ascii="Times New Roman" w:hAnsi="Times New Roman" w:cs="Times New Roman"/>
          <w:sz w:val="18"/>
          <w:szCs w:val="18"/>
          <w:lang w:val="en-US"/>
        </w:rPr>
        <w:t>the</w:t>
      </w:r>
      <w:r w:rsidRPr="00E164A6">
        <w:rPr>
          <w:rFonts w:ascii="Times New Roman" w:hAnsi="Times New Roman" w:cs="Times New Roman"/>
          <w:sz w:val="18"/>
          <w:szCs w:val="18"/>
          <w:lang w:val="en-US"/>
        </w:rPr>
        <w:t xml:space="preserve"> (lack of) languacultural familiarity and intelligibility, much like in </w:t>
      </w:r>
      <w:r w:rsidRPr="00E164A6">
        <w:rPr>
          <w:rFonts w:ascii="Times New Roman" w:hAnsi="Times New Roman" w:cs="Times New Roman"/>
          <w:sz w:val="18"/>
          <w:szCs w:val="18"/>
          <w:lang w:val="en-US"/>
        </w:rPr>
        <w:fldChar w:fldCharType="begin"/>
      </w:r>
      <w:r w:rsidRPr="00E164A6">
        <w:rPr>
          <w:rFonts w:ascii="Times New Roman" w:hAnsi="Times New Roman" w:cs="Times New Roman"/>
          <w:sz w:val="18"/>
          <w:szCs w:val="18"/>
          <w:lang w:val="en-US"/>
        </w:rPr>
        <w:instrText xml:space="preserve"> ADDIN ZOTERO_ITEM CSL_CITATION {"citationID":"AiIc1KAM","properties":{"formattedCitation":"(Nida, 2000)","plainCitation":"(Nida, 2000)","noteIndex":1},"citationItems":[{"id":49,"uris":["http://zotero.org/users/12744911/items/Y2E274JV"],"itemData":{"id":49,"type":"chapter","abstract":"This book is the definitive reader for the study of this dynamic interdisciplinary field. Providing an introduction to translation studies, this book places a wide range of readings within their social, thematic, and historical contexts","container-title":"The Translation studies reader","event-place":"New York","ISBN":"978-0-203-44662-1","language":"eng","note":"OCLC: 560064215","page":"126–140","publisher":"Routledge","publisher-place":"New York","source":"Open WorldCat","title":"Principles of Correspondence","editor":[{"family":"Venuti","given":"Lawrence"}],"author":[{"family":"Nida","given":"Eugene"}],"issued":{"date-parts":[["2000"]]}}}],"schema":"https://github.com/citation-style-language/schema/raw/master/csl-citation.json"} </w:instrText>
      </w:r>
      <w:r w:rsidRPr="00E164A6">
        <w:rPr>
          <w:rFonts w:ascii="Times New Roman" w:hAnsi="Times New Roman" w:cs="Times New Roman"/>
          <w:sz w:val="18"/>
          <w:szCs w:val="18"/>
          <w:lang w:val="en-US"/>
        </w:rPr>
        <w:fldChar w:fldCharType="separate"/>
      </w:r>
      <w:r w:rsidRPr="00E164A6">
        <w:rPr>
          <w:rFonts w:ascii="Times New Roman" w:hAnsi="Times New Roman" w:cs="Times New Roman"/>
          <w:sz w:val="18"/>
          <w:lang w:val="en-US"/>
        </w:rPr>
        <w:t>Nida (2000, p.</w:t>
      </w:r>
      <w:r>
        <w:rPr>
          <w:rFonts w:ascii="Times New Roman" w:hAnsi="Times New Roman" w:cs="Times New Roman"/>
          <w:sz w:val="18"/>
          <w:lang w:val="en-US"/>
        </w:rPr>
        <w:t> </w:t>
      </w:r>
      <w:r w:rsidRPr="00E164A6">
        <w:rPr>
          <w:rFonts w:ascii="Times New Roman" w:hAnsi="Times New Roman" w:cs="Times New Roman"/>
          <w:sz w:val="18"/>
          <w:lang w:val="en-US"/>
        </w:rPr>
        <w:t>130;</w:t>
      </w:r>
      <w:r w:rsidRPr="00E164A6">
        <w:rPr>
          <w:rFonts w:ascii="Times New Roman" w:hAnsi="Times New Roman" w:cs="Times New Roman"/>
          <w:sz w:val="18"/>
          <w:szCs w:val="18"/>
          <w:lang w:val="en-US"/>
        </w:rPr>
        <w:fldChar w:fldCharType="end"/>
      </w:r>
      <w:r w:rsidRPr="00E164A6">
        <w:rPr>
          <w:rFonts w:ascii="Times New Roman" w:hAnsi="Times New Roman" w:cs="Times New Roman"/>
          <w:sz w:val="18"/>
          <w:szCs w:val="18"/>
          <w:lang w:val="en-US"/>
        </w:rPr>
        <w:t xml:space="preserve"> not in the </w:t>
      </w:r>
      <w:proofErr w:type="spellStart"/>
      <w:r w:rsidRPr="00E164A6">
        <w:rPr>
          <w:rFonts w:ascii="Times New Roman" w:hAnsi="Times New Roman" w:cs="Times New Roman"/>
          <w:sz w:val="18"/>
          <w:szCs w:val="18"/>
          <w:lang w:val="en-US"/>
        </w:rPr>
        <w:t>Hofstedean</w:t>
      </w:r>
      <w:proofErr w:type="spellEnd"/>
      <w:r w:rsidRPr="00E164A6">
        <w:rPr>
          <w:rFonts w:ascii="Times New Roman" w:hAnsi="Times New Roman" w:cs="Times New Roman"/>
          <w:sz w:val="18"/>
          <w:szCs w:val="18"/>
          <w:lang w:val="en-US"/>
        </w:rPr>
        <w:t xml:space="preserve"> sense).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A13EC"/>
    <w:multiLevelType w:val="hybridMultilevel"/>
    <w:tmpl w:val="DA1C1D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D0972A9"/>
    <w:multiLevelType w:val="hybridMultilevel"/>
    <w:tmpl w:val="F7146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47A3B35"/>
    <w:multiLevelType w:val="hybridMultilevel"/>
    <w:tmpl w:val="65284C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76673291">
    <w:abstractNumId w:val="1"/>
  </w:num>
  <w:num w:numId="2" w16cid:durableId="132790954">
    <w:abstractNumId w:val="2"/>
  </w:num>
  <w:num w:numId="3" w16cid:durableId="2119371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wNDQxMLU0MDY0MDNV0lEKTi0uzszPAykwNKsFAPKVqHMtAAAA"/>
  </w:docVars>
  <w:rsids>
    <w:rsidRoot w:val="006C7D52"/>
    <w:rsid w:val="000040B3"/>
    <w:rsid w:val="000126E2"/>
    <w:rsid w:val="00016D40"/>
    <w:rsid w:val="00023739"/>
    <w:rsid w:val="0004111A"/>
    <w:rsid w:val="000437CB"/>
    <w:rsid w:val="00044B35"/>
    <w:rsid w:val="00045C2F"/>
    <w:rsid w:val="000477A7"/>
    <w:rsid w:val="00056D46"/>
    <w:rsid w:val="00057790"/>
    <w:rsid w:val="00065261"/>
    <w:rsid w:val="000663BA"/>
    <w:rsid w:val="00073BD4"/>
    <w:rsid w:val="000776B8"/>
    <w:rsid w:val="00077A59"/>
    <w:rsid w:val="00086F9C"/>
    <w:rsid w:val="0009181A"/>
    <w:rsid w:val="00096866"/>
    <w:rsid w:val="000A08A7"/>
    <w:rsid w:val="000B251D"/>
    <w:rsid w:val="000C4F4A"/>
    <w:rsid w:val="000C63AF"/>
    <w:rsid w:val="000C63BF"/>
    <w:rsid w:val="000F0325"/>
    <w:rsid w:val="000F77D9"/>
    <w:rsid w:val="00100249"/>
    <w:rsid w:val="0010273C"/>
    <w:rsid w:val="00110EE5"/>
    <w:rsid w:val="001223DD"/>
    <w:rsid w:val="00123C48"/>
    <w:rsid w:val="001320A7"/>
    <w:rsid w:val="001369CE"/>
    <w:rsid w:val="00152076"/>
    <w:rsid w:val="00157A68"/>
    <w:rsid w:val="00170B47"/>
    <w:rsid w:val="00180072"/>
    <w:rsid w:val="0018108D"/>
    <w:rsid w:val="00182A21"/>
    <w:rsid w:val="00184291"/>
    <w:rsid w:val="00184ACC"/>
    <w:rsid w:val="001920F9"/>
    <w:rsid w:val="001B14F5"/>
    <w:rsid w:val="001B5971"/>
    <w:rsid w:val="001C01C9"/>
    <w:rsid w:val="001C5DB3"/>
    <w:rsid w:val="001C6A93"/>
    <w:rsid w:val="001D6F04"/>
    <w:rsid w:val="001E4570"/>
    <w:rsid w:val="001E4AAE"/>
    <w:rsid w:val="001E691F"/>
    <w:rsid w:val="001F3F9F"/>
    <w:rsid w:val="002016A0"/>
    <w:rsid w:val="00201B6B"/>
    <w:rsid w:val="00207DC0"/>
    <w:rsid w:val="00210805"/>
    <w:rsid w:val="002130C2"/>
    <w:rsid w:val="00221A24"/>
    <w:rsid w:val="00224893"/>
    <w:rsid w:val="00227ACB"/>
    <w:rsid w:val="00233048"/>
    <w:rsid w:val="00242A54"/>
    <w:rsid w:val="00255D35"/>
    <w:rsid w:val="00255F7B"/>
    <w:rsid w:val="002662D8"/>
    <w:rsid w:val="00267AB8"/>
    <w:rsid w:val="002703AF"/>
    <w:rsid w:val="00274179"/>
    <w:rsid w:val="00274D21"/>
    <w:rsid w:val="00285167"/>
    <w:rsid w:val="00294EAB"/>
    <w:rsid w:val="00295687"/>
    <w:rsid w:val="002973BA"/>
    <w:rsid w:val="002A5197"/>
    <w:rsid w:val="002C009C"/>
    <w:rsid w:val="002D545A"/>
    <w:rsid w:val="002D68CE"/>
    <w:rsid w:val="002E01D6"/>
    <w:rsid w:val="002E4C08"/>
    <w:rsid w:val="002E6A78"/>
    <w:rsid w:val="002F12DC"/>
    <w:rsid w:val="0032337C"/>
    <w:rsid w:val="00325B21"/>
    <w:rsid w:val="00335D7D"/>
    <w:rsid w:val="00342D5A"/>
    <w:rsid w:val="0035332D"/>
    <w:rsid w:val="00362D9A"/>
    <w:rsid w:val="0036540C"/>
    <w:rsid w:val="00377AD5"/>
    <w:rsid w:val="00384055"/>
    <w:rsid w:val="003852C0"/>
    <w:rsid w:val="003A138F"/>
    <w:rsid w:val="003A24E6"/>
    <w:rsid w:val="003A3B16"/>
    <w:rsid w:val="003A48A1"/>
    <w:rsid w:val="003B74B9"/>
    <w:rsid w:val="003C32ED"/>
    <w:rsid w:val="003D5633"/>
    <w:rsid w:val="003D7CAD"/>
    <w:rsid w:val="003E505D"/>
    <w:rsid w:val="003F0D5B"/>
    <w:rsid w:val="003F0EE4"/>
    <w:rsid w:val="003F4F41"/>
    <w:rsid w:val="00400D73"/>
    <w:rsid w:val="00403D1B"/>
    <w:rsid w:val="00410D19"/>
    <w:rsid w:val="00422A7D"/>
    <w:rsid w:val="004261BE"/>
    <w:rsid w:val="004435BC"/>
    <w:rsid w:val="00450E54"/>
    <w:rsid w:val="0045588C"/>
    <w:rsid w:val="004735CA"/>
    <w:rsid w:val="00484CB8"/>
    <w:rsid w:val="004858CF"/>
    <w:rsid w:val="0049268B"/>
    <w:rsid w:val="004A1E71"/>
    <w:rsid w:val="004A2FE0"/>
    <w:rsid w:val="004C7E59"/>
    <w:rsid w:val="004D0BB2"/>
    <w:rsid w:val="004D1FE7"/>
    <w:rsid w:val="004D5023"/>
    <w:rsid w:val="004E19F4"/>
    <w:rsid w:val="004F548B"/>
    <w:rsid w:val="00502E15"/>
    <w:rsid w:val="00505FCA"/>
    <w:rsid w:val="005100E5"/>
    <w:rsid w:val="00510E07"/>
    <w:rsid w:val="00514C10"/>
    <w:rsid w:val="00515DA1"/>
    <w:rsid w:val="00525416"/>
    <w:rsid w:val="00546DE9"/>
    <w:rsid w:val="00553954"/>
    <w:rsid w:val="0056105B"/>
    <w:rsid w:val="00564B44"/>
    <w:rsid w:val="00565064"/>
    <w:rsid w:val="0058468E"/>
    <w:rsid w:val="005C3C0B"/>
    <w:rsid w:val="005C6541"/>
    <w:rsid w:val="005D042A"/>
    <w:rsid w:val="005D52C5"/>
    <w:rsid w:val="005D576F"/>
    <w:rsid w:val="005E6825"/>
    <w:rsid w:val="005F3482"/>
    <w:rsid w:val="00603FCB"/>
    <w:rsid w:val="006059C6"/>
    <w:rsid w:val="00616AA1"/>
    <w:rsid w:val="00621898"/>
    <w:rsid w:val="00622FFA"/>
    <w:rsid w:val="00627BC0"/>
    <w:rsid w:val="00631205"/>
    <w:rsid w:val="00635D81"/>
    <w:rsid w:val="00637EB5"/>
    <w:rsid w:val="00641081"/>
    <w:rsid w:val="006441E0"/>
    <w:rsid w:val="006521C2"/>
    <w:rsid w:val="006532A5"/>
    <w:rsid w:val="00657F5E"/>
    <w:rsid w:val="00674F92"/>
    <w:rsid w:val="00694319"/>
    <w:rsid w:val="006A5B2D"/>
    <w:rsid w:val="006B38FF"/>
    <w:rsid w:val="006C5275"/>
    <w:rsid w:val="006C6597"/>
    <w:rsid w:val="006C7D52"/>
    <w:rsid w:val="006D0E09"/>
    <w:rsid w:val="006F076C"/>
    <w:rsid w:val="006F0774"/>
    <w:rsid w:val="00717B8D"/>
    <w:rsid w:val="00722920"/>
    <w:rsid w:val="007456F7"/>
    <w:rsid w:val="00745841"/>
    <w:rsid w:val="00757941"/>
    <w:rsid w:val="007621C0"/>
    <w:rsid w:val="00776468"/>
    <w:rsid w:val="00777AD1"/>
    <w:rsid w:val="00781F64"/>
    <w:rsid w:val="00790F1D"/>
    <w:rsid w:val="0079447B"/>
    <w:rsid w:val="007A4F66"/>
    <w:rsid w:val="007A4FBF"/>
    <w:rsid w:val="007B3B83"/>
    <w:rsid w:val="007C12A0"/>
    <w:rsid w:val="007D46CB"/>
    <w:rsid w:val="007F1BE2"/>
    <w:rsid w:val="007F51F8"/>
    <w:rsid w:val="00814F2D"/>
    <w:rsid w:val="00815AF2"/>
    <w:rsid w:val="00816310"/>
    <w:rsid w:val="00820146"/>
    <w:rsid w:val="00823881"/>
    <w:rsid w:val="0082735F"/>
    <w:rsid w:val="00830448"/>
    <w:rsid w:val="008431C8"/>
    <w:rsid w:val="00846DF0"/>
    <w:rsid w:val="00852450"/>
    <w:rsid w:val="0086112F"/>
    <w:rsid w:val="00863C70"/>
    <w:rsid w:val="00873911"/>
    <w:rsid w:val="008758B3"/>
    <w:rsid w:val="008809B8"/>
    <w:rsid w:val="00894E0B"/>
    <w:rsid w:val="008A6DB9"/>
    <w:rsid w:val="008B3855"/>
    <w:rsid w:val="008B55D6"/>
    <w:rsid w:val="008C00CD"/>
    <w:rsid w:val="008C3EB8"/>
    <w:rsid w:val="008C5F7E"/>
    <w:rsid w:val="008C7E6F"/>
    <w:rsid w:val="008C7FA0"/>
    <w:rsid w:val="008D2310"/>
    <w:rsid w:val="008E0B22"/>
    <w:rsid w:val="008E52AA"/>
    <w:rsid w:val="008E613B"/>
    <w:rsid w:val="008F1D11"/>
    <w:rsid w:val="008F216F"/>
    <w:rsid w:val="00914504"/>
    <w:rsid w:val="00916B64"/>
    <w:rsid w:val="00917C92"/>
    <w:rsid w:val="00924FBC"/>
    <w:rsid w:val="00927A95"/>
    <w:rsid w:val="00937878"/>
    <w:rsid w:val="00945144"/>
    <w:rsid w:val="0094600D"/>
    <w:rsid w:val="00952865"/>
    <w:rsid w:val="009631AC"/>
    <w:rsid w:val="00972B67"/>
    <w:rsid w:val="00980101"/>
    <w:rsid w:val="009801CF"/>
    <w:rsid w:val="009817C3"/>
    <w:rsid w:val="0098182A"/>
    <w:rsid w:val="00990229"/>
    <w:rsid w:val="00995721"/>
    <w:rsid w:val="00997B72"/>
    <w:rsid w:val="009A3304"/>
    <w:rsid w:val="009A3745"/>
    <w:rsid w:val="009B1E6B"/>
    <w:rsid w:val="009B4A07"/>
    <w:rsid w:val="009C67A1"/>
    <w:rsid w:val="009E4ECE"/>
    <w:rsid w:val="009F1953"/>
    <w:rsid w:val="009F7AD6"/>
    <w:rsid w:val="00A166F0"/>
    <w:rsid w:val="00A210F0"/>
    <w:rsid w:val="00A22C90"/>
    <w:rsid w:val="00A2660D"/>
    <w:rsid w:val="00A27213"/>
    <w:rsid w:val="00A37943"/>
    <w:rsid w:val="00A4127F"/>
    <w:rsid w:val="00A45BE5"/>
    <w:rsid w:val="00A54DA9"/>
    <w:rsid w:val="00A62B9C"/>
    <w:rsid w:val="00A64565"/>
    <w:rsid w:val="00A671A3"/>
    <w:rsid w:val="00A773A3"/>
    <w:rsid w:val="00A86168"/>
    <w:rsid w:val="00A9101D"/>
    <w:rsid w:val="00A91144"/>
    <w:rsid w:val="00A96A53"/>
    <w:rsid w:val="00AA1C5A"/>
    <w:rsid w:val="00AB4265"/>
    <w:rsid w:val="00AB6E89"/>
    <w:rsid w:val="00AD05D2"/>
    <w:rsid w:val="00AD2ECB"/>
    <w:rsid w:val="00AE18D8"/>
    <w:rsid w:val="00AF3748"/>
    <w:rsid w:val="00B11EED"/>
    <w:rsid w:val="00B26408"/>
    <w:rsid w:val="00B26C8C"/>
    <w:rsid w:val="00B414AE"/>
    <w:rsid w:val="00B47891"/>
    <w:rsid w:val="00B52BA5"/>
    <w:rsid w:val="00B530DB"/>
    <w:rsid w:val="00B659D6"/>
    <w:rsid w:val="00B65E61"/>
    <w:rsid w:val="00B678BD"/>
    <w:rsid w:val="00B717F0"/>
    <w:rsid w:val="00B730D6"/>
    <w:rsid w:val="00B75696"/>
    <w:rsid w:val="00B80126"/>
    <w:rsid w:val="00B82F32"/>
    <w:rsid w:val="00B8380C"/>
    <w:rsid w:val="00B9684E"/>
    <w:rsid w:val="00BA4BC7"/>
    <w:rsid w:val="00BB0245"/>
    <w:rsid w:val="00BB2D8C"/>
    <w:rsid w:val="00BC26BA"/>
    <w:rsid w:val="00BE70DF"/>
    <w:rsid w:val="00BF31AF"/>
    <w:rsid w:val="00C01F26"/>
    <w:rsid w:val="00C02405"/>
    <w:rsid w:val="00C108EA"/>
    <w:rsid w:val="00C10F08"/>
    <w:rsid w:val="00C13FDF"/>
    <w:rsid w:val="00C20349"/>
    <w:rsid w:val="00C23DF8"/>
    <w:rsid w:val="00C270DF"/>
    <w:rsid w:val="00C35237"/>
    <w:rsid w:val="00C35D11"/>
    <w:rsid w:val="00C369A4"/>
    <w:rsid w:val="00C36D3F"/>
    <w:rsid w:val="00C378D6"/>
    <w:rsid w:val="00C54312"/>
    <w:rsid w:val="00C74BEC"/>
    <w:rsid w:val="00C75517"/>
    <w:rsid w:val="00C946BA"/>
    <w:rsid w:val="00CA7735"/>
    <w:rsid w:val="00CB49E7"/>
    <w:rsid w:val="00CB5B24"/>
    <w:rsid w:val="00CC5B30"/>
    <w:rsid w:val="00CD6366"/>
    <w:rsid w:val="00CD6511"/>
    <w:rsid w:val="00CE6189"/>
    <w:rsid w:val="00CF057C"/>
    <w:rsid w:val="00D04752"/>
    <w:rsid w:val="00D123BF"/>
    <w:rsid w:val="00D15167"/>
    <w:rsid w:val="00D21CEF"/>
    <w:rsid w:val="00D52933"/>
    <w:rsid w:val="00D55587"/>
    <w:rsid w:val="00D657C9"/>
    <w:rsid w:val="00D677D0"/>
    <w:rsid w:val="00D7122E"/>
    <w:rsid w:val="00D73C28"/>
    <w:rsid w:val="00D81DB5"/>
    <w:rsid w:val="00D86CE9"/>
    <w:rsid w:val="00D91399"/>
    <w:rsid w:val="00D95B0C"/>
    <w:rsid w:val="00D96729"/>
    <w:rsid w:val="00D97582"/>
    <w:rsid w:val="00DA2955"/>
    <w:rsid w:val="00DA458E"/>
    <w:rsid w:val="00DA6899"/>
    <w:rsid w:val="00DC79BA"/>
    <w:rsid w:val="00DC7CAB"/>
    <w:rsid w:val="00DD3127"/>
    <w:rsid w:val="00DE0728"/>
    <w:rsid w:val="00DF03E4"/>
    <w:rsid w:val="00DF49DA"/>
    <w:rsid w:val="00E04E6F"/>
    <w:rsid w:val="00E164A6"/>
    <w:rsid w:val="00E17C04"/>
    <w:rsid w:val="00E2080D"/>
    <w:rsid w:val="00E2458A"/>
    <w:rsid w:val="00E25179"/>
    <w:rsid w:val="00E332B0"/>
    <w:rsid w:val="00E4050A"/>
    <w:rsid w:val="00E419BB"/>
    <w:rsid w:val="00E427C8"/>
    <w:rsid w:val="00E42E45"/>
    <w:rsid w:val="00E439D9"/>
    <w:rsid w:val="00E51D5F"/>
    <w:rsid w:val="00E526BC"/>
    <w:rsid w:val="00E550E7"/>
    <w:rsid w:val="00E85913"/>
    <w:rsid w:val="00E94680"/>
    <w:rsid w:val="00E97763"/>
    <w:rsid w:val="00EA6D38"/>
    <w:rsid w:val="00EA78A0"/>
    <w:rsid w:val="00EB3769"/>
    <w:rsid w:val="00EB6112"/>
    <w:rsid w:val="00EB6499"/>
    <w:rsid w:val="00EB79B1"/>
    <w:rsid w:val="00EC1625"/>
    <w:rsid w:val="00EC2FBA"/>
    <w:rsid w:val="00ED0190"/>
    <w:rsid w:val="00ED169E"/>
    <w:rsid w:val="00ED3738"/>
    <w:rsid w:val="00EE2B34"/>
    <w:rsid w:val="00EE4693"/>
    <w:rsid w:val="00EF0F22"/>
    <w:rsid w:val="00EF2E2C"/>
    <w:rsid w:val="00EF618E"/>
    <w:rsid w:val="00EF6988"/>
    <w:rsid w:val="00F0031C"/>
    <w:rsid w:val="00F13023"/>
    <w:rsid w:val="00F1757F"/>
    <w:rsid w:val="00F33267"/>
    <w:rsid w:val="00F4152D"/>
    <w:rsid w:val="00F626FF"/>
    <w:rsid w:val="00F62E90"/>
    <w:rsid w:val="00F72B7E"/>
    <w:rsid w:val="00F96808"/>
    <w:rsid w:val="00FA056D"/>
    <w:rsid w:val="00FA24A8"/>
    <w:rsid w:val="00FA6D8C"/>
    <w:rsid w:val="00FB074A"/>
    <w:rsid w:val="00FB1E9D"/>
    <w:rsid w:val="00FB53BC"/>
    <w:rsid w:val="00FC1013"/>
    <w:rsid w:val="00FF17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961FE"/>
  <w15:chartTrackingRefBased/>
  <w15:docId w15:val="{8B99ECCB-9E8E-4403-8452-F89F761A5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C7D52"/>
  </w:style>
  <w:style w:type="paragraph" w:styleId="Nagwek2">
    <w:name w:val="heading 2"/>
    <w:basedOn w:val="Normalny"/>
    <w:next w:val="Normalny"/>
    <w:link w:val="Nagwek2Znak"/>
    <w:uiPriority w:val="99"/>
    <w:qFormat/>
    <w:rsid w:val="00945144"/>
    <w:pPr>
      <w:autoSpaceDE w:val="0"/>
      <w:autoSpaceDN w:val="0"/>
      <w:adjustRightInd w:val="0"/>
      <w:spacing w:after="0" w:line="240" w:lineRule="auto"/>
      <w:outlineLvl w:val="1"/>
    </w:pPr>
    <w:rPr>
      <w:rFonts w:ascii="Courier New" w:eastAsiaTheme="minorHAnsi" w:hAnsi="Courier New" w:cs="Courier New"/>
      <w:b/>
      <w:bCs/>
      <w:i/>
      <w:iCs/>
      <w:color w:val="000000"/>
      <w:kern w:val="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C7D52"/>
    <w:rPr>
      <w:sz w:val="16"/>
      <w:szCs w:val="16"/>
    </w:rPr>
  </w:style>
  <w:style w:type="paragraph" w:styleId="Tekstkomentarza">
    <w:name w:val="annotation text"/>
    <w:basedOn w:val="Normalny"/>
    <w:link w:val="TekstkomentarzaZnak"/>
    <w:uiPriority w:val="99"/>
    <w:unhideWhenUsed/>
    <w:rsid w:val="006C7D52"/>
    <w:pPr>
      <w:spacing w:line="240" w:lineRule="auto"/>
    </w:pPr>
    <w:rPr>
      <w:sz w:val="20"/>
      <w:szCs w:val="20"/>
    </w:rPr>
  </w:style>
  <w:style w:type="character" w:customStyle="1" w:styleId="TekstkomentarzaZnak">
    <w:name w:val="Tekst komentarza Znak"/>
    <w:basedOn w:val="Domylnaczcionkaakapitu"/>
    <w:link w:val="Tekstkomentarza"/>
    <w:uiPriority w:val="99"/>
    <w:rsid w:val="006C7D52"/>
    <w:rPr>
      <w:rFonts w:eastAsia="MS Mincho"/>
      <w:sz w:val="20"/>
      <w:szCs w:val="20"/>
    </w:rPr>
  </w:style>
  <w:style w:type="paragraph" w:styleId="Tekstprzypisudolnego">
    <w:name w:val="footnote text"/>
    <w:basedOn w:val="Normalny"/>
    <w:link w:val="TekstprzypisudolnegoZnak"/>
    <w:uiPriority w:val="99"/>
    <w:semiHidden/>
    <w:unhideWhenUsed/>
    <w:rsid w:val="00D95B0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95B0C"/>
    <w:rPr>
      <w:sz w:val="20"/>
      <w:szCs w:val="20"/>
    </w:rPr>
  </w:style>
  <w:style w:type="character" w:styleId="Odwoanieprzypisudolnego">
    <w:name w:val="footnote reference"/>
    <w:basedOn w:val="Domylnaczcionkaakapitu"/>
    <w:uiPriority w:val="99"/>
    <w:semiHidden/>
    <w:unhideWhenUsed/>
    <w:rsid w:val="00D95B0C"/>
    <w:rPr>
      <w:vertAlign w:val="superscript"/>
    </w:rPr>
  </w:style>
  <w:style w:type="character" w:customStyle="1" w:styleId="Nagwek2Znak">
    <w:name w:val="Nagłówek 2 Znak"/>
    <w:basedOn w:val="Domylnaczcionkaakapitu"/>
    <w:link w:val="Nagwek2"/>
    <w:uiPriority w:val="99"/>
    <w:rsid w:val="00945144"/>
    <w:rPr>
      <w:rFonts w:ascii="Courier New" w:eastAsiaTheme="minorHAnsi" w:hAnsi="Courier New" w:cs="Courier New"/>
      <w:b/>
      <w:bCs/>
      <w:i/>
      <w:iCs/>
      <w:color w:val="000000"/>
      <w:kern w:val="0"/>
      <w:sz w:val="28"/>
      <w:szCs w:val="28"/>
    </w:rPr>
  </w:style>
  <w:style w:type="paragraph" w:styleId="Tematkomentarza">
    <w:name w:val="annotation subject"/>
    <w:basedOn w:val="Tekstkomentarza"/>
    <w:next w:val="Tekstkomentarza"/>
    <w:link w:val="TematkomentarzaZnak"/>
    <w:uiPriority w:val="99"/>
    <w:semiHidden/>
    <w:unhideWhenUsed/>
    <w:rsid w:val="00945144"/>
    <w:rPr>
      <w:b/>
      <w:bCs/>
    </w:rPr>
  </w:style>
  <w:style w:type="character" w:customStyle="1" w:styleId="TematkomentarzaZnak">
    <w:name w:val="Temat komentarza Znak"/>
    <w:basedOn w:val="TekstkomentarzaZnak"/>
    <w:link w:val="Tematkomentarza"/>
    <w:uiPriority w:val="99"/>
    <w:semiHidden/>
    <w:rsid w:val="00945144"/>
    <w:rPr>
      <w:rFonts w:eastAsia="MS Mincho"/>
      <w:b/>
      <w:bCs/>
      <w:sz w:val="20"/>
      <w:szCs w:val="20"/>
    </w:rPr>
  </w:style>
  <w:style w:type="character" w:styleId="Hipercze">
    <w:name w:val="Hyperlink"/>
    <w:basedOn w:val="Domylnaczcionkaakapitu"/>
    <w:uiPriority w:val="99"/>
    <w:unhideWhenUsed/>
    <w:rsid w:val="00945144"/>
    <w:rPr>
      <w:color w:val="0563C1" w:themeColor="hyperlink"/>
      <w:u w:val="single"/>
    </w:rPr>
  </w:style>
  <w:style w:type="character" w:styleId="Nierozpoznanawzmianka">
    <w:name w:val="Unresolved Mention"/>
    <w:basedOn w:val="Domylnaczcionkaakapitu"/>
    <w:uiPriority w:val="99"/>
    <w:semiHidden/>
    <w:unhideWhenUsed/>
    <w:rsid w:val="00945144"/>
    <w:rPr>
      <w:color w:val="605E5C"/>
      <w:shd w:val="clear" w:color="auto" w:fill="E1DFDD"/>
    </w:rPr>
  </w:style>
  <w:style w:type="paragraph" w:customStyle="1" w:styleId="MDPI31text">
    <w:name w:val="MDPI_3.1_text"/>
    <w:qFormat/>
    <w:rsid w:val="00945144"/>
    <w:pPr>
      <w:adjustRightInd w:val="0"/>
      <w:snapToGrid w:val="0"/>
      <w:spacing w:after="0" w:line="260" w:lineRule="atLeast"/>
      <w:ind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Default">
    <w:name w:val="Default"/>
    <w:rsid w:val="00945144"/>
    <w:pPr>
      <w:autoSpaceDE w:val="0"/>
      <w:autoSpaceDN w:val="0"/>
      <w:adjustRightInd w:val="0"/>
      <w:spacing w:after="0" w:line="240" w:lineRule="auto"/>
    </w:pPr>
    <w:rPr>
      <w:rFonts w:ascii="Calibri" w:hAnsi="Calibri" w:cs="Calibri"/>
      <w:color w:val="000000"/>
      <w:kern w:val="0"/>
      <w:sz w:val="24"/>
      <w:szCs w:val="24"/>
    </w:rPr>
  </w:style>
  <w:style w:type="paragraph" w:styleId="Akapitzlist">
    <w:name w:val="List Paragraph"/>
    <w:basedOn w:val="Normalny"/>
    <w:uiPriority w:val="34"/>
    <w:qFormat/>
    <w:rsid w:val="00945144"/>
    <w:pPr>
      <w:ind w:left="720"/>
      <w:contextualSpacing/>
    </w:pPr>
    <w:rPr>
      <w:rFonts w:eastAsiaTheme="minorHAnsi"/>
    </w:rPr>
  </w:style>
  <w:style w:type="table" w:styleId="Tabela-Siatka">
    <w:name w:val="Table Grid"/>
    <w:basedOn w:val="Standardowy"/>
    <w:uiPriority w:val="39"/>
    <w:rsid w:val="0094514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945144"/>
    <w:pPr>
      <w:spacing w:after="0" w:line="240" w:lineRule="auto"/>
    </w:pPr>
    <w:rPr>
      <w:rFonts w:eastAsiaTheme="minorHAnsi"/>
    </w:rPr>
  </w:style>
  <w:style w:type="paragraph" w:styleId="Poprawka">
    <w:name w:val="Revision"/>
    <w:hidden/>
    <w:uiPriority w:val="99"/>
    <w:semiHidden/>
    <w:rsid w:val="00325B21"/>
    <w:pPr>
      <w:spacing w:after="0" w:line="240" w:lineRule="auto"/>
    </w:pPr>
  </w:style>
  <w:style w:type="paragraph" w:styleId="NormalnyWeb">
    <w:name w:val="Normal (Web)"/>
    <w:basedOn w:val="Normalny"/>
    <w:uiPriority w:val="99"/>
    <w:semiHidden/>
    <w:unhideWhenUsed/>
    <w:rsid w:val="004261B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ui-provider">
    <w:name w:val="ui-provider"/>
    <w:basedOn w:val="Domylnaczcionkaakapitu"/>
    <w:rsid w:val="001C6A93"/>
  </w:style>
  <w:style w:type="character" w:styleId="UyteHipercze">
    <w:name w:val="FollowedHyperlink"/>
    <w:basedOn w:val="Domylnaczcionkaakapitu"/>
    <w:uiPriority w:val="99"/>
    <w:semiHidden/>
    <w:unhideWhenUsed/>
    <w:rsid w:val="00E208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6542">
      <w:bodyDiv w:val="1"/>
      <w:marLeft w:val="0"/>
      <w:marRight w:val="0"/>
      <w:marTop w:val="0"/>
      <w:marBottom w:val="0"/>
      <w:divBdr>
        <w:top w:val="none" w:sz="0" w:space="0" w:color="auto"/>
        <w:left w:val="none" w:sz="0" w:space="0" w:color="auto"/>
        <w:bottom w:val="none" w:sz="0" w:space="0" w:color="auto"/>
        <w:right w:val="none" w:sz="0" w:space="0" w:color="auto"/>
      </w:divBdr>
      <w:divsChild>
        <w:div w:id="1777212748">
          <w:marLeft w:val="480"/>
          <w:marRight w:val="0"/>
          <w:marTop w:val="0"/>
          <w:marBottom w:val="0"/>
          <w:divBdr>
            <w:top w:val="none" w:sz="0" w:space="0" w:color="auto"/>
            <w:left w:val="none" w:sz="0" w:space="0" w:color="auto"/>
            <w:bottom w:val="none" w:sz="0" w:space="0" w:color="auto"/>
            <w:right w:val="none" w:sz="0" w:space="0" w:color="auto"/>
          </w:divBdr>
          <w:divsChild>
            <w:div w:id="960920555">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893665828">
              <w:marLeft w:val="0"/>
              <w:marRight w:val="0"/>
              <w:marTop w:val="0"/>
              <w:marBottom w:val="0"/>
              <w:divBdr>
                <w:top w:val="none" w:sz="0" w:space="0" w:color="auto"/>
                <w:left w:val="none" w:sz="0" w:space="0" w:color="auto"/>
                <w:bottom w:val="none" w:sz="0" w:space="0" w:color="auto"/>
                <w:right w:val="none" w:sz="0" w:space="0" w:color="auto"/>
              </w:divBdr>
            </w:div>
            <w:div w:id="1955403610">
              <w:marLeft w:val="0"/>
              <w:marRight w:val="0"/>
              <w:marTop w:val="0"/>
              <w:marBottom w:val="0"/>
              <w:divBdr>
                <w:top w:val="none" w:sz="0" w:space="0" w:color="auto"/>
                <w:left w:val="none" w:sz="0" w:space="0" w:color="auto"/>
                <w:bottom w:val="none" w:sz="0" w:space="0" w:color="auto"/>
                <w:right w:val="none" w:sz="0" w:space="0" w:color="auto"/>
              </w:divBdr>
            </w:div>
            <w:div w:id="143034685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429089910">
              <w:marLeft w:val="0"/>
              <w:marRight w:val="0"/>
              <w:marTop w:val="0"/>
              <w:marBottom w:val="0"/>
              <w:divBdr>
                <w:top w:val="none" w:sz="0" w:space="0" w:color="auto"/>
                <w:left w:val="none" w:sz="0" w:space="0" w:color="auto"/>
                <w:bottom w:val="none" w:sz="0" w:space="0" w:color="auto"/>
                <w:right w:val="none" w:sz="0" w:space="0" w:color="auto"/>
              </w:divBdr>
            </w:div>
            <w:div w:id="954866503">
              <w:marLeft w:val="0"/>
              <w:marRight w:val="0"/>
              <w:marTop w:val="0"/>
              <w:marBottom w:val="0"/>
              <w:divBdr>
                <w:top w:val="none" w:sz="0" w:space="0" w:color="auto"/>
                <w:left w:val="none" w:sz="0" w:space="0" w:color="auto"/>
                <w:bottom w:val="none" w:sz="0" w:space="0" w:color="auto"/>
                <w:right w:val="none" w:sz="0" w:space="0" w:color="auto"/>
              </w:divBdr>
            </w:div>
            <w:div w:id="2035182187">
              <w:marLeft w:val="0"/>
              <w:marRight w:val="0"/>
              <w:marTop w:val="0"/>
              <w:marBottom w:val="0"/>
              <w:divBdr>
                <w:top w:val="none" w:sz="0" w:space="0" w:color="auto"/>
                <w:left w:val="none" w:sz="0" w:space="0" w:color="auto"/>
                <w:bottom w:val="none" w:sz="0" w:space="0" w:color="auto"/>
                <w:right w:val="none" w:sz="0" w:space="0" w:color="auto"/>
              </w:divBdr>
            </w:div>
            <w:div w:id="639574593">
              <w:marLeft w:val="0"/>
              <w:marRight w:val="0"/>
              <w:marTop w:val="0"/>
              <w:marBottom w:val="0"/>
              <w:divBdr>
                <w:top w:val="none" w:sz="0" w:space="0" w:color="auto"/>
                <w:left w:val="none" w:sz="0" w:space="0" w:color="auto"/>
                <w:bottom w:val="none" w:sz="0" w:space="0" w:color="auto"/>
                <w:right w:val="none" w:sz="0" w:space="0" w:color="auto"/>
              </w:divBdr>
            </w:div>
            <w:div w:id="972177960">
              <w:marLeft w:val="0"/>
              <w:marRight w:val="0"/>
              <w:marTop w:val="0"/>
              <w:marBottom w:val="0"/>
              <w:divBdr>
                <w:top w:val="none" w:sz="0" w:space="0" w:color="auto"/>
                <w:left w:val="none" w:sz="0" w:space="0" w:color="auto"/>
                <w:bottom w:val="none" w:sz="0" w:space="0" w:color="auto"/>
                <w:right w:val="none" w:sz="0" w:space="0" w:color="auto"/>
              </w:divBdr>
            </w:div>
            <w:div w:id="25716993">
              <w:marLeft w:val="0"/>
              <w:marRight w:val="0"/>
              <w:marTop w:val="0"/>
              <w:marBottom w:val="0"/>
              <w:divBdr>
                <w:top w:val="none" w:sz="0" w:space="0" w:color="auto"/>
                <w:left w:val="none" w:sz="0" w:space="0" w:color="auto"/>
                <w:bottom w:val="none" w:sz="0" w:space="0" w:color="auto"/>
                <w:right w:val="none" w:sz="0" w:space="0" w:color="auto"/>
              </w:divBdr>
            </w:div>
            <w:div w:id="45493883">
              <w:marLeft w:val="0"/>
              <w:marRight w:val="0"/>
              <w:marTop w:val="0"/>
              <w:marBottom w:val="0"/>
              <w:divBdr>
                <w:top w:val="none" w:sz="0" w:space="0" w:color="auto"/>
                <w:left w:val="none" w:sz="0" w:space="0" w:color="auto"/>
                <w:bottom w:val="none" w:sz="0" w:space="0" w:color="auto"/>
                <w:right w:val="none" w:sz="0" w:space="0" w:color="auto"/>
              </w:divBdr>
            </w:div>
            <w:div w:id="701631640">
              <w:marLeft w:val="0"/>
              <w:marRight w:val="0"/>
              <w:marTop w:val="0"/>
              <w:marBottom w:val="0"/>
              <w:divBdr>
                <w:top w:val="none" w:sz="0" w:space="0" w:color="auto"/>
                <w:left w:val="none" w:sz="0" w:space="0" w:color="auto"/>
                <w:bottom w:val="none" w:sz="0" w:space="0" w:color="auto"/>
                <w:right w:val="none" w:sz="0" w:space="0" w:color="auto"/>
              </w:divBdr>
            </w:div>
            <w:div w:id="723064930">
              <w:marLeft w:val="0"/>
              <w:marRight w:val="0"/>
              <w:marTop w:val="0"/>
              <w:marBottom w:val="0"/>
              <w:divBdr>
                <w:top w:val="none" w:sz="0" w:space="0" w:color="auto"/>
                <w:left w:val="none" w:sz="0" w:space="0" w:color="auto"/>
                <w:bottom w:val="none" w:sz="0" w:space="0" w:color="auto"/>
                <w:right w:val="none" w:sz="0" w:space="0" w:color="auto"/>
              </w:divBdr>
            </w:div>
            <w:div w:id="135805366">
              <w:marLeft w:val="0"/>
              <w:marRight w:val="0"/>
              <w:marTop w:val="0"/>
              <w:marBottom w:val="0"/>
              <w:divBdr>
                <w:top w:val="none" w:sz="0" w:space="0" w:color="auto"/>
                <w:left w:val="none" w:sz="0" w:space="0" w:color="auto"/>
                <w:bottom w:val="none" w:sz="0" w:space="0" w:color="auto"/>
                <w:right w:val="none" w:sz="0" w:space="0" w:color="auto"/>
              </w:divBdr>
            </w:div>
            <w:div w:id="20715866">
              <w:marLeft w:val="0"/>
              <w:marRight w:val="0"/>
              <w:marTop w:val="0"/>
              <w:marBottom w:val="0"/>
              <w:divBdr>
                <w:top w:val="none" w:sz="0" w:space="0" w:color="auto"/>
                <w:left w:val="none" w:sz="0" w:space="0" w:color="auto"/>
                <w:bottom w:val="none" w:sz="0" w:space="0" w:color="auto"/>
                <w:right w:val="none" w:sz="0" w:space="0" w:color="auto"/>
              </w:divBdr>
            </w:div>
            <w:div w:id="669873566">
              <w:marLeft w:val="0"/>
              <w:marRight w:val="0"/>
              <w:marTop w:val="0"/>
              <w:marBottom w:val="0"/>
              <w:divBdr>
                <w:top w:val="none" w:sz="0" w:space="0" w:color="auto"/>
                <w:left w:val="none" w:sz="0" w:space="0" w:color="auto"/>
                <w:bottom w:val="none" w:sz="0" w:space="0" w:color="auto"/>
                <w:right w:val="none" w:sz="0" w:space="0" w:color="auto"/>
              </w:divBdr>
            </w:div>
            <w:div w:id="1605654431">
              <w:marLeft w:val="0"/>
              <w:marRight w:val="0"/>
              <w:marTop w:val="0"/>
              <w:marBottom w:val="0"/>
              <w:divBdr>
                <w:top w:val="none" w:sz="0" w:space="0" w:color="auto"/>
                <w:left w:val="none" w:sz="0" w:space="0" w:color="auto"/>
                <w:bottom w:val="none" w:sz="0" w:space="0" w:color="auto"/>
                <w:right w:val="none" w:sz="0" w:space="0" w:color="auto"/>
              </w:divBdr>
            </w:div>
            <w:div w:id="514004844">
              <w:marLeft w:val="0"/>
              <w:marRight w:val="0"/>
              <w:marTop w:val="0"/>
              <w:marBottom w:val="0"/>
              <w:divBdr>
                <w:top w:val="none" w:sz="0" w:space="0" w:color="auto"/>
                <w:left w:val="none" w:sz="0" w:space="0" w:color="auto"/>
                <w:bottom w:val="none" w:sz="0" w:space="0" w:color="auto"/>
                <w:right w:val="none" w:sz="0" w:space="0" w:color="auto"/>
              </w:divBdr>
            </w:div>
            <w:div w:id="371462063">
              <w:marLeft w:val="0"/>
              <w:marRight w:val="0"/>
              <w:marTop w:val="0"/>
              <w:marBottom w:val="0"/>
              <w:divBdr>
                <w:top w:val="none" w:sz="0" w:space="0" w:color="auto"/>
                <w:left w:val="none" w:sz="0" w:space="0" w:color="auto"/>
                <w:bottom w:val="none" w:sz="0" w:space="0" w:color="auto"/>
                <w:right w:val="none" w:sz="0" w:space="0" w:color="auto"/>
              </w:divBdr>
            </w:div>
            <w:div w:id="803891095">
              <w:marLeft w:val="0"/>
              <w:marRight w:val="0"/>
              <w:marTop w:val="0"/>
              <w:marBottom w:val="0"/>
              <w:divBdr>
                <w:top w:val="none" w:sz="0" w:space="0" w:color="auto"/>
                <w:left w:val="none" w:sz="0" w:space="0" w:color="auto"/>
                <w:bottom w:val="none" w:sz="0" w:space="0" w:color="auto"/>
                <w:right w:val="none" w:sz="0" w:space="0" w:color="auto"/>
              </w:divBdr>
            </w:div>
            <w:div w:id="785199862">
              <w:marLeft w:val="0"/>
              <w:marRight w:val="0"/>
              <w:marTop w:val="0"/>
              <w:marBottom w:val="0"/>
              <w:divBdr>
                <w:top w:val="none" w:sz="0" w:space="0" w:color="auto"/>
                <w:left w:val="none" w:sz="0" w:space="0" w:color="auto"/>
                <w:bottom w:val="none" w:sz="0" w:space="0" w:color="auto"/>
                <w:right w:val="none" w:sz="0" w:space="0" w:color="auto"/>
              </w:divBdr>
            </w:div>
            <w:div w:id="504711963">
              <w:marLeft w:val="0"/>
              <w:marRight w:val="0"/>
              <w:marTop w:val="0"/>
              <w:marBottom w:val="0"/>
              <w:divBdr>
                <w:top w:val="none" w:sz="0" w:space="0" w:color="auto"/>
                <w:left w:val="none" w:sz="0" w:space="0" w:color="auto"/>
                <w:bottom w:val="none" w:sz="0" w:space="0" w:color="auto"/>
                <w:right w:val="none" w:sz="0" w:space="0" w:color="auto"/>
              </w:divBdr>
            </w:div>
            <w:div w:id="1679188683">
              <w:marLeft w:val="0"/>
              <w:marRight w:val="0"/>
              <w:marTop w:val="0"/>
              <w:marBottom w:val="0"/>
              <w:divBdr>
                <w:top w:val="none" w:sz="0" w:space="0" w:color="auto"/>
                <w:left w:val="none" w:sz="0" w:space="0" w:color="auto"/>
                <w:bottom w:val="none" w:sz="0" w:space="0" w:color="auto"/>
                <w:right w:val="none" w:sz="0" w:space="0" w:color="auto"/>
              </w:divBdr>
            </w:div>
            <w:div w:id="744179735">
              <w:marLeft w:val="0"/>
              <w:marRight w:val="0"/>
              <w:marTop w:val="0"/>
              <w:marBottom w:val="0"/>
              <w:divBdr>
                <w:top w:val="none" w:sz="0" w:space="0" w:color="auto"/>
                <w:left w:val="none" w:sz="0" w:space="0" w:color="auto"/>
                <w:bottom w:val="none" w:sz="0" w:space="0" w:color="auto"/>
                <w:right w:val="none" w:sz="0" w:space="0" w:color="auto"/>
              </w:divBdr>
            </w:div>
            <w:div w:id="1146093591">
              <w:marLeft w:val="0"/>
              <w:marRight w:val="0"/>
              <w:marTop w:val="0"/>
              <w:marBottom w:val="0"/>
              <w:divBdr>
                <w:top w:val="none" w:sz="0" w:space="0" w:color="auto"/>
                <w:left w:val="none" w:sz="0" w:space="0" w:color="auto"/>
                <w:bottom w:val="none" w:sz="0" w:space="0" w:color="auto"/>
                <w:right w:val="none" w:sz="0" w:space="0" w:color="auto"/>
              </w:divBdr>
            </w:div>
            <w:div w:id="1890531054">
              <w:marLeft w:val="0"/>
              <w:marRight w:val="0"/>
              <w:marTop w:val="0"/>
              <w:marBottom w:val="0"/>
              <w:divBdr>
                <w:top w:val="none" w:sz="0" w:space="0" w:color="auto"/>
                <w:left w:val="none" w:sz="0" w:space="0" w:color="auto"/>
                <w:bottom w:val="none" w:sz="0" w:space="0" w:color="auto"/>
                <w:right w:val="none" w:sz="0" w:space="0" w:color="auto"/>
              </w:divBdr>
            </w:div>
            <w:div w:id="1488129482">
              <w:marLeft w:val="0"/>
              <w:marRight w:val="0"/>
              <w:marTop w:val="0"/>
              <w:marBottom w:val="0"/>
              <w:divBdr>
                <w:top w:val="none" w:sz="0" w:space="0" w:color="auto"/>
                <w:left w:val="none" w:sz="0" w:space="0" w:color="auto"/>
                <w:bottom w:val="none" w:sz="0" w:space="0" w:color="auto"/>
                <w:right w:val="none" w:sz="0" w:space="0" w:color="auto"/>
              </w:divBdr>
            </w:div>
            <w:div w:id="28535602">
              <w:marLeft w:val="0"/>
              <w:marRight w:val="0"/>
              <w:marTop w:val="0"/>
              <w:marBottom w:val="0"/>
              <w:divBdr>
                <w:top w:val="none" w:sz="0" w:space="0" w:color="auto"/>
                <w:left w:val="none" w:sz="0" w:space="0" w:color="auto"/>
                <w:bottom w:val="none" w:sz="0" w:space="0" w:color="auto"/>
                <w:right w:val="none" w:sz="0" w:space="0" w:color="auto"/>
              </w:divBdr>
            </w:div>
            <w:div w:id="2058896052">
              <w:marLeft w:val="0"/>
              <w:marRight w:val="0"/>
              <w:marTop w:val="0"/>
              <w:marBottom w:val="0"/>
              <w:divBdr>
                <w:top w:val="none" w:sz="0" w:space="0" w:color="auto"/>
                <w:left w:val="none" w:sz="0" w:space="0" w:color="auto"/>
                <w:bottom w:val="none" w:sz="0" w:space="0" w:color="auto"/>
                <w:right w:val="none" w:sz="0" w:space="0" w:color="auto"/>
              </w:divBdr>
            </w:div>
            <w:div w:id="135420442">
              <w:marLeft w:val="0"/>
              <w:marRight w:val="0"/>
              <w:marTop w:val="0"/>
              <w:marBottom w:val="0"/>
              <w:divBdr>
                <w:top w:val="none" w:sz="0" w:space="0" w:color="auto"/>
                <w:left w:val="none" w:sz="0" w:space="0" w:color="auto"/>
                <w:bottom w:val="none" w:sz="0" w:space="0" w:color="auto"/>
                <w:right w:val="none" w:sz="0" w:space="0" w:color="auto"/>
              </w:divBdr>
            </w:div>
            <w:div w:id="10521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5561">
      <w:bodyDiv w:val="1"/>
      <w:marLeft w:val="0"/>
      <w:marRight w:val="0"/>
      <w:marTop w:val="0"/>
      <w:marBottom w:val="0"/>
      <w:divBdr>
        <w:top w:val="none" w:sz="0" w:space="0" w:color="auto"/>
        <w:left w:val="none" w:sz="0" w:space="0" w:color="auto"/>
        <w:bottom w:val="none" w:sz="0" w:space="0" w:color="auto"/>
        <w:right w:val="none" w:sz="0" w:space="0" w:color="auto"/>
      </w:divBdr>
    </w:div>
    <w:div w:id="321743668">
      <w:bodyDiv w:val="1"/>
      <w:marLeft w:val="0"/>
      <w:marRight w:val="0"/>
      <w:marTop w:val="0"/>
      <w:marBottom w:val="0"/>
      <w:divBdr>
        <w:top w:val="none" w:sz="0" w:space="0" w:color="auto"/>
        <w:left w:val="none" w:sz="0" w:space="0" w:color="auto"/>
        <w:bottom w:val="none" w:sz="0" w:space="0" w:color="auto"/>
        <w:right w:val="none" w:sz="0" w:space="0" w:color="auto"/>
      </w:divBdr>
      <w:divsChild>
        <w:div w:id="1188299113">
          <w:marLeft w:val="480"/>
          <w:marRight w:val="0"/>
          <w:marTop w:val="0"/>
          <w:marBottom w:val="0"/>
          <w:divBdr>
            <w:top w:val="none" w:sz="0" w:space="0" w:color="auto"/>
            <w:left w:val="none" w:sz="0" w:space="0" w:color="auto"/>
            <w:bottom w:val="none" w:sz="0" w:space="0" w:color="auto"/>
            <w:right w:val="none" w:sz="0" w:space="0" w:color="auto"/>
          </w:divBdr>
          <w:divsChild>
            <w:div w:id="880018488">
              <w:marLeft w:val="0"/>
              <w:marRight w:val="0"/>
              <w:marTop w:val="0"/>
              <w:marBottom w:val="0"/>
              <w:divBdr>
                <w:top w:val="none" w:sz="0" w:space="0" w:color="auto"/>
                <w:left w:val="none" w:sz="0" w:space="0" w:color="auto"/>
                <w:bottom w:val="none" w:sz="0" w:space="0" w:color="auto"/>
                <w:right w:val="none" w:sz="0" w:space="0" w:color="auto"/>
              </w:divBdr>
            </w:div>
            <w:div w:id="1710300447">
              <w:marLeft w:val="0"/>
              <w:marRight w:val="0"/>
              <w:marTop w:val="0"/>
              <w:marBottom w:val="0"/>
              <w:divBdr>
                <w:top w:val="none" w:sz="0" w:space="0" w:color="auto"/>
                <w:left w:val="none" w:sz="0" w:space="0" w:color="auto"/>
                <w:bottom w:val="none" w:sz="0" w:space="0" w:color="auto"/>
                <w:right w:val="none" w:sz="0" w:space="0" w:color="auto"/>
              </w:divBdr>
            </w:div>
            <w:div w:id="1148126892">
              <w:marLeft w:val="0"/>
              <w:marRight w:val="0"/>
              <w:marTop w:val="0"/>
              <w:marBottom w:val="0"/>
              <w:divBdr>
                <w:top w:val="none" w:sz="0" w:space="0" w:color="auto"/>
                <w:left w:val="none" w:sz="0" w:space="0" w:color="auto"/>
                <w:bottom w:val="none" w:sz="0" w:space="0" w:color="auto"/>
                <w:right w:val="none" w:sz="0" w:space="0" w:color="auto"/>
              </w:divBdr>
            </w:div>
            <w:div w:id="2036686137">
              <w:marLeft w:val="0"/>
              <w:marRight w:val="0"/>
              <w:marTop w:val="0"/>
              <w:marBottom w:val="0"/>
              <w:divBdr>
                <w:top w:val="none" w:sz="0" w:space="0" w:color="auto"/>
                <w:left w:val="none" w:sz="0" w:space="0" w:color="auto"/>
                <w:bottom w:val="none" w:sz="0" w:space="0" w:color="auto"/>
                <w:right w:val="none" w:sz="0" w:space="0" w:color="auto"/>
              </w:divBdr>
            </w:div>
            <w:div w:id="2111117832">
              <w:marLeft w:val="0"/>
              <w:marRight w:val="0"/>
              <w:marTop w:val="0"/>
              <w:marBottom w:val="0"/>
              <w:divBdr>
                <w:top w:val="none" w:sz="0" w:space="0" w:color="auto"/>
                <w:left w:val="none" w:sz="0" w:space="0" w:color="auto"/>
                <w:bottom w:val="none" w:sz="0" w:space="0" w:color="auto"/>
                <w:right w:val="none" w:sz="0" w:space="0" w:color="auto"/>
              </w:divBdr>
            </w:div>
            <w:div w:id="802888879">
              <w:marLeft w:val="0"/>
              <w:marRight w:val="0"/>
              <w:marTop w:val="0"/>
              <w:marBottom w:val="0"/>
              <w:divBdr>
                <w:top w:val="none" w:sz="0" w:space="0" w:color="auto"/>
                <w:left w:val="none" w:sz="0" w:space="0" w:color="auto"/>
                <w:bottom w:val="none" w:sz="0" w:space="0" w:color="auto"/>
                <w:right w:val="none" w:sz="0" w:space="0" w:color="auto"/>
              </w:divBdr>
            </w:div>
            <w:div w:id="2066180898">
              <w:marLeft w:val="0"/>
              <w:marRight w:val="0"/>
              <w:marTop w:val="0"/>
              <w:marBottom w:val="0"/>
              <w:divBdr>
                <w:top w:val="none" w:sz="0" w:space="0" w:color="auto"/>
                <w:left w:val="none" w:sz="0" w:space="0" w:color="auto"/>
                <w:bottom w:val="none" w:sz="0" w:space="0" w:color="auto"/>
                <w:right w:val="none" w:sz="0" w:space="0" w:color="auto"/>
              </w:divBdr>
            </w:div>
            <w:div w:id="438640790">
              <w:marLeft w:val="0"/>
              <w:marRight w:val="0"/>
              <w:marTop w:val="0"/>
              <w:marBottom w:val="0"/>
              <w:divBdr>
                <w:top w:val="none" w:sz="0" w:space="0" w:color="auto"/>
                <w:left w:val="none" w:sz="0" w:space="0" w:color="auto"/>
                <w:bottom w:val="none" w:sz="0" w:space="0" w:color="auto"/>
                <w:right w:val="none" w:sz="0" w:space="0" w:color="auto"/>
              </w:divBdr>
            </w:div>
            <w:div w:id="786506173">
              <w:marLeft w:val="0"/>
              <w:marRight w:val="0"/>
              <w:marTop w:val="0"/>
              <w:marBottom w:val="0"/>
              <w:divBdr>
                <w:top w:val="none" w:sz="0" w:space="0" w:color="auto"/>
                <w:left w:val="none" w:sz="0" w:space="0" w:color="auto"/>
                <w:bottom w:val="none" w:sz="0" w:space="0" w:color="auto"/>
                <w:right w:val="none" w:sz="0" w:space="0" w:color="auto"/>
              </w:divBdr>
            </w:div>
            <w:div w:id="1573657849">
              <w:marLeft w:val="0"/>
              <w:marRight w:val="0"/>
              <w:marTop w:val="0"/>
              <w:marBottom w:val="0"/>
              <w:divBdr>
                <w:top w:val="none" w:sz="0" w:space="0" w:color="auto"/>
                <w:left w:val="none" w:sz="0" w:space="0" w:color="auto"/>
                <w:bottom w:val="none" w:sz="0" w:space="0" w:color="auto"/>
                <w:right w:val="none" w:sz="0" w:space="0" w:color="auto"/>
              </w:divBdr>
            </w:div>
            <w:div w:id="2144230836">
              <w:marLeft w:val="0"/>
              <w:marRight w:val="0"/>
              <w:marTop w:val="0"/>
              <w:marBottom w:val="0"/>
              <w:divBdr>
                <w:top w:val="none" w:sz="0" w:space="0" w:color="auto"/>
                <w:left w:val="none" w:sz="0" w:space="0" w:color="auto"/>
                <w:bottom w:val="none" w:sz="0" w:space="0" w:color="auto"/>
                <w:right w:val="none" w:sz="0" w:space="0" w:color="auto"/>
              </w:divBdr>
            </w:div>
            <w:div w:id="1671444501">
              <w:marLeft w:val="0"/>
              <w:marRight w:val="0"/>
              <w:marTop w:val="0"/>
              <w:marBottom w:val="0"/>
              <w:divBdr>
                <w:top w:val="none" w:sz="0" w:space="0" w:color="auto"/>
                <w:left w:val="none" w:sz="0" w:space="0" w:color="auto"/>
                <w:bottom w:val="none" w:sz="0" w:space="0" w:color="auto"/>
                <w:right w:val="none" w:sz="0" w:space="0" w:color="auto"/>
              </w:divBdr>
            </w:div>
            <w:div w:id="502162472">
              <w:marLeft w:val="0"/>
              <w:marRight w:val="0"/>
              <w:marTop w:val="0"/>
              <w:marBottom w:val="0"/>
              <w:divBdr>
                <w:top w:val="none" w:sz="0" w:space="0" w:color="auto"/>
                <w:left w:val="none" w:sz="0" w:space="0" w:color="auto"/>
                <w:bottom w:val="none" w:sz="0" w:space="0" w:color="auto"/>
                <w:right w:val="none" w:sz="0" w:space="0" w:color="auto"/>
              </w:divBdr>
            </w:div>
            <w:div w:id="2096703892">
              <w:marLeft w:val="0"/>
              <w:marRight w:val="0"/>
              <w:marTop w:val="0"/>
              <w:marBottom w:val="0"/>
              <w:divBdr>
                <w:top w:val="none" w:sz="0" w:space="0" w:color="auto"/>
                <w:left w:val="none" w:sz="0" w:space="0" w:color="auto"/>
                <w:bottom w:val="none" w:sz="0" w:space="0" w:color="auto"/>
                <w:right w:val="none" w:sz="0" w:space="0" w:color="auto"/>
              </w:divBdr>
            </w:div>
            <w:div w:id="890002526">
              <w:marLeft w:val="0"/>
              <w:marRight w:val="0"/>
              <w:marTop w:val="0"/>
              <w:marBottom w:val="0"/>
              <w:divBdr>
                <w:top w:val="none" w:sz="0" w:space="0" w:color="auto"/>
                <w:left w:val="none" w:sz="0" w:space="0" w:color="auto"/>
                <w:bottom w:val="none" w:sz="0" w:space="0" w:color="auto"/>
                <w:right w:val="none" w:sz="0" w:space="0" w:color="auto"/>
              </w:divBdr>
            </w:div>
            <w:div w:id="784543651">
              <w:marLeft w:val="0"/>
              <w:marRight w:val="0"/>
              <w:marTop w:val="0"/>
              <w:marBottom w:val="0"/>
              <w:divBdr>
                <w:top w:val="none" w:sz="0" w:space="0" w:color="auto"/>
                <w:left w:val="none" w:sz="0" w:space="0" w:color="auto"/>
                <w:bottom w:val="none" w:sz="0" w:space="0" w:color="auto"/>
                <w:right w:val="none" w:sz="0" w:space="0" w:color="auto"/>
              </w:divBdr>
            </w:div>
            <w:div w:id="193422479">
              <w:marLeft w:val="0"/>
              <w:marRight w:val="0"/>
              <w:marTop w:val="0"/>
              <w:marBottom w:val="0"/>
              <w:divBdr>
                <w:top w:val="none" w:sz="0" w:space="0" w:color="auto"/>
                <w:left w:val="none" w:sz="0" w:space="0" w:color="auto"/>
                <w:bottom w:val="none" w:sz="0" w:space="0" w:color="auto"/>
                <w:right w:val="none" w:sz="0" w:space="0" w:color="auto"/>
              </w:divBdr>
            </w:div>
            <w:div w:id="1851219324">
              <w:marLeft w:val="0"/>
              <w:marRight w:val="0"/>
              <w:marTop w:val="0"/>
              <w:marBottom w:val="0"/>
              <w:divBdr>
                <w:top w:val="none" w:sz="0" w:space="0" w:color="auto"/>
                <w:left w:val="none" w:sz="0" w:space="0" w:color="auto"/>
                <w:bottom w:val="none" w:sz="0" w:space="0" w:color="auto"/>
                <w:right w:val="none" w:sz="0" w:space="0" w:color="auto"/>
              </w:divBdr>
            </w:div>
            <w:div w:id="2136487448">
              <w:marLeft w:val="0"/>
              <w:marRight w:val="0"/>
              <w:marTop w:val="0"/>
              <w:marBottom w:val="0"/>
              <w:divBdr>
                <w:top w:val="none" w:sz="0" w:space="0" w:color="auto"/>
                <w:left w:val="none" w:sz="0" w:space="0" w:color="auto"/>
                <w:bottom w:val="none" w:sz="0" w:space="0" w:color="auto"/>
                <w:right w:val="none" w:sz="0" w:space="0" w:color="auto"/>
              </w:divBdr>
            </w:div>
            <w:div w:id="1052460022">
              <w:marLeft w:val="0"/>
              <w:marRight w:val="0"/>
              <w:marTop w:val="0"/>
              <w:marBottom w:val="0"/>
              <w:divBdr>
                <w:top w:val="none" w:sz="0" w:space="0" w:color="auto"/>
                <w:left w:val="none" w:sz="0" w:space="0" w:color="auto"/>
                <w:bottom w:val="none" w:sz="0" w:space="0" w:color="auto"/>
                <w:right w:val="none" w:sz="0" w:space="0" w:color="auto"/>
              </w:divBdr>
            </w:div>
            <w:div w:id="1532105048">
              <w:marLeft w:val="0"/>
              <w:marRight w:val="0"/>
              <w:marTop w:val="0"/>
              <w:marBottom w:val="0"/>
              <w:divBdr>
                <w:top w:val="none" w:sz="0" w:space="0" w:color="auto"/>
                <w:left w:val="none" w:sz="0" w:space="0" w:color="auto"/>
                <w:bottom w:val="none" w:sz="0" w:space="0" w:color="auto"/>
                <w:right w:val="none" w:sz="0" w:space="0" w:color="auto"/>
              </w:divBdr>
            </w:div>
            <w:div w:id="1645308121">
              <w:marLeft w:val="0"/>
              <w:marRight w:val="0"/>
              <w:marTop w:val="0"/>
              <w:marBottom w:val="0"/>
              <w:divBdr>
                <w:top w:val="none" w:sz="0" w:space="0" w:color="auto"/>
                <w:left w:val="none" w:sz="0" w:space="0" w:color="auto"/>
                <w:bottom w:val="none" w:sz="0" w:space="0" w:color="auto"/>
                <w:right w:val="none" w:sz="0" w:space="0" w:color="auto"/>
              </w:divBdr>
            </w:div>
            <w:div w:id="1693845951">
              <w:marLeft w:val="0"/>
              <w:marRight w:val="0"/>
              <w:marTop w:val="0"/>
              <w:marBottom w:val="0"/>
              <w:divBdr>
                <w:top w:val="none" w:sz="0" w:space="0" w:color="auto"/>
                <w:left w:val="none" w:sz="0" w:space="0" w:color="auto"/>
                <w:bottom w:val="none" w:sz="0" w:space="0" w:color="auto"/>
                <w:right w:val="none" w:sz="0" w:space="0" w:color="auto"/>
              </w:divBdr>
            </w:div>
            <w:div w:id="1911576467">
              <w:marLeft w:val="0"/>
              <w:marRight w:val="0"/>
              <w:marTop w:val="0"/>
              <w:marBottom w:val="0"/>
              <w:divBdr>
                <w:top w:val="none" w:sz="0" w:space="0" w:color="auto"/>
                <w:left w:val="none" w:sz="0" w:space="0" w:color="auto"/>
                <w:bottom w:val="none" w:sz="0" w:space="0" w:color="auto"/>
                <w:right w:val="none" w:sz="0" w:space="0" w:color="auto"/>
              </w:divBdr>
            </w:div>
            <w:div w:id="1428696842">
              <w:marLeft w:val="0"/>
              <w:marRight w:val="0"/>
              <w:marTop w:val="0"/>
              <w:marBottom w:val="0"/>
              <w:divBdr>
                <w:top w:val="none" w:sz="0" w:space="0" w:color="auto"/>
                <w:left w:val="none" w:sz="0" w:space="0" w:color="auto"/>
                <w:bottom w:val="none" w:sz="0" w:space="0" w:color="auto"/>
                <w:right w:val="none" w:sz="0" w:space="0" w:color="auto"/>
              </w:divBdr>
            </w:div>
            <w:div w:id="710574073">
              <w:marLeft w:val="0"/>
              <w:marRight w:val="0"/>
              <w:marTop w:val="0"/>
              <w:marBottom w:val="0"/>
              <w:divBdr>
                <w:top w:val="none" w:sz="0" w:space="0" w:color="auto"/>
                <w:left w:val="none" w:sz="0" w:space="0" w:color="auto"/>
                <w:bottom w:val="none" w:sz="0" w:space="0" w:color="auto"/>
                <w:right w:val="none" w:sz="0" w:space="0" w:color="auto"/>
              </w:divBdr>
            </w:div>
            <w:div w:id="833493641">
              <w:marLeft w:val="0"/>
              <w:marRight w:val="0"/>
              <w:marTop w:val="0"/>
              <w:marBottom w:val="0"/>
              <w:divBdr>
                <w:top w:val="none" w:sz="0" w:space="0" w:color="auto"/>
                <w:left w:val="none" w:sz="0" w:space="0" w:color="auto"/>
                <w:bottom w:val="none" w:sz="0" w:space="0" w:color="auto"/>
                <w:right w:val="none" w:sz="0" w:space="0" w:color="auto"/>
              </w:divBdr>
            </w:div>
            <w:div w:id="249121659">
              <w:marLeft w:val="0"/>
              <w:marRight w:val="0"/>
              <w:marTop w:val="0"/>
              <w:marBottom w:val="0"/>
              <w:divBdr>
                <w:top w:val="none" w:sz="0" w:space="0" w:color="auto"/>
                <w:left w:val="none" w:sz="0" w:space="0" w:color="auto"/>
                <w:bottom w:val="none" w:sz="0" w:space="0" w:color="auto"/>
                <w:right w:val="none" w:sz="0" w:space="0" w:color="auto"/>
              </w:divBdr>
            </w:div>
            <w:div w:id="1421676594">
              <w:marLeft w:val="0"/>
              <w:marRight w:val="0"/>
              <w:marTop w:val="0"/>
              <w:marBottom w:val="0"/>
              <w:divBdr>
                <w:top w:val="none" w:sz="0" w:space="0" w:color="auto"/>
                <w:left w:val="none" w:sz="0" w:space="0" w:color="auto"/>
                <w:bottom w:val="none" w:sz="0" w:space="0" w:color="auto"/>
                <w:right w:val="none" w:sz="0" w:space="0" w:color="auto"/>
              </w:divBdr>
            </w:div>
            <w:div w:id="1528831764">
              <w:marLeft w:val="0"/>
              <w:marRight w:val="0"/>
              <w:marTop w:val="0"/>
              <w:marBottom w:val="0"/>
              <w:divBdr>
                <w:top w:val="none" w:sz="0" w:space="0" w:color="auto"/>
                <w:left w:val="none" w:sz="0" w:space="0" w:color="auto"/>
                <w:bottom w:val="none" w:sz="0" w:space="0" w:color="auto"/>
                <w:right w:val="none" w:sz="0" w:space="0" w:color="auto"/>
              </w:divBdr>
            </w:div>
            <w:div w:id="1269697837">
              <w:marLeft w:val="0"/>
              <w:marRight w:val="0"/>
              <w:marTop w:val="0"/>
              <w:marBottom w:val="0"/>
              <w:divBdr>
                <w:top w:val="none" w:sz="0" w:space="0" w:color="auto"/>
                <w:left w:val="none" w:sz="0" w:space="0" w:color="auto"/>
                <w:bottom w:val="none" w:sz="0" w:space="0" w:color="auto"/>
                <w:right w:val="none" w:sz="0" w:space="0" w:color="auto"/>
              </w:divBdr>
            </w:div>
            <w:div w:id="257756145">
              <w:marLeft w:val="0"/>
              <w:marRight w:val="0"/>
              <w:marTop w:val="0"/>
              <w:marBottom w:val="0"/>
              <w:divBdr>
                <w:top w:val="none" w:sz="0" w:space="0" w:color="auto"/>
                <w:left w:val="none" w:sz="0" w:space="0" w:color="auto"/>
                <w:bottom w:val="none" w:sz="0" w:space="0" w:color="auto"/>
                <w:right w:val="none" w:sz="0" w:space="0" w:color="auto"/>
              </w:divBdr>
            </w:div>
            <w:div w:id="740761965">
              <w:marLeft w:val="0"/>
              <w:marRight w:val="0"/>
              <w:marTop w:val="0"/>
              <w:marBottom w:val="0"/>
              <w:divBdr>
                <w:top w:val="none" w:sz="0" w:space="0" w:color="auto"/>
                <w:left w:val="none" w:sz="0" w:space="0" w:color="auto"/>
                <w:bottom w:val="none" w:sz="0" w:space="0" w:color="auto"/>
                <w:right w:val="none" w:sz="0" w:space="0" w:color="auto"/>
              </w:divBdr>
            </w:div>
            <w:div w:id="1595824220">
              <w:marLeft w:val="0"/>
              <w:marRight w:val="0"/>
              <w:marTop w:val="0"/>
              <w:marBottom w:val="0"/>
              <w:divBdr>
                <w:top w:val="none" w:sz="0" w:space="0" w:color="auto"/>
                <w:left w:val="none" w:sz="0" w:space="0" w:color="auto"/>
                <w:bottom w:val="none" w:sz="0" w:space="0" w:color="auto"/>
                <w:right w:val="none" w:sz="0" w:space="0" w:color="auto"/>
              </w:divBdr>
            </w:div>
            <w:div w:id="1401757876">
              <w:marLeft w:val="0"/>
              <w:marRight w:val="0"/>
              <w:marTop w:val="0"/>
              <w:marBottom w:val="0"/>
              <w:divBdr>
                <w:top w:val="none" w:sz="0" w:space="0" w:color="auto"/>
                <w:left w:val="none" w:sz="0" w:space="0" w:color="auto"/>
                <w:bottom w:val="none" w:sz="0" w:space="0" w:color="auto"/>
                <w:right w:val="none" w:sz="0" w:space="0" w:color="auto"/>
              </w:divBdr>
            </w:div>
            <w:div w:id="813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5405">
      <w:bodyDiv w:val="1"/>
      <w:marLeft w:val="0"/>
      <w:marRight w:val="0"/>
      <w:marTop w:val="0"/>
      <w:marBottom w:val="0"/>
      <w:divBdr>
        <w:top w:val="none" w:sz="0" w:space="0" w:color="auto"/>
        <w:left w:val="none" w:sz="0" w:space="0" w:color="auto"/>
        <w:bottom w:val="none" w:sz="0" w:space="0" w:color="auto"/>
        <w:right w:val="none" w:sz="0" w:space="0" w:color="auto"/>
      </w:divBdr>
    </w:div>
    <w:div w:id="721637911">
      <w:bodyDiv w:val="1"/>
      <w:marLeft w:val="0"/>
      <w:marRight w:val="0"/>
      <w:marTop w:val="0"/>
      <w:marBottom w:val="0"/>
      <w:divBdr>
        <w:top w:val="none" w:sz="0" w:space="0" w:color="auto"/>
        <w:left w:val="none" w:sz="0" w:space="0" w:color="auto"/>
        <w:bottom w:val="none" w:sz="0" w:space="0" w:color="auto"/>
        <w:right w:val="none" w:sz="0" w:space="0" w:color="auto"/>
      </w:divBdr>
      <w:divsChild>
        <w:div w:id="335963104">
          <w:marLeft w:val="480"/>
          <w:marRight w:val="0"/>
          <w:marTop w:val="0"/>
          <w:marBottom w:val="0"/>
          <w:divBdr>
            <w:top w:val="none" w:sz="0" w:space="0" w:color="auto"/>
            <w:left w:val="none" w:sz="0" w:space="0" w:color="auto"/>
            <w:bottom w:val="none" w:sz="0" w:space="0" w:color="auto"/>
            <w:right w:val="none" w:sz="0" w:space="0" w:color="auto"/>
          </w:divBdr>
          <w:divsChild>
            <w:div w:id="1374118541">
              <w:marLeft w:val="0"/>
              <w:marRight w:val="0"/>
              <w:marTop w:val="0"/>
              <w:marBottom w:val="0"/>
              <w:divBdr>
                <w:top w:val="none" w:sz="0" w:space="0" w:color="auto"/>
                <w:left w:val="none" w:sz="0" w:space="0" w:color="auto"/>
                <w:bottom w:val="none" w:sz="0" w:space="0" w:color="auto"/>
                <w:right w:val="none" w:sz="0" w:space="0" w:color="auto"/>
              </w:divBdr>
            </w:div>
            <w:div w:id="1848786241">
              <w:marLeft w:val="0"/>
              <w:marRight w:val="0"/>
              <w:marTop w:val="0"/>
              <w:marBottom w:val="0"/>
              <w:divBdr>
                <w:top w:val="none" w:sz="0" w:space="0" w:color="auto"/>
                <w:left w:val="none" w:sz="0" w:space="0" w:color="auto"/>
                <w:bottom w:val="none" w:sz="0" w:space="0" w:color="auto"/>
                <w:right w:val="none" w:sz="0" w:space="0" w:color="auto"/>
              </w:divBdr>
            </w:div>
            <w:div w:id="2044206799">
              <w:marLeft w:val="0"/>
              <w:marRight w:val="0"/>
              <w:marTop w:val="0"/>
              <w:marBottom w:val="0"/>
              <w:divBdr>
                <w:top w:val="none" w:sz="0" w:space="0" w:color="auto"/>
                <w:left w:val="none" w:sz="0" w:space="0" w:color="auto"/>
                <w:bottom w:val="none" w:sz="0" w:space="0" w:color="auto"/>
                <w:right w:val="none" w:sz="0" w:space="0" w:color="auto"/>
              </w:divBdr>
            </w:div>
            <w:div w:id="29500636">
              <w:marLeft w:val="0"/>
              <w:marRight w:val="0"/>
              <w:marTop w:val="0"/>
              <w:marBottom w:val="0"/>
              <w:divBdr>
                <w:top w:val="none" w:sz="0" w:space="0" w:color="auto"/>
                <w:left w:val="none" w:sz="0" w:space="0" w:color="auto"/>
                <w:bottom w:val="none" w:sz="0" w:space="0" w:color="auto"/>
                <w:right w:val="none" w:sz="0" w:space="0" w:color="auto"/>
              </w:divBdr>
            </w:div>
            <w:div w:id="539786647">
              <w:marLeft w:val="0"/>
              <w:marRight w:val="0"/>
              <w:marTop w:val="0"/>
              <w:marBottom w:val="0"/>
              <w:divBdr>
                <w:top w:val="none" w:sz="0" w:space="0" w:color="auto"/>
                <w:left w:val="none" w:sz="0" w:space="0" w:color="auto"/>
                <w:bottom w:val="none" w:sz="0" w:space="0" w:color="auto"/>
                <w:right w:val="none" w:sz="0" w:space="0" w:color="auto"/>
              </w:divBdr>
            </w:div>
            <w:div w:id="616570887">
              <w:marLeft w:val="0"/>
              <w:marRight w:val="0"/>
              <w:marTop w:val="0"/>
              <w:marBottom w:val="0"/>
              <w:divBdr>
                <w:top w:val="none" w:sz="0" w:space="0" w:color="auto"/>
                <w:left w:val="none" w:sz="0" w:space="0" w:color="auto"/>
                <w:bottom w:val="none" w:sz="0" w:space="0" w:color="auto"/>
                <w:right w:val="none" w:sz="0" w:space="0" w:color="auto"/>
              </w:divBdr>
            </w:div>
            <w:div w:id="1093937840">
              <w:marLeft w:val="0"/>
              <w:marRight w:val="0"/>
              <w:marTop w:val="0"/>
              <w:marBottom w:val="0"/>
              <w:divBdr>
                <w:top w:val="none" w:sz="0" w:space="0" w:color="auto"/>
                <w:left w:val="none" w:sz="0" w:space="0" w:color="auto"/>
                <w:bottom w:val="none" w:sz="0" w:space="0" w:color="auto"/>
                <w:right w:val="none" w:sz="0" w:space="0" w:color="auto"/>
              </w:divBdr>
            </w:div>
            <w:div w:id="1137722886">
              <w:marLeft w:val="0"/>
              <w:marRight w:val="0"/>
              <w:marTop w:val="0"/>
              <w:marBottom w:val="0"/>
              <w:divBdr>
                <w:top w:val="none" w:sz="0" w:space="0" w:color="auto"/>
                <w:left w:val="none" w:sz="0" w:space="0" w:color="auto"/>
                <w:bottom w:val="none" w:sz="0" w:space="0" w:color="auto"/>
                <w:right w:val="none" w:sz="0" w:space="0" w:color="auto"/>
              </w:divBdr>
            </w:div>
            <w:div w:id="1773428095">
              <w:marLeft w:val="0"/>
              <w:marRight w:val="0"/>
              <w:marTop w:val="0"/>
              <w:marBottom w:val="0"/>
              <w:divBdr>
                <w:top w:val="none" w:sz="0" w:space="0" w:color="auto"/>
                <w:left w:val="none" w:sz="0" w:space="0" w:color="auto"/>
                <w:bottom w:val="none" w:sz="0" w:space="0" w:color="auto"/>
                <w:right w:val="none" w:sz="0" w:space="0" w:color="auto"/>
              </w:divBdr>
            </w:div>
            <w:div w:id="2071878475">
              <w:marLeft w:val="0"/>
              <w:marRight w:val="0"/>
              <w:marTop w:val="0"/>
              <w:marBottom w:val="0"/>
              <w:divBdr>
                <w:top w:val="none" w:sz="0" w:space="0" w:color="auto"/>
                <w:left w:val="none" w:sz="0" w:space="0" w:color="auto"/>
                <w:bottom w:val="none" w:sz="0" w:space="0" w:color="auto"/>
                <w:right w:val="none" w:sz="0" w:space="0" w:color="auto"/>
              </w:divBdr>
            </w:div>
            <w:div w:id="1670255271">
              <w:marLeft w:val="0"/>
              <w:marRight w:val="0"/>
              <w:marTop w:val="0"/>
              <w:marBottom w:val="0"/>
              <w:divBdr>
                <w:top w:val="none" w:sz="0" w:space="0" w:color="auto"/>
                <w:left w:val="none" w:sz="0" w:space="0" w:color="auto"/>
                <w:bottom w:val="none" w:sz="0" w:space="0" w:color="auto"/>
                <w:right w:val="none" w:sz="0" w:space="0" w:color="auto"/>
              </w:divBdr>
            </w:div>
            <w:div w:id="766389879">
              <w:marLeft w:val="0"/>
              <w:marRight w:val="0"/>
              <w:marTop w:val="0"/>
              <w:marBottom w:val="0"/>
              <w:divBdr>
                <w:top w:val="none" w:sz="0" w:space="0" w:color="auto"/>
                <w:left w:val="none" w:sz="0" w:space="0" w:color="auto"/>
                <w:bottom w:val="none" w:sz="0" w:space="0" w:color="auto"/>
                <w:right w:val="none" w:sz="0" w:space="0" w:color="auto"/>
              </w:divBdr>
            </w:div>
            <w:div w:id="416638192">
              <w:marLeft w:val="0"/>
              <w:marRight w:val="0"/>
              <w:marTop w:val="0"/>
              <w:marBottom w:val="0"/>
              <w:divBdr>
                <w:top w:val="none" w:sz="0" w:space="0" w:color="auto"/>
                <w:left w:val="none" w:sz="0" w:space="0" w:color="auto"/>
                <w:bottom w:val="none" w:sz="0" w:space="0" w:color="auto"/>
                <w:right w:val="none" w:sz="0" w:space="0" w:color="auto"/>
              </w:divBdr>
            </w:div>
            <w:div w:id="2025550901">
              <w:marLeft w:val="0"/>
              <w:marRight w:val="0"/>
              <w:marTop w:val="0"/>
              <w:marBottom w:val="0"/>
              <w:divBdr>
                <w:top w:val="none" w:sz="0" w:space="0" w:color="auto"/>
                <w:left w:val="none" w:sz="0" w:space="0" w:color="auto"/>
                <w:bottom w:val="none" w:sz="0" w:space="0" w:color="auto"/>
                <w:right w:val="none" w:sz="0" w:space="0" w:color="auto"/>
              </w:divBdr>
            </w:div>
            <w:div w:id="1348748123">
              <w:marLeft w:val="0"/>
              <w:marRight w:val="0"/>
              <w:marTop w:val="0"/>
              <w:marBottom w:val="0"/>
              <w:divBdr>
                <w:top w:val="none" w:sz="0" w:space="0" w:color="auto"/>
                <w:left w:val="none" w:sz="0" w:space="0" w:color="auto"/>
                <w:bottom w:val="none" w:sz="0" w:space="0" w:color="auto"/>
                <w:right w:val="none" w:sz="0" w:space="0" w:color="auto"/>
              </w:divBdr>
            </w:div>
            <w:div w:id="51008048">
              <w:marLeft w:val="0"/>
              <w:marRight w:val="0"/>
              <w:marTop w:val="0"/>
              <w:marBottom w:val="0"/>
              <w:divBdr>
                <w:top w:val="none" w:sz="0" w:space="0" w:color="auto"/>
                <w:left w:val="none" w:sz="0" w:space="0" w:color="auto"/>
                <w:bottom w:val="none" w:sz="0" w:space="0" w:color="auto"/>
                <w:right w:val="none" w:sz="0" w:space="0" w:color="auto"/>
              </w:divBdr>
            </w:div>
            <w:div w:id="525143251">
              <w:marLeft w:val="0"/>
              <w:marRight w:val="0"/>
              <w:marTop w:val="0"/>
              <w:marBottom w:val="0"/>
              <w:divBdr>
                <w:top w:val="none" w:sz="0" w:space="0" w:color="auto"/>
                <w:left w:val="none" w:sz="0" w:space="0" w:color="auto"/>
                <w:bottom w:val="none" w:sz="0" w:space="0" w:color="auto"/>
                <w:right w:val="none" w:sz="0" w:space="0" w:color="auto"/>
              </w:divBdr>
            </w:div>
            <w:div w:id="91634730">
              <w:marLeft w:val="0"/>
              <w:marRight w:val="0"/>
              <w:marTop w:val="0"/>
              <w:marBottom w:val="0"/>
              <w:divBdr>
                <w:top w:val="none" w:sz="0" w:space="0" w:color="auto"/>
                <w:left w:val="none" w:sz="0" w:space="0" w:color="auto"/>
                <w:bottom w:val="none" w:sz="0" w:space="0" w:color="auto"/>
                <w:right w:val="none" w:sz="0" w:space="0" w:color="auto"/>
              </w:divBdr>
            </w:div>
            <w:div w:id="879853363">
              <w:marLeft w:val="0"/>
              <w:marRight w:val="0"/>
              <w:marTop w:val="0"/>
              <w:marBottom w:val="0"/>
              <w:divBdr>
                <w:top w:val="none" w:sz="0" w:space="0" w:color="auto"/>
                <w:left w:val="none" w:sz="0" w:space="0" w:color="auto"/>
                <w:bottom w:val="none" w:sz="0" w:space="0" w:color="auto"/>
                <w:right w:val="none" w:sz="0" w:space="0" w:color="auto"/>
              </w:divBdr>
            </w:div>
            <w:div w:id="1943494252">
              <w:marLeft w:val="0"/>
              <w:marRight w:val="0"/>
              <w:marTop w:val="0"/>
              <w:marBottom w:val="0"/>
              <w:divBdr>
                <w:top w:val="none" w:sz="0" w:space="0" w:color="auto"/>
                <w:left w:val="none" w:sz="0" w:space="0" w:color="auto"/>
                <w:bottom w:val="none" w:sz="0" w:space="0" w:color="auto"/>
                <w:right w:val="none" w:sz="0" w:space="0" w:color="auto"/>
              </w:divBdr>
            </w:div>
            <w:div w:id="1960063165">
              <w:marLeft w:val="0"/>
              <w:marRight w:val="0"/>
              <w:marTop w:val="0"/>
              <w:marBottom w:val="0"/>
              <w:divBdr>
                <w:top w:val="none" w:sz="0" w:space="0" w:color="auto"/>
                <w:left w:val="none" w:sz="0" w:space="0" w:color="auto"/>
                <w:bottom w:val="none" w:sz="0" w:space="0" w:color="auto"/>
                <w:right w:val="none" w:sz="0" w:space="0" w:color="auto"/>
              </w:divBdr>
            </w:div>
            <w:div w:id="1585339192">
              <w:marLeft w:val="0"/>
              <w:marRight w:val="0"/>
              <w:marTop w:val="0"/>
              <w:marBottom w:val="0"/>
              <w:divBdr>
                <w:top w:val="none" w:sz="0" w:space="0" w:color="auto"/>
                <w:left w:val="none" w:sz="0" w:space="0" w:color="auto"/>
                <w:bottom w:val="none" w:sz="0" w:space="0" w:color="auto"/>
                <w:right w:val="none" w:sz="0" w:space="0" w:color="auto"/>
              </w:divBdr>
            </w:div>
            <w:div w:id="483818259">
              <w:marLeft w:val="0"/>
              <w:marRight w:val="0"/>
              <w:marTop w:val="0"/>
              <w:marBottom w:val="0"/>
              <w:divBdr>
                <w:top w:val="none" w:sz="0" w:space="0" w:color="auto"/>
                <w:left w:val="none" w:sz="0" w:space="0" w:color="auto"/>
                <w:bottom w:val="none" w:sz="0" w:space="0" w:color="auto"/>
                <w:right w:val="none" w:sz="0" w:space="0" w:color="auto"/>
              </w:divBdr>
            </w:div>
            <w:div w:id="789664140">
              <w:marLeft w:val="0"/>
              <w:marRight w:val="0"/>
              <w:marTop w:val="0"/>
              <w:marBottom w:val="0"/>
              <w:divBdr>
                <w:top w:val="none" w:sz="0" w:space="0" w:color="auto"/>
                <w:left w:val="none" w:sz="0" w:space="0" w:color="auto"/>
                <w:bottom w:val="none" w:sz="0" w:space="0" w:color="auto"/>
                <w:right w:val="none" w:sz="0" w:space="0" w:color="auto"/>
              </w:divBdr>
            </w:div>
            <w:div w:id="211308769">
              <w:marLeft w:val="0"/>
              <w:marRight w:val="0"/>
              <w:marTop w:val="0"/>
              <w:marBottom w:val="0"/>
              <w:divBdr>
                <w:top w:val="none" w:sz="0" w:space="0" w:color="auto"/>
                <w:left w:val="none" w:sz="0" w:space="0" w:color="auto"/>
                <w:bottom w:val="none" w:sz="0" w:space="0" w:color="auto"/>
                <w:right w:val="none" w:sz="0" w:space="0" w:color="auto"/>
              </w:divBdr>
            </w:div>
            <w:div w:id="1759205627">
              <w:marLeft w:val="0"/>
              <w:marRight w:val="0"/>
              <w:marTop w:val="0"/>
              <w:marBottom w:val="0"/>
              <w:divBdr>
                <w:top w:val="none" w:sz="0" w:space="0" w:color="auto"/>
                <w:left w:val="none" w:sz="0" w:space="0" w:color="auto"/>
                <w:bottom w:val="none" w:sz="0" w:space="0" w:color="auto"/>
                <w:right w:val="none" w:sz="0" w:space="0" w:color="auto"/>
              </w:divBdr>
            </w:div>
            <w:div w:id="1054237015">
              <w:marLeft w:val="0"/>
              <w:marRight w:val="0"/>
              <w:marTop w:val="0"/>
              <w:marBottom w:val="0"/>
              <w:divBdr>
                <w:top w:val="none" w:sz="0" w:space="0" w:color="auto"/>
                <w:left w:val="none" w:sz="0" w:space="0" w:color="auto"/>
                <w:bottom w:val="none" w:sz="0" w:space="0" w:color="auto"/>
                <w:right w:val="none" w:sz="0" w:space="0" w:color="auto"/>
              </w:divBdr>
            </w:div>
            <w:div w:id="1878472000">
              <w:marLeft w:val="0"/>
              <w:marRight w:val="0"/>
              <w:marTop w:val="0"/>
              <w:marBottom w:val="0"/>
              <w:divBdr>
                <w:top w:val="none" w:sz="0" w:space="0" w:color="auto"/>
                <w:left w:val="none" w:sz="0" w:space="0" w:color="auto"/>
                <w:bottom w:val="none" w:sz="0" w:space="0" w:color="auto"/>
                <w:right w:val="none" w:sz="0" w:space="0" w:color="auto"/>
              </w:divBdr>
            </w:div>
            <w:div w:id="1697270631">
              <w:marLeft w:val="0"/>
              <w:marRight w:val="0"/>
              <w:marTop w:val="0"/>
              <w:marBottom w:val="0"/>
              <w:divBdr>
                <w:top w:val="none" w:sz="0" w:space="0" w:color="auto"/>
                <w:left w:val="none" w:sz="0" w:space="0" w:color="auto"/>
                <w:bottom w:val="none" w:sz="0" w:space="0" w:color="auto"/>
                <w:right w:val="none" w:sz="0" w:space="0" w:color="auto"/>
              </w:divBdr>
            </w:div>
            <w:div w:id="1004863653">
              <w:marLeft w:val="0"/>
              <w:marRight w:val="0"/>
              <w:marTop w:val="0"/>
              <w:marBottom w:val="0"/>
              <w:divBdr>
                <w:top w:val="none" w:sz="0" w:space="0" w:color="auto"/>
                <w:left w:val="none" w:sz="0" w:space="0" w:color="auto"/>
                <w:bottom w:val="none" w:sz="0" w:space="0" w:color="auto"/>
                <w:right w:val="none" w:sz="0" w:space="0" w:color="auto"/>
              </w:divBdr>
            </w:div>
            <w:div w:id="1113019698">
              <w:marLeft w:val="0"/>
              <w:marRight w:val="0"/>
              <w:marTop w:val="0"/>
              <w:marBottom w:val="0"/>
              <w:divBdr>
                <w:top w:val="none" w:sz="0" w:space="0" w:color="auto"/>
                <w:left w:val="none" w:sz="0" w:space="0" w:color="auto"/>
                <w:bottom w:val="none" w:sz="0" w:space="0" w:color="auto"/>
                <w:right w:val="none" w:sz="0" w:space="0" w:color="auto"/>
              </w:divBdr>
            </w:div>
            <w:div w:id="87435207">
              <w:marLeft w:val="0"/>
              <w:marRight w:val="0"/>
              <w:marTop w:val="0"/>
              <w:marBottom w:val="0"/>
              <w:divBdr>
                <w:top w:val="none" w:sz="0" w:space="0" w:color="auto"/>
                <w:left w:val="none" w:sz="0" w:space="0" w:color="auto"/>
                <w:bottom w:val="none" w:sz="0" w:space="0" w:color="auto"/>
                <w:right w:val="none" w:sz="0" w:space="0" w:color="auto"/>
              </w:divBdr>
            </w:div>
            <w:div w:id="45764814">
              <w:marLeft w:val="0"/>
              <w:marRight w:val="0"/>
              <w:marTop w:val="0"/>
              <w:marBottom w:val="0"/>
              <w:divBdr>
                <w:top w:val="none" w:sz="0" w:space="0" w:color="auto"/>
                <w:left w:val="none" w:sz="0" w:space="0" w:color="auto"/>
                <w:bottom w:val="none" w:sz="0" w:space="0" w:color="auto"/>
                <w:right w:val="none" w:sz="0" w:space="0" w:color="auto"/>
              </w:divBdr>
            </w:div>
            <w:div w:id="873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6923/jicc.v8i1.449" TargetMode="External"/><Relationship Id="rId18" Type="http://schemas.openxmlformats.org/officeDocument/2006/relationships/hyperlink" Target="https://teaching.statistics-is-awesome.org/designing-online-experiments-using-google-forms-random-redirect-tool" TargetMode="External"/><Relationship Id="rId26" Type="http://schemas.openxmlformats.org/officeDocument/2006/relationships/hyperlink" Target="https://doi.org/10.18276/an.2017.11-10" TargetMode="External"/><Relationship Id="rId3" Type="http://schemas.openxmlformats.org/officeDocument/2006/relationships/styles" Target="styles.xml"/><Relationship Id="rId21" Type="http://schemas.openxmlformats.org/officeDocument/2006/relationships/hyperlink" Target="https://doi.org/10.1002/9780470609927.ch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75/jial.00009.ell" TargetMode="External"/><Relationship Id="rId25" Type="http://schemas.openxmlformats.org/officeDocument/2006/relationships/hyperlink" Target="https://doi.org/10.3389/fpsyg.2018.01558" TargetMode="External"/><Relationship Id="rId2" Type="http://schemas.openxmlformats.org/officeDocument/2006/relationships/numbering" Target="numbering.xml"/><Relationship Id="rId16" Type="http://schemas.openxmlformats.org/officeDocument/2006/relationships/hyperlink" Target="https://doi.org/10.4324/9780203771587" TargetMode="External"/><Relationship Id="rId20" Type="http://schemas.openxmlformats.org/officeDocument/2006/relationships/hyperlink" Target="https://doi.org/10.17651/ONOMAST.63.1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7202/006966ar" TargetMode="External"/><Relationship Id="rId5" Type="http://schemas.openxmlformats.org/officeDocument/2006/relationships/webSettings" Target="webSettings.xml"/><Relationship Id="rId15" Type="http://schemas.openxmlformats.org/officeDocument/2006/relationships/hyperlink" Target="https://doi.org/10.17576/gema-2018-1802-08" TargetMode="External"/><Relationship Id="rId23" Type="http://schemas.openxmlformats.org/officeDocument/2006/relationships/hyperlink" Target="https://doi.org/10.4312/an.50.1-2.137-152"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4456/nvts.200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4467/16891864PC.20.001.13164" TargetMode="External"/><Relationship Id="rId22" Type="http://schemas.openxmlformats.org/officeDocument/2006/relationships/hyperlink" Target="https://doi.org/10.34158/ONOMA.53/2018/6" TargetMode="External"/><Relationship Id="rId27" Type="http://schemas.openxmlformats.org/officeDocument/2006/relationships/hyperlink" Target="https://doi.org/10.57903/UJ/PBVUP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74404-C0C5-4705-A282-AFA4C83F6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18</Pages>
  <Words>17504</Words>
  <Characters>105029</Characters>
  <DocSecurity>0</DocSecurity>
  <Lines>875</Lines>
  <Paragraphs>244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2023-11-28T15:30:00Z</cp:lastPrinted>
  <dcterms:created xsi:type="dcterms:W3CDTF">2023-12-18T13:11:00Z</dcterms:created>
  <dcterms:modified xsi:type="dcterms:W3CDTF">2023-12-18T18:47:00Z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id="7vIsUrSX"/&gt;&lt;style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