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D752BB" w14:textId="62003003" w:rsidR="007C0CE0" w:rsidRPr="006B0749" w:rsidRDefault="0012702D" w:rsidP="00A0728F">
      <w:pPr>
        <w:autoSpaceDE w:val="0"/>
        <w:autoSpaceDN w:val="0"/>
        <w:adjustRightInd w:val="0"/>
        <w:jc w:val="center"/>
        <w:rPr>
          <w:b/>
          <w:bCs/>
          <w:color w:val="000000" w:themeColor="text1"/>
          <w:sz w:val="28"/>
          <w:szCs w:val="28"/>
          <w:lang w:bidi="fa-IR"/>
        </w:rPr>
      </w:pPr>
      <w:r w:rsidRPr="006B0749">
        <w:rPr>
          <w:b/>
          <w:bCs/>
          <w:color w:val="000000" w:themeColor="text1"/>
          <w:sz w:val="28"/>
          <w:szCs w:val="28"/>
        </w:rPr>
        <w:t xml:space="preserve">The Role of </w:t>
      </w:r>
      <w:r w:rsidR="00CE73FF" w:rsidRPr="006B0749">
        <w:rPr>
          <w:b/>
          <w:bCs/>
          <w:color w:val="000000" w:themeColor="text1"/>
          <w:sz w:val="28"/>
          <w:szCs w:val="28"/>
        </w:rPr>
        <w:t xml:space="preserve">Vocabulary Knowledge </w:t>
      </w:r>
      <w:r w:rsidRPr="006B0749">
        <w:rPr>
          <w:b/>
          <w:bCs/>
          <w:color w:val="000000" w:themeColor="text1"/>
          <w:sz w:val="28"/>
          <w:szCs w:val="28"/>
        </w:rPr>
        <w:t>in</w:t>
      </w:r>
      <w:r w:rsidR="00CE73FF" w:rsidRPr="006B0749">
        <w:rPr>
          <w:b/>
          <w:bCs/>
          <w:color w:val="000000" w:themeColor="text1"/>
          <w:sz w:val="28"/>
          <w:szCs w:val="28"/>
        </w:rPr>
        <w:t xml:space="preserve"> L2 Speaking and Writing Abilities</w:t>
      </w:r>
      <w:r w:rsidR="007C0CE0" w:rsidRPr="006B0749">
        <w:rPr>
          <w:b/>
          <w:bCs/>
          <w:color w:val="000000" w:themeColor="text1"/>
          <w:sz w:val="28"/>
          <w:szCs w:val="28"/>
        </w:rPr>
        <w:t xml:space="preserve"> </w:t>
      </w:r>
    </w:p>
    <w:p w14:paraId="189CD842" w14:textId="77777777" w:rsidR="007C0CE0" w:rsidRPr="006B0749" w:rsidRDefault="007C0CE0" w:rsidP="007C0CE0">
      <w:pPr>
        <w:autoSpaceDE w:val="0"/>
        <w:autoSpaceDN w:val="0"/>
        <w:adjustRightInd w:val="0"/>
        <w:jc w:val="center"/>
        <w:rPr>
          <w:b/>
          <w:bCs/>
          <w:color w:val="000000" w:themeColor="text1"/>
          <w:sz w:val="28"/>
          <w:szCs w:val="28"/>
        </w:rPr>
      </w:pPr>
    </w:p>
    <w:p w14:paraId="1CD93E80" w14:textId="34802235" w:rsidR="007C0CE0" w:rsidRPr="006B0749" w:rsidRDefault="00A0728F" w:rsidP="007C0CE0">
      <w:pPr>
        <w:autoSpaceDE w:val="0"/>
        <w:autoSpaceDN w:val="0"/>
        <w:adjustRightInd w:val="0"/>
        <w:jc w:val="center"/>
        <w:rPr>
          <w:i/>
          <w:iCs/>
          <w:color w:val="000000" w:themeColor="text1"/>
        </w:rPr>
      </w:pPr>
      <w:r w:rsidRPr="006B0749">
        <w:rPr>
          <w:i/>
          <w:iCs/>
          <w:color w:val="000000" w:themeColor="text1"/>
        </w:rPr>
        <w:t>Apisak Sukyi</w:t>
      </w:r>
      <w:r w:rsidR="00D82358" w:rsidRPr="006B0749">
        <w:rPr>
          <w:i/>
          <w:iCs/>
          <w:color w:val="000000" w:themeColor="text1"/>
        </w:rPr>
        <w:t>ng</w:t>
      </w:r>
      <w:r w:rsidR="00D82358" w:rsidRPr="006B0749">
        <w:rPr>
          <w:rStyle w:val="FootnoteReference"/>
          <w:i/>
          <w:iCs/>
          <w:color w:val="000000" w:themeColor="text1"/>
        </w:rPr>
        <w:footnoteReference w:customMarkFollows="1" w:id="1"/>
        <w:sym w:font="Symbol" w:char="F02A"/>
      </w:r>
    </w:p>
    <w:p w14:paraId="553F69C6" w14:textId="2E58417A" w:rsidR="007C0CE0" w:rsidRPr="006B0749" w:rsidRDefault="00A0728F" w:rsidP="00A0728F">
      <w:pPr>
        <w:autoSpaceDE w:val="0"/>
        <w:autoSpaceDN w:val="0"/>
        <w:adjustRightInd w:val="0"/>
        <w:jc w:val="center"/>
        <w:rPr>
          <w:i/>
          <w:iCs/>
          <w:color w:val="000000" w:themeColor="text1"/>
          <w:u w:val="single"/>
        </w:rPr>
      </w:pPr>
      <w:r w:rsidRPr="006B0749">
        <w:rPr>
          <w:i/>
          <w:iCs/>
          <w:color w:val="000000" w:themeColor="text1"/>
          <w:u w:val="single"/>
        </w:rPr>
        <w:t>apisak.s@msu.ac.th</w:t>
      </w:r>
    </w:p>
    <w:p w14:paraId="47163BED" w14:textId="14A80201" w:rsidR="00A0728F" w:rsidRPr="006B0749" w:rsidRDefault="00A0728F" w:rsidP="007C0CE0">
      <w:pPr>
        <w:autoSpaceDE w:val="0"/>
        <w:autoSpaceDN w:val="0"/>
        <w:adjustRightInd w:val="0"/>
        <w:jc w:val="center"/>
        <w:rPr>
          <w:i/>
          <w:iCs/>
          <w:color w:val="000000" w:themeColor="text1"/>
        </w:rPr>
      </w:pPr>
      <w:r w:rsidRPr="006B0749">
        <w:rPr>
          <w:i/>
          <w:iCs/>
          <w:color w:val="000000" w:themeColor="text1"/>
        </w:rPr>
        <w:t>Department of Western Languages and Linguistics,</w:t>
      </w:r>
    </w:p>
    <w:p w14:paraId="0C61A946" w14:textId="1EDD20E4" w:rsidR="00A0728F" w:rsidRPr="006B0749" w:rsidRDefault="00A0728F" w:rsidP="00A0728F">
      <w:pPr>
        <w:autoSpaceDE w:val="0"/>
        <w:autoSpaceDN w:val="0"/>
        <w:adjustRightInd w:val="0"/>
        <w:jc w:val="center"/>
        <w:rPr>
          <w:i/>
          <w:iCs/>
          <w:color w:val="000000" w:themeColor="text1"/>
        </w:rPr>
      </w:pPr>
      <w:r w:rsidRPr="006B0749">
        <w:rPr>
          <w:i/>
          <w:iCs/>
          <w:color w:val="000000" w:themeColor="text1"/>
        </w:rPr>
        <w:t>Faculty of Humanities and Social Sciences,</w:t>
      </w:r>
    </w:p>
    <w:p w14:paraId="7CC9B063" w14:textId="78288F81" w:rsidR="007C0CE0" w:rsidRPr="006B0749" w:rsidRDefault="00A0728F" w:rsidP="007C0CE0">
      <w:pPr>
        <w:autoSpaceDE w:val="0"/>
        <w:autoSpaceDN w:val="0"/>
        <w:adjustRightInd w:val="0"/>
        <w:jc w:val="center"/>
        <w:rPr>
          <w:i/>
          <w:iCs/>
          <w:color w:val="000000" w:themeColor="text1"/>
        </w:rPr>
      </w:pPr>
      <w:proofErr w:type="spellStart"/>
      <w:r w:rsidRPr="006B0749">
        <w:rPr>
          <w:i/>
          <w:iCs/>
          <w:color w:val="000000" w:themeColor="text1"/>
        </w:rPr>
        <w:t>Mahasarakham</w:t>
      </w:r>
      <w:proofErr w:type="spellEnd"/>
      <w:r w:rsidRPr="006B0749">
        <w:rPr>
          <w:i/>
          <w:iCs/>
          <w:color w:val="000000" w:themeColor="text1"/>
        </w:rPr>
        <w:t xml:space="preserve"> University, </w:t>
      </w:r>
      <w:proofErr w:type="spellStart"/>
      <w:r w:rsidRPr="006B0749">
        <w:rPr>
          <w:i/>
          <w:iCs/>
          <w:color w:val="000000" w:themeColor="text1"/>
        </w:rPr>
        <w:t>Maha</w:t>
      </w:r>
      <w:proofErr w:type="spellEnd"/>
      <w:r w:rsidRPr="006B0749">
        <w:rPr>
          <w:i/>
          <w:iCs/>
          <w:color w:val="000000" w:themeColor="text1"/>
        </w:rPr>
        <w:t xml:space="preserve"> </w:t>
      </w:r>
      <w:proofErr w:type="spellStart"/>
      <w:r w:rsidRPr="006B0749">
        <w:rPr>
          <w:i/>
          <w:iCs/>
          <w:color w:val="000000" w:themeColor="text1"/>
        </w:rPr>
        <w:t>Sarakham</w:t>
      </w:r>
      <w:proofErr w:type="spellEnd"/>
      <w:r w:rsidRPr="006B0749">
        <w:rPr>
          <w:i/>
          <w:iCs/>
          <w:color w:val="000000" w:themeColor="text1"/>
        </w:rPr>
        <w:t>, Thailand</w:t>
      </w:r>
    </w:p>
    <w:p w14:paraId="43DB186D" w14:textId="77777777" w:rsidR="007C0CE0" w:rsidRPr="006B0749" w:rsidRDefault="007C0CE0" w:rsidP="007C0CE0">
      <w:pPr>
        <w:autoSpaceDE w:val="0"/>
        <w:autoSpaceDN w:val="0"/>
        <w:adjustRightInd w:val="0"/>
        <w:jc w:val="center"/>
        <w:rPr>
          <w:iCs/>
          <w:color w:val="000000" w:themeColor="text1"/>
        </w:rPr>
      </w:pPr>
    </w:p>
    <w:p w14:paraId="4744D887" w14:textId="77777777" w:rsidR="007C0CE0" w:rsidRPr="006B0749" w:rsidRDefault="007C0CE0" w:rsidP="007C0CE0">
      <w:pPr>
        <w:autoSpaceDE w:val="0"/>
        <w:autoSpaceDN w:val="0"/>
        <w:adjustRightInd w:val="0"/>
        <w:jc w:val="center"/>
        <w:rPr>
          <w:b/>
          <w:bCs/>
          <w:color w:val="000000" w:themeColor="text1"/>
        </w:rPr>
      </w:pPr>
      <w:r w:rsidRPr="006B0749">
        <w:rPr>
          <w:b/>
          <w:bCs/>
          <w:color w:val="000000" w:themeColor="text1"/>
        </w:rPr>
        <w:t>ABSTRACT</w:t>
      </w:r>
    </w:p>
    <w:p w14:paraId="37337F19" w14:textId="77777777" w:rsidR="007C0CE0" w:rsidRPr="006B0749" w:rsidRDefault="007C0CE0" w:rsidP="007C0CE0">
      <w:pPr>
        <w:autoSpaceDE w:val="0"/>
        <w:autoSpaceDN w:val="0"/>
        <w:adjustRightInd w:val="0"/>
        <w:rPr>
          <w:color w:val="000000" w:themeColor="text1"/>
        </w:rPr>
      </w:pPr>
    </w:p>
    <w:p w14:paraId="1AE3B493" w14:textId="14122298" w:rsidR="00B10439" w:rsidRPr="006B0749" w:rsidRDefault="0012702D" w:rsidP="005B557B">
      <w:pPr>
        <w:spacing w:after="120"/>
        <w:jc w:val="both"/>
        <w:rPr>
          <w:bCs/>
          <w:color w:val="000000" w:themeColor="text1"/>
        </w:rPr>
      </w:pPr>
      <w:r w:rsidRPr="006B0749">
        <w:rPr>
          <w:color w:val="000000" w:themeColor="text1"/>
        </w:rPr>
        <w:t xml:space="preserve">Research has shown the essential role of vocabulary knowledge in </w:t>
      </w:r>
      <w:r w:rsidRPr="006B0749">
        <w:rPr>
          <w:rFonts w:cs="Angsana New"/>
          <w:color w:val="000000" w:themeColor="text1"/>
          <w:szCs w:val="30"/>
        </w:rPr>
        <w:t xml:space="preserve">achieving </w:t>
      </w:r>
      <w:r w:rsidRPr="006B0749">
        <w:rPr>
          <w:color w:val="000000" w:themeColor="text1"/>
        </w:rPr>
        <w:t xml:space="preserve">second language (L2) proficiency. This study investigates the nature of vocabulary knowledge and its role in L2 speaking and writing abilities. Five vocabulary knowledge tests were administered to 63 English major students who completed speaking and writing tasks to assess their productive language abilities. Speaking and writing tasks were rated by two trained, experienced raters. Results showed that vocabulary is incremental and multifaceted, with foundational knowledge acquired earlier and more thoroughly than the more complex aspects. This progression highlights the sequential nature of vocabulary learning, where basic recognition and understanding establish the foundation for deeper comprehension and active vocabulary use. Regression analyses confirmed that vocabulary is cumulative and integrative, with each layer of understanding enhancing language proficiency. Specifically, form and meaning of vocabulary, measured by the VLT and WAT, were strong predictors of L2 speaking ability, while depth of vocabulary knowledge measured by the PVLT and WAT significantly predicted L2 writing performance. </w:t>
      </w:r>
      <w:r w:rsidRPr="006B0749">
        <w:rPr>
          <w:bCs/>
          <w:color w:val="000000" w:themeColor="text1"/>
        </w:rPr>
        <w:t xml:space="preserve">These results highlight the critical role of vocabulary knowledge in productive language skills and that different aspects of vocabulary knowledge contribute differently to language proficiency. The study suggests the need for </w:t>
      </w:r>
      <w:r w:rsidRPr="006B0749">
        <w:rPr>
          <w:color w:val="000000" w:themeColor="text1"/>
        </w:rPr>
        <w:t>targeted vocabulary assessments and instruction that align closely with the specific demands of language learning and proficiency development</w:t>
      </w:r>
      <w:r w:rsidR="00B10439" w:rsidRPr="006B0749">
        <w:rPr>
          <w:color w:val="000000" w:themeColor="text1"/>
        </w:rPr>
        <w:t>.</w:t>
      </w:r>
    </w:p>
    <w:p w14:paraId="0052E871" w14:textId="77777777" w:rsidR="007C0CE0" w:rsidRPr="006B0749" w:rsidRDefault="007C0CE0" w:rsidP="005B557B">
      <w:pPr>
        <w:autoSpaceDE w:val="0"/>
        <w:autoSpaceDN w:val="0"/>
        <w:adjustRightInd w:val="0"/>
        <w:jc w:val="both"/>
        <w:rPr>
          <w:b/>
          <w:bCs/>
          <w:color w:val="000000" w:themeColor="text1"/>
        </w:rPr>
      </w:pPr>
    </w:p>
    <w:p w14:paraId="07ABE6B5" w14:textId="1892082A" w:rsidR="007C0CE0" w:rsidRPr="006B0749" w:rsidRDefault="007C0CE0" w:rsidP="007C0CE0">
      <w:pPr>
        <w:autoSpaceDE w:val="0"/>
        <w:autoSpaceDN w:val="0"/>
        <w:adjustRightInd w:val="0"/>
        <w:jc w:val="both"/>
        <w:rPr>
          <w:color w:val="000000" w:themeColor="text1"/>
        </w:rPr>
      </w:pPr>
      <w:r w:rsidRPr="006B0749">
        <w:rPr>
          <w:b/>
          <w:bCs/>
          <w:color w:val="000000" w:themeColor="text1"/>
        </w:rPr>
        <w:t xml:space="preserve">Keywords: </w:t>
      </w:r>
      <w:r w:rsidR="006706DF" w:rsidRPr="006B0749">
        <w:rPr>
          <w:color w:val="000000" w:themeColor="text1"/>
        </w:rPr>
        <w:t xml:space="preserve">Vocabulary knowledge, speaking ability, writing </w:t>
      </w:r>
      <w:r w:rsidR="0010597A" w:rsidRPr="006B0749">
        <w:rPr>
          <w:color w:val="000000" w:themeColor="text1"/>
        </w:rPr>
        <w:t>ability</w:t>
      </w:r>
      <w:r w:rsidR="006706DF" w:rsidRPr="006B0749">
        <w:rPr>
          <w:color w:val="000000" w:themeColor="text1"/>
        </w:rPr>
        <w:t>, L2 proficiency</w:t>
      </w:r>
      <w:r w:rsidR="00D82358" w:rsidRPr="006B0749">
        <w:rPr>
          <w:color w:val="000000" w:themeColor="text1"/>
        </w:rPr>
        <w:t>, vocabulary assessment</w:t>
      </w:r>
    </w:p>
    <w:p w14:paraId="68BE754F" w14:textId="77777777" w:rsidR="007C0CE0" w:rsidRPr="006B0749" w:rsidRDefault="007C0CE0" w:rsidP="007C0CE0">
      <w:pPr>
        <w:autoSpaceDE w:val="0"/>
        <w:autoSpaceDN w:val="0"/>
        <w:adjustRightInd w:val="0"/>
        <w:rPr>
          <w:b/>
          <w:bCs/>
          <w:color w:val="000000" w:themeColor="text1"/>
        </w:rPr>
      </w:pPr>
    </w:p>
    <w:p w14:paraId="0ADF53DD" w14:textId="77777777" w:rsidR="006706DF" w:rsidRPr="006B0749" w:rsidRDefault="006706DF" w:rsidP="007C0CE0">
      <w:pPr>
        <w:autoSpaceDE w:val="0"/>
        <w:autoSpaceDN w:val="0"/>
        <w:adjustRightInd w:val="0"/>
        <w:jc w:val="center"/>
        <w:rPr>
          <w:b/>
          <w:bCs/>
          <w:color w:val="000000" w:themeColor="text1"/>
        </w:rPr>
      </w:pPr>
    </w:p>
    <w:p w14:paraId="6DA751D2" w14:textId="77777777" w:rsidR="007C0CE0" w:rsidRPr="006B0749" w:rsidRDefault="007C0CE0" w:rsidP="007C0CE0">
      <w:pPr>
        <w:autoSpaceDE w:val="0"/>
        <w:autoSpaceDN w:val="0"/>
        <w:adjustRightInd w:val="0"/>
        <w:jc w:val="center"/>
        <w:rPr>
          <w:b/>
          <w:bCs/>
          <w:color w:val="000000" w:themeColor="text1"/>
        </w:rPr>
      </w:pPr>
      <w:r w:rsidRPr="006B0749">
        <w:rPr>
          <w:b/>
          <w:bCs/>
          <w:color w:val="000000" w:themeColor="text1"/>
        </w:rPr>
        <w:t>INTRODUCTION</w:t>
      </w:r>
    </w:p>
    <w:p w14:paraId="46FAD90E" w14:textId="77777777" w:rsidR="007C0CE0" w:rsidRPr="006B0749" w:rsidRDefault="007C0CE0" w:rsidP="007C0CE0">
      <w:pPr>
        <w:autoSpaceDE w:val="0"/>
        <w:autoSpaceDN w:val="0"/>
        <w:adjustRightInd w:val="0"/>
        <w:rPr>
          <w:color w:val="000000" w:themeColor="text1"/>
        </w:rPr>
      </w:pPr>
    </w:p>
    <w:p w14:paraId="24D54211" w14:textId="3E7517BB" w:rsidR="0012702D" w:rsidRPr="006B0749" w:rsidRDefault="0012702D" w:rsidP="0012702D">
      <w:pPr>
        <w:autoSpaceDE w:val="0"/>
        <w:autoSpaceDN w:val="0"/>
        <w:adjustRightInd w:val="0"/>
        <w:jc w:val="both"/>
        <w:rPr>
          <w:color w:val="000000" w:themeColor="text1"/>
        </w:rPr>
      </w:pPr>
      <w:r w:rsidRPr="006B0749">
        <w:rPr>
          <w:color w:val="000000" w:themeColor="text1"/>
        </w:rPr>
        <w:t>The relationship between vocabulary knowledge and language proficiency, particularly in second language (L2) learners, has long been a focal point in English language teaching (ELT) research. Vocabulary is a foundational aspect of language learning that significantly influences overall language proficiency (</w:t>
      </w:r>
      <w:r w:rsidR="008D7BE2" w:rsidRPr="006B0749">
        <w:rPr>
          <w:color w:val="000000" w:themeColor="text1"/>
        </w:rPr>
        <w:t>Nation, 2022; Milt</w:t>
      </w:r>
      <w:r w:rsidRPr="006B0749">
        <w:rPr>
          <w:color w:val="000000" w:themeColor="text1"/>
        </w:rPr>
        <w:t>on, 2013; Schm</w:t>
      </w:r>
      <w:r w:rsidR="000959C2" w:rsidRPr="006B0749">
        <w:rPr>
          <w:color w:val="000000" w:themeColor="text1"/>
        </w:rPr>
        <w:t>itt, 2010</w:t>
      </w:r>
      <w:r w:rsidRPr="006B0749">
        <w:rPr>
          <w:color w:val="000000" w:themeColor="text1"/>
        </w:rPr>
        <w:t xml:space="preserve">; Qian &amp; Lin, 2019). Indeed, Wilkins (1972) stated that “Without grammar, very little can be conveyed; without vocabulary, nothing at all can be conveyed” (p. 111). Overall, mastery of vocabulary enables L2 learners to express themselves more accurately and fluently, making it a crucial focus area for both learners and educators. </w:t>
      </w:r>
    </w:p>
    <w:p w14:paraId="24544F02" w14:textId="77777777" w:rsidR="0012702D" w:rsidRPr="006B0749" w:rsidRDefault="0012702D" w:rsidP="0012702D">
      <w:pPr>
        <w:autoSpaceDE w:val="0"/>
        <w:autoSpaceDN w:val="0"/>
        <w:adjustRightInd w:val="0"/>
        <w:jc w:val="both"/>
        <w:rPr>
          <w:color w:val="000000" w:themeColor="text1"/>
        </w:rPr>
      </w:pPr>
    </w:p>
    <w:p w14:paraId="5167C87B" w14:textId="209B2F68" w:rsidR="0012702D" w:rsidRPr="006B0749" w:rsidRDefault="0012702D" w:rsidP="0012702D">
      <w:pPr>
        <w:autoSpaceDE w:val="0"/>
        <w:autoSpaceDN w:val="0"/>
        <w:adjustRightInd w:val="0"/>
        <w:jc w:val="both"/>
        <w:rPr>
          <w:color w:val="000000" w:themeColor="text1"/>
        </w:rPr>
      </w:pPr>
      <w:r w:rsidRPr="006B0749">
        <w:rPr>
          <w:color w:val="000000" w:themeColor="text1"/>
        </w:rPr>
        <w:t xml:space="preserve">Learners often </w:t>
      </w:r>
      <w:proofErr w:type="spellStart"/>
      <w:r w:rsidRPr="006B0749">
        <w:rPr>
          <w:color w:val="000000" w:themeColor="text1"/>
        </w:rPr>
        <w:t>recognise</w:t>
      </w:r>
      <w:proofErr w:type="spellEnd"/>
      <w:r w:rsidRPr="006B0749">
        <w:rPr>
          <w:color w:val="000000" w:themeColor="text1"/>
        </w:rPr>
        <w:t xml:space="preserve"> that limited vocabulary hinders their communication and it is well-established that vocabulary is essential for L2 proficiency (Schmitt, 2008). Recent research has demonstrated a strong correlation between vocabulary size and overall language proficiency </w:t>
      </w:r>
      <w:r w:rsidRPr="006B0749">
        <w:rPr>
          <w:color w:val="000000" w:themeColor="text1"/>
        </w:rPr>
        <w:lastRenderedPageBreak/>
        <w:t>(</w:t>
      </w:r>
      <w:r w:rsidR="00646E3F" w:rsidRPr="006B0749">
        <w:rPr>
          <w:bCs/>
          <w:color w:val="000000" w:themeColor="text1"/>
        </w:rPr>
        <w:t xml:space="preserve">Ha, 2021; </w:t>
      </w:r>
      <w:proofErr w:type="spellStart"/>
      <w:r w:rsidR="00646E3F" w:rsidRPr="006B0749">
        <w:rPr>
          <w:bCs/>
          <w:color w:val="000000" w:themeColor="text1"/>
        </w:rPr>
        <w:t>Janebi</w:t>
      </w:r>
      <w:proofErr w:type="spellEnd"/>
      <w:r w:rsidR="00646E3F" w:rsidRPr="006B0749">
        <w:rPr>
          <w:bCs/>
          <w:color w:val="000000" w:themeColor="text1"/>
        </w:rPr>
        <w:t xml:space="preserve"> </w:t>
      </w:r>
      <w:proofErr w:type="spellStart"/>
      <w:r w:rsidR="00646E3F" w:rsidRPr="006B0749">
        <w:rPr>
          <w:bCs/>
          <w:color w:val="000000" w:themeColor="text1"/>
        </w:rPr>
        <w:t>Enayat</w:t>
      </w:r>
      <w:proofErr w:type="spellEnd"/>
      <w:r w:rsidR="00646E3F" w:rsidRPr="006B0749">
        <w:rPr>
          <w:bCs/>
          <w:color w:val="000000" w:themeColor="text1"/>
        </w:rPr>
        <w:t xml:space="preserve"> &amp; </w:t>
      </w:r>
      <w:proofErr w:type="spellStart"/>
      <w:r w:rsidR="00646E3F" w:rsidRPr="006B0749">
        <w:rPr>
          <w:bCs/>
          <w:color w:val="000000" w:themeColor="text1"/>
        </w:rPr>
        <w:t>De</w:t>
      </w:r>
      <w:r w:rsidR="008D7BE2" w:rsidRPr="006B0749">
        <w:rPr>
          <w:bCs/>
          <w:color w:val="000000" w:themeColor="text1"/>
        </w:rPr>
        <w:t>rakhsan</w:t>
      </w:r>
      <w:proofErr w:type="spellEnd"/>
      <w:r w:rsidR="008D7BE2" w:rsidRPr="006B0749">
        <w:rPr>
          <w:bCs/>
          <w:color w:val="000000" w:themeColor="text1"/>
        </w:rPr>
        <w:t>, 2021; Qin &amp; Lin, 2020</w:t>
      </w:r>
      <w:r w:rsidR="00646E3F" w:rsidRPr="006B0749">
        <w:rPr>
          <w:bCs/>
          <w:color w:val="000000" w:themeColor="text1"/>
        </w:rPr>
        <w:t xml:space="preserve">; </w:t>
      </w:r>
      <w:r w:rsidR="00481A41" w:rsidRPr="006B0749">
        <w:rPr>
          <w:bCs/>
          <w:color w:val="000000" w:themeColor="text1"/>
        </w:rPr>
        <w:t xml:space="preserve">Suzuki &amp; </w:t>
      </w:r>
      <w:proofErr w:type="spellStart"/>
      <w:r w:rsidR="00481A41" w:rsidRPr="006B0749">
        <w:rPr>
          <w:bCs/>
          <w:color w:val="000000" w:themeColor="text1"/>
        </w:rPr>
        <w:t>Kormos</w:t>
      </w:r>
      <w:proofErr w:type="spellEnd"/>
      <w:r w:rsidR="00481A41" w:rsidRPr="006B0749">
        <w:rPr>
          <w:bCs/>
          <w:color w:val="000000" w:themeColor="text1"/>
        </w:rPr>
        <w:t>, 2024</w:t>
      </w:r>
      <w:r w:rsidR="00646E3F" w:rsidRPr="006B0749">
        <w:rPr>
          <w:bCs/>
          <w:color w:val="000000" w:themeColor="text1"/>
        </w:rPr>
        <w:t xml:space="preserve">; </w:t>
      </w:r>
      <w:proofErr w:type="spellStart"/>
      <w:r w:rsidR="00646E3F" w:rsidRPr="006B0749">
        <w:rPr>
          <w:bCs/>
          <w:color w:val="000000" w:themeColor="text1"/>
        </w:rPr>
        <w:t>Uchihara</w:t>
      </w:r>
      <w:proofErr w:type="spellEnd"/>
      <w:r w:rsidR="00646E3F" w:rsidRPr="006B0749">
        <w:rPr>
          <w:bCs/>
          <w:color w:val="000000" w:themeColor="text1"/>
        </w:rPr>
        <w:t xml:space="preserve"> &amp; </w:t>
      </w:r>
      <w:proofErr w:type="spellStart"/>
      <w:r w:rsidR="00646E3F" w:rsidRPr="006B0749">
        <w:rPr>
          <w:bCs/>
          <w:color w:val="000000" w:themeColor="text1"/>
        </w:rPr>
        <w:t>Clenton</w:t>
      </w:r>
      <w:proofErr w:type="spellEnd"/>
      <w:r w:rsidR="00646E3F" w:rsidRPr="006B0749">
        <w:rPr>
          <w:bCs/>
          <w:color w:val="000000" w:themeColor="text1"/>
        </w:rPr>
        <w:t>, 2020</w:t>
      </w:r>
      <w:r w:rsidRPr="006B0749">
        <w:rPr>
          <w:color w:val="000000" w:themeColor="text1"/>
        </w:rPr>
        <w:t>). The multidimensional nature of vocabulary knowledge has also been widely studied, encompassing both breadth (the number of words known) and depth (the richness of word knowledge). These dimensions are critical in determining a learner’s proficiency in reading, listening, speaking and writing</w:t>
      </w:r>
      <w:r w:rsidR="00646E3F" w:rsidRPr="006B0749">
        <w:rPr>
          <w:color w:val="000000" w:themeColor="text1"/>
        </w:rPr>
        <w:t xml:space="preserve"> (</w:t>
      </w:r>
      <w:r w:rsidR="00646E3F" w:rsidRPr="006B0749">
        <w:rPr>
          <w:bCs/>
          <w:color w:val="000000" w:themeColor="text1"/>
        </w:rPr>
        <w:t xml:space="preserve">Cheng &amp; Matthews, 2018; Ha, 2021; </w:t>
      </w:r>
      <w:proofErr w:type="spellStart"/>
      <w:r w:rsidR="00646E3F" w:rsidRPr="006B0749">
        <w:rPr>
          <w:bCs/>
          <w:color w:val="000000" w:themeColor="text1"/>
        </w:rPr>
        <w:t>Janebi</w:t>
      </w:r>
      <w:proofErr w:type="spellEnd"/>
      <w:r w:rsidR="00646E3F" w:rsidRPr="006B0749">
        <w:rPr>
          <w:bCs/>
          <w:color w:val="000000" w:themeColor="text1"/>
        </w:rPr>
        <w:t xml:space="preserve"> </w:t>
      </w:r>
      <w:proofErr w:type="spellStart"/>
      <w:r w:rsidR="00646E3F" w:rsidRPr="006B0749">
        <w:rPr>
          <w:bCs/>
          <w:color w:val="000000" w:themeColor="text1"/>
        </w:rPr>
        <w:t>Enayat</w:t>
      </w:r>
      <w:proofErr w:type="spellEnd"/>
      <w:r w:rsidR="00646E3F" w:rsidRPr="006B0749">
        <w:rPr>
          <w:bCs/>
          <w:color w:val="000000" w:themeColor="text1"/>
        </w:rPr>
        <w:t xml:space="preserve"> &amp; </w:t>
      </w:r>
      <w:proofErr w:type="spellStart"/>
      <w:r w:rsidR="00646E3F" w:rsidRPr="006B0749">
        <w:rPr>
          <w:bCs/>
          <w:color w:val="000000" w:themeColor="text1"/>
        </w:rPr>
        <w:t>Derakhsan</w:t>
      </w:r>
      <w:proofErr w:type="spellEnd"/>
      <w:r w:rsidR="00646E3F" w:rsidRPr="006B0749">
        <w:rPr>
          <w:bCs/>
          <w:color w:val="000000" w:themeColor="text1"/>
        </w:rPr>
        <w:t>, 2021</w:t>
      </w:r>
      <w:r w:rsidR="00646E3F" w:rsidRPr="006B0749">
        <w:rPr>
          <w:color w:val="000000" w:themeColor="text1"/>
        </w:rPr>
        <w:t>)</w:t>
      </w:r>
      <w:r w:rsidRPr="006B0749">
        <w:rPr>
          <w:color w:val="000000" w:themeColor="text1"/>
        </w:rPr>
        <w:t xml:space="preserve">, indicating that vocabulary knowledge is foundational to effective language acquisition.  </w:t>
      </w:r>
    </w:p>
    <w:p w14:paraId="799CF8D2" w14:textId="77777777" w:rsidR="007C0CE0" w:rsidRPr="006B0749" w:rsidRDefault="007C0CE0" w:rsidP="007C0CE0">
      <w:pPr>
        <w:autoSpaceDE w:val="0"/>
        <w:autoSpaceDN w:val="0"/>
        <w:adjustRightInd w:val="0"/>
        <w:rPr>
          <w:b/>
          <w:bCs/>
          <w:color w:val="000000" w:themeColor="text1"/>
        </w:rPr>
      </w:pPr>
    </w:p>
    <w:p w14:paraId="7B400596" w14:textId="415BEFDF" w:rsidR="007C0CE0" w:rsidRPr="006B0749" w:rsidRDefault="00C33C91" w:rsidP="00A0728F">
      <w:pPr>
        <w:autoSpaceDE w:val="0"/>
        <w:autoSpaceDN w:val="0"/>
        <w:adjustRightInd w:val="0"/>
        <w:jc w:val="center"/>
        <w:rPr>
          <w:b/>
          <w:bCs/>
          <w:color w:val="000000" w:themeColor="text1"/>
        </w:rPr>
      </w:pPr>
      <w:r w:rsidRPr="006B0749">
        <w:rPr>
          <w:b/>
          <w:bCs/>
          <w:color w:val="000000" w:themeColor="text1"/>
        </w:rPr>
        <w:t xml:space="preserve">A MULTIDIMENSIONAL </w:t>
      </w:r>
      <w:r w:rsidR="00E607E6" w:rsidRPr="006B0749">
        <w:rPr>
          <w:b/>
          <w:bCs/>
          <w:color w:val="000000" w:themeColor="text1"/>
        </w:rPr>
        <w:t>CONSTRUCT</w:t>
      </w:r>
      <w:r w:rsidR="00A47523" w:rsidRPr="006B0749">
        <w:rPr>
          <w:rFonts w:cs="Angsana New"/>
          <w:b/>
          <w:bCs/>
          <w:color w:val="000000" w:themeColor="text1"/>
          <w:szCs w:val="30"/>
        </w:rPr>
        <w:t xml:space="preserve"> OF VOCABULARY KNOWLEDGE</w:t>
      </w:r>
    </w:p>
    <w:p w14:paraId="6EBC1ED6" w14:textId="77777777" w:rsidR="00A0728F" w:rsidRPr="006B0749" w:rsidRDefault="00A0728F" w:rsidP="007C0CE0">
      <w:pPr>
        <w:pStyle w:val="BodyText"/>
        <w:tabs>
          <w:tab w:val="left" w:pos="2988"/>
        </w:tabs>
        <w:spacing w:line="240" w:lineRule="auto"/>
        <w:ind w:firstLine="0"/>
        <w:jc w:val="both"/>
        <w:rPr>
          <w:bCs/>
          <w:color w:val="000000" w:themeColor="text1"/>
        </w:rPr>
      </w:pPr>
    </w:p>
    <w:p w14:paraId="004429CB" w14:textId="77777777" w:rsidR="00473E6D" w:rsidRPr="006B0749" w:rsidRDefault="00473E6D" w:rsidP="00473E6D">
      <w:pPr>
        <w:pStyle w:val="BodyText"/>
        <w:tabs>
          <w:tab w:val="left" w:pos="2988"/>
        </w:tabs>
        <w:spacing w:line="240" w:lineRule="auto"/>
        <w:ind w:firstLine="0"/>
        <w:jc w:val="both"/>
        <w:rPr>
          <w:bCs/>
          <w:color w:val="000000" w:themeColor="text1"/>
        </w:rPr>
      </w:pPr>
      <w:r w:rsidRPr="006B0749">
        <w:rPr>
          <w:bCs/>
          <w:color w:val="000000" w:themeColor="text1"/>
        </w:rPr>
        <w:t xml:space="preserve">Vocabulary knowledge is a critical and multidimensional aspect of language mastery. Researchers (Nation, 2022; Schmitt, 2014) </w:t>
      </w:r>
      <w:proofErr w:type="spellStart"/>
      <w:r w:rsidRPr="006B0749">
        <w:rPr>
          <w:bCs/>
          <w:color w:val="000000" w:themeColor="text1"/>
        </w:rPr>
        <w:t>emphasise</w:t>
      </w:r>
      <w:proofErr w:type="spellEnd"/>
      <w:r w:rsidRPr="006B0749">
        <w:rPr>
          <w:bCs/>
          <w:color w:val="000000" w:themeColor="text1"/>
        </w:rPr>
        <w:t xml:space="preserve"> that knowing a word involves more than just understanding its meaning. It encompasses knowledge of its spelling, pronunciation, grammatical functions, and appropriate use in context. This multidimensional perspective highlights the essential role of vocabulary in language learning and effective communication.</w:t>
      </w:r>
    </w:p>
    <w:p w14:paraId="52040B57" w14:textId="77777777" w:rsidR="00473E6D" w:rsidRPr="006B0749" w:rsidRDefault="00473E6D" w:rsidP="00473E6D">
      <w:pPr>
        <w:pStyle w:val="BodyText"/>
        <w:tabs>
          <w:tab w:val="left" w:pos="2988"/>
        </w:tabs>
        <w:spacing w:line="240" w:lineRule="auto"/>
        <w:ind w:firstLine="0"/>
        <w:jc w:val="both"/>
        <w:rPr>
          <w:bCs/>
          <w:color w:val="000000" w:themeColor="text1"/>
        </w:rPr>
      </w:pPr>
    </w:p>
    <w:p w14:paraId="0033E419" w14:textId="77777777" w:rsidR="00473E6D" w:rsidRPr="006B0749" w:rsidRDefault="00473E6D" w:rsidP="00473E6D">
      <w:pPr>
        <w:pStyle w:val="BodyText"/>
        <w:tabs>
          <w:tab w:val="left" w:pos="2988"/>
        </w:tabs>
        <w:spacing w:line="240" w:lineRule="auto"/>
        <w:ind w:firstLine="0"/>
        <w:jc w:val="both"/>
        <w:rPr>
          <w:bCs/>
          <w:color w:val="000000" w:themeColor="text1"/>
        </w:rPr>
      </w:pPr>
      <w:r w:rsidRPr="006B0749">
        <w:rPr>
          <w:bCs/>
          <w:color w:val="000000" w:themeColor="text1"/>
        </w:rPr>
        <w:t xml:space="preserve">Several frameworks have been used to </w:t>
      </w:r>
      <w:proofErr w:type="spellStart"/>
      <w:r w:rsidRPr="006B0749">
        <w:rPr>
          <w:bCs/>
          <w:color w:val="000000" w:themeColor="text1"/>
        </w:rPr>
        <w:t>conceptualise</w:t>
      </w:r>
      <w:proofErr w:type="spellEnd"/>
      <w:r w:rsidRPr="006B0749">
        <w:rPr>
          <w:bCs/>
          <w:color w:val="000000" w:themeColor="text1"/>
        </w:rPr>
        <w:t xml:space="preserve"> vocabulary knowledge. The partial-precise continuum describes vocabulary acquisition as a gradual process (Henriksen, 1999; Laufer, 1998) from partial knowledge to complete mastery, including the ability to understand word associations and collocations. The breadth and depth framework </w:t>
      </w:r>
      <w:proofErr w:type="gramStart"/>
      <w:r w:rsidRPr="006B0749">
        <w:rPr>
          <w:bCs/>
          <w:color w:val="000000" w:themeColor="text1"/>
        </w:rPr>
        <w:t>distinguishes</w:t>
      </w:r>
      <w:proofErr w:type="gramEnd"/>
      <w:r w:rsidRPr="006B0749">
        <w:rPr>
          <w:bCs/>
          <w:color w:val="000000" w:themeColor="text1"/>
        </w:rPr>
        <w:t xml:space="preserve"> between breadth, or the number of words a learner knows, and depth, which refers to how well a learner knows each word, including its multiple meanings and related words (Anderson &amp; Freebody, 1981; Schmitt, 2014). The receptive-productive dimension differentiates between receptive knowledge through </w:t>
      </w:r>
      <w:proofErr w:type="spellStart"/>
      <w:r w:rsidRPr="006B0749">
        <w:rPr>
          <w:bCs/>
          <w:color w:val="000000" w:themeColor="text1"/>
        </w:rPr>
        <w:t>recognising</w:t>
      </w:r>
      <w:proofErr w:type="spellEnd"/>
      <w:r w:rsidRPr="006B0749">
        <w:rPr>
          <w:bCs/>
          <w:color w:val="000000" w:themeColor="text1"/>
        </w:rPr>
        <w:t xml:space="preserve"> words during reading and listening and productive knowledge using words in speaking and writing. </w:t>
      </w:r>
    </w:p>
    <w:p w14:paraId="61C24CA0" w14:textId="77777777" w:rsidR="00473E6D" w:rsidRPr="006B0749" w:rsidRDefault="00473E6D" w:rsidP="00473E6D">
      <w:pPr>
        <w:pStyle w:val="BodyText"/>
        <w:tabs>
          <w:tab w:val="left" w:pos="2988"/>
        </w:tabs>
        <w:spacing w:line="240" w:lineRule="auto"/>
        <w:ind w:firstLine="0"/>
        <w:jc w:val="both"/>
        <w:rPr>
          <w:bCs/>
          <w:color w:val="000000" w:themeColor="text1"/>
        </w:rPr>
      </w:pPr>
    </w:p>
    <w:p w14:paraId="76028325" w14:textId="77777777" w:rsidR="00473E6D" w:rsidRPr="006B0749" w:rsidRDefault="00473E6D" w:rsidP="00473E6D">
      <w:pPr>
        <w:pStyle w:val="BodyText"/>
        <w:tabs>
          <w:tab w:val="left" w:pos="2988"/>
        </w:tabs>
        <w:spacing w:line="240" w:lineRule="auto"/>
        <w:ind w:firstLine="0"/>
        <w:jc w:val="both"/>
        <w:rPr>
          <w:bCs/>
          <w:color w:val="000000" w:themeColor="text1"/>
        </w:rPr>
      </w:pPr>
      <w:r w:rsidRPr="006B0749">
        <w:rPr>
          <w:bCs/>
          <w:color w:val="000000" w:themeColor="text1"/>
        </w:rPr>
        <w:t xml:space="preserve">Building on these frameworks, Nation’s (2022) model provides a comprehensive view of vocabulary knowledge, </w:t>
      </w:r>
      <w:proofErr w:type="spellStart"/>
      <w:r w:rsidRPr="006B0749">
        <w:rPr>
          <w:bCs/>
          <w:color w:val="000000" w:themeColor="text1"/>
        </w:rPr>
        <w:t>categorising</w:t>
      </w:r>
      <w:proofErr w:type="spellEnd"/>
      <w:r w:rsidRPr="006B0749">
        <w:rPr>
          <w:bCs/>
          <w:color w:val="000000" w:themeColor="text1"/>
        </w:rPr>
        <w:t xml:space="preserve"> it into three primary domains: form, meaning, and use. Each domain is divided into receptive (recognition) and productive (application) aspects. In the form domain, learners must </w:t>
      </w:r>
      <w:proofErr w:type="spellStart"/>
      <w:r w:rsidRPr="006B0749">
        <w:rPr>
          <w:bCs/>
          <w:color w:val="000000" w:themeColor="text1"/>
        </w:rPr>
        <w:t>recognise</w:t>
      </w:r>
      <w:proofErr w:type="spellEnd"/>
      <w:r w:rsidRPr="006B0749">
        <w:rPr>
          <w:bCs/>
          <w:color w:val="000000" w:themeColor="text1"/>
        </w:rPr>
        <w:t xml:space="preserve"> and produce both the spoken and written versions of a word, including understanding its morphological components like prefixes and suffixes. In the meaning domain, learners need to understand the connection between a word’s form, meaning, and associations with other words. The use domain requires learners to understand how words function grammatically, their common collocations, and the constraints on their use in various contexts. These frameworks have significant implications for both language teaching and assessment.</w:t>
      </w:r>
    </w:p>
    <w:p w14:paraId="596E15AE" w14:textId="77777777" w:rsidR="00473E6D" w:rsidRPr="006B0749" w:rsidRDefault="00473E6D" w:rsidP="00473E6D">
      <w:pPr>
        <w:pStyle w:val="BodyText"/>
        <w:tabs>
          <w:tab w:val="left" w:pos="2988"/>
        </w:tabs>
        <w:spacing w:line="240" w:lineRule="auto"/>
        <w:ind w:firstLine="0"/>
        <w:jc w:val="both"/>
        <w:rPr>
          <w:bCs/>
          <w:color w:val="000000" w:themeColor="text1"/>
        </w:rPr>
      </w:pPr>
      <w:r w:rsidRPr="006B0749">
        <w:rPr>
          <w:bCs/>
          <w:color w:val="000000" w:themeColor="text1"/>
        </w:rPr>
        <w:t xml:space="preserve"> </w:t>
      </w:r>
    </w:p>
    <w:p w14:paraId="2DF54023" w14:textId="0C5E71AE" w:rsidR="00A0728F" w:rsidRPr="006B0749" w:rsidRDefault="00473E6D" w:rsidP="00473E6D">
      <w:pPr>
        <w:pStyle w:val="BodyText"/>
        <w:tabs>
          <w:tab w:val="left" w:pos="2988"/>
        </w:tabs>
        <w:spacing w:line="240" w:lineRule="auto"/>
        <w:ind w:firstLine="0"/>
        <w:jc w:val="both"/>
        <w:rPr>
          <w:bCs/>
          <w:color w:val="000000" w:themeColor="text1"/>
        </w:rPr>
      </w:pPr>
      <w:r w:rsidRPr="006B0749">
        <w:rPr>
          <w:bCs/>
          <w:color w:val="000000" w:themeColor="text1"/>
        </w:rPr>
        <w:t xml:space="preserve">Although Nation’s model offers the most comprehensive explanation of vocabulary knowledge, it remains unclear how individual aspects of this knowledge contribute to language learning, particularly in productive skills: speaking and writing. Understanding the role of various dimensions, including form, meaning, and use, could reveal which elements are most critical for language mastery and how they influence communicative proficiency. By exploring how these dimensions interact, researchers can identify which aspects should be </w:t>
      </w:r>
      <w:proofErr w:type="spellStart"/>
      <w:r w:rsidRPr="006B0749">
        <w:rPr>
          <w:bCs/>
          <w:color w:val="000000" w:themeColor="text1"/>
        </w:rPr>
        <w:t>prioritised</w:t>
      </w:r>
      <w:proofErr w:type="spellEnd"/>
      <w:r w:rsidRPr="006B0749">
        <w:rPr>
          <w:bCs/>
          <w:color w:val="000000" w:themeColor="text1"/>
        </w:rPr>
        <w:t xml:space="preserve"> in vocabulary acquisition and instruction. This research can potentially enhance language teaching methods and ultimately improving learners’ productive language abilities. </w:t>
      </w:r>
      <w:r w:rsidR="006E6AE9" w:rsidRPr="006B0749">
        <w:rPr>
          <w:bCs/>
          <w:color w:val="000000" w:themeColor="text1"/>
        </w:rPr>
        <w:t xml:space="preserve"> </w:t>
      </w:r>
    </w:p>
    <w:p w14:paraId="50591D71" w14:textId="77777777" w:rsidR="00A0728F" w:rsidRPr="006B0749" w:rsidRDefault="00A0728F" w:rsidP="007C0CE0">
      <w:pPr>
        <w:pStyle w:val="BodyText"/>
        <w:tabs>
          <w:tab w:val="left" w:pos="2988"/>
        </w:tabs>
        <w:spacing w:line="240" w:lineRule="auto"/>
        <w:ind w:firstLine="0"/>
        <w:jc w:val="both"/>
        <w:rPr>
          <w:bCs/>
          <w:color w:val="000000" w:themeColor="text1"/>
        </w:rPr>
      </w:pPr>
    </w:p>
    <w:p w14:paraId="1F50D7EA" w14:textId="56FD8BE3" w:rsidR="00A0728F" w:rsidRPr="006B0749" w:rsidRDefault="00A0728F" w:rsidP="00A0728F">
      <w:pPr>
        <w:pStyle w:val="BodyText"/>
        <w:tabs>
          <w:tab w:val="left" w:pos="2988"/>
        </w:tabs>
        <w:spacing w:line="240" w:lineRule="auto"/>
        <w:ind w:firstLine="0"/>
        <w:jc w:val="center"/>
        <w:rPr>
          <w:b/>
          <w:bCs/>
          <w:color w:val="000000" w:themeColor="text1"/>
        </w:rPr>
      </w:pPr>
      <w:r w:rsidRPr="006B0749">
        <w:rPr>
          <w:b/>
          <w:bCs/>
          <w:color w:val="000000" w:themeColor="text1"/>
        </w:rPr>
        <w:t xml:space="preserve">RESEARCH ON </w:t>
      </w:r>
      <w:r w:rsidR="001C26C0" w:rsidRPr="006B0749">
        <w:rPr>
          <w:b/>
          <w:bCs/>
          <w:color w:val="000000" w:themeColor="text1"/>
        </w:rPr>
        <w:t xml:space="preserve">THE </w:t>
      </w:r>
      <w:r w:rsidR="00354E55" w:rsidRPr="006B0749">
        <w:rPr>
          <w:b/>
          <w:bCs/>
          <w:color w:val="000000" w:themeColor="text1"/>
        </w:rPr>
        <w:t>MULTIDIMENSION</w:t>
      </w:r>
      <w:r w:rsidR="001C26C0" w:rsidRPr="006B0749">
        <w:rPr>
          <w:b/>
          <w:bCs/>
          <w:color w:val="000000" w:themeColor="text1"/>
        </w:rPr>
        <w:t xml:space="preserve">AL </w:t>
      </w:r>
      <w:r w:rsidR="00A51F61" w:rsidRPr="006B0749">
        <w:rPr>
          <w:b/>
          <w:bCs/>
          <w:color w:val="000000" w:themeColor="text1"/>
        </w:rPr>
        <w:t>CONSTRUCT</w:t>
      </w:r>
      <w:r w:rsidR="001C26C0" w:rsidRPr="006B0749">
        <w:rPr>
          <w:b/>
          <w:bCs/>
          <w:color w:val="000000" w:themeColor="text1"/>
        </w:rPr>
        <w:t xml:space="preserve"> OF VOCABULARY</w:t>
      </w:r>
      <w:r w:rsidRPr="006B0749">
        <w:rPr>
          <w:b/>
          <w:bCs/>
          <w:color w:val="000000" w:themeColor="text1"/>
        </w:rPr>
        <w:t xml:space="preserve"> KNOWLEDGE</w:t>
      </w:r>
    </w:p>
    <w:p w14:paraId="6516FDBB" w14:textId="77777777" w:rsidR="00A0728F" w:rsidRPr="006B0749" w:rsidRDefault="00A0728F" w:rsidP="007C0CE0">
      <w:pPr>
        <w:pStyle w:val="BodyText"/>
        <w:tabs>
          <w:tab w:val="left" w:pos="2988"/>
        </w:tabs>
        <w:spacing w:line="240" w:lineRule="auto"/>
        <w:ind w:firstLine="0"/>
        <w:jc w:val="both"/>
        <w:rPr>
          <w:bCs/>
          <w:color w:val="000000" w:themeColor="text1"/>
        </w:rPr>
      </w:pPr>
    </w:p>
    <w:p w14:paraId="2B68B62D" w14:textId="6A84D1B9" w:rsidR="00473E6D" w:rsidRPr="006B0749" w:rsidRDefault="00473E6D" w:rsidP="00473E6D">
      <w:pPr>
        <w:pStyle w:val="BodyText"/>
        <w:tabs>
          <w:tab w:val="left" w:pos="2988"/>
        </w:tabs>
        <w:spacing w:line="240" w:lineRule="auto"/>
        <w:ind w:firstLine="0"/>
        <w:jc w:val="both"/>
        <w:rPr>
          <w:bCs/>
          <w:color w:val="000000" w:themeColor="text1"/>
        </w:rPr>
      </w:pPr>
      <w:r w:rsidRPr="006B0749">
        <w:rPr>
          <w:bCs/>
          <w:color w:val="000000" w:themeColor="text1"/>
        </w:rPr>
        <w:lastRenderedPageBreak/>
        <w:t>Extensive research has revealed a strong relationship between vocabulary knowledge and overall language proficiency, particularly among ESL and EFL learners. Vocabulary knowledge plays a significant role in speaking and writing abilities (</w:t>
      </w:r>
      <w:r w:rsidR="000415F4" w:rsidRPr="006B0749">
        <w:rPr>
          <w:bCs/>
          <w:color w:val="000000" w:themeColor="text1"/>
        </w:rPr>
        <w:t>Cheng &amp; Matthews, 2018</w:t>
      </w:r>
      <w:r w:rsidRPr="006B0749">
        <w:rPr>
          <w:bCs/>
          <w:color w:val="000000" w:themeColor="text1"/>
        </w:rPr>
        <w:t xml:space="preserve">; Ha, 2021; </w:t>
      </w:r>
      <w:proofErr w:type="spellStart"/>
      <w:r w:rsidRPr="006B0749">
        <w:rPr>
          <w:bCs/>
          <w:color w:val="000000" w:themeColor="text1"/>
        </w:rPr>
        <w:t>Janebi</w:t>
      </w:r>
      <w:proofErr w:type="spellEnd"/>
      <w:r w:rsidRPr="006B0749">
        <w:rPr>
          <w:bCs/>
          <w:color w:val="000000" w:themeColor="text1"/>
        </w:rPr>
        <w:t xml:space="preserve"> </w:t>
      </w:r>
      <w:proofErr w:type="spellStart"/>
      <w:r w:rsidRPr="006B0749">
        <w:rPr>
          <w:bCs/>
          <w:color w:val="000000" w:themeColor="text1"/>
        </w:rPr>
        <w:t>Enayat</w:t>
      </w:r>
      <w:proofErr w:type="spellEnd"/>
      <w:r w:rsidRPr="006B0749">
        <w:rPr>
          <w:bCs/>
          <w:color w:val="000000" w:themeColor="text1"/>
        </w:rPr>
        <w:t xml:space="preserve"> &amp; </w:t>
      </w:r>
      <w:proofErr w:type="spellStart"/>
      <w:r w:rsidRPr="006B0749">
        <w:rPr>
          <w:bCs/>
          <w:color w:val="000000" w:themeColor="text1"/>
        </w:rPr>
        <w:t>Derakhsan</w:t>
      </w:r>
      <w:proofErr w:type="spellEnd"/>
      <w:r w:rsidRPr="006B0749">
        <w:rPr>
          <w:bCs/>
          <w:color w:val="000000" w:themeColor="text1"/>
        </w:rPr>
        <w:t xml:space="preserve">, 2021; Qin &amp; </w:t>
      </w:r>
      <w:r w:rsidR="00481A41" w:rsidRPr="006B0749">
        <w:rPr>
          <w:bCs/>
          <w:color w:val="000000" w:themeColor="text1"/>
        </w:rPr>
        <w:t xml:space="preserve">Lin, 2020; Suzuki &amp; </w:t>
      </w:r>
      <w:proofErr w:type="spellStart"/>
      <w:r w:rsidR="00481A41" w:rsidRPr="006B0749">
        <w:rPr>
          <w:bCs/>
          <w:color w:val="000000" w:themeColor="text1"/>
        </w:rPr>
        <w:t>Kormos</w:t>
      </w:r>
      <w:proofErr w:type="spellEnd"/>
      <w:r w:rsidR="00481A41" w:rsidRPr="006B0749">
        <w:rPr>
          <w:bCs/>
          <w:color w:val="000000" w:themeColor="text1"/>
        </w:rPr>
        <w:t>, 2024</w:t>
      </w:r>
      <w:r w:rsidRPr="006B0749">
        <w:rPr>
          <w:bCs/>
          <w:color w:val="000000" w:themeColor="text1"/>
        </w:rPr>
        <w:t xml:space="preserve">; </w:t>
      </w:r>
      <w:proofErr w:type="spellStart"/>
      <w:r w:rsidRPr="006B0749">
        <w:rPr>
          <w:bCs/>
          <w:color w:val="000000" w:themeColor="text1"/>
        </w:rPr>
        <w:t>Uchihara</w:t>
      </w:r>
      <w:proofErr w:type="spellEnd"/>
      <w:r w:rsidRPr="006B0749">
        <w:rPr>
          <w:bCs/>
          <w:color w:val="000000" w:themeColor="text1"/>
        </w:rPr>
        <w:t xml:space="preserve"> &amp; </w:t>
      </w:r>
      <w:proofErr w:type="spellStart"/>
      <w:r w:rsidRPr="006B0749">
        <w:rPr>
          <w:bCs/>
          <w:color w:val="000000" w:themeColor="text1"/>
        </w:rPr>
        <w:t>Clenton</w:t>
      </w:r>
      <w:proofErr w:type="spellEnd"/>
      <w:r w:rsidRPr="006B0749">
        <w:rPr>
          <w:bCs/>
          <w:color w:val="000000" w:themeColor="text1"/>
        </w:rPr>
        <w:t xml:space="preserve">, 2020). For example, </w:t>
      </w:r>
      <w:proofErr w:type="spellStart"/>
      <w:r w:rsidRPr="006B0749">
        <w:rPr>
          <w:bCs/>
          <w:color w:val="000000" w:themeColor="text1"/>
        </w:rPr>
        <w:t>Nontasee</w:t>
      </w:r>
      <w:proofErr w:type="spellEnd"/>
      <w:r w:rsidRPr="006B0749">
        <w:rPr>
          <w:bCs/>
          <w:color w:val="000000" w:themeColor="text1"/>
        </w:rPr>
        <w:t xml:space="preserve"> and Sukying (2023) explored Nation’s comprehensive framework in a Thai EFL context and found that receptive vocabulary knowledge typically develops before productive knowledge, with a positive correlation between the two. The study further demonstrated that vocabulary is acquired along a developmental continuum, with some productive aspects mastered before the full acquisition of all receptive knowledge. </w:t>
      </w:r>
    </w:p>
    <w:p w14:paraId="6B21B596" w14:textId="77777777" w:rsidR="00473E6D" w:rsidRPr="006B0749" w:rsidRDefault="00473E6D" w:rsidP="00473E6D">
      <w:pPr>
        <w:pStyle w:val="BodyText"/>
        <w:tabs>
          <w:tab w:val="left" w:pos="2988"/>
        </w:tabs>
        <w:spacing w:line="240" w:lineRule="auto"/>
        <w:ind w:firstLine="0"/>
        <w:jc w:val="both"/>
        <w:rPr>
          <w:bCs/>
          <w:color w:val="000000" w:themeColor="text1"/>
        </w:rPr>
      </w:pPr>
    </w:p>
    <w:p w14:paraId="07402226" w14:textId="77777777" w:rsidR="00473E6D" w:rsidRPr="006B0749" w:rsidRDefault="00473E6D" w:rsidP="00473E6D">
      <w:pPr>
        <w:pStyle w:val="BodyText"/>
        <w:tabs>
          <w:tab w:val="left" w:pos="2988"/>
        </w:tabs>
        <w:spacing w:line="240" w:lineRule="auto"/>
        <w:ind w:firstLine="0"/>
        <w:jc w:val="both"/>
        <w:rPr>
          <w:bCs/>
          <w:color w:val="000000" w:themeColor="text1"/>
        </w:rPr>
      </w:pPr>
      <w:r w:rsidRPr="006B0749">
        <w:rPr>
          <w:bCs/>
          <w:color w:val="000000" w:themeColor="text1"/>
        </w:rPr>
        <w:t>Vocabulary size is often considered a reliable indicator of overall proficiency, particularly in academic contexts such as IELTS (</w:t>
      </w:r>
      <w:proofErr w:type="spellStart"/>
      <w:r w:rsidRPr="006B0749">
        <w:rPr>
          <w:bCs/>
          <w:color w:val="000000" w:themeColor="text1"/>
        </w:rPr>
        <w:t>St</w:t>
      </w:r>
      <w:r w:rsidRPr="006B0749">
        <w:rPr>
          <w:color w:val="000000" w:themeColor="text1"/>
        </w:rPr>
        <w:t>æhr</w:t>
      </w:r>
      <w:proofErr w:type="spellEnd"/>
      <w:r w:rsidRPr="006B0749">
        <w:rPr>
          <w:color w:val="000000" w:themeColor="text1"/>
        </w:rPr>
        <w:t xml:space="preserve">, 2008). Sukying (2023) found that vocabulary depth plays a more significant role than size in predicting L2 writing performance, especially in argumentative writing tasks. It was shown that vocabulary size and depth correlated with writing performance among postgraduate ELF learners, although depth was a stronger predictor of lexical quality and diversity. These findings underline the need for vocabulary instruction that not only expands word knowledge but also deepens learners’ understanding of word meanings and use. </w:t>
      </w:r>
    </w:p>
    <w:p w14:paraId="426AB996" w14:textId="77777777" w:rsidR="00473E6D" w:rsidRPr="006B0749" w:rsidRDefault="00473E6D" w:rsidP="00473E6D">
      <w:pPr>
        <w:pStyle w:val="BodyText"/>
        <w:tabs>
          <w:tab w:val="left" w:pos="2988"/>
        </w:tabs>
        <w:spacing w:line="240" w:lineRule="auto"/>
        <w:ind w:firstLine="0"/>
        <w:jc w:val="both"/>
        <w:rPr>
          <w:bCs/>
          <w:color w:val="000000" w:themeColor="text1"/>
        </w:rPr>
      </w:pPr>
    </w:p>
    <w:p w14:paraId="135E88A9" w14:textId="1518C8D6" w:rsidR="00473E6D" w:rsidRPr="006B0749" w:rsidRDefault="00473E6D" w:rsidP="00473E6D">
      <w:pPr>
        <w:pStyle w:val="BodyText"/>
        <w:tabs>
          <w:tab w:val="left" w:pos="2988"/>
        </w:tabs>
        <w:spacing w:line="240" w:lineRule="auto"/>
        <w:ind w:firstLine="0"/>
        <w:jc w:val="both"/>
        <w:rPr>
          <w:color w:val="000000" w:themeColor="text1"/>
        </w:rPr>
      </w:pPr>
      <w:r w:rsidRPr="006B0749">
        <w:rPr>
          <w:bCs/>
          <w:color w:val="000000" w:themeColor="text1"/>
        </w:rPr>
        <w:t>The relationship between vocabulary knowledge and productive skills, particularly speaking and writing, has been a focal point in recent research. Vocabulary use in speaking is closely linked to fluency and accuracy, with productive vocabulary knowledge being a significant predictor of speaking proficiency (</w:t>
      </w:r>
      <w:r w:rsidR="000415F4" w:rsidRPr="006B0749">
        <w:rPr>
          <w:bCs/>
          <w:color w:val="000000" w:themeColor="text1"/>
        </w:rPr>
        <w:t xml:space="preserve">Suzuki &amp; </w:t>
      </w:r>
      <w:proofErr w:type="spellStart"/>
      <w:r w:rsidR="000415F4" w:rsidRPr="006B0749">
        <w:rPr>
          <w:bCs/>
          <w:color w:val="000000" w:themeColor="text1"/>
        </w:rPr>
        <w:t>Kormos</w:t>
      </w:r>
      <w:proofErr w:type="spellEnd"/>
      <w:r w:rsidR="000415F4" w:rsidRPr="006B0749">
        <w:rPr>
          <w:bCs/>
          <w:color w:val="000000" w:themeColor="text1"/>
        </w:rPr>
        <w:t>, 2024</w:t>
      </w:r>
      <w:r w:rsidRPr="006B0749">
        <w:rPr>
          <w:bCs/>
          <w:color w:val="000000" w:themeColor="text1"/>
        </w:rPr>
        <w:t xml:space="preserve">; </w:t>
      </w:r>
      <w:proofErr w:type="spellStart"/>
      <w:r w:rsidRPr="006B0749">
        <w:rPr>
          <w:bCs/>
          <w:color w:val="000000" w:themeColor="text1"/>
        </w:rPr>
        <w:t>Uchihara</w:t>
      </w:r>
      <w:proofErr w:type="spellEnd"/>
      <w:r w:rsidRPr="006B0749">
        <w:rPr>
          <w:bCs/>
          <w:color w:val="000000" w:themeColor="text1"/>
        </w:rPr>
        <w:t xml:space="preserve"> &amp; Saito, 201</w:t>
      </w:r>
      <w:r w:rsidR="00B83731" w:rsidRPr="006B0749">
        <w:rPr>
          <w:bCs/>
          <w:color w:val="000000" w:themeColor="text1"/>
        </w:rPr>
        <w:t>9</w:t>
      </w:r>
      <w:r w:rsidRPr="006B0749">
        <w:rPr>
          <w:bCs/>
          <w:color w:val="000000" w:themeColor="text1"/>
        </w:rPr>
        <w:t>). Vocabulary diversity and lexical richness are key predictors of writing quality, with some studies showing that vocabulary size accounts for up to 73% of the variance in writing accuracy (</w:t>
      </w:r>
      <w:proofErr w:type="spellStart"/>
      <w:r w:rsidRPr="006B0749">
        <w:rPr>
          <w:bCs/>
          <w:color w:val="000000" w:themeColor="text1"/>
        </w:rPr>
        <w:t>St</w:t>
      </w:r>
      <w:r w:rsidRPr="006B0749">
        <w:rPr>
          <w:color w:val="000000" w:themeColor="text1"/>
        </w:rPr>
        <w:t>æhr</w:t>
      </w:r>
      <w:proofErr w:type="spellEnd"/>
      <w:r w:rsidRPr="006B0749">
        <w:rPr>
          <w:color w:val="000000" w:themeColor="text1"/>
        </w:rPr>
        <w:t>, 2008). However, many learners struggle with deep word knowledge and its effective use, especially in writing, where lexical errors can undermine clarity and coherence (</w:t>
      </w:r>
      <w:proofErr w:type="spellStart"/>
      <w:r w:rsidRPr="006B0749">
        <w:rPr>
          <w:color w:val="000000" w:themeColor="text1"/>
        </w:rPr>
        <w:t>Llach</w:t>
      </w:r>
      <w:proofErr w:type="spellEnd"/>
      <w:r w:rsidRPr="006B0749">
        <w:rPr>
          <w:color w:val="000000" w:themeColor="text1"/>
        </w:rPr>
        <w:t>, 2015).</w:t>
      </w:r>
    </w:p>
    <w:p w14:paraId="2CAD74B7" w14:textId="77777777" w:rsidR="00473E6D" w:rsidRPr="006B0749" w:rsidRDefault="00473E6D" w:rsidP="00473E6D">
      <w:pPr>
        <w:pStyle w:val="BodyText"/>
        <w:tabs>
          <w:tab w:val="left" w:pos="2988"/>
        </w:tabs>
        <w:spacing w:line="240" w:lineRule="auto"/>
        <w:ind w:firstLine="0"/>
        <w:jc w:val="both"/>
        <w:rPr>
          <w:color w:val="000000" w:themeColor="text1"/>
        </w:rPr>
      </w:pPr>
    </w:p>
    <w:p w14:paraId="15636899" w14:textId="621A904C" w:rsidR="00473E6D" w:rsidRPr="006B0749" w:rsidRDefault="00473E6D" w:rsidP="00473E6D">
      <w:pPr>
        <w:jc w:val="both"/>
        <w:rPr>
          <w:color w:val="000000" w:themeColor="text1"/>
        </w:rPr>
      </w:pPr>
      <w:r w:rsidRPr="006B0749">
        <w:rPr>
          <w:color w:val="000000" w:themeColor="text1"/>
        </w:rPr>
        <w:t>Research has also shown the importance of vocabulary knowledge in L2 receptive skills, including reading comprehension (</w:t>
      </w:r>
      <w:proofErr w:type="spellStart"/>
      <w:r w:rsidRPr="006B0749">
        <w:rPr>
          <w:color w:val="000000" w:themeColor="text1"/>
        </w:rPr>
        <w:t>Alavi</w:t>
      </w:r>
      <w:proofErr w:type="spellEnd"/>
      <w:r w:rsidRPr="006B0749">
        <w:rPr>
          <w:color w:val="000000" w:themeColor="text1"/>
        </w:rPr>
        <w:t xml:space="preserve"> &amp; </w:t>
      </w:r>
      <w:proofErr w:type="spellStart"/>
      <w:r w:rsidR="001B7AD5" w:rsidRPr="006B0749">
        <w:rPr>
          <w:color w:val="000000" w:themeColor="text1"/>
        </w:rPr>
        <w:t>Akbarian</w:t>
      </w:r>
      <w:proofErr w:type="spellEnd"/>
      <w:r w:rsidR="001B7AD5" w:rsidRPr="006B0749">
        <w:rPr>
          <w:color w:val="000000" w:themeColor="text1"/>
        </w:rPr>
        <w:t xml:space="preserve">, 2012; </w:t>
      </w:r>
      <w:r w:rsidRPr="006B0749">
        <w:rPr>
          <w:color w:val="000000" w:themeColor="text1"/>
        </w:rPr>
        <w:t>Cheng &amp; Matthews, 2018</w:t>
      </w:r>
      <w:r w:rsidR="00485F5B" w:rsidRPr="006B0749">
        <w:rPr>
          <w:color w:val="000000" w:themeColor="text1"/>
        </w:rPr>
        <w:t xml:space="preserve">; </w:t>
      </w:r>
      <w:proofErr w:type="spellStart"/>
      <w:r w:rsidR="00485F5B" w:rsidRPr="006B0749">
        <w:rPr>
          <w:color w:val="000000" w:themeColor="text1"/>
        </w:rPr>
        <w:t>Stæhr</w:t>
      </w:r>
      <w:proofErr w:type="spellEnd"/>
      <w:r w:rsidR="00485F5B" w:rsidRPr="006B0749">
        <w:rPr>
          <w:color w:val="000000" w:themeColor="text1"/>
        </w:rPr>
        <w:t>, 2008</w:t>
      </w:r>
      <w:r w:rsidRPr="006B0749">
        <w:rPr>
          <w:color w:val="000000" w:themeColor="text1"/>
        </w:rPr>
        <w:t>) an</w:t>
      </w:r>
      <w:r w:rsidR="00485F5B" w:rsidRPr="006B0749">
        <w:rPr>
          <w:color w:val="000000" w:themeColor="text1"/>
        </w:rPr>
        <w:t>d listening (</w:t>
      </w:r>
      <w:r w:rsidR="008D7BE2" w:rsidRPr="006B0749">
        <w:rPr>
          <w:bCs/>
          <w:color w:val="000000" w:themeColor="text1"/>
        </w:rPr>
        <w:t>Cheng &amp; Matthews, 2018</w:t>
      </w:r>
      <w:r w:rsidR="008D7BE2" w:rsidRPr="006B0749">
        <w:rPr>
          <w:color w:val="000000" w:themeColor="text1"/>
        </w:rPr>
        <w:t>; Matthews &amp; Chen, 2015;</w:t>
      </w:r>
      <w:r w:rsidRPr="006B0749">
        <w:rPr>
          <w:color w:val="000000" w:themeColor="text1"/>
        </w:rPr>
        <w:t xml:space="preserve"> </w:t>
      </w:r>
      <w:proofErr w:type="spellStart"/>
      <w:r w:rsidRPr="006B0749">
        <w:rPr>
          <w:color w:val="000000" w:themeColor="text1"/>
        </w:rPr>
        <w:t>Stæhr</w:t>
      </w:r>
      <w:proofErr w:type="spellEnd"/>
      <w:r w:rsidRPr="006B0749">
        <w:rPr>
          <w:color w:val="000000" w:themeColor="text1"/>
        </w:rPr>
        <w:t>, 2008). Vocabulary knowledge is also a strong predictor of productive skills, such as speaking (</w:t>
      </w:r>
      <w:proofErr w:type="spellStart"/>
      <w:r w:rsidRPr="006B0749">
        <w:rPr>
          <w:color w:val="000000" w:themeColor="text1"/>
        </w:rPr>
        <w:t>Derakhshan</w:t>
      </w:r>
      <w:proofErr w:type="spellEnd"/>
      <w:r w:rsidRPr="006B0749">
        <w:rPr>
          <w:color w:val="000000" w:themeColor="text1"/>
        </w:rPr>
        <w:t xml:space="preserve"> &amp; </w:t>
      </w:r>
      <w:proofErr w:type="spellStart"/>
      <w:r w:rsidRPr="006B0749">
        <w:rPr>
          <w:color w:val="000000" w:themeColor="text1"/>
        </w:rPr>
        <w:t>Janebi</w:t>
      </w:r>
      <w:proofErr w:type="spellEnd"/>
      <w:r w:rsidRPr="006B0749">
        <w:rPr>
          <w:color w:val="000000" w:themeColor="text1"/>
        </w:rPr>
        <w:t xml:space="preserve"> </w:t>
      </w:r>
      <w:proofErr w:type="spellStart"/>
      <w:r w:rsidRPr="006B0749">
        <w:rPr>
          <w:color w:val="000000" w:themeColor="text1"/>
        </w:rPr>
        <w:t>Enayat</w:t>
      </w:r>
      <w:proofErr w:type="spellEnd"/>
      <w:r w:rsidRPr="006B0749">
        <w:rPr>
          <w:color w:val="000000" w:themeColor="text1"/>
        </w:rPr>
        <w:t xml:space="preserve">, 2020; Koizumi &amp; </w:t>
      </w:r>
      <w:proofErr w:type="spellStart"/>
      <w:r w:rsidRPr="006B0749">
        <w:rPr>
          <w:color w:val="000000" w:themeColor="text1"/>
        </w:rPr>
        <w:t>In’nami</w:t>
      </w:r>
      <w:proofErr w:type="spellEnd"/>
      <w:r w:rsidRPr="006B0749">
        <w:rPr>
          <w:color w:val="000000" w:themeColor="text1"/>
        </w:rPr>
        <w:t>, 2013</w:t>
      </w:r>
      <w:r w:rsidR="000415F4" w:rsidRPr="006B0749">
        <w:rPr>
          <w:color w:val="000000" w:themeColor="text1"/>
        </w:rPr>
        <w:t xml:space="preserve">; </w:t>
      </w:r>
      <w:r w:rsidR="000415F4" w:rsidRPr="006B0749">
        <w:rPr>
          <w:bCs/>
          <w:color w:val="000000" w:themeColor="text1"/>
        </w:rPr>
        <w:t xml:space="preserve">Suzuki &amp; </w:t>
      </w:r>
      <w:proofErr w:type="spellStart"/>
      <w:r w:rsidR="000415F4" w:rsidRPr="006B0749">
        <w:rPr>
          <w:bCs/>
          <w:color w:val="000000" w:themeColor="text1"/>
        </w:rPr>
        <w:t>Kormos</w:t>
      </w:r>
      <w:proofErr w:type="spellEnd"/>
      <w:r w:rsidR="000415F4" w:rsidRPr="006B0749">
        <w:rPr>
          <w:bCs/>
          <w:color w:val="000000" w:themeColor="text1"/>
        </w:rPr>
        <w:t>, 2024</w:t>
      </w:r>
      <w:r w:rsidRPr="006B0749">
        <w:rPr>
          <w:color w:val="000000" w:themeColor="text1"/>
        </w:rPr>
        <w:t>) and writing performance (</w:t>
      </w:r>
      <w:proofErr w:type="spellStart"/>
      <w:r w:rsidRPr="006B0749">
        <w:rPr>
          <w:color w:val="000000" w:themeColor="text1"/>
        </w:rPr>
        <w:t>Dabbagh</w:t>
      </w:r>
      <w:proofErr w:type="spellEnd"/>
      <w:r w:rsidRPr="006B0749">
        <w:rPr>
          <w:color w:val="000000" w:themeColor="text1"/>
        </w:rPr>
        <w:t xml:space="preserve"> &amp; </w:t>
      </w:r>
      <w:proofErr w:type="spellStart"/>
      <w:r w:rsidRPr="006B0749">
        <w:rPr>
          <w:color w:val="000000" w:themeColor="text1"/>
        </w:rPr>
        <w:t>Janebi</w:t>
      </w:r>
      <w:proofErr w:type="spellEnd"/>
      <w:r w:rsidRPr="006B0749">
        <w:rPr>
          <w:color w:val="000000" w:themeColor="text1"/>
        </w:rPr>
        <w:t xml:space="preserve"> </w:t>
      </w:r>
      <w:proofErr w:type="spellStart"/>
      <w:r w:rsidRPr="006B0749">
        <w:rPr>
          <w:color w:val="000000" w:themeColor="text1"/>
        </w:rPr>
        <w:t>Enayat</w:t>
      </w:r>
      <w:proofErr w:type="spellEnd"/>
      <w:r w:rsidRPr="006B0749">
        <w:rPr>
          <w:color w:val="000000" w:themeColor="text1"/>
        </w:rPr>
        <w:t>, 2019; Sukying, 2023</w:t>
      </w:r>
      <w:r w:rsidR="00485F5B" w:rsidRPr="006B0749">
        <w:rPr>
          <w:color w:val="000000" w:themeColor="text1"/>
        </w:rPr>
        <w:t xml:space="preserve">; </w:t>
      </w:r>
      <w:proofErr w:type="spellStart"/>
      <w:r w:rsidR="00485F5B" w:rsidRPr="006B0749">
        <w:rPr>
          <w:color w:val="000000" w:themeColor="text1"/>
        </w:rPr>
        <w:t>Stæhr</w:t>
      </w:r>
      <w:proofErr w:type="spellEnd"/>
      <w:r w:rsidR="00485F5B" w:rsidRPr="006B0749">
        <w:rPr>
          <w:color w:val="000000" w:themeColor="text1"/>
        </w:rPr>
        <w:t>, 2008</w:t>
      </w:r>
      <w:r w:rsidRPr="006B0749">
        <w:rPr>
          <w:color w:val="000000" w:themeColor="text1"/>
        </w:rPr>
        <w:t xml:space="preserve">). While these studies highlight the significant </w:t>
      </w:r>
      <w:proofErr w:type="gramStart"/>
      <w:r w:rsidRPr="006B0749">
        <w:rPr>
          <w:color w:val="000000" w:themeColor="text1"/>
        </w:rPr>
        <w:t>role</w:t>
      </w:r>
      <w:proofErr w:type="gramEnd"/>
      <w:r w:rsidRPr="006B0749">
        <w:rPr>
          <w:color w:val="000000" w:themeColor="text1"/>
        </w:rPr>
        <w:t xml:space="preserve"> vocabulary plays in developing both receptive and productive skills, most focus on either speaking or writing without exploring both skills together. Indeed, Schmitt (2014) noted that it remains an “interesting, but unexplored question” whether vocabulary knowledge equally predicts speaking and writing abilities (p. 939). Furthermore, different vocabulary tests measure distinct components of vocabulary knowledge (</w:t>
      </w:r>
      <w:r w:rsidR="00980F88" w:rsidRPr="006B0749">
        <w:rPr>
          <w:color w:val="000000" w:themeColor="text1"/>
        </w:rPr>
        <w:t xml:space="preserve">Read, 2020; </w:t>
      </w:r>
      <w:r w:rsidR="0098303C" w:rsidRPr="006B0749">
        <w:rPr>
          <w:color w:val="000000" w:themeColor="text1"/>
        </w:rPr>
        <w:t>Yanagisawa &amp; Webb,</w:t>
      </w:r>
      <w:r w:rsidRPr="006B0749">
        <w:rPr>
          <w:color w:val="000000" w:themeColor="text1"/>
        </w:rPr>
        <w:t xml:space="preserve"> 202</w:t>
      </w:r>
      <w:r w:rsidR="0098303C" w:rsidRPr="006B0749">
        <w:rPr>
          <w:color w:val="000000" w:themeColor="text1"/>
        </w:rPr>
        <w:t>0</w:t>
      </w:r>
      <w:r w:rsidRPr="006B0749">
        <w:rPr>
          <w:color w:val="000000" w:themeColor="text1"/>
        </w:rPr>
        <w:t xml:space="preserve">) and there is a need for more empirical exploration of the multidimensional nature of vocabulary knowledge, particularly its influence on speaking and writing. Much of the existing research has focused on vocabulary size or depth in isolation, overlooking the interplay between these dimensions (Nation, 2022; Schmitt, 2014). Despite extensive research on vocabulary’s role in receptive skills such as reading and listening, fewer studies have explored its influence on productive skills like speaking and writing, making this a central area for further investigation. </w:t>
      </w:r>
    </w:p>
    <w:p w14:paraId="21B08070" w14:textId="77777777" w:rsidR="00473E6D" w:rsidRPr="006B0749" w:rsidRDefault="00473E6D" w:rsidP="00473E6D">
      <w:pPr>
        <w:pStyle w:val="BodyText"/>
        <w:tabs>
          <w:tab w:val="left" w:pos="2988"/>
        </w:tabs>
        <w:spacing w:line="240" w:lineRule="auto"/>
        <w:ind w:firstLine="0"/>
        <w:jc w:val="both"/>
        <w:rPr>
          <w:color w:val="000000" w:themeColor="text1"/>
        </w:rPr>
      </w:pPr>
    </w:p>
    <w:p w14:paraId="71054FAB" w14:textId="6A8A3300" w:rsidR="00A4795E" w:rsidRPr="006B0749" w:rsidRDefault="00473E6D" w:rsidP="00A0728F">
      <w:pPr>
        <w:pStyle w:val="BodyText"/>
        <w:tabs>
          <w:tab w:val="left" w:pos="2988"/>
        </w:tabs>
        <w:spacing w:line="240" w:lineRule="auto"/>
        <w:ind w:firstLine="0"/>
        <w:jc w:val="both"/>
        <w:rPr>
          <w:color w:val="000000" w:themeColor="text1"/>
        </w:rPr>
      </w:pPr>
      <w:r w:rsidRPr="006B0749">
        <w:rPr>
          <w:color w:val="000000" w:themeColor="text1"/>
        </w:rPr>
        <w:lastRenderedPageBreak/>
        <w:t xml:space="preserve">The current study investigated the multidimensional construct of vocabulary knowledge by examining various aspects of Nation’s (2022) word knowledge framework and its relationship to productive skills, including speaking and writing performance. The study employed a speaking task, a writing task, and five distinct measures of vocabulary knowledge: </w:t>
      </w:r>
      <w:proofErr w:type="gramStart"/>
      <w:r w:rsidRPr="006B0749">
        <w:rPr>
          <w:color w:val="000000" w:themeColor="text1"/>
        </w:rPr>
        <w:t>the</w:t>
      </w:r>
      <w:proofErr w:type="gramEnd"/>
      <w:r w:rsidRPr="006B0749">
        <w:rPr>
          <w:color w:val="000000" w:themeColor="text1"/>
        </w:rPr>
        <w:t xml:space="preserve"> Vocabulary Levels Test (VLT), the Word Part Levels Test (WPLT), the Word Associates Test (WAT), the Affix Knowledge Test (AKT), and the Productive Vocabulary Levels Test (PVLT). Each of these tests targets different dimensions of vocabulary knowledge, providing a comprehensive approach to understanding how these aspects contribute to productive language proficiency in L2 university learners. The following research questions guided the study in order to explore the contributive role of vocabulary knowledge in enhancing speaking and writing performance: </w:t>
      </w:r>
    </w:p>
    <w:p w14:paraId="7E6B94D0" w14:textId="2D813438" w:rsidR="00536033" w:rsidRPr="006B0749" w:rsidRDefault="00536033" w:rsidP="00F7752A">
      <w:pPr>
        <w:pStyle w:val="BodyText"/>
        <w:numPr>
          <w:ilvl w:val="0"/>
          <w:numId w:val="3"/>
        </w:numPr>
        <w:tabs>
          <w:tab w:val="left" w:pos="2988"/>
        </w:tabs>
        <w:spacing w:line="240" w:lineRule="auto"/>
        <w:ind w:left="993" w:hanging="426"/>
        <w:jc w:val="both"/>
        <w:rPr>
          <w:bCs/>
          <w:color w:val="000000" w:themeColor="text1"/>
        </w:rPr>
      </w:pPr>
      <w:r w:rsidRPr="006B0749">
        <w:rPr>
          <w:bCs/>
          <w:color w:val="000000" w:themeColor="text1"/>
        </w:rPr>
        <w:t xml:space="preserve">What is the nature of vocabulary </w:t>
      </w:r>
      <w:r w:rsidR="004820C1" w:rsidRPr="006B0749">
        <w:rPr>
          <w:bCs/>
          <w:color w:val="000000" w:themeColor="text1"/>
        </w:rPr>
        <w:t>learning</w:t>
      </w:r>
      <w:r w:rsidRPr="006B0749">
        <w:rPr>
          <w:bCs/>
          <w:color w:val="000000" w:themeColor="text1"/>
        </w:rPr>
        <w:t xml:space="preserve"> in Thai university learners?</w:t>
      </w:r>
    </w:p>
    <w:p w14:paraId="278C6033" w14:textId="15EE5EF9" w:rsidR="006F521F" w:rsidRPr="006B0749" w:rsidRDefault="006F521F" w:rsidP="00F7752A">
      <w:pPr>
        <w:pStyle w:val="BodyText"/>
        <w:numPr>
          <w:ilvl w:val="0"/>
          <w:numId w:val="3"/>
        </w:numPr>
        <w:tabs>
          <w:tab w:val="left" w:pos="2988"/>
        </w:tabs>
        <w:spacing w:line="240" w:lineRule="auto"/>
        <w:ind w:left="993" w:hanging="426"/>
        <w:jc w:val="both"/>
        <w:rPr>
          <w:bCs/>
          <w:color w:val="000000" w:themeColor="text1"/>
        </w:rPr>
      </w:pPr>
      <w:r w:rsidRPr="006B0749">
        <w:rPr>
          <w:bCs/>
          <w:color w:val="000000" w:themeColor="text1"/>
        </w:rPr>
        <w:t>To what extent do</w:t>
      </w:r>
      <w:r w:rsidR="00473E6D" w:rsidRPr="006B0749">
        <w:rPr>
          <w:bCs/>
          <w:color w:val="000000" w:themeColor="text1"/>
        </w:rPr>
        <w:t>es</w:t>
      </w:r>
      <w:r w:rsidRPr="006B0749">
        <w:rPr>
          <w:bCs/>
          <w:color w:val="000000" w:themeColor="text1"/>
        </w:rPr>
        <w:t xml:space="preserve"> vocabulary knowledge predict L2 speaking </w:t>
      </w:r>
      <w:r w:rsidR="004820C1" w:rsidRPr="006B0749">
        <w:rPr>
          <w:bCs/>
          <w:color w:val="000000" w:themeColor="text1"/>
        </w:rPr>
        <w:t>ability</w:t>
      </w:r>
      <w:r w:rsidRPr="006B0749">
        <w:rPr>
          <w:bCs/>
          <w:color w:val="000000" w:themeColor="text1"/>
        </w:rPr>
        <w:t xml:space="preserve"> in Thai university learners?</w:t>
      </w:r>
    </w:p>
    <w:p w14:paraId="4667AAB6" w14:textId="40D6CAEA" w:rsidR="00A0728F" w:rsidRPr="006B0749" w:rsidRDefault="006F521F" w:rsidP="006F521F">
      <w:pPr>
        <w:pStyle w:val="BodyText"/>
        <w:numPr>
          <w:ilvl w:val="0"/>
          <w:numId w:val="3"/>
        </w:numPr>
        <w:tabs>
          <w:tab w:val="left" w:pos="2988"/>
        </w:tabs>
        <w:spacing w:line="240" w:lineRule="auto"/>
        <w:ind w:left="993" w:hanging="426"/>
        <w:jc w:val="both"/>
        <w:rPr>
          <w:bCs/>
          <w:color w:val="000000" w:themeColor="text1"/>
        </w:rPr>
      </w:pPr>
      <w:r w:rsidRPr="006B0749">
        <w:rPr>
          <w:bCs/>
          <w:color w:val="000000" w:themeColor="text1"/>
        </w:rPr>
        <w:t>To what extent do</w:t>
      </w:r>
      <w:r w:rsidR="00473E6D" w:rsidRPr="006B0749">
        <w:rPr>
          <w:bCs/>
          <w:color w:val="000000" w:themeColor="text1"/>
        </w:rPr>
        <w:t>es</w:t>
      </w:r>
      <w:r w:rsidRPr="006B0749">
        <w:rPr>
          <w:bCs/>
          <w:color w:val="000000" w:themeColor="text1"/>
        </w:rPr>
        <w:t xml:space="preserve"> vocabulary knowledge predict L2 </w:t>
      </w:r>
      <w:r w:rsidR="004820C1" w:rsidRPr="006B0749">
        <w:rPr>
          <w:bCs/>
          <w:color w:val="000000" w:themeColor="text1"/>
        </w:rPr>
        <w:t>writing performance</w:t>
      </w:r>
      <w:r w:rsidRPr="006B0749">
        <w:rPr>
          <w:bCs/>
          <w:color w:val="000000" w:themeColor="text1"/>
        </w:rPr>
        <w:t xml:space="preserve"> in Thai university learners?</w:t>
      </w:r>
    </w:p>
    <w:p w14:paraId="4483B36B" w14:textId="77777777" w:rsidR="00D44C60" w:rsidRPr="006B0749" w:rsidRDefault="00D44C60" w:rsidP="00D44C60">
      <w:pPr>
        <w:pStyle w:val="BodyText"/>
        <w:tabs>
          <w:tab w:val="left" w:pos="2988"/>
        </w:tabs>
        <w:spacing w:line="240" w:lineRule="auto"/>
        <w:ind w:firstLine="0"/>
        <w:jc w:val="both"/>
        <w:rPr>
          <w:bCs/>
          <w:color w:val="000000" w:themeColor="text1"/>
        </w:rPr>
      </w:pPr>
    </w:p>
    <w:p w14:paraId="6A9D4440" w14:textId="65215059" w:rsidR="00A0728F" w:rsidRPr="006B0749" w:rsidRDefault="00DF3C82" w:rsidP="00DF3C82">
      <w:pPr>
        <w:pStyle w:val="BodyText"/>
        <w:tabs>
          <w:tab w:val="left" w:pos="2988"/>
        </w:tabs>
        <w:spacing w:line="240" w:lineRule="auto"/>
        <w:ind w:firstLine="0"/>
        <w:jc w:val="center"/>
        <w:rPr>
          <w:b/>
          <w:color w:val="000000" w:themeColor="text1"/>
        </w:rPr>
      </w:pPr>
      <w:r w:rsidRPr="006B0749">
        <w:rPr>
          <w:b/>
          <w:color w:val="000000" w:themeColor="text1"/>
        </w:rPr>
        <w:t>METHOD</w:t>
      </w:r>
      <w:r w:rsidR="00F87E55" w:rsidRPr="006B0749">
        <w:rPr>
          <w:b/>
          <w:color w:val="000000" w:themeColor="text1"/>
        </w:rPr>
        <w:t>S</w:t>
      </w:r>
    </w:p>
    <w:p w14:paraId="66E32937" w14:textId="77777777" w:rsidR="00DF3C82" w:rsidRPr="006B0749" w:rsidRDefault="00DF3C82" w:rsidP="007C0CE0">
      <w:pPr>
        <w:pStyle w:val="BodyText"/>
        <w:tabs>
          <w:tab w:val="left" w:pos="2988"/>
        </w:tabs>
        <w:spacing w:line="240" w:lineRule="auto"/>
        <w:ind w:firstLine="0"/>
        <w:jc w:val="both"/>
        <w:rPr>
          <w:bCs/>
          <w:color w:val="000000" w:themeColor="text1"/>
        </w:rPr>
      </w:pPr>
    </w:p>
    <w:p w14:paraId="2A6F387A" w14:textId="09AA11F1" w:rsidR="00DF3C82" w:rsidRPr="006B0749" w:rsidRDefault="00DF3C82" w:rsidP="00DF3C82">
      <w:pPr>
        <w:pStyle w:val="BodyText"/>
        <w:tabs>
          <w:tab w:val="left" w:pos="2988"/>
        </w:tabs>
        <w:spacing w:line="240" w:lineRule="auto"/>
        <w:ind w:firstLine="0"/>
        <w:jc w:val="center"/>
        <w:rPr>
          <w:b/>
          <w:color w:val="000000" w:themeColor="text1"/>
          <w:sz w:val="20"/>
          <w:szCs w:val="20"/>
        </w:rPr>
      </w:pPr>
      <w:r w:rsidRPr="006B0749">
        <w:rPr>
          <w:b/>
          <w:color w:val="000000" w:themeColor="text1"/>
          <w:sz w:val="20"/>
          <w:szCs w:val="20"/>
        </w:rPr>
        <w:t>PARTICIPANTS</w:t>
      </w:r>
    </w:p>
    <w:p w14:paraId="4733A9EF" w14:textId="77777777" w:rsidR="00DF3C82" w:rsidRPr="006B0749" w:rsidRDefault="00DF3C82" w:rsidP="007C0CE0">
      <w:pPr>
        <w:pStyle w:val="BodyText"/>
        <w:tabs>
          <w:tab w:val="left" w:pos="2988"/>
        </w:tabs>
        <w:spacing w:line="240" w:lineRule="auto"/>
        <w:ind w:firstLine="0"/>
        <w:jc w:val="both"/>
        <w:rPr>
          <w:bCs/>
          <w:color w:val="000000" w:themeColor="text1"/>
        </w:rPr>
      </w:pPr>
    </w:p>
    <w:p w14:paraId="4B3A5DCB" w14:textId="77777777" w:rsidR="00473E6D" w:rsidRPr="006B0749" w:rsidRDefault="00473E6D" w:rsidP="00473E6D">
      <w:pPr>
        <w:pStyle w:val="BodyText"/>
        <w:tabs>
          <w:tab w:val="left" w:pos="2988"/>
        </w:tabs>
        <w:spacing w:line="240" w:lineRule="auto"/>
        <w:ind w:firstLine="0"/>
        <w:jc w:val="both"/>
        <w:rPr>
          <w:bCs/>
          <w:color w:val="000000" w:themeColor="text1"/>
        </w:rPr>
      </w:pPr>
      <w:r w:rsidRPr="006B0749">
        <w:rPr>
          <w:bCs/>
          <w:color w:val="000000" w:themeColor="text1"/>
        </w:rPr>
        <w:t xml:space="preserve">This study was conducted at a government university in northeastern Thailand, focusing on undergraduate English Education majors. These students, who study English as a foreign language (EFL) in a setting where English is rarely spoken outside classes, were chosen because they aspire to become English teachers, making English proficiency crucial for their careers. Invitations to participate were extended to all 65 students, with 63 ultimately completing all vocabulary tests and writing and speaking tasks. Recruitments were facilitated via program </w:t>
      </w:r>
      <w:proofErr w:type="spellStart"/>
      <w:r w:rsidRPr="006B0749">
        <w:rPr>
          <w:bCs/>
          <w:color w:val="000000" w:themeColor="text1"/>
        </w:rPr>
        <w:t>convenors</w:t>
      </w:r>
      <w:proofErr w:type="spellEnd"/>
      <w:r w:rsidRPr="006B0749">
        <w:rPr>
          <w:bCs/>
          <w:color w:val="000000" w:themeColor="text1"/>
        </w:rPr>
        <w:t xml:space="preserve">, emails, and face-to-face interactions, and convenience sampling was used as the researcher worked at the same university. Ethical compliance was ensured through consent forms. </w:t>
      </w:r>
    </w:p>
    <w:p w14:paraId="192D0A18" w14:textId="77777777" w:rsidR="00473E6D" w:rsidRPr="006B0749" w:rsidRDefault="00473E6D" w:rsidP="00473E6D">
      <w:pPr>
        <w:pStyle w:val="BodyText"/>
        <w:tabs>
          <w:tab w:val="left" w:pos="2988"/>
        </w:tabs>
        <w:spacing w:line="240" w:lineRule="auto"/>
        <w:ind w:firstLine="0"/>
        <w:jc w:val="both"/>
        <w:rPr>
          <w:bCs/>
          <w:color w:val="000000" w:themeColor="text1"/>
        </w:rPr>
      </w:pPr>
    </w:p>
    <w:p w14:paraId="6FE8E9EC" w14:textId="4F32E870" w:rsidR="00473E6D" w:rsidRPr="006B0749" w:rsidRDefault="00473E6D" w:rsidP="00473E6D">
      <w:pPr>
        <w:pStyle w:val="BodyText"/>
        <w:tabs>
          <w:tab w:val="left" w:pos="2988"/>
        </w:tabs>
        <w:spacing w:line="240" w:lineRule="auto"/>
        <w:ind w:firstLine="0"/>
        <w:jc w:val="both"/>
        <w:rPr>
          <w:bCs/>
          <w:color w:val="000000" w:themeColor="text1"/>
        </w:rPr>
      </w:pPr>
      <w:r w:rsidRPr="006B0749">
        <w:rPr>
          <w:bCs/>
          <w:color w:val="000000" w:themeColor="text1"/>
        </w:rPr>
        <w:t xml:space="preserve">To ensure data reliability, participants who left answers blank or repeated five consecutive answers were excluded, leaving a final sample of 63 students, including 21 males and 42 females, aged between 21 and 22. All participants were native Thai speakers without prior experience studying in an English-speaking country. They received an average of 12 hours of English instruction per week from experienced Thai lecturers and were enrolled in EFL classes for at least 12 years, from primary education to university studies. Despite access to English media, participants primarily used it for entertainment, limiting their English exposure mostly to classroom settings. </w:t>
      </w:r>
    </w:p>
    <w:p w14:paraId="10DE0D75" w14:textId="52E483A8" w:rsidR="00DF3C82" w:rsidRPr="006B0749" w:rsidRDefault="00DF3C82" w:rsidP="007C0CE0">
      <w:pPr>
        <w:pStyle w:val="BodyText"/>
        <w:tabs>
          <w:tab w:val="left" w:pos="2988"/>
        </w:tabs>
        <w:spacing w:line="240" w:lineRule="auto"/>
        <w:ind w:firstLine="0"/>
        <w:jc w:val="both"/>
        <w:rPr>
          <w:bCs/>
          <w:color w:val="000000" w:themeColor="text1"/>
        </w:rPr>
      </w:pPr>
    </w:p>
    <w:p w14:paraId="06297B56" w14:textId="665A044B" w:rsidR="00DF3C82" w:rsidRPr="006B0749" w:rsidRDefault="00BB19D5" w:rsidP="00DF3C82">
      <w:pPr>
        <w:pStyle w:val="BodyText"/>
        <w:tabs>
          <w:tab w:val="left" w:pos="2988"/>
        </w:tabs>
        <w:spacing w:line="240" w:lineRule="auto"/>
        <w:ind w:firstLine="0"/>
        <w:jc w:val="center"/>
        <w:rPr>
          <w:b/>
          <w:bCs/>
          <w:color w:val="000000" w:themeColor="text1"/>
          <w:sz w:val="20"/>
          <w:szCs w:val="20"/>
        </w:rPr>
      </w:pPr>
      <w:r w:rsidRPr="006B0749">
        <w:rPr>
          <w:b/>
          <w:color w:val="000000" w:themeColor="text1"/>
          <w:sz w:val="20"/>
          <w:szCs w:val="20"/>
        </w:rPr>
        <w:t>RES</w:t>
      </w:r>
      <w:r w:rsidR="00420A44" w:rsidRPr="006B0749">
        <w:rPr>
          <w:b/>
          <w:color w:val="000000" w:themeColor="text1"/>
          <w:sz w:val="20"/>
          <w:szCs w:val="20"/>
        </w:rPr>
        <w:t>EARCH INSTRUMENT</w:t>
      </w:r>
      <w:r w:rsidR="00DF3C82" w:rsidRPr="006B0749">
        <w:rPr>
          <w:b/>
          <w:bCs/>
          <w:color w:val="000000" w:themeColor="text1"/>
          <w:sz w:val="20"/>
          <w:szCs w:val="20"/>
        </w:rPr>
        <w:t>S</w:t>
      </w:r>
    </w:p>
    <w:p w14:paraId="078C8C21" w14:textId="77777777" w:rsidR="00DF3C82" w:rsidRPr="006B0749" w:rsidRDefault="00DF3C82" w:rsidP="00DF3C82">
      <w:pPr>
        <w:pStyle w:val="BodyText"/>
        <w:tabs>
          <w:tab w:val="left" w:pos="2988"/>
        </w:tabs>
        <w:spacing w:line="240" w:lineRule="auto"/>
        <w:ind w:firstLine="0"/>
        <w:rPr>
          <w:b/>
          <w:bCs/>
          <w:i/>
          <w:iCs/>
          <w:color w:val="000000" w:themeColor="text1"/>
        </w:rPr>
      </w:pPr>
    </w:p>
    <w:p w14:paraId="6CD04A92" w14:textId="77777777" w:rsidR="00FD7AB9" w:rsidRPr="006B0749" w:rsidRDefault="00FD7AB9" w:rsidP="00DF3C82">
      <w:pPr>
        <w:pStyle w:val="BodyText"/>
        <w:tabs>
          <w:tab w:val="left" w:pos="2988"/>
        </w:tabs>
        <w:spacing w:line="240" w:lineRule="auto"/>
        <w:ind w:firstLine="0"/>
        <w:jc w:val="both"/>
        <w:rPr>
          <w:b/>
          <w:color w:val="000000" w:themeColor="text1"/>
        </w:rPr>
      </w:pPr>
      <w:r w:rsidRPr="006B0749">
        <w:rPr>
          <w:b/>
          <w:color w:val="000000" w:themeColor="text1"/>
        </w:rPr>
        <w:t>The Vocabulary Levels Test (VLT)</w:t>
      </w:r>
    </w:p>
    <w:p w14:paraId="1219D991" w14:textId="77777777" w:rsidR="00473E6D" w:rsidRPr="006B0749" w:rsidRDefault="00473E6D" w:rsidP="00473E6D">
      <w:pPr>
        <w:pStyle w:val="BodyText"/>
        <w:tabs>
          <w:tab w:val="left" w:pos="2988"/>
        </w:tabs>
        <w:spacing w:line="240" w:lineRule="auto"/>
        <w:ind w:firstLine="0"/>
        <w:jc w:val="both"/>
        <w:rPr>
          <w:bCs/>
          <w:color w:val="000000" w:themeColor="text1"/>
        </w:rPr>
      </w:pPr>
      <w:r w:rsidRPr="006B0749">
        <w:rPr>
          <w:bCs/>
          <w:color w:val="000000" w:themeColor="text1"/>
        </w:rPr>
        <w:t xml:space="preserve">The study adopted Webb, </w:t>
      </w:r>
      <w:proofErr w:type="spellStart"/>
      <w:r w:rsidRPr="006B0749">
        <w:rPr>
          <w:bCs/>
          <w:color w:val="000000" w:themeColor="text1"/>
        </w:rPr>
        <w:t>Sasao</w:t>
      </w:r>
      <w:proofErr w:type="spellEnd"/>
      <w:r w:rsidRPr="006B0749">
        <w:rPr>
          <w:bCs/>
          <w:color w:val="000000" w:themeColor="text1"/>
        </w:rPr>
        <w:t xml:space="preserve">, and </w:t>
      </w:r>
      <w:proofErr w:type="spellStart"/>
      <w:r w:rsidRPr="006B0749">
        <w:rPr>
          <w:bCs/>
          <w:color w:val="000000" w:themeColor="text1"/>
        </w:rPr>
        <w:t>Ballace’s</w:t>
      </w:r>
      <w:proofErr w:type="spellEnd"/>
      <w:r w:rsidRPr="006B0749">
        <w:rPr>
          <w:bCs/>
          <w:color w:val="000000" w:themeColor="text1"/>
        </w:rPr>
        <w:t xml:space="preserve"> (2017) version of the Vocabulary Levels Test (VLT) to assess the participants’ receptive vocabulary knowledge, specifically the form-meaning links of words. The VLT consists of five frequency levels (1000, 2000, 3000, 4000, and 5000 most frequent word families) and focuses on critical word families for learners. The test features a matching format with ten 3-item clusters per level, providing a balanced mix of nouns, verbs, and adjectives. The test items are sourced from Nation’s (2012) British National Corpus (NBC) and the Corpus of Contemporary American English (COCA). Its table-like grid </w:t>
      </w:r>
      <w:r w:rsidRPr="006B0749">
        <w:rPr>
          <w:bCs/>
          <w:color w:val="000000" w:themeColor="text1"/>
        </w:rPr>
        <w:lastRenderedPageBreak/>
        <w:t>format improves clarity and usability, ensuring accurate assessments of learners’ knowledge at specific frequency levels.</w:t>
      </w:r>
    </w:p>
    <w:p w14:paraId="04BC51B1" w14:textId="77777777" w:rsidR="00473E6D" w:rsidRPr="006B0749" w:rsidRDefault="00473E6D" w:rsidP="00473E6D">
      <w:pPr>
        <w:pStyle w:val="BodyText"/>
        <w:tabs>
          <w:tab w:val="left" w:pos="2988"/>
        </w:tabs>
        <w:spacing w:line="240" w:lineRule="auto"/>
        <w:ind w:firstLine="0"/>
        <w:jc w:val="both"/>
        <w:rPr>
          <w:bCs/>
          <w:color w:val="000000" w:themeColor="text1"/>
        </w:rPr>
      </w:pPr>
    </w:p>
    <w:p w14:paraId="2F4ACAB3" w14:textId="77777777" w:rsidR="00473E6D" w:rsidRPr="006B0749" w:rsidRDefault="00473E6D" w:rsidP="00473E6D">
      <w:pPr>
        <w:pStyle w:val="BodyText"/>
        <w:tabs>
          <w:tab w:val="left" w:pos="2988"/>
        </w:tabs>
        <w:spacing w:line="240" w:lineRule="auto"/>
        <w:ind w:firstLine="0"/>
        <w:jc w:val="both"/>
        <w:rPr>
          <w:bCs/>
          <w:color w:val="000000" w:themeColor="text1"/>
        </w:rPr>
      </w:pPr>
      <w:r w:rsidRPr="006B0749">
        <w:rPr>
          <w:bCs/>
          <w:color w:val="000000" w:themeColor="text1"/>
        </w:rPr>
        <w:t>The VLT provides a comprehensive measure of receptive vocabulary, focusing on form-meaning. It also offers educators and researchers a reliable tool to assess vocabulary learning progress because this test uses lexical items from relevant corpora and an updated presentation format. The VLT emphasises word frequency levels rather than overall vocabulary size, making it a focused and dependable measure of language development. The participants were asked to check the correct item box for each definition instead of writing down the item number. An example from the 1000-word level is illustrated below:</w:t>
      </w:r>
    </w:p>
    <w:p w14:paraId="1C9AFB83" w14:textId="634F0845" w:rsidR="00EC160E" w:rsidRPr="006B0749" w:rsidRDefault="00EC160E" w:rsidP="00473E6D">
      <w:pPr>
        <w:pStyle w:val="BodyText"/>
        <w:tabs>
          <w:tab w:val="left" w:pos="2988"/>
        </w:tabs>
        <w:spacing w:line="240" w:lineRule="auto"/>
        <w:ind w:firstLine="0"/>
        <w:jc w:val="both"/>
        <w:rPr>
          <w:bCs/>
          <w:color w:val="000000" w:themeColor="text1"/>
        </w:rPr>
      </w:pPr>
      <w:r w:rsidRPr="006B0749">
        <w:rPr>
          <w:bCs/>
          <w:color w:val="000000" w:themeColor="text1"/>
        </w:rPr>
        <w:t xml:space="preserve"> </w:t>
      </w:r>
    </w:p>
    <w:tbl>
      <w:tblPr>
        <w:tblStyle w:val="TableGrid"/>
        <w:tblW w:w="5000" w:type="pct"/>
        <w:tblLook w:val="04A0" w:firstRow="1" w:lastRow="0" w:firstColumn="1" w:lastColumn="0" w:noHBand="0" w:noVBand="1"/>
      </w:tblPr>
      <w:tblGrid>
        <w:gridCol w:w="3325"/>
        <w:gridCol w:w="811"/>
        <w:gridCol w:w="948"/>
        <w:gridCol w:w="1170"/>
        <w:gridCol w:w="886"/>
        <w:gridCol w:w="1033"/>
        <w:gridCol w:w="854"/>
      </w:tblGrid>
      <w:tr w:rsidR="006B0749" w:rsidRPr="006B0749" w14:paraId="1BDF9942" w14:textId="77777777" w:rsidTr="00FE78FC">
        <w:tc>
          <w:tcPr>
            <w:tcW w:w="1841" w:type="pct"/>
            <w:tcBorders>
              <w:left w:val="nil"/>
              <w:bottom w:val="single" w:sz="4" w:space="0" w:color="000000" w:themeColor="text1"/>
              <w:right w:val="nil"/>
            </w:tcBorders>
          </w:tcPr>
          <w:p w14:paraId="73E0017B" w14:textId="77777777" w:rsidR="00EC160E" w:rsidRPr="006B0749" w:rsidRDefault="00EC160E" w:rsidP="00EC160E">
            <w:pPr>
              <w:tabs>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s>
              <w:jc w:val="both"/>
              <w:rPr>
                <w:rFonts w:eastAsia="DengXian"/>
                <w:color w:val="000000" w:themeColor="text1"/>
              </w:rPr>
            </w:pPr>
          </w:p>
        </w:tc>
        <w:tc>
          <w:tcPr>
            <w:tcW w:w="449" w:type="pct"/>
            <w:tcBorders>
              <w:left w:val="nil"/>
              <w:bottom w:val="single" w:sz="4" w:space="0" w:color="000000" w:themeColor="text1"/>
              <w:right w:val="nil"/>
            </w:tcBorders>
          </w:tcPr>
          <w:p w14:paraId="73A5B541" w14:textId="77777777" w:rsidR="00EC160E" w:rsidRPr="006B0749" w:rsidRDefault="00EC160E" w:rsidP="00EC160E">
            <w:pPr>
              <w:tabs>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s>
              <w:jc w:val="both"/>
              <w:rPr>
                <w:rFonts w:eastAsia="DengXian"/>
                <w:b/>
                <w:bCs/>
                <w:color w:val="000000" w:themeColor="text1"/>
              </w:rPr>
            </w:pPr>
            <w:r w:rsidRPr="006B0749">
              <w:rPr>
                <w:rFonts w:eastAsia="DengXian"/>
                <w:b/>
                <w:bCs/>
                <w:color w:val="000000" w:themeColor="text1"/>
              </w:rPr>
              <w:t>date</w:t>
            </w:r>
          </w:p>
        </w:tc>
        <w:tc>
          <w:tcPr>
            <w:tcW w:w="525" w:type="pct"/>
            <w:tcBorders>
              <w:left w:val="nil"/>
              <w:bottom w:val="single" w:sz="4" w:space="0" w:color="000000" w:themeColor="text1"/>
              <w:right w:val="nil"/>
            </w:tcBorders>
          </w:tcPr>
          <w:p w14:paraId="37277C45" w14:textId="77777777" w:rsidR="00EC160E" w:rsidRPr="006B0749" w:rsidRDefault="00EC160E" w:rsidP="00EC160E">
            <w:pPr>
              <w:tabs>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s>
              <w:jc w:val="both"/>
              <w:rPr>
                <w:rFonts w:eastAsia="DengXian"/>
                <w:b/>
                <w:bCs/>
                <w:color w:val="000000" w:themeColor="text1"/>
              </w:rPr>
            </w:pPr>
            <w:r w:rsidRPr="006B0749">
              <w:rPr>
                <w:rFonts w:eastAsia="DengXian"/>
                <w:b/>
                <w:bCs/>
                <w:color w:val="000000" w:themeColor="text1"/>
              </w:rPr>
              <w:t>forest</w:t>
            </w:r>
          </w:p>
        </w:tc>
        <w:tc>
          <w:tcPr>
            <w:tcW w:w="648" w:type="pct"/>
            <w:tcBorders>
              <w:left w:val="nil"/>
              <w:bottom w:val="single" w:sz="4" w:space="0" w:color="000000" w:themeColor="text1"/>
              <w:right w:val="nil"/>
            </w:tcBorders>
          </w:tcPr>
          <w:p w14:paraId="00D72E13" w14:textId="77777777" w:rsidR="00EC160E" w:rsidRPr="006B0749" w:rsidRDefault="00EC160E" w:rsidP="00EC160E">
            <w:pPr>
              <w:tabs>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s>
              <w:jc w:val="both"/>
              <w:rPr>
                <w:rFonts w:eastAsia="DengXian"/>
                <w:b/>
                <w:bCs/>
                <w:color w:val="000000" w:themeColor="text1"/>
              </w:rPr>
            </w:pPr>
            <w:r w:rsidRPr="006B0749">
              <w:rPr>
                <w:rFonts w:eastAsia="DengXian"/>
                <w:b/>
                <w:bCs/>
                <w:color w:val="000000" w:themeColor="text1"/>
              </w:rPr>
              <w:t>mistake</w:t>
            </w:r>
          </w:p>
        </w:tc>
        <w:tc>
          <w:tcPr>
            <w:tcW w:w="491" w:type="pct"/>
            <w:tcBorders>
              <w:left w:val="nil"/>
              <w:bottom w:val="single" w:sz="4" w:space="0" w:color="000000" w:themeColor="text1"/>
              <w:right w:val="nil"/>
            </w:tcBorders>
          </w:tcPr>
          <w:p w14:paraId="5A0F3B8F" w14:textId="77777777" w:rsidR="00EC160E" w:rsidRPr="006B0749" w:rsidRDefault="00EC160E" w:rsidP="00EC160E">
            <w:pPr>
              <w:tabs>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s>
              <w:jc w:val="both"/>
              <w:rPr>
                <w:rFonts w:eastAsia="DengXian"/>
                <w:b/>
                <w:bCs/>
                <w:color w:val="000000" w:themeColor="text1"/>
              </w:rPr>
            </w:pPr>
            <w:r w:rsidRPr="006B0749">
              <w:rPr>
                <w:rFonts w:eastAsia="DengXian"/>
                <w:b/>
                <w:bCs/>
                <w:color w:val="000000" w:themeColor="text1"/>
              </w:rPr>
              <w:t>news</w:t>
            </w:r>
          </w:p>
        </w:tc>
        <w:tc>
          <w:tcPr>
            <w:tcW w:w="572" w:type="pct"/>
            <w:tcBorders>
              <w:left w:val="nil"/>
              <w:bottom w:val="single" w:sz="4" w:space="0" w:color="000000" w:themeColor="text1"/>
              <w:right w:val="nil"/>
            </w:tcBorders>
          </w:tcPr>
          <w:p w14:paraId="156CC0AF" w14:textId="77777777" w:rsidR="00EC160E" w:rsidRPr="006B0749" w:rsidRDefault="00EC160E" w:rsidP="00EC160E">
            <w:pPr>
              <w:tabs>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s>
              <w:jc w:val="both"/>
              <w:rPr>
                <w:rFonts w:eastAsia="DengXian"/>
                <w:b/>
                <w:bCs/>
                <w:color w:val="000000" w:themeColor="text1"/>
              </w:rPr>
            </w:pPr>
            <w:r w:rsidRPr="006B0749">
              <w:rPr>
                <w:rFonts w:eastAsia="DengXian"/>
                <w:b/>
                <w:bCs/>
                <w:color w:val="000000" w:themeColor="text1"/>
              </w:rPr>
              <w:t>record</w:t>
            </w:r>
          </w:p>
        </w:tc>
        <w:tc>
          <w:tcPr>
            <w:tcW w:w="473" w:type="pct"/>
            <w:tcBorders>
              <w:left w:val="nil"/>
              <w:bottom w:val="single" w:sz="4" w:space="0" w:color="000000" w:themeColor="text1"/>
              <w:right w:val="nil"/>
            </w:tcBorders>
          </w:tcPr>
          <w:p w14:paraId="0828AF74" w14:textId="77777777" w:rsidR="00EC160E" w:rsidRPr="006B0749" w:rsidRDefault="00EC160E" w:rsidP="00EC160E">
            <w:pPr>
              <w:tabs>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s>
              <w:jc w:val="both"/>
              <w:rPr>
                <w:rFonts w:eastAsia="DengXian"/>
                <w:b/>
                <w:bCs/>
                <w:color w:val="000000" w:themeColor="text1"/>
              </w:rPr>
            </w:pPr>
            <w:r w:rsidRPr="006B0749">
              <w:rPr>
                <w:rFonts w:eastAsia="DengXian"/>
                <w:b/>
                <w:bCs/>
                <w:color w:val="000000" w:themeColor="text1"/>
              </w:rPr>
              <w:t xml:space="preserve">shop </w:t>
            </w:r>
          </w:p>
        </w:tc>
      </w:tr>
      <w:tr w:rsidR="006B0749" w:rsidRPr="006B0749" w14:paraId="7123F29A" w14:textId="77777777" w:rsidTr="00FE78FC">
        <w:tc>
          <w:tcPr>
            <w:tcW w:w="1841" w:type="pct"/>
            <w:tcBorders>
              <w:top w:val="single" w:sz="4" w:space="0" w:color="000000" w:themeColor="text1"/>
              <w:left w:val="nil"/>
              <w:bottom w:val="nil"/>
              <w:right w:val="nil"/>
            </w:tcBorders>
          </w:tcPr>
          <w:p w14:paraId="6C074194" w14:textId="77777777" w:rsidR="00EC160E" w:rsidRPr="006B0749" w:rsidRDefault="00EC160E" w:rsidP="00EC160E">
            <w:pPr>
              <w:tabs>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s>
              <w:jc w:val="both"/>
              <w:rPr>
                <w:rFonts w:eastAsia="DengXian"/>
                <w:color w:val="000000" w:themeColor="text1"/>
              </w:rPr>
            </w:pPr>
            <w:r w:rsidRPr="006B0749">
              <w:rPr>
                <w:rFonts w:eastAsia="DengXian"/>
                <w:color w:val="000000" w:themeColor="text1"/>
              </w:rPr>
              <w:t>latest information</w:t>
            </w:r>
          </w:p>
        </w:tc>
        <w:tc>
          <w:tcPr>
            <w:tcW w:w="449" w:type="pct"/>
            <w:tcBorders>
              <w:left w:val="nil"/>
              <w:bottom w:val="nil"/>
              <w:right w:val="nil"/>
            </w:tcBorders>
          </w:tcPr>
          <w:p w14:paraId="6D6BCB57" w14:textId="77777777" w:rsidR="00EC160E" w:rsidRPr="006B0749" w:rsidRDefault="00EC160E" w:rsidP="00EC160E">
            <w:pPr>
              <w:tabs>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s>
              <w:jc w:val="both"/>
              <w:rPr>
                <w:rFonts w:eastAsia="DengXian"/>
                <w:color w:val="000000" w:themeColor="text1"/>
              </w:rPr>
            </w:pPr>
          </w:p>
        </w:tc>
        <w:tc>
          <w:tcPr>
            <w:tcW w:w="525" w:type="pct"/>
            <w:tcBorders>
              <w:left w:val="nil"/>
              <w:bottom w:val="nil"/>
              <w:right w:val="nil"/>
            </w:tcBorders>
          </w:tcPr>
          <w:p w14:paraId="5B64BD1E" w14:textId="77777777" w:rsidR="00EC160E" w:rsidRPr="006B0749" w:rsidRDefault="00EC160E" w:rsidP="00EC160E">
            <w:pPr>
              <w:tabs>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s>
              <w:jc w:val="both"/>
              <w:rPr>
                <w:rFonts w:eastAsia="DengXian"/>
                <w:color w:val="000000" w:themeColor="text1"/>
              </w:rPr>
            </w:pPr>
          </w:p>
        </w:tc>
        <w:tc>
          <w:tcPr>
            <w:tcW w:w="648" w:type="pct"/>
            <w:tcBorders>
              <w:left w:val="nil"/>
              <w:bottom w:val="nil"/>
              <w:right w:val="nil"/>
            </w:tcBorders>
          </w:tcPr>
          <w:p w14:paraId="42B8131F" w14:textId="77777777" w:rsidR="00EC160E" w:rsidRPr="006B0749" w:rsidRDefault="00EC160E" w:rsidP="00EC160E">
            <w:pPr>
              <w:tabs>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s>
              <w:jc w:val="both"/>
              <w:rPr>
                <w:rFonts w:eastAsia="DengXian"/>
                <w:color w:val="000000" w:themeColor="text1"/>
              </w:rPr>
            </w:pPr>
          </w:p>
        </w:tc>
        <w:tc>
          <w:tcPr>
            <w:tcW w:w="491" w:type="pct"/>
            <w:tcBorders>
              <w:left w:val="nil"/>
              <w:bottom w:val="nil"/>
              <w:right w:val="nil"/>
            </w:tcBorders>
          </w:tcPr>
          <w:p w14:paraId="2AC26354" w14:textId="77777777" w:rsidR="00EC160E" w:rsidRPr="006B0749" w:rsidRDefault="00EC160E" w:rsidP="00EC160E">
            <w:pPr>
              <w:tabs>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s>
              <w:jc w:val="both"/>
              <w:rPr>
                <w:rFonts w:eastAsia="DengXian"/>
                <w:color w:val="000000" w:themeColor="text1"/>
              </w:rPr>
            </w:pPr>
          </w:p>
        </w:tc>
        <w:tc>
          <w:tcPr>
            <w:tcW w:w="572" w:type="pct"/>
            <w:tcBorders>
              <w:left w:val="nil"/>
              <w:bottom w:val="nil"/>
              <w:right w:val="nil"/>
            </w:tcBorders>
          </w:tcPr>
          <w:p w14:paraId="7E6969E6" w14:textId="77777777" w:rsidR="00EC160E" w:rsidRPr="006B0749" w:rsidRDefault="00EC160E" w:rsidP="00EC160E">
            <w:pPr>
              <w:tabs>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s>
              <w:jc w:val="both"/>
              <w:rPr>
                <w:rFonts w:eastAsia="DengXian"/>
                <w:color w:val="000000" w:themeColor="text1"/>
              </w:rPr>
            </w:pPr>
          </w:p>
        </w:tc>
        <w:tc>
          <w:tcPr>
            <w:tcW w:w="473" w:type="pct"/>
            <w:tcBorders>
              <w:left w:val="nil"/>
              <w:bottom w:val="nil"/>
              <w:right w:val="nil"/>
            </w:tcBorders>
          </w:tcPr>
          <w:p w14:paraId="2D109B56" w14:textId="77777777" w:rsidR="00EC160E" w:rsidRPr="006B0749" w:rsidRDefault="00EC160E" w:rsidP="00EC160E">
            <w:pPr>
              <w:tabs>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s>
              <w:jc w:val="both"/>
              <w:rPr>
                <w:rFonts w:eastAsia="DengXian"/>
                <w:color w:val="000000" w:themeColor="text1"/>
              </w:rPr>
            </w:pPr>
          </w:p>
        </w:tc>
      </w:tr>
      <w:tr w:rsidR="006B0749" w:rsidRPr="006B0749" w14:paraId="5900428C" w14:textId="77777777" w:rsidTr="00FE78FC">
        <w:tc>
          <w:tcPr>
            <w:tcW w:w="1841" w:type="pct"/>
            <w:tcBorders>
              <w:top w:val="nil"/>
              <w:left w:val="nil"/>
              <w:bottom w:val="nil"/>
              <w:right w:val="nil"/>
            </w:tcBorders>
          </w:tcPr>
          <w:p w14:paraId="0B1EFF46" w14:textId="77777777" w:rsidR="00EC160E" w:rsidRPr="006B0749" w:rsidRDefault="00EC160E" w:rsidP="00EC160E">
            <w:pPr>
              <w:tabs>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s>
              <w:jc w:val="both"/>
              <w:rPr>
                <w:rFonts w:eastAsia="DengXian"/>
                <w:color w:val="000000" w:themeColor="text1"/>
              </w:rPr>
            </w:pPr>
            <w:r w:rsidRPr="006B0749">
              <w:rPr>
                <w:rFonts w:eastAsia="DengXian"/>
                <w:color w:val="000000" w:themeColor="text1"/>
              </w:rPr>
              <w:t>place with many trees</w:t>
            </w:r>
          </w:p>
        </w:tc>
        <w:tc>
          <w:tcPr>
            <w:tcW w:w="449" w:type="pct"/>
            <w:tcBorders>
              <w:top w:val="nil"/>
              <w:left w:val="nil"/>
              <w:bottom w:val="nil"/>
              <w:right w:val="nil"/>
            </w:tcBorders>
          </w:tcPr>
          <w:p w14:paraId="3F33E7B0" w14:textId="77777777" w:rsidR="00EC160E" w:rsidRPr="006B0749" w:rsidRDefault="00EC160E" w:rsidP="00EC160E">
            <w:pPr>
              <w:tabs>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s>
              <w:jc w:val="both"/>
              <w:rPr>
                <w:rFonts w:eastAsia="DengXian"/>
                <w:color w:val="000000" w:themeColor="text1"/>
              </w:rPr>
            </w:pPr>
          </w:p>
        </w:tc>
        <w:tc>
          <w:tcPr>
            <w:tcW w:w="525" w:type="pct"/>
            <w:tcBorders>
              <w:top w:val="nil"/>
              <w:left w:val="nil"/>
              <w:bottom w:val="nil"/>
              <w:right w:val="nil"/>
            </w:tcBorders>
          </w:tcPr>
          <w:p w14:paraId="454C1AD0" w14:textId="77777777" w:rsidR="00EC160E" w:rsidRPr="006B0749" w:rsidRDefault="00EC160E" w:rsidP="00EC160E">
            <w:pPr>
              <w:tabs>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s>
              <w:jc w:val="both"/>
              <w:rPr>
                <w:rFonts w:eastAsia="DengXian"/>
                <w:color w:val="000000" w:themeColor="text1"/>
              </w:rPr>
            </w:pPr>
          </w:p>
        </w:tc>
        <w:tc>
          <w:tcPr>
            <w:tcW w:w="648" w:type="pct"/>
            <w:tcBorders>
              <w:top w:val="nil"/>
              <w:left w:val="nil"/>
              <w:bottom w:val="nil"/>
              <w:right w:val="nil"/>
            </w:tcBorders>
          </w:tcPr>
          <w:p w14:paraId="13AD692B" w14:textId="77777777" w:rsidR="00EC160E" w:rsidRPr="006B0749" w:rsidRDefault="00EC160E" w:rsidP="00EC160E">
            <w:pPr>
              <w:tabs>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s>
              <w:jc w:val="both"/>
              <w:rPr>
                <w:rFonts w:eastAsia="DengXian"/>
                <w:color w:val="000000" w:themeColor="text1"/>
              </w:rPr>
            </w:pPr>
          </w:p>
        </w:tc>
        <w:tc>
          <w:tcPr>
            <w:tcW w:w="491" w:type="pct"/>
            <w:tcBorders>
              <w:top w:val="nil"/>
              <w:left w:val="nil"/>
              <w:bottom w:val="nil"/>
              <w:right w:val="nil"/>
            </w:tcBorders>
          </w:tcPr>
          <w:p w14:paraId="7EA854A9" w14:textId="77777777" w:rsidR="00EC160E" w:rsidRPr="006B0749" w:rsidRDefault="00EC160E" w:rsidP="00EC160E">
            <w:pPr>
              <w:tabs>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s>
              <w:jc w:val="both"/>
              <w:rPr>
                <w:rFonts w:eastAsia="DengXian"/>
                <w:color w:val="000000" w:themeColor="text1"/>
              </w:rPr>
            </w:pPr>
          </w:p>
        </w:tc>
        <w:tc>
          <w:tcPr>
            <w:tcW w:w="572" w:type="pct"/>
            <w:tcBorders>
              <w:top w:val="nil"/>
              <w:left w:val="nil"/>
              <w:bottom w:val="nil"/>
              <w:right w:val="nil"/>
            </w:tcBorders>
          </w:tcPr>
          <w:p w14:paraId="1AC4C086" w14:textId="77777777" w:rsidR="00EC160E" w:rsidRPr="006B0749" w:rsidRDefault="00EC160E" w:rsidP="00EC160E">
            <w:pPr>
              <w:tabs>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s>
              <w:jc w:val="both"/>
              <w:rPr>
                <w:rFonts w:eastAsia="DengXian"/>
                <w:color w:val="000000" w:themeColor="text1"/>
              </w:rPr>
            </w:pPr>
          </w:p>
        </w:tc>
        <w:tc>
          <w:tcPr>
            <w:tcW w:w="473" w:type="pct"/>
            <w:tcBorders>
              <w:top w:val="nil"/>
              <w:left w:val="nil"/>
              <w:bottom w:val="nil"/>
              <w:right w:val="nil"/>
            </w:tcBorders>
          </w:tcPr>
          <w:p w14:paraId="091A822A" w14:textId="77777777" w:rsidR="00EC160E" w:rsidRPr="006B0749" w:rsidRDefault="00EC160E" w:rsidP="00EC160E">
            <w:pPr>
              <w:tabs>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s>
              <w:jc w:val="both"/>
              <w:rPr>
                <w:rFonts w:eastAsia="DengXian"/>
                <w:color w:val="000000" w:themeColor="text1"/>
              </w:rPr>
            </w:pPr>
          </w:p>
        </w:tc>
      </w:tr>
      <w:tr w:rsidR="00EC160E" w:rsidRPr="006B0749" w14:paraId="4A63A69C" w14:textId="77777777" w:rsidTr="00396C4B">
        <w:tc>
          <w:tcPr>
            <w:tcW w:w="1841" w:type="pct"/>
            <w:tcBorders>
              <w:top w:val="nil"/>
              <w:left w:val="nil"/>
              <w:right w:val="nil"/>
            </w:tcBorders>
          </w:tcPr>
          <w:p w14:paraId="7A05E506" w14:textId="77777777" w:rsidR="00EC160E" w:rsidRPr="006B0749" w:rsidRDefault="00EC160E" w:rsidP="00EC160E">
            <w:pPr>
              <w:tabs>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s>
              <w:jc w:val="both"/>
              <w:rPr>
                <w:rFonts w:eastAsia="DengXian"/>
                <w:color w:val="000000" w:themeColor="text1"/>
              </w:rPr>
            </w:pPr>
            <w:r w:rsidRPr="006B0749">
              <w:rPr>
                <w:rFonts w:eastAsia="DengXian"/>
                <w:color w:val="000000" w:themeColor="text1"/>
              </w:rPr>
              <w:t>something that is not right</w:t>
            </w:r>
          </w:p>
        </w:tc>
        <w:tc>
          <w:tcPr>
            <w:tcW w:w="449" w:type="pct"/>
            <w:tcBorders>
              <w:top w:val="nil"/>
              <w:left w:val="nil"/>
              <w:right w:val="nil"/>
            </w:tcBorders>
          </w:tcPr>
          <w:p w14:paraId="4F301429" w14:textId="77777777" w:rsidR="00EC160E" w:rsidRPr="006B0749" w:rsidRDefault="00EC160E" w:rsidP="00EC160E">
            <w:pPr>
              <w:tabs>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s>
              <w:jc w:val="both"/>
              <w:rPr>
                <w:rFonts w:eastAsia="DengXian"/>
                <w:color w:val="000000" w:themeColor="text1"/>
              </w:rPr>
            </w:pPr>
          </w:p>
        </w:tc>
        <w:tc>
          <w:tcPr>
            <w:tcW w:w="525" w:type="pct"/>
            <w:tcBorders>
              <w:top w:val="nil"/>
              <w:left w:val="nil"/>
              <w:right w:val="nil"/>
            </w:tcBorders>
          </w:tcPr>
          <w:p w14:paraId="028241D7" w14:textId="77777777" w:rsidR="00EC160E" w:rsidRPr="006B0749" w:rsidRDefault="00EC160E" w:rsidP="00EC160E">
            <w:pPr>
              <w:tabs>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s>
              <w:jc w:val="both"/>
              <w:rPr>
                <w:rFonts w:eastAsia="DengXian"/>
                <w:color w:val="000000" w:themeColor="text1"/>
              </w:rPr>
            </w:pPr>
          </w:p>
        </w:tc>
        <w:tc>
          <w:tcPr>
            <w:tcW w:w="648" w:type="pct"/>
            <w:tcBorders>
              <w:top w:val="nil"/>
              <w:left w:val="nil"/>
              <w:right w:val="nil"/>
            </w:tcBorders>
          </w:tcPr>
          <w:p w14:paraId="5A247985" w14:textId="77777777" w:rsidR="00EC160E" w:rsidRPr="006B0749" w:rsidRDefault="00EC160E" w:rsidP="00EC160E">
            <w:pPr>
              <w:tabs>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s>
              <w:jc w:val="both"/>
              <w:rPr>
                <w:rFonts w:eastAsia="DengXian"/>
                <w:color w:val="000000" w:themeColor="text1"/>
              </w:rPr>
            </w:pPr>
          </w:p>
        </w:tc>
        <w:tc>
          <w:tcPr>
            <w:tcW w:w="491" w:type="pct"/>
            <w:tcBorders>
              <w:top w:val="nil"/>
              <w:left w:val="nil"/>
              <w:right w:val="nil"/>
            </w:tcBorders>
          </w:tcPr>
          <w:p w14:paraId="4456C7CC" w14:textId="77777777" w:rsidR="00EC160E" w:rsidRPr="006B0749" w:rsidRDefault="00EC160E" w:rsidP="00EC160E">
            <w:pPr>
              <w:tabs>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s>
              <w:jc w:val="both"/>
              <w:rPr>
                <w:rFonts w:eastAsia="DengXian"/>
                <w:color w:val="000000" w:themeColor="text1"/>
              </w:rPr>
            </w:pPr>
          </w:p>
        </w:tc>
        <w:tc>
          <w:tcPr>
            <w:tcW w:w="572" w:type="pct"/>
            <w:tcBorders>
              <w:top w:val="nil"/>
              <w:left w:val="nil"/>
              <w:right w:val="nil"/>
            </w:tcBorders>
          </w:tcPr>
          <w:p w14:paraId="503BBDD7" w14:textId="77777777" w:rsidR="00EC160E" w:rsidRPr="006B0749" w:rsidRDefault="00EC160E" w:rsidP="00EC160E">
            <w:pPr>
              <w:tabs>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s>
              <w:jc w:val="both"/>
              <w:rPr>
                <w:rFonts w:eastAsia="DengXian"/>
                <w:color w:val="000000" w:themeColor="text1"/>
              </w:rPr>
            </w:pPr>
          </w:p>
        </w:tc>
        <w:tc>
          <w:tcPr>
            <w:tcW w:w="473" w:type="pct"/>
            <w:tcBorders>
              <w:top w:val="nil"/>
              <w:left w:val="nil"/>
              <w:right w:val="nil"/>
            </w:tcBorders>
          </w:tcPr>
          <w:p w14:paraId="1EEECE0E" w14:textId="77777777" w:rsidR="00EC160E" w:rsidRPr="006B0749" w:rsidRDefault="00EC160E" w:rsidP="00EC160E">
            <w:pPr>
              <w:tabs>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s>
              <w:jc w:val="both"/>
              <w:rPr>
                <w:rFonts w:eastAsia="DengXian"/>
                <w:color w:val="000000" w:themeColor="text1"/>
              </w:rPr>
            </w:pPr>
          </w:p>
        </w:tc>
      </w:tr>
    </w:tbl>
    <w:p w14:paraId="6C41659E" w14:textId="77777777" w:rsidR="00EC160E" w:rsidRPr="006B0749" w:rsidRDefault="00EC160E" w:rsidP="00855DFE">
      <w:pPr>
        <w:pStyle w:val="BodyText"/>
        <w:tabs>
          <w:tab w:val="left" w:pos="2988"/>
        </w:tabs>
        <w:spacing w:line="240" w:lineRule="auto"/>
        <w:ind w:firstLine="0"/>
        <w:jc w:val="both"/>
        <w:rPr>
          <w:bCs/>
          <w:color w:val="000000" w:themeColor="text1"/>
        </w:rPr>
      </w:pPr>
    </w:p>
    <w:p w14:paraId="2C17FAEE" w14:textId="0CDD8403" w:rsidR="00DF3C82" w:rsidRPr="006B0749" w:rsidRDefault="00EC160E" w:rsidP="006E0599">
      <w:pPr>
        <w:pStyle w:val="BodyText"/>
        <w:tabs>
          <w:tab w:val="left" w:pos="2988"/>
        </w:tabs>
        <w:spacing w:line="240" w:lineRule="auto"/>
        <w:ind w:firstLine="0"/>
        <w:jc w:val="both"/>
        <w:rPr>
          <w:b/>
          <w:color w:val="000000" w:themeColor="text1"/>
        </w:rPr>
      </w:pPr>
      <w:r w:rsidRPr="006B0749">
        <w:rPr>
          <w:b/>
          <w:color w:val="000000" w:themeColor="text1"/>
        </w:rPr>
        <w:t xml:space="preserve">The Word Associates Test (WAT) </w:t>
      </w:r>
    </w:p>
    <w:p w14:paraId="11146419" w14:textId="77777777" w:rsidR="00473E6D" w:rsidRPr="006B0749" w:rsidRDefault="00473E6D" w:rsidP="00473E6D">
      <w:pPr>
        <w:pStyle w:val="BodyText"/>
        <w:tabs>
          <w:tab w:val="left" w:pos="2988"/>
        </w:tabs>
        <w:spacing w:line="240" w:lineRule="auto"/>
        <w:ind w:firstLine="0"/>
        <w:jc w:val="both"/>
        <w:rPr>
          <w:bCs/>
          <w:color w:val="000000" w:themeColor="text1"/>
        </w:rPr>
      </w:pPr>
      <w:r w:rsidRPr="006B0749">
        <w:rPr>
          <w:bCs/>
          <w:color w:val="000000" w:themeColor="text1"/>
        </w:rPr>
        <w:t xml:space="preserve">The Word Associates Test (WAT), developed by Read (1993), is a widely </w:t>
      </w:r>
      <w:proofErr w:type="spellStart"/>
      <w:r w:rsidRPr="006B0749">
        <w:rPr>
          <w:bCs/>
          <w:color w:val="000000" w:themeColor="text1"/>
        </w:rPr>
        <w:t>recognised</w:t>
      </w:r>
      <w:proofErr w:type="spellEnd"/>
      <w:r w:rsidRPr="006B0749">
        <w:rPr>
          <w:bCs/>
          <w:color w:val="000000" w:themeColor="text1"/>
        </w:rPr>
        <w:t xml:space="preserve"> tool for assessing depth. It evaluates learners’ understanding of a word’s multiple facets, such as synonyms (paradigmatic relationships), collocates (syntagmatic relationships), and connotations (analytic relationships). The WAT presents a target word with four related words and four distractors, allowing for a multidimensional assessment of lexical knowledge. For instance, for the word “bright,” associated words might include “clever” and “shining” (synonyms), “happy” (analytic), and “</w:t>
      </w:r>
      <w:proofErr w:type="spellStart"/>
      <w:r w:rsidRPr="006B0749">
        <w:rPr>
          <w:bCs/>
          <w:color w:val="000000" w:themeColor="text1"/>
        </w:rPr>
        <w:t>colour</w:t>
      </w:r>
      <w:proofErr w:type="spellEnd"/>
      <w:r w:rsidRPr="006B0749">
        <w:rPr>
          <w:bCs/>
          <w:color w:val="000000" w:themeColor="text1"/>
        </w:rPr>
        <w:t>” (collocate). Although relatively dated, the WAT remains a valuable tool for tapping various aspects of lexical knowledge, offering a detailed picture of learners’ vocabulary depth.</w:t>
      </w:r>
    </w:p>
    <w:p w14:paraId="29E88A25" w14:textId="77777777" w:rsidR="006E0599" w:rsidRPr="006B0749" w:rsidRDefault="006E0599" w:rsidP="00DF3C82">
      <w:pPr>
        <w:pStyle w:val="BodyText"/>
        <w:tabs>
          <w:tab w:val="left" w:pos="2988"/>
        </w:tabs>
        <w:spacing w:line="240" w:lineRule="auto"/>
        <w:ind w:firstLine="0"/>
        <w:jc w:val="both"/>
        <w:rPr>
          <w:bCs/>
          <w:color w:val="000000" w:themeColor="text1"/>
        </w:rPr>
      </w:pPr>
    </w:p>
    <w:p w14:paraId="0C6CA6F8" w14:textId="77777777" w:rsidR="006226BE" w:rsidRPr="006B0749" w:rsidRDefault="006226BE" w:rsidP="00855DFE">
      <w:pPr>
        <w:pStyle w:val="BodyText"/>
        <w:tabs>
          <w:tab w:val="left" w:pos="2988"/>
        </w:tabs>
        <w:spacing w:line="240" w:lineRule="auto"/>
        <w:ind w:firstLine="0"/>
        <w:jc w:val="both"/>
        <w:rPr>
          <w:b/>
          <w:color w:val="000000" w:themeColor="text1"/>
        </w:rPr>
      </w:pPr>
      <w:r w:rsidRPr="006B0749">
        <w:rPr>
          <w:b/>
          <w:color w:val="000000" w:themeColor="text1"/>
        </w:rPr>
        <w:t>The Word Part Levels Test (WPLT)</w:t>
      </w:r>
    </w:p>
    <w:p w14:paraId="6CD3CE55" w14:textId="77777777" w:rsidR="00473E6D" w:rsidRPr="006B0749" w:rsidRDefault="00473E6D" w:rsidP="00473E6D">
      <w:pPr>
        <w:pStyle w:val="BodyText"/>
        <w:tabs>
          <w:tab w:val="left" w:pos="2988"/>
        </w:tabs>
        <w:spacing w:line="240" w:lineRule="auto"/>
        <w:ind w:firstLine="0"/>
        <w:jc w:val="both"/>
        <w:rPr>
          <w:rFonts w:cs="Angsana New"/>
          <w:bCs/>
          <w:color w:val="000000" w:themeColor="text1"/>
          <w:szCs w:val="30"/>
        </w:rPr>
      </w:pPr>
      <w:r w:rsidRPr="006B0749">
        <w:rPr>
          <w:rFonts w:cs="Angsana New"/>
          <w:bCs/>
          <w:color w:val="000000" w:themeColor="text1"/>
          <w:szCs w:val="30"/>
        </w:rPr>
        <w:t>The Word Part Levels Test (WPLT) assesses three aspects of receptive affix knowledge: form, meaning, and use (</w:t>
      </w:r>
      <w:proofErr w:type="spellStart"/>
      <w:r w:rsidRPr="006B0749">
        <w:rPr>
          <w:rFonts w:cs="Angsana New"/>
          <w:bCs/>
          <w:color w:val="000000" w:themeColor="text1"/>
          <w:szCs w:val="30"/>
        </w:rPr>
        <w:t>Sasao</w:t>
      </w:r>
      <w:proofErr w:type="spellEnd"/>
      <w:r w:rsidRPr="006B0749">
        <w:rPr>
          <w:rFonts w:cs="Angsana New"/>
          <w:bCs/>
          <w:color w:val="000000" w:themeColor="text1"/>
          <w:szCs w:val="30"/>
        </w:rPr>
        <w:t xml:space="preserve"> &amp; Webb, 2017). The test covers 118 affixes, divided into three difficulty levels. The WPLT uses a multiple-choice format to evaluate learners’ understanding of affix forms, meanings, and grammatical functions. For example, the form section assesses affix recognition by presenting plausible letter combinations. In contrast, the meaning section provides two example words for each affix, asking test-takers to choose the correct meaning. The use section requires test-takers to identify the grammatical function of affixes. The WPLT provides a detailed measure of affix knowledge, making it a valuable tool for assessing students’ ability to use and understand English affixes.</w:t>
      </w:r>
    </w:p>
    <w:p w14:paraId="0713C809" w14:textId="77777777" w:rsidR="00681CDE" w:rsidRPr="006B0749" w:rsidRDefault="00681CDE" w:rsidP="00855DFE">
      <w:pPr>
        <w:pStyle w:val="BodyText"/>
        <w:tabs>
          <w:tab w:val="left" w:pos="2988"/>
        </w:tabs>
        <w:spacing w:line="240" w:lineRule="auto"/>
        <w:ind w:firstLine="0"/>
        <w:jc w:val="both"/>
        <w:rPr>
          <w:rFonts w:cs="Angsana New"/>
          <w:bCs/>
          <w:color w:val="000000" w:themeColor="text1"/>
          <w:szCs w:val="30"/>
        </w:rPr>
      </w:pPr>
    </w:p>
    <w:p w14:paraId="1CEDB51F" w14:textId="01B4C6B7" w:rsidR="00681CDE" w:rsidRPr="006B0749" w:rsidRDefault="00851424" w:rsidP="00855DFE">
      <w:pPr>
        <w:pStyle w:val="BodyText"/>
        <w:tabs>
          <w:tab w:val="left" w:pos="2988"/>
        </w:tabs>
        <w:spacing w:line="240" w:lineRule="auto"/>
        <w:ind w:firstLine="0"/>
        <w:jc w:val="both"/>
        <w:rPr>
          <w:rFonts w:cs="Angsana New"/>
          <w:b/>
          <w:color w:val="000000" w:themeColor="text1"/>
          <w:szCs w:val="30"/>
        </w:rPr>
      </w:pPr>
      <w:r w:rsidRPr="006B0749">
        <w:rPr>
          <w:rFonts w:cs="Angsana New"/>
          <w:b/>
          <w:color w:val="000000" w:themeColor="text1"/>
          <w:szCs w:val="30"/>
        </w:rPr>
        <w:t>The Affix Knowledge Test (AKT)</w:t>
      </w:r>
    </w:p>
    <w:p w14:paraId="6F5166FF" w14:textId="77777777" w:rsidR="00473E6D" w:rsidRPr="006B0749" w:rsidRDefault="00473E6D" w:rsidP="00473E6D">
      <w:pPr>
        <w:pStyle w:val="BodyText"/>
        <w:tabs>
          <w:tab w:val="left" w:pos="2988"/>
        </w:tabs>
        <w:spacing w:line="240" w:lineRule="auto"/>
        <w:ind w:firstLine="0"/>
        <w:jc w:val="both"/>
        <w:rPr>
          <w:rFonts w:cs="Angsana New"/>
          <w:bCs/>
          <w:color w:val="000000" w:themeColor="text1"/>
          <w:szCs w:val="30"/>
        </w:rPr>
      </w:pPr>
      <w:r w:rsidRPr="006B0749">
        <w:rPr>
          <w:rFonts w:cs="Angsana New"/>
          <w:bCs/>
          <w:color w:val="000000" w:themeColor="text1"/>
          <w:szCs w:val="30"/>
        </w:rPr>
        <w:t xml:space="preserve">The Affix Knowledge Test (AKT), developed by Sukying (2018), measures learners’ productive knowledge of English words and their derivatives. The test includes two tasks: (1) completing sentences with the correct word form and (2) identifying and completing missing word classes. For example, participants must provide the correct word forms in the sentence “The taxi driver was unfamiliar with my suburb, so he used a car navigator” (prompt word: familiar). It assesses learners’ ability to use word derivatives in context, offering insights into their productive vocabulary knowledge. Scoring focuses on correct word forms, with penalties for incorrect answers to discourage guessing, ensuring the accuracy and reliability of the test. </w:t>
      </w:r>
    </w:p>
    <w:p w14:paraId="0F3806FE" w14:textId="77777777" w:rsidR="00851424" w:rsidRPr="006B0749" w:rsidRDefault="00851424" w:rsidP="00855DFE">
      <w:pPr>
        <w:pStyle w:val="BodyText"/>
        <w:tabs>
          <w:tab w:val="left" w:pos="2988"/>
        </w:tabs>
        <w:spacing w:line="240" w:lineRule="auto"/>
        <w:ind w:firstLine="0"/>
        <w:jc w:val="both"/>
        <w:rPr>
          <w:rFonts w:cs="Angsana New"/>
          <w:bCs/>
          <w:color w:val="000000" w:themeColor="text1"/>
          <w:szCs w:val="30"/>
        </w:rPr>
      </w:pPr>
    </w:p>
    <w:p w14:paraId="7370EDB4" w14:textId="3AD53EE7" w:rsidR="00851424" w:rsidRPr="006B0749" w:rsidRDefault="00851424" w:rsidP="00855DFE">
      <w:pPr>
        <w:pStyle w:val="BodyText"/>
        <w:tabs>
          <w:tab w:val="left" w:pos="2988"/>
        </w:tabs>
        <w:spacing w:line="240" w:lineRule="auto"/>
        <w:ind w:firstLine="0"/>
        <w:jc w:val="both"/>
        <w:rPr>
          <w:rFonts w:cs="Angsana New"/>
          <w:b/>
          <w:color w:val="000000" w:themeColor="text1"/>
          <w:szCs w:val="30"/>
        </w:rPr>
      </w:pPr>
      <w:r w:rsidRPr="006B0749">
        <w:rPr>
          <w:rFonts w:cs="Angsana New"/>
          <w:b/>
          <w:color w:val="000000" w:themeColor="text1"/>
          <w:szCs w:val="30"/>
        </w:rPr>
        <w:t>The Productive Vocabulary Levels Test (PVLT)</w:t>
      </w:r>
    </w:p>
    <w:p w14:paraId="706C6C6C" w14:textId="2DE7C0F0" w:rsidR="00473E6D" w:rsidRPr="006B0749" w:rsidRDefault="00473E6D" w:rsidP="00473E6D">
      <w:pPr>
        <w:pStyle w:val="BodyText"/>
        <w:tabs>
          <w:tab w:val="left" w:pos="2988"/>
        </w:tabs>
        <w:spacing w:line="240" w:lineRule="auto"/>
        <w:ind w:firstLine="0"/>
        <w:jc w:val="both"/>
        <w:rPr>
          <w:rFonts w:cs="Angsana New"/>
          <w:bCs/>
          <w:color w:val="000000" w:themeColor="text1"/>
          <w:szCs w:val="30"/>
        </w:rPr>
      </w:pPr>
      <w:r w:rsidRPr="006B0749">
        <w:rPr>
          <w:rFonts w:cs="Angsana New"/>
          <w:bCs/>
          <w:color w:val="000000" w:themeColor="text1"/>
          <w:szCs w:val="30"/>
        </w:rPr>
        <w:lastRenderedPageBreak/>
        <w:t xml:space="preserve">The Productive Vocabulary Levels Test (PVLT), developed by Laufer and Nation (1995), assesses learners’ ability to recall and use words from different frequency levels. The test features a gap-filling format, where </w:t>
      </w:r>
      <w:proofErr w:type="gramStart"/>
      <w:r w:rsidRPr="006B0749">
        <w:rPr>
          <w:rFonts w:cs="Angsana New"/>
          <w:bCs/>
          <w:color w:val="000000" w:themeColor="text1"/>
          <w:szCs w:val="30"/>
        </w:rPr>
        <w:t>learners</w:t>
      </w:r>
      <w:proofErr w:type="gramEnd"/>
      <w:r w:rsidRPr="006B0749">
        <w:rPr>
          <w:rFonts w:cs="Angsana New"/>
          <w:bCs/>
          <w:color w:val="000000" w:themeColor="text1"/>
          <w:szCs w:val="30"/>
        </w:rPr>
        <w:t xml:space="preserve"> complete sentences with missing words. For example, in the sentence, “He takes </w:t>
      </w:r>
      <w:proofErr w:type="spellStart"/>
      <w:r w:rsidRPr="006B0749">
        <w:rPr>
          <w:rFonts w:cs="Angsana New"/>
          <w:bCs/>
          <w:color w:val="000000" w:themeColor="text1"/>
          <w:szCs w:val="30"/>
        </w:rPr>
        <w:t>cr</w:t>
      </w:r>
      <w:proofErr w:type="spellEnd"/>
      <w:r w:rsidRPr="006B0749">
        <w:rPr>
          <w:rFonts w:cs="Angsana New"/>
          <w:bCs/>
          <w:color w:val="000000" w:themeColor="text1"/>
          <w:szCs w:val="30"/>
        </w:rPr>
        <w:t xml:space="preserve">______ and sugar in his coffee,” the target word is “cream.” The PVLT includes four frequency word bands (2000, 3000, 5000, and 10,000) containing 18 items. This is a reliable measure of vocabulary depth, focusing on the learners’ ability to use words in meaningful contexts. Its gap-filling format encourages genuine vocabulary use and </w:t>
      </w:r>
      <w:proofErr w:type="spellStart"/>
      <w:r w:rsidRPr="006B0749">
        <w:rPr>
          <w:rFonts w:cs="Angsana New"/>
          <w:bCs/>
          <w:color w:val="000000" w:themeColor="text1"/>
          <w:szCs w:val="30"/>
        </w:rPr>
        <w:t>minimises</w:t>
      </w:r>
      <w:proofErr w:type="spellEnd"/>
      <w:r w:rsidRPr="006B0749">
        <w:rPr>
          <w:rFonts w:cs="Angsana New"/>
          <w:bCs/>
          <w:color w:val="000000" w:themeColor="text1"/>
          <w:szCs w:val="30"/>
        </w:rPr>
        <w:t xml:space="preserve"> guesswork, ensuring the test’s reliability and validity.  </w:t>
      </w:r>
    </w:p>
    <w:p w14:paraId="3D9B6B7E" w14:textId="77777777" w:rsidR="00CE280F" w:rsidRPr="006B0749" w:rsidRDefault="00CE280F" w:rsidP="00855DFE">
      <w:pPr>
        <w:pStyle w:val="BodyText"/>
        <w:tabs>
          <w:tab w:val="left" w:pos="2988"/>
        </w:tabs>
        <w:spacing w:line="240" w:lineRule="auto"/>
        <w:ind w:firstLine="0"/>
        <w:jc w:val="both"/>
        <w:rPr>
          <w:rFonts w:cs="Angsana New"/>
          <w:bCs/>
          <w:color w:val="000000" w:themeColor="text1"/>
          <w:szCs w:val="30"/>
        </w:rPr>
      </w:pPr>
    </w:p>
    <w:p w14:paraId="1D8F5F93" w14:textId="77777777" w:rsidR="00473E6D" w:rsidRPr="006B0749" w:rsidRDefault="00473E6D" w:rsidP="00473E6D">
      <w:pPr>
        <w:pStyle w:val="BodyText"/>
        <w:tabs>
          <w:tab w:val="left" w:pos="2988"/>
        </w:tabs>
        <w:spacing w:line="240" w:lineRule="auto"/>
        <w:ind w:firstLine="0"/>
        <w:jc w:val="both"/>
        <w:rPr>
          <w:rFonts w:cs="Angsana New"/>
          <w:b/>
          <w:color w:val="000000" w:themeColor="text1"/>
          <w:szCs w:val="30"/>
        </w:rPr>
      </w:pPr>
      <w:r w:rsidRPr="006B0749">
        <w:rPr>
          <w:rFonts w:cs="Angsana New"/>
          <w:b/>
          <w:color w:val="000000" w:themeColor="text1"/>
          <w:szCs w:val="30"/>
        </w:rPr>
        <w:t>IELTS Speaking Test</w:t>
      </w:r>
    </w:p>
    <w:p w14:paraId="20524AFE" w14:textId="77777777" w:rsidR="00473E6D" w:rsidRPr="006B0749" w:rsidRDefault="00473E6D" w:rsidP="00473E6D">
      <w:pPr>
        <w:pStyle w:val="BodyText"/>
        <w:tabs>
          <w:tab w:val="left" w:pos="2988"/>
        </w:tabs>
        <w:spacing w:line="240" w:lineRule="auto"/>
        <w:ind w:firstLine="0"/>
        <w:jc w:val="both"/>
        <w:rPr>
          <w:rFonts w:cs="Angsana New"/>
          <w:bCs/>
          <w:color w:val="000000" w:themeColor="text1"/>
          <w:szCs w:val="30"/>
        </w:rPr>
      </w:pPr>
      <w:r w:rsidRPr="006B0749">
        <w:rPr>
          <w:rFonts w:cs="Angsana New"/>
          <w:bCs/>
          <w:color w:val="000000" w:themeColor="text1"/>
          <w:szCs w:val="30"/>
        </w:rPr>
        <w:t>The IELTS Speaking Test was used to assess participants’ oral proficiency. This test consists of three parts: (1) an introduction and interview, (2) a long turn where the test-taker speaks on a given topic, and (3) a discussion based on the topic from Part 2. Each section tests different aspects of speaking, from conversational skills to more complex argumentative language use. The structured format of the IELT ensures a comprehensive evaluation of speaking proficiency. Using familiar topics and progressively increasing difficulty, the test assesses the test-takers’ ability to communicate in various contexts, ensuring reliability and validity.</w:t>
      </w:r>
    </w:p>
    <w:p w14:paraId="1013BBC8" w14:textId="77777777" w:rsidR="00473E6D" w:rsidRPr="006B0749" w:rsidRDefault="00473E6D" w:rsidP="00473E6D">
      <w:pPr>
        <w:pStyle w:val="BodyText"/>
        <w:tabs>
          <w:tab w:val="left" w:pos="2988"/>
        </w:tabs>
        <w:spacing w:line="240" w:lineRule="auto"/>
        <w:ind w:firstLine="0"/>
        <w:jc w:val="both"/>
        <w:rPr>
          <w:rFonts w:cs="Angsana New"/>
          <w:bCs/>
          <w:color w:val="000000" w:themeColor="text1"/>
          <w:szCs w:val="30"/>
        </w:rPr>
      </w:pPr>
    </w:p>
    <w:p w14:paraId="6017A266" w14:textId="77777777" w:rsidR="00473E6D" w:rsidRPr="006B0749" w:rsidRDefault="00473E6D" w:rsidP="00473E6D">
      <w:pPr>
        <w:pStyle w:val="BodyText"/>
        <w:tabs>
          <w:tab w:val="left" w:pos="2988"/>
        </w:tabs>
        <w:spacing w:line="240" w:lineRule="auto"/>
        <w:ind w:firstLine="0"/>
        <w:jc w:val="both"/>
        <w:rPr>
          <w:rFonts w:cs="Angsana New"/>
          <w:b/>
          <w:color w:val="000000" w:themeColor="text1"/>
          <w:szCs w:val="30"/>
        </w:rPr>
      </w:pPr>
      <w:r w:rsidRPr="006B0749">
        <w:rPr>
          <w:rFonts w:cs="Angsana New"/>
          <w:b/>
          <w:color w:val="000000" w:themeColor="text1"/>
          <w:szCs w:val="30"/>
        </w:rPr>
        <w:t>IELT Writing Task</w:t>
      </w:r>
    </w:p>
    <w:p w14:paraId="05BE0C7C" w14:textId="3B363E40" w:rsidR="00473E6D" w:rsidRPr="006B0749" w:rsidRDefault="00473E6D" w:rsidP="00473E6D">
      <w:pPr>
        <w:pStyle w:val="BodyText"/>
        <w:tabs>
          <w:tab w:val="left" w:pos="2988"/>
        </w:tabs>
        <w:spacing w:line="240" w:lineRule="auto"/>
        <w:ind w:firstLine="0"/>
        <w:jc w:val="both"/>
        <w:rPr>
          <w:rFonts w:cs="Angsana New"/>
          <w:bCs/>
          <w:color w:val="000000" w:themeColor="text1"/>
          <w:szCs w:val="30"/>
        </w:rPr>
      </w:pPr>
      <w:r w:rsidRPr="006B0749">
        <w:rPr>
          <w:rFonts w:cs="Angsana New"/>
          <w:bCs/>
          <w:color w:val="000000" w:themeColor="text1"/>
          <w:szCs w:val="30"/>
        </w:rPr>
        <w:t xml:space="preserve">The IELT Writing Task 2 was used to assess participants’ writing proficiency. Participants were required to write a short essay of at least 250 words in response to a prompt. This task evaluates the ability to present a logical argument, support points with evidence and demonstrate clear, coherent writing. It uses </w:t>
      </w:r>
      <w:proofErr w:type="spellStart"/>
      <w:r w:rsidRPr="006B0749">
        <w:rPr>
          <w:rFonts w:cs="Angsana New"/>
          <w:bCs/>
          <w:color w:val="000000" w:themeColor="text1"/>
          <w:szCs w:val="30"/>
        </w:rPr>
        <w:t>standardised</w:t>
      </w:r>
      <w:proofErr w:type="spellEnd"/>
      <w:r w:rsidRPr="006B0749">
        <w:rPr>
          <w:rFonts w:cs="Angsana New"/>
          <w:bCs/>
          <w:color w:val="000000" w:themeColor="text1"/>
          <w:szCs w:val="30"/>
        </w:rPr>
        <w:t xml:space="preserve"> evaluation criteria, including coherence, cohesion, and language accuracy, making it a reliable tool for assessing writing skills. The rigorous training and certification of raters further ensure the reliability of the test, providing an accurate measure of participants’ writing proficiency.</w:t>
      </w:r>
    </w:p>
    <w:p w14:paraId="1E004285" w14:textId="77777777" w:rsidR="00DF3C82" w:rsidRPr="006B0749" w:rsidRDefault="00DF3C82" w:rsidP="00DF3C82">
      <w:pPr>
        <w:pStyle w:val="BodyText"/>
        <w:tabs>
          <w:tab w:val="left" w:pos="2988"/>
        </w:tabs>
        <w:spacing w:line="240" w:lineRule="auto"/>
        <w:ind w:firstLine="0"/>
        <w:rPr>
          <w:bCs/>
          <w:color w:val="000000" w:themeColor="text1"/>
        </w:rPr>
      </w:pPr>
    </w:p>
    <w:p w14:paraId="07D07E20" w14:textId="48F95208" w:rsidR="00DF3C82" w:rsidRPr="006B0749" w:rsidRDefault="00DF3C82" w:rsidP="00DF3C82">
      <w:pPr>
        <w:pStyle w:val="BodyText"/>
        <w:tabs>
          <w:tab w:val="left" w:pos="2988"/>
        </w:tabs>
        <w:spacing w:line="240" w:lineRule="auto"/>
        <w:ind w:firstLine="0"/>
        <w:jc w:val="center"/>
        <w:rPr>
          <w:b/>
          <w:bCs/>
          <w:color w:val="000000" w:themeColor="text1"/>
          <w:sz w:val="20"/>
          <w:szCs w:val="20"/>
        </w:rPr>
      </w:pPr>
      <w:r w:rsidRPr="006B0749">
        <w:rPr>
          <w:b/>
          <w:bCs/>
          <w:color w:val="000000" w:themeColor="text1"/>
          <w:sz w:val="20"/>
          <w:szCs w:val="20"/>
        </w:rPr>
        <w:t>PROCEDURES</w:t>
      </w:r>
    </w:p>
    <w:p w14:paraId="1FCCCE95" w14:textId="77777777" w:rsidR="00DF3C82" w:rsidRPr="006B0749" w:rsidRDefault="00DF3C82" w:rsidP="00DF3C82">
      <w:pPr>
        <w:pStyle w:val="BodyText"/>
        <w:tabs>
          <w:tab w:val="left" w:pos="2988"/>
        </w:tabs>
        <w:spacing w:line="240" w:lineRule="auto"/>
        <w:ind w:firstLine="0"/>
        <w:jc w:val="center"/>
        <w:rPr>
          <w:b/>
          <w:bCs/>
          <w:color w:val="000000" w:themeColor="text1"/>
          <w:sz w:val="20"/>
          <w:szCs w:val="20"/>
        </w:rPr>
      </w:pPr>
    </w:p>
    <w:p w14:paraId="0FCD1733" w14:textId="77777777" w:rsidR="00473E6D" w:rsidRPr="006B0749" w:rsidRDefault="00473E6D" w:rsidP="00473E6D">
      <w:pPr>
        <w:pStyle w:val="BodyText"/>
        <w:tabs>
          <w:tab w:val="left" w:pos="2988"/>
        </w:tabs>
        <w:spacing w:line="240" w:lineRule="auto"/>
        <w:ind w:firstLine="0"/>
        <w:jc w:val="both"/>
        <w:rPr>
          <w:bCs/>
          <w:color w:val="000000" w:themeColor="text1"/>
        </w:rPr>
      </w:pPr>
      <w:r w:rsidRPr="006B0749">
        <w:rPr>
          <w:bCs/>
          <w:color w:val="000000" w:themeColor="text1"/>
        </w:rPr>
        <w:t xml:space="preserve">Participants were first informed about the research objectives and procedures. The vocabulary knowledge tests were administered over two days. The PVLT and the WAT were conducted on the first day, with the PVLT administered first, followed by the WAT. On the second day, the AKT, the WLPT and the VLT were administered in that order. The order of the tests was designed to avoid overlap between different aspects of vocabulary knowledge, mainly to prevent participants from connecting forms and meanings across the tests. Each test was allotted 60 minutes, with a </w:t>
      </w:r>
      <w:proofErr w:type="gramStart"/>
      <w:r w:rsidRPr="006B0749">
        <w:rPr>
          <w:bCs/>
          <w:color w:val="000000" w:themeColor="text1"/>
        </w:rPr>
        <w:t>10 minute</w:t>
      </w:r>
      <w:proofErr w:type="gramEnd"/>
      <w:r w:rsidRPr="006B0749">
        <w:rPr>
          <w:bCs/>
          <w:color w:val="000000" w:themeColor="text1"/>
        </w:rPr>
        <w:t xml:space="preserve"> break to prevent fatigue. Instructions and examples were given in the participants’ native Thai language.</w:t>
      </w:r>
    </w:p>
    <w:p w14:paraId="49FFBE64" w14:textId="77777777" w:rsidR="00473E6D" w:rsidRPr="006B0749" w:rsidRDefault="00473E6D" w:rsidP="00473E6D">
      <w:pPr>
        <w:pStyle w:val="BodyText"/>
        <w:tabs>
          <w:tab w:val="left" w:pos="2988"/>
        </w:tabs>
        <w:spacing w:line="240" w:lineRule="auto"/>
        <w:ind w:firstLine="0"/>
        <w:jc w:val="both"/>
        <w:rPr>
          <w:bCs/>
          <w:color w:val="000000" w:themeColor="text1"/>
        </w:rPr>
      </w:pPr>
    </w:p>
    <w:p w14:paraId="7337EB60" w14:textId="17272185" w:rsidR="00473E6D" w:rsidRPr="006B0749" w:rsidRDefault="00473E6D" w:rsidP="00473E6D">
      <w:pPr>
        <w:pStyle w:val="BodyText"/>
        <w:tabs>
          <w:tab w:val="left" w:pos="2988"/>
        </w:tabs>
        <w:spacing w:line="240" w:lineRule="auto"/>
        <w:ind w:firstLine="0"/>
        <w:jc w:val="both"/>
        <w:rPr>
          <w:bCs/>
          <w:color w:val="000000" w:themeColor="text1"/>
        </w:rPr>
      </w:pPr>
      <w:r w:rsidRPr="006B0749">
        <w:rPr>
          <w:bCs/>
          <w:color w:val="000000" w:themeColor="text1"/>
        </w:rPr>
        <w:t xml:space="preserve">One week later, the participants completed a </w:t>
      </w:r>
      <w:proofErr w:type="gramStart"/>
      <w:r w:rsidRPr="006B0749">
        <w:rPr>
          <w:bCs/>
          <w:color w:val="000000" w:themeColor="text1"/>
        </w:rPr>
        <w:t>60 minute</w:t>
      </w:r>
      <w:proofErr w:type="gramEnd"/>
      <w:r w:rsidRPr="006B0749">
        <w:rPr>
          <w:bCs/>
          <w:color w:val="000000" w:themeColor="text1"/>
        </w:rPr>
        <w:t xml:space="preserve"> argumentative writing task. The following day, speaking tasks were conducted. Two experienced PhD students in the English Language Teaching (ELT) Program were trained to proctor the vocabulary tests, while two university professors, certified IELTS examiners with advanced English proficiency, rated the speaking and writing tasks. These raters, native Thai speakers with C2-level certification on the Common European Framework of Reference (CEFR) and an IELTS score of 8.0, attended two workshops to ensure consistency in assessing speaking and writing performance. This approach to test administration and assessment ensured the reliability and validity of the study’s findings, as well as an accurate reflection of the participants’ abilities. </w:t>
      </w:r>
    </w:p>
    <w:p w14:paraId="07BA15C3" w14:textId="77777777" w:rsidR="00DF3C82" w:rsidRPr="006B0749" w:rsidRDefault="00DF3C82" w:rsidP="00DF3C82">
      <w:pPr>
        <w:pStyle w:val="BodyText"/>
        <w:tabs>
          <w:tab w:val="left" w:pos="2988"/>
        </w:tabs>
        <w:spacing w:line="240" w:lineRule="auto"/>
        <w:ind w:firstLine="0"/>
        <w:jc w:val="both"/>
        <w:rPr>
          <w:bCs/>
          <w:color w:val="000000" w:themeColor="text1"/>
        </w:rPr>
      </w:pPr>
    </w:p>
    <w:p w14:paraId="31AE6EDD" w14:textId="7F52DB14" w:rsidR="00DF3C82" w:rsidRPr="006B0749" w:rsidRDefault="00DF3C82" w:rsidP="00DF3C82">
      <w:pPr>
        <w:pStyle w:val="BodyText"/>
        <w:tabs>
          <w:tab w:val="left" w:pos="2988"/>
        </w:tabs>
        <w:spacing w:line="240" w:lineRule="auto"/>
        <w:ind w:firstLine="0"/>
        <w:jc w:val="center"/>
        <w:rPr>
          <w:b/>
          <w:bCs/>
          <w:color w:val="000000" w:themeColor="text1"/>
          <w:sz w:val="20"/>
          <w:szCs w:val="20"/>
        </w:rPr>
      </w:pPr>
      <w:r w:rsidRPr="006B0749">
        <w:rPr>
          <w:b/>
          <w:bCs/>
          <w:color w:val="000000" w:themeColor="text1"/>
          <w:sz w:val="20"/>
          <w:szCs w:val="20"/>
        </w:rPr>
        <w:t>ANALYSIS</w:t>
      </w:r>
    </w:p>
    <w:p w14:paraId="28AB7D76" w14:textId="77777777" w:rsidR="00DF3C82" w:rsidRPr="006B0749" w:rsidRDefault="00DF3C82" w:rsidP="00DF3C82">
      <w:pPr>
        <w:pStyle w:val="BodyText"/>
        <w:tabs>
          <w:tab w:val="left" w:pos="2988"/>
        </w:tabs>
        <w:spacing w:line="240" w:lineRule="auto"/>
        <w:ind w:firstLine="0"/>
        <w:jc w:val="center"/>
        <w:rPr>
          <w:color w:val="000000" w:themeColor="text1"/>
        </w:rPr>
      </w:pPr>
    </w:p>
    <w:p w14:paraId="1596AF52" w14:textId="77777777" w:rsidR="00473E6D" w:rsidRPr="006B0749" w:rsidRDefault="00473E6D" w:rsidP="00473E6D">
      <w:pPr>
        <w:pStyle w:val="BodyText"/>
        <w:tabs>
          <w:tab w:val="left" w:pos="2988"/>
        </w:tabs>
        <w:spacing w:line="240" w:lineRule="auto"/>
        <w:ind w:firstLine="0"/>
        <w:jc w:val="both"/>
        <w:rPr>
          <w:bCs/>
          <w:color w:val="000000" w:themeColor="text1"/>
        </w:rPr>
      </w:pPr>
      <w:r w:rsidRPr="006B0749">
        <w:rPr>
          <w:bCs/>
          <w:color w:val="000000" w:themeColor="text1"/>
        </w:rPr>
        <w:lastRenderedPageBreak/>
        <w:t xml:space="preserve">Descriptive statistics were calculated for participants’ performance on the five vocabulary tests, including means, standard deviations, minimum/maximum scores, skewness, and kurtosis. Inferential statistics, including an independent-samples t-test and stepwise multiple regression, were also applied to determine the predictive relationship between vocabulary knowledge and L2 speaking and writing abilities. </w:t>
      </w:r>
      <w:r w:rsidRPr="006B0749">
        <w:rPr>
          <w:bCs/>
          <w:i/>
          <w:iCs/>
          <w:color w:val="000000" w:themeColor="text1"/>
        </w:rPr>
        <w:t>R</w:t>
      </w:r>
      <w:r w:rsidRPr="006B0749">
        <w:rPr>
          <w:bCs/>
          <w:color w:val="000000" w:themeColor="text1"/>
          <w:vertAlign w:val="superscript"/>
        </w:rPr>
        <w:t>2</w:t>
      </w:r>
      <w:r w:rsidRPr="006B0749">
        <w:rPr>
          <w:bCs/>
          <w:color w:val="000000" w:themeColor="text1"/>
        </w:rPr>
        <w:t xml:space="preserve"> values and associated statistics confirmed the statistical significance of the regression models, ensuring reliable data interpretation.</w:t>
      </w:r>
    </w:p>
    <w:p w14:paraId="50D0A3F8" w14:textId="77777777" w:rsidR="00473E6D" w:rsidRPr="006B0749" w:rsidRDefault="00473E6D" w:rsidP="00473E6D">
      <w:pPr>
        <w:pStyle w:val="BodyText"/>
        <w:tabs>
          <w:tab w:val="left" w:pos="2988"/>
        </w:tabs>
        <w:spacing w:line="240" w:lineRule="auto"/>
        <w:ind w:firstLine="0"/>
        <w:jc w:val="both"/>
        <w:rPr>
          <w:bCs/>
          <w:color w:val="000000" w:themeColor="text1"/>
        </w:rPr>
      </w:pPr>
    </w:p>
    <w:p w14:paraId="6F2F505C" w14:textId="56679241" w:rsidR="00473E6D" w:rsidRPr="006B0749" w:rsidRDefault="00473E6D" w:rsidP="00473E6D">
      <w:pPr>
        <w:pStyle w:val="BodyText"/>
        <w:tabs>
          <w:tab w:val="left" w:pos="2988"/>
        </w:tabs>
        <w:spacing w:line="240" w:lineRule="auto"/>
        <w:ind w:firstLine="0"/>
        <w:jc w:val="both"/>
        <w:rPr>
          <w:bCs/>
          <w:color w:val="000000" w:themeColor="text1"/>
        </w:rPr>
      </w:pPr>
      <w:r w:rsidRPr="006B0749">
        <w:rPr>
          <w:bCs/>
          <w:color w:val="000000" w:themeColor="text1"/>
        </w:rPr>
        <w:t xml:space="preserve">L2 speaking tasks were assessed by two experienced university lecturers using IELTS speaking band descriptors. After a calibration session to align their assessments, the raters independently assessed </w:t>
      </w:r>
      <w:proofErr w:type="spellStart"/>
      <w:r w:rsidRPr="006B0749">
        <w:rPr>
          <w:bCs/>
          <w:color w:val="000000" w:themeColor="text1"/>
        </w:rPr>
        <w:t>anonymised</w:t>
      </w:r>
      <w:proofErr w:type="spellEnd"/>
      <w:r w:rsidRPr="006B0749">
        <w:rPr>
          <w:bCs/>
          <w:color w:val="000000" w:themeColor="text1"/>
        </w:rPr>
        <w:t xml:space="preserve"> tasks to </w:t>
      </w:r>
      <w:proofErr w:type="spellStart"/>
      <w:r w:rsidRPr="006B0749">
        <w:rPr>
          <w:bCs/>
          <w:color w:val="000000" w:themeColor="text1"/>
        </w:rPr>
        <w:t>minimise</w:t>
      </w:r>
      <w:proofErr w:type="spellEnd"/>
      <w:r w:rsidRPr="006B0749">
        <w:rPr>
          <w:bCs/>
          <w:color w:val="000000" w:themeColor="text1"/>
        </w:rPr>
        <w:t xml:space="preserve"> bias. A Pearson correlation analysis revealed a strong inter-rater reliability of .86 (</w:t>
      </w:r>
      <w:r w:rsidRPr="006B0749">
        <w:rPr>
          <w:bCs/>
          <w:i/>
          <w:iCs/>
          <w:color w:val="000000" w:themeColor="text1"/>
        </w:rPr>
        <w:t>p</w:t>
      </w:r>
      <w:r w:rsidRPr="006B0749">
        <w:rPr>
          <w:bCs/>
          <w:color w:val="000000" w:themeColor="text1"/>
        </w:rPr>
        <w:t xml:space="preserve"> &lt;.001). Similarly, the L2 writing tasks were evaluated using IELTS writing task 2 band descriptors. These raters underwent training, assessed </w:t>
      </w:r>
      <w:proofErr w:type="spellStart"/>
      <w:r w:rsidRPr="006B0749">
        <w:rPr>
          <w:bCs/>
          <w:color w:val="000000" w:themeColor="text1"/>
        </w:rPr>
        <w:t>anonymised</w:t>
      </w:r>
      <w:proofErr w:type="spellEnd"/>
      <w:r w:rsidRPr="006B0749">
        <w:rPr>
          <w:bCs/>
          <w:color w:val="000000" w:themeColor="text1"/>
        </w:rPr>
        <w:t xml:space="preserve"> essays, and demonstrated high inter-rater reliability of .89 of (p &lt;.001), confirming the validity and reliability of the writing task evaluation. </w:t>
      </w:r>
    </w:p>
    <w:p w14:paraId="3DE91FA2" w14:textId="77777777" w:rsidR="00DF3C82" w:rsidRPr="006B0749" w:rsidRDefault="00DF3C82" w:rsidP="007C0CE0">
      <w:pPr>
        <w:pStyle w:val="BodyText"/>
        <w:tabs>
          <w:tab w:val="left" w:pos="2988"/>
        </w:tabs>
        <w:spacing w:line="240" w:lineRule="auto"/>
        <w:ind w:firstLine="0"/>
        <w:jc w:val="both"/>
        <w:rPr>
          <w:bCs/>
          <w:color w:val="000000" w:themeColor="text1"/>
        </w:rPr>
      </w:pPr>
    </w:p>
    <w:p w14:paraId="1A906076" w14:textId="61170F9E" w:rsidR="00DF3C82" w:rsidRPr="006B0749" w:rsidRDefault="00DF3C82" w:rsidP="00DF3C82">
      <w:pPr>
        <w:pStyle w:val="BodyText"/>
        <w:tabs>
          <w:tab w:val="left" w:pos="2988"/>
        </w:tabs>
        <w:spacing w:line="240" w:lineRule="auto"/>
        <w:ind w:firstLine="0"/>
        <w:jc w:val="center"/>
        <w:rPr>
          <w:b/>
          <w:bCs/>
          <w:color w:val="000000" w:themeColor="text1"/>
        </w:rPr>
      </w:pPr>
      <w:r w:rsidRPr="006B0749">
        <w:rPr>
          <w:b/>
          <w:bCs/>
          <w:color w:val="000000" w:themeColor="text1"/>
        </w:rPr>
        <w:t>RESULTS</w:t>
      </w:r>
    </w:p>
    <w:p w14:paraId="55732941" w14:textId="77777777" w:rsidR="00DF3C82" w:rsidRPr="006B0749" w:rsidRDefault="00DF3C82" w:rsidP="00DF3C82">
      <w:pPr>
        <w:pStyle w:val="BodyText"/>
        <w:tabs>
          <w:tab w:val="left" w:pos="2988"/>
        </w:tabs>
        <w:spacing w:line="240" w:lineRule="auto"/>
        <w:ind w:firstLine="0"/>
        <w:rPr>
          <w:bCs/>
          <w:color w:val="000000" w:themeColor="text1"/>
        </w:rPr>
      </w:pPr>
    </w:p>
    <w:p w14:paraId="16670A6D" w14:textId="77777777" w:rsidR="00473E6D" w:rsidRPr="006B0749" w:rsidRDefault="00473E6D" w:rsidP="00473E6D">
      <w:pPr>
        <w:spacing w:after="120"/>
        <w:jc w:val="both"/>
        <w:rPr>
          <w:color w:val="000000" w:themeColor="text1"/>
        </w:rPr>
      </w:pPr>
      <w:r w:rsidRPr="006B0749">
        <w:rPr>
          <w:color w:val="000000" w:themeColor="text1"/>
        </w:rPr>
        <w:t>Table 1 presents the descriptive statistics for Thai university students’ performance on various vocabulary knowledge tests (VLT, WPLT, WAT, AKT, PVLT) and productive skill tasks, including speaking and writing. The data reveal that the students exhibit varying proficiency levels across these tests, reflecting an incremental acquisition of vocabulary knowledge. Notably, the highest average performance was observed on the VLT, with an average score of 77.81% (SD = 10.73). This was followed by the WPLT with a mean score of 74.90% (SD = 9.53), the WAT with 55.87% (SD=11.41), and the AKT with 52.65% (SD = 11.97). The lowest average performance was recorded on the PVLT, with a mean score of 41.38% (SD = 16.53). The combined average vocabulary knowledge performance across all tests was 60.97% (SD = 16.53). These results indicate that Thai university students possess incomplete vocabulary knowledge, with different aspects of vocabulary being acquired at various stages.</w:t>
      </w:r>
    </w:p>
    <w:p w14:paraId="0A07B591" w14:textId="77777777" w:rsidR="00473E6D" w:rsidRPr="006B0749" w:rsidRDefault="00473E6D" w:rsidP="00473E6D">
      <w:pPr>
        <w:pStyle w:val="BodyText"/>
        <w:tabs>
          <w:tab w:val="left" w:pos="2988"/>
        </w:tabs>
        <w:spacing w:line="240" w:lineRule="auto"/>
        <w:ind w:firstLine="0"/>
        <w:rPr>
          <w:bCs/>
          <w:color w:val="000000" w:themeColor="text1"/>
        </w:rPr>
      </w:pPr>
    </w:p>
    <w:p w14:paraId="64CD3777" w14:textId="77777777" w:rsidR="00473E6D" w:rsidRPr="006B0749" w:rsidRDefault="00473E6D" w:rsidP="00473E6D">
      <w:pPr>
        <w:pStyle w:val="BodyText"/>
        <w:tabs>
          <w:tab w:val="left" w:pos="2988"/>
        </w:tabs>
        <w:spacing w:line="240" w:lineRule="auto"/>
        <w:ind w:firstLine="0"/>
        <w:jc w:val="center"/>
        <w:rPr>
          <w:bCs/>
          <w:color w:val="000000" w:themeColor="text1"/>
          <w:sz w:val="18"/>
          <w:szCs w:val="18"/>
        </w:rPr>
      </w:pPr>
      <w:r w:rsidRPr="006B0749">
        <w:rPr>
          <w:bCs/>
          <w:color w:val="000000" w:themeColor="text1"/>
          <w:sz w:val="18"/>
          <w:szCs w:val="18"/>
        </w:rPr>
        <w:t>TABLE 1. Descriptive statistics for vocabulary tests and L2 speaking and writing tasks</w:t>
      </w:r>
    </w:p>
    <w:p w14:paraId="2FD5CE7C" w14:textId="77777777" w:rsidR="00473E6D" w:rsidRPr="006B0749" w:rsidRDefault="00473E6D" w:rsidP="00473E6D">
      <w:pPr>
        <w:pStyle w:val="BodyText"/>
        <w:tabs>
          <w:tab w:val="left" w:pos="2988"/>
        </w:tabs>
        <w:spacing w:line="240" w:lineRule="auto"/>
        <w:ind w:firstLine="0"/>
        <w:jc w:val="both"/>
        <w:rPr>
          <w:bCs/>
          <w:color w:val="000000" w:themeColor="text1"/>
        </w:rPr>
      </w:pPr>
    </w:p>
    <w:tbl>
      <w:tblPr>
        <w:tblStyle w:val="TableGrid"/>
        <w:tblW w:w="5000" w:type="pct"/>
        <w:tblLook w:val="04A0" w:firstRow="1" w:lastRow="0" w:firstColumn="1" w:lastColumn="0" w:noHBand="0" w:noVBand="1"/>
      </w:tblPr>
      <w:tblGrid>
        <w:gridCol w:w="2684"/>
        <w:gridCol w:w="1679"/>
        <w:gridCol w:w="2295"/>
        <w:gridCol w:w="1470"/>
        <w:gridCol w:w="899"/>
      </w:tblGrid>
      <w:tr w:rsidR="006B0749" w:rsidRPr="006B0749" w14:paraId="4EA0EEF1" w14:textId="77777777" w:rsidTr="009A7344">
        <w:tc>
          <w:tcPr>
            <w:tcW w:w="1487" w:type="pct"/>
            <w:tcBorders>
              <w:left w:val="nil"/>
              <w:right w:val="nil"/>
            </w:tcBorders>
          </w:tcPr>
          <w:p w14:paraId="385F475C" w14:textId="77777777" w:rsidR="00473E6D" w:rsidRPr="006B0749" w:rsidRDefault="00473E6D" w:rsidP="009A7344">
            <w:pPr>
              <w:ind w:right="-46"/>
              <w:rPr>
                <w:b/>
                <w:bCs/>
                <w:color w:val="000000" w:themeColor="text1"/>
                <w:sz w:val="20"/>
                <w:szCs w:val="20"/>
              </w:rPr>
            </w:pPr>
            <w:r w:rsidRPr="006B0749">
              <w:rPr>
                <w:b/>
                <w:bCs/>
                <w:color w:val="000000" w:themeColor="text1"/>
                <w:sz w:val="20"/>
                <w:szCs w:val="20"/>
              </w:rPr>
              <w:t>Test</w:t>
            </w:r>
          </w:p>
        </w:tc>
        <w:tc>
          <w:tcPr>
            <w:tcW w:w="930" w:type="pct"/>
            <w:tcBorders>
              <w:left w:val="nil"/>
              <w:right w:val="nil"/>
            </w:tcBorders>
          </w:tcPr>
          <w:p w14:paraId="3A4165DF" w14:textId="77777777" w:rsidR="00473E6D" w:rsidRPr="006B0749" w:rsidRDefault="00473E6D" w:rsidP="009A7344">
            <w:pPr>
              <w:ind w:right="-46"/>
              <w:jc w:val="center"/>
              <w:rPr>
                <w:b/>
                <w:bCs/>
                <w:color w:val="000000" w:themeColor="text1"/>
                <w:sz w:val="20"/>
                <w:szCs w:val="20"/>
              </w:rPr>
            </w:pPr>
            <w:r w:rsidRPr="006B0749">
              <w:rPr>
                <w:b/>
                <w:bCs/>
                <w:color w:val="000000" w:themeColor="text1"/>
                <w:sz w:val="20"/>
                <w:szCs w:val="20"/>
              </w:rPr>
              <w:t>Total scores</w:t>
            </w:r>
          </w:p>
        </w:tc>
        <w:tc>
          <w:tcPr>
            <w:tcW w:w="1271" w:type="pct"/>
            <w:tcBorders>
              <w:left w:val="nil"/>
              <w:right w:val="nil"/>
            </w:tcBorders>
          </w:tcPr>
          <w:p w14:paraId="79EDE07E" w14:textId="77777777" w:rsidR="00473E6D" w:rsidRPr="006B0749" w:rsidRDefault="00473E6D" w:rsidP="009A7344">
            <w:pPr>
              <w:ind w:right="-46"/>
              <w:jc w:val="center"/>
              <w:rPr>
                <w:b/>
                <w:bCs/>
                <w:color w:val="000000" w:themeColor="text1"/>
                <w:sz w:val="20"/>
                <w:szCs w:val="20"/>
              </w:rPr>
            </w:pPr>
            <w:r w:rsidRPr="006B0749">
              <w:rPr>
                <w:b/>
                <w:bCs/>
                <w:color w:val="000000" w:themeColor="text1"/>
                <w:sz w:val="20"/>
                <w:szCs w:val="20"/>
              </w:rPr>
              <w:t>Mean (Scores)</w:t>
            </w:r>
          </w:p>
        </w:tc>
        <w:tc>
          <w:tcPr>
            <w:tcW w:w="814" w:type="pct"/>
            <w:tcBorders>
              <w:left w:val="nil"/>
              <w:right w:val="nil"/>
            </w:tcBorders>
          </w:tcPr>
          <w:p w14:paraId="35CA42BA" w14:textId="77777777" w:rsidR="00473E6D" w:rsidRPr="006B0749" w:rsidRDefault="00473E6D" w:rsidP="009A7344">
            <w:pPr>
              <w:ind w:right="-46"/>
              <w:jc w:val="center"/>
              <w:rPr>
                <w:b/>
                <w:bCs/>
                <w:color w:val="000000" w:themeColor="text1"/>
                <w:sz w:val="20"/>
                <w:szCs w:val="20"/>
              </w:rPr>
            </w:pPr>
            <w:r w:rsidRPr="006B0749">
              <w:rPr>
                <w:b/>
                <w:bCs/>
                <w:color w:val="000000" w:themeColor="text1"/>
                <w:sz w:val="20"/>
                <w:szCs w:val="20"/>
              </w:rPr>
              <w:t>Mean (%)</w:t>
            </w:r>
          </w:p>
        </w:tc>
        <w:tc>
          <w:tcPr>
            <w:tcW w:w="498" w:type="pct"/>
            <w:tcBorders>
              <w:left w:val="nil"/>
              <w:right w:val="nil"/>
            </w:tcBorders>
          </w:tcPr>
          <w:p w14:paraId="2B6EA447" w14:textId="77777777" w:rsidR="00473E6D" w:rsidRPr="006B0749" w:rsidRDefault="00473E6D" w:rsidP="009A7344">
            <w:pPr>
              <w:ind w:right="-46"/>
              <w:jc w:val="center"/>
              <w:rPr>
                <w:b/>
                <w:bCs/>
                <w:color w:val="000000" w:themeColor="text1"/>
                <w:sz w:val="20"/>
                <w:szCs w:val="20"/>
              </w:rPr>
            </w:pPr>
            <w:r w:rsidRPr="006B0749">
              <w:rPr>
                <w:b/>
                <w:bCs/>
                <w:color w:val="000000" w:themeColor="text1"/>
                <w:sz w:val="20"/>
                <w:szCs w:val="20"/>
              </w:rPr>
              <w:t>SD</w:t>
            </w:r>
          </w:p>
        </w:tc>
      </w:tr>
      <w:tr w:rsidR="006B0749" w:rsidRPr="006B0749" w14:paraId="5E83D98D" w14:textId="77777777" w:rsidTr="009A7344">
        <w:tc>
          <w:tcPr>
            <w:tcW w:w="1487" w:type="pct"/>
            <w:tcBorders>
              <w:left w:val="nil"/>
              <w:bottom w:val="nil"/>
              <w:right w:val="nil"/>
            </w:tcBorders>
          </w:tcPr>
          <w:p w14:paraId="0EFB6168" w14:textId="77777777" w:rsidR="00473E6D" w:rsidRPr="006B0749" w:rsidRDefault="00473E6D" w:rsidP="009A7344">
            <w:pPr>
              <w:ind w:right="-46"/>
              <w:rPr>
                <w:color w:val="000000" w:themeColor="text1"/>
                <w:sz w:val="20"/>
                <w:szCs w:val="20"/>
              </w:rPr>
            </w:pPr>
            <w:r w:rsidRPr="006B0749">
              <w:rPr>
                <w:color w:val="000000" w:themeColor="text1"/>
                <w:sz w:val="20"/>
                <w:szCs w:val="20"/>
              </w:rPr>
              <w:t>VLT</w:t>
            </w:r>
          </w:p>
        </w:tc>
        <w:tc>
          <w:tcPr>
            <w:tcW w:w="930" w:type="pct"/>
            <w:tcBorders>
              <w:left w:val="nil"/>
              <w:bottom w:val="nil"/>
              <w:right w:val="nil"/>
            </w:tcBorders>
            <w:vAlign w:val="center"/>
          </w:tcPr>
          <w:p w14:paraId="5CD47BB1" w14:textId="77777777" w:rsidR="00473E6D" w:rsidRPr="006B0749" w:rsidRDefault="00473E6D" w:rsidP="009A7344">
            <w:pPr>
              <w:ind w:right="-46"/>
              <w:jc w:val="center"/>
              <w:rPr>
                <w:color w:val="000000" w:themeColor="text1"/>
                <w:sz w:val="20"/>
                <w:szCs w:val="20"/>
              </w:rPr>
            </w:pPr>
            <w:r w:rsidRPr="006B0749">
              <w:rPr>
                <w:color w:val="000000" w:themeColor="text1"/>
                <w:sz w:val="20"/>
                <w:szCs w:val="20"/>
              </w:rPr>
              <w:t>150</w:t>
            </w:r>
          </w:p>
        </w:tc>
        <w:tc>
          <w:tcPr>
            <w:tcW w:w="1271" w:type="pct"/>
            <w:tcBorders>
              <w:left w:val="nil"/>
              <w:bottom w:val="nil"/>
              <w:right w:val="nil"/>
            </w:tcBorders>
            <w:vAlign w:val="center"/>
          </w:tcPr>
          <w:p w14:paraId="5E9A15E2" w14:textId="77777777" w:rsidR="00473E6D" w:rsidRPr="006B0749" w:rsidRDefault="00473E6D" w:rsidP="009A7344">
            <w:pPr>
              <w:ind w:right="-46"/>
              <w:jc w:val="center"/>
              <w:rPr>
                <w:color w:val="000000" w:themeColor="text1"/>
                <w:sz w:val="20"/>
                <w:szCs w:val="20"/>
              </w:rPr>
            </w:pPr>
            <w:r w:rsidRPr="006B0749">
              <w:rPr>
                <w:color w:val="000000" w:themeColor="text1"/>
                <w:sz w:val="20"/>
                <w:szCs w:val="20"/>
              </w:rPr>
              <w:t>116.71</w:t>
            </w:r>
          </w:p>
        </w:tc>
        <w:tc>
          <w:tcPr>
            <w:tcW w:w="814" w:type="pct"/>
            <w:tcBorders>
              <w:left w:val="nil"/>
              <w:bottom w:val="nil"/>
              <w:right w:val="nil"/>
            </w:tcBorders>
            <w:vAlign w:val="center"/>
          </w:tcPr>
          <w:p w14:paraId="58465E1C" w14:textId="77777777" w:rsidR="00473E6D" w:rsidRPr="006B0749" w:rsidRDefault="00473E6D" w:rsidP="009A7344">
            <w:pPr>
              <w:ind w:right="-46"/>
              <w:jc w:val="center"/>
              <w:rPr>
                <w:color w:val="000000" w:themeColor="text1"/>
                <w:sz w:val="20"/>
                <w:szCs w:val="20"/>
              </w:rPr>
            </w:pPr>
            <w:r w:rsidRPr="006B0749">
              <w:rPr>
                <w:color w:val="000000" w:themeColor="text1"/>
                <w:sz w:val="20"/>
                <w:szCs w:val="20"/>
              </w:rPr>
              <w:t>77.81</w:t>
            </w:r>
          </w:p>
        </w:tc>
        <w:tc>
          <w:tcPr>
            <w:tcW w:w="498" w:type="pct"/>
            <w:tcBorders>
              <w:left w:val="nil"/>
              <w:bottom w:val="nil"/>
              <w:right w:val="nil"/>
            </w:tcBorders>
            <w:vAlign w:val="center"/>
          </w:tcPr>
          <w:p w14:paraId="1E953E4D" w14:textId="77777777" w:rsidR="00473E6D" w:rsidRPr="006B0749" w:rsidRDefault="00473E6D" w:rsidP="009A7344">
            <w:pPr>
              <w:ind w:right="-46"/>
              <w:jc w:val="center"/>
              <w:rPr>
                <w:color w:val="000000" w:themeColor="text1"/>
                <w:sz w:val="20"/>
                <w:szCs w:val="20"/>
              </w:rPr>
            </w:pPr>
            <w:r w:rsidRPr="006B0749">
              <w:rPr>
                <w:color w:val="000000" w:themeColor="text1"/>
                <w:sz w:val="20"/>
                <w:szCs w:val="20"/>
              </w:rPr>
              <w:t>10.73</w:t>
            </w:r>
          </w:p>
        </w:tc>
      </w:tr>
      <w:tr w:rsidR="006B0749" w:rsidRPr="006B0749" w14:paraId="3797F87A" w14:textId="77777777" w:rsidTr="009A7344">
        <w:tc>
          <w:tcPr>
            <w:tcW w:w="1487" w:type="pct"/>
            <w:tcBorders>
              <w:top w:val="nil"/>
              <w:left w:val="nil"/>
              <w:bottom w:val="nil"/>
              <w:right w:val="nil"/>
            </w:tcBorders>
          </w:tcPr>
          <w:p w14:paraId="033DDE4D" w14:textId="77777777" w:rsidR="00473E6D" w:rsidRPr="006B0749" w:rsidRDefault="00473E6D" w:rsidP="009A7344">
            <w:pPr>
              <w:ind w:right="-46"/>
              <w:rPr>
                <w:color w:val="000000" w:themeColor="text1"/>
                <w:sz w:val="20"/>
                <w:szCs w:val="20"/>
              </w:rPr>
            </w:pPr>
            <w:r w:rsidRPr="006B0749">
              <w:rPr>
                <w:color w:val="000000" w:themeColor="text1"/>
                <w:sz w:val="20"/>
                <w:szCs w:val="20"/>
              </w:rPr>
              <w:t>WPLT</w:t>
            </w:r>
          </w:p>
        </w:tc>
        <w:tc>
          <w:tcPr>
            <w:tcW w:w="930" w:type="pct"/>
            <w:tcBorders>
              <w:top w:val="nil"/>
              <w:left w:val="nil"/>
              <w:bottom w:val="nil"/>
              <w:right w:val="nil"/>
            </w:tcBorders>
            <w:vAlign w:val="center"/>
          </w:tcPr>
          <w:p w14:paraId="7785EEE9" w14:textId="77777777" w:rsidR="00473E6D" w:rsidRPr="006B0749" w:rsidRDefault="00473E6D" w:rsidP="009A7344">
            <w:pPr>
              <w:ind w:right="-46"/>
              <w:jc w:val="center"/>
              <w:rPr>
                <w:color w:val="000000" w:themeColor="text1"/>
                <w:sz w:val="20"/>
                <w:szCs w:val="20"/>
              </w:rPr>
            </w:pPr>
            <w:r w:rsidRPr="006B0749">
              <w:rPr>
                <w:color w:val="000000" w:themeColor="text1"/>
                <w:sz w:val="20"/>
                <w:szCs w:val="20"/>
              </w:rPr>
              <w:t>244</w:t>
            </w:r>
          </w:p>
        </w:tc>
        <w:tc>
          <w:tcPr>
            <w:tcW w:w="1271" w:type="pct"/>
            <w:tcBorders>
              <w:top w:val="nil"/>
              <w:left w:val="nil"/>
              <w:bottom w:val="nil"/>
              <w:right w:val="nil"/>
            </w:tcBorders>
            <w:vAlign w:val="center"/>
          </w:tcPr>
          <w:p w14:paraId="682B50AA" w14:textId="77777777" w:rsidR="00473E6D" w:rsidRPr="006B0749" w:rsidRDefault="00473E6D" w:rsidP="009A7344">
            <w:pPr>
              <w:ind w:right="-46"/>
              <w:jc w:val="center"/>
              <w:rPr>
                <w:color w:val="000000" w:themeColor="text1"/>
                <w:sz w:val="20"/>
                <w:szCs w:val="20"/>
              </w:rPr>
            </w:pPr>
            <w:r w:rsidRPr="006B0749">
              <w:rPr>
                <w:color w:val="000000" w:themeColor="text1"/>
                <w:sz w:val="20"/>
                <w:szCs w:val="20"/>
              </w:rPr>
              <w:t>182.75</w:t>
            </w:r>
          </w:p>
        </w:tc>
        <w:tc>
          <w:tcPr>
            <w:tcW w:w="814" w:type="pct"/>
            <w:tcBorders>
              <w:top w:val="nil"/>
              <w:left w:val="nil"/>
              <w:bottom w:val="nil"/>
              <w:right w:val="nil"/>
            </w:tcBorders>
            <w:vAlign w:val="center"/>
          </w:tcPr>
          <w:p w14:paraId="60C26971" w14:textId="77777777" w:rsidR="00473E6D" w:rsidRPr="006B0749" w:rsidRDefault="00473E6D" w:rsidP="009A7344">
            <w:pPr>
              <w:ind w:right="-46"/>
              <w:jc w:val="center"/>
              <w:rPr>
                <w:color w:val="000000" w:themeColor="text1"/>
                <w:sz w:val="20"/>
                <w:szCs w:val="20"/>
              </w:rPr>
            </w:pPr>
            <w:r w:rsidRPr="006B0749">
              <w:rPr>
                <w:color w:val="000000" w:themeColor="text1"/>
                <w:sz w:val="20"/>
                <w:szCs w:val="20"/>
              </w:rPr>
              <w:t>74.90</w:t>
            </w:r>
          </w:p>
        </w:tc>
        <w:tc>
          <w:tcPr>
            <w:tcW w:w="498" w:type="pct"/>
            <w:tcBorders>
              <w:top w:val="nil"/>
              <w:left w:val="nil"/>
              <w:bottom w:val="nil"/>
              <w:right w:val="nil"/>
            </w:tcBorders>
            <w:vAlign w:val="center"/>
          </w:tcPr>
          <w:p w14:paraId="1D53EC2B" w14:textId="77777777" w:rsidR="00473E6D" w:rsidRPr="006B0749" w:rsidRDefault="00473E6D" w:rsidP="009A7344">
            <w:pPr>
              <w:ind w:right="-46"/>
              <w:jc w:val="center"/>
              <w:rPr>
                <w:color w:val="000000" w:themeColor="text1"/>
                <w:sz w:val="20"/>
                <w:szCs w:val="20"/>
              </w:rPr>
            </w:pPr>
            <w:r w:rsidRPr="006B0749">
              <w:rPr>
                <w:color w:val="000000" w:themeColor="text1"/>
                <w:sz w:val="20"/>
                <w:szCs w:val="20"/>
              </w:rPr>
              <w:t>9.53</w:t>
            </w:r>
          </w:p>
        </w:tc>
      </w:tr>
      <w:tr w:rsidR="006B0749" w:rsidRPr="006B0749" w14:paraId="5FD383E0" w14:textId="77777777" w:rsidTr="009A7344">
        <w:tc>
          <w:tcPr>
            <w:tcW w:w="1487" w:type="pct"/>
            <w:tcBorders>
              <w:top w:val="nil"/>
              <w:left w:val="nil"/>
              <w:bottom w:val="nil"/>
              <w:right w:val="nil"/>
            </w:tcBorders>
          </w:tcPr>
          <w:p w14:paraId="5C242567" w14:textId="77777777" w:rsidR="00473E6D" w:rsidRPr="006B0749" w:rsidRDefault="00473E6D" w:rsidP="009A7344">
            <w:pPr>
              <w:ind w:right="-46"/>
              <w:rPr>
                <w:color w:val="000000" w:themeColor="text1"/>
                <w:sz w:val="20"/>
                <w:szCs w:val="20"/>
              </w:rPr>
            </w:pPr>
            <w:r w:rsidRPr="006B0749">
              <w:rPr>
                <w:color w:val="000000" w:themeColor="text1"/>
                <w:sz w:val="20"/>
                <w:szCs w:val="20"/>
              </w:rPr>
              <w:t>WAT</w:t>
            </w:r>
          </w:p>
        </w:tc>
        <w:tc>
          <w:tcPr>
            <w:tcW w:w="930" w:type="pct"/>
            <w:tcBorders>
              <w:top w:val="nil"/>
              <w:left w:val="nil"/>
              <w:bottom w:val="nil"/>
              <w:right w:val="nil"/>
            </w:tcBorders>
            <w:vAlign w:val="center"/>
          </w:tcPr>
          <w:p w14:paraId="71BBCC63" w14:textId="77777777" w:rsidR="00473E6D" w:rsidRPr="006B0749" w:rsidRDefault="00473E6D" w:rsidP="009A7344">
            <w:pPr>
              <w:ind w:right="-46"/>
              <w:jc w:val="center"/>
              <w:rPr>
                <w:color w:val="000000" w:themeColor="text1"/>
                <w:sz w:val="20"/>
                <w:szCs w:val="20"/>
              </w:rPr>
            </w:pPr>
            <w:r w:rsidRPr="006B0749">
              <w:rPr>
                <w:color w:val="000000" w:themeColor="text1"/>
                <w:sz w:val="20"/>
                <w:szCs w:val="20"/>
              </w:rPr>
              <w:t>160</w:t>
            </w:r>
          </w:p>
        </w:tc>
        <w:tc>
          <w:tcPr>
            <w:tcW w:w="1271" w:type="pct"/>
            <w:tcBorders>
              <w:top w:val="nil"/>
              <w:left w:val="nil"/>
              <w:bottom w:val="nil"/>
              <w:right w:val="nil"/>
            </w:tcBorders>
            <w:vAlign w:val="center"/>
          </w:tcPr>
          <w:p w14:paraId="4C9CE85A" w14:textId="77777777" w:rsidR="00473E6D" w:rsidRPr="006B0749" w:rsidRDefault="00473E6D" w:rsidP="009A7344">
            <w:pPr>
              <w:ind w:right="-46"/>
              <w:jc w:val="center"/>
              <w:rPr>
                <w:color w:val="000000" w:themeColor="text1"/>
                <w:sz w:val="20"/>
                <w:szCs w:val="20"/>
              </w:rPr>
            </w:pPr>
            <w:r w:rsidRPr="006B0749">
              <w:rPr>
                <w:color w:val="000000" w:themeColor="text1"/>
                <w:sz w:val="20"/>
                <w:szCs w:val="20"/>
              </w:rPr>
              <w:t>89.40</w:t>
            </w:r>
          </w:p>
        </w:tc>
        <w:tc>
          <w:tcPr>
            <w:tcW w:w="814" w:type="pct"/>
            <w:tcBorders>
              <w:top w:val="nil"/>
              <w:left w:val="nil"/>
              <w:bottom w:val="nil"/>
              <w:right w:val="nil"/>
            </w:tcBorders>
            <w:vAlign w:val="center"/>
          </w:tcPr>
          <w:p w14:paraId="3A8A9E3C" w14:textId="77777777" w:rsidR="00473E6D" w:rsidRPr="006B0749" w:rsidRDefault="00473E6D" w:rsidP="009A7344">
            <w:pPr>
              <w:ind w:right="-46"/>
              <w:jc w:val="center"/>
              <w:rPr>
                <w:color w:val="000000" w:themeColor="text1"/>
                <w:sz w:val="20"/>
                <w:szCs w:val="20"/>
              </w:rPr>
            </w:pPr>
            <w:r w:rsidRPr="006B0749">
              <w:rPr>
                <w:color w:val="000000" w:themeColor="text1"/>
                <w:sz w:val="20"/>
                <w:szCs w:val="20"/>
              </w:rPr>
              <w:t>55.87</w:t>
            </w:r>
          </w:p>
        </w:tc>
        <w:tc>
          <w:tcPr>
            <w:tcW w:w="498" w:type="pct"/>
            <w:tcBorders>
              <w:top w:val="nil"/>
              <w:left w:val="nil"/>
              <w:bottom w:val="nil"/>
              <w:right w:val="nil"/>
            </w:tcBorders>
            <w:vAlign w:val="center"/>
          </w:tcPr>
          <w:p w14:paraId="72E53FF5" w14:textId="77777777" w:rsidR="00473E6D" w:rsidRPr="006B0749" w:rsidRDefault="00473E6D" w:rsidP="009A7344">
            <w:pPr>
              <w:ind w:right="-46"/>
              <w:jc w:val="center"/>
              <w:rPr>
                <w:color w:val="000000" w:themeColor="text1"/>
                <w:sz w:val="20"/>
                <w:szCs w:val="20"/>
              </w:rPr>
            </w:pPr>
            <w:r w:rsidRPr="006B0749">
              <w:rPr>
                <w:color w:val="000000" w:themeColor="text1"/>
                <w:sz w:val="20"/>
                <w:szCs w:val="20"/>
              </w:rPr>
              <w:t>11.41</w:t>
            </w:r>
          </w:p>
        </w:tc>
      </w:tr>
      <w:tr w:rsidR="006B0749" w:rsidRPr="006B0749" w14:paraId="508FBC4D" w14:textId="77777777" w:rsidTr="009A7344">
        <w:tc>
          <w:tcPr>
            <w:tcW w:w="1487" w:type="pct"/>
            <w:tcBorders>
              <w:top w:val="nil"/>
              <w:left w:val="nil"/>
              <w:bottom w:val="nil"/>
              <w:right w:val="nil"/>
            </w:tcBorders>
          </w:tcPr>
          <w:p w14:paraId="50771B8A" w14:textId="77777777" w:rsidR="00473E6D" w:rsidRPr="006B0749" w:rsidRDefault="00473E6D" w:rsidP="009A7344">
            <w:pPr>
              <w:ind w:right="-46"/>
              <w:rPr>
                <w:color w:val="000000" w:themeColor="text1"/>
                <w:sz w:val="20"/>
                <w:szCs w:val="20"/>
              </w:rPr>
            </w:pPr>
            <w:r w:rsidRPr="006B0749">
              <w:rPr>
                <w:color w:val="000000" w:themeColor="text1"/>
                <w:sz w:val="20"/>
                <w:szCs w:val="20"/>
              </w:rPr>
              <w:t>AKT</w:t>
            </w:r>
          </w:p>
        </w:tc>
        <w:tc>
          <w:tcPr>
            <w:tcW w:w="930" w:type="pct"/>
            <w:tcBorders>
              <w:top w:val="nil"/>
              <w:left w:val="nil"/>
              <w:bottom w:val="nil"/>
              <w:right w:val="nil"/>
            </w:tcBorders>
            <w:vAlign w:val="center"/>
          </w:tcPr>
          <w:p w14:paraId="04685DF2" w14:textId="77777777" w:rsidR="00473E6D" w:rsidRPr="006B0749" w:rsidRDefault="00473E6D" w:rsidP="009A7344">
            <w:pPr>
              <w:ind w:right="-46"/>
              <w:jc w:val="center"/>
              <w:rPr>
                <w:color w:val="000000" w:themeColor="text1"/>
                <w:sz w:val="20"/>
                <w:szCs w:val="20"/>
              </w:rPr>
            </w:pPr>
            <w:r w:rsidRPr="006B0749">
              <w:rPr>
                <w:color w:val="000000" w:themeColor="text1"/>
                <w:sz w:val="20"/>
                <w:szCs w:val="20"/>
              </w:rPr>
              <w:t>240</w:t>
            </w:r>
          </w:p>
        </w:tc>
        <w:tc>
          <w:tcPr>
            <w:tcW w:w="1271" w:type="pct"/>
            <w:tcBorders>
              <w:top w:val="nil"/>
              <w:left w:val="nil"/>
              <w:bottom w:val="nil"/>
              <w:right w:val="nil"/>
            </w:tcBorders>
            <w:vAlign w:val="center"/>
          </w:tcPr>
          <w:p w14:paraId="32E8B41A" w14:textId="77777777" w:rsidR="00473E6D" w:rsidRPr="006B0749" w:rsidRDefault="00473E6D" w:rsidP="009A7344">
            <w:pPr>
              <w:ind w:right="-46"/>
              <w:jc w:val="center"/>
              <w:rPr>
                <w:color w:val="000000" w:themeColor="text1"/>
                <w:sz w:val="20"/>
                <w:szCs w:val="20"/>
              </w:rPr>
            </w:pPr>
            <w:r w:rsidRPr="006B0749">
              <w:rPr>
                <w:color w:val="000000" w:themeColor="text1"/>
                <w:sz w:val="20"/>
                <w:szCs w:val="20"/>
              </w:rPr>
              <w:t>126.35</w:t>
            </w:r>
          </w:p>
        </w:tc>
        <w:tc>
          <w:tcPr>
            <w:tcW w:w="814" w:type="pct"/>
            <w:tcBorders>
              <w:top w:val="nil"/>
              <w:left w:val="nil"/>
              <w:bottom w:val="nil"/>
              <w:right w:val="nil"/>
            </w:tcBorders>
            <w:vAlign w:val="center"/>
          </w:tcPr>
          <w:p w14:paraId="24522336" w14:textId="77777777" w:rsidR="00473E6D" w:rsidRPr="006B0749" w:rsidRDefault="00473E6D" w:rsidP="009A7344">
            <w:pPr>
              <w:ind w:right="-46"/>
              <w:jc w:val="center"/>
              <w:rPr>
                <w:color w:val="000000" w:themeColor="text1"/>
                <w:sz w:val="20"/>
                <w:szCs w:val="20"/>
              </w:rPr>
            </w:pPr>
            <w:r w:rsidRPr="006B0749">
              <w:rPr>
                <w:color w:val="000000" w:themeColor="text1"/>
                <w:sz w:val="20"/>
                <w:szCs w:val="20"/>
              </w:rPr>
              <w:t>52.65</w:t>
            </w:r>
          </w:p>
        </w:tc>
        <w:tc>
          <w:tcPr>
            <w:tcW w:w="498" w:type="pct"/>
            <w:tcBorders>
              <w:top w:val="nil"/>
              <w:left w:val="nil"/>
              <w:bottom w:val="nil"/>
              <w:right w:val="nil"/>
            </w:tcBorders>
            <w:vAlign w:val="center"/>
          </w:tcPr>
          <w:p w14:paraId="7E1D9951" w14:textId="77777777" w:rsidR="00473E6D" w:rsidRPr="006B0749" w:rsidRDefault="00473E6D" w:rsidP="009A7344">
            <w:pPr>
              <w:ind w:right="-46"/>
              <w:jc w:val="center"/>
              <w:rPr>
                <w:color w:val="000000" w:themeColor="text1"/>
                <w:sz w:val="20"/>
                <w:szCs w:val="20"/>
              </w:rPr>
            </w:pPr>
            <w:r w:rsidRPr="006B0749">
              <w:rPr>
                <w:color w:val="000000" w:themeColor="text1"/>
                <w:sz w:val="20"/>
                <w:szCs w:val="20"/>
              </w:rPr>
              <w:t>11.97</w:t>
            </w:r>
          </w:p>
        </w:tc>
      </w:tr>
      <w:tr w:rsidR="006B0749" w:rsidRPr="006B0749" w14:paraId="167CA79D" w14:textId="77777777" w:rsidTr="009A7344">
        <w:tc>
          <w:tcPr>
            <w:tcW w:w="1487" w:type="pct"/>
            <w:tcBorders>
              <w:top w:val="nil"/>
              <w:left w:val="nil"/>
              <w:bottom w:val="nil"/>
              <w:right w:val="nil"/>
            </w:tcBorders>
          </w:tcPr>
          <w:p w14:paraId="3537A3D3" w14:textId="77777777" w:rsidR="00473E6D" w:rsidRPr="006B0749" w:rsidRDefault="00473E6D" w:rsidP="009A7344">
            <w:pPr>
              <w:ind w:right="-46"/>
              <w:rPr>
                <w:color w:val="000000" w:themeColor="text1"/>
                <w:sz w:val="20"/>
                <w:szCs w:val="20"/>
              </w:rPr>
            </w:pPr>
            <w:r w:rsidRPr="006B0749">
              <w:rPr>
                <w:color w:val="000000" w:themeColor="text1"/>
                <w:sz w:val="20"/>
                <w:szCs w:val="20"/>
              </w:rPr>
              <w:t>PVLT</w:t>
            </w:r>
          </w:p>
        </w:tc>
        <w:tc>
          <w:tcPr>
            <w:tcW w:w="930" w:type="pct"/>
            <w:tcBorders>
              <w:top w:val="nil"/>
              <w:left w:val="nil"/>
              <w:bottom w:val="nil"/>
              <w:right w:val="nil"/>
            </w:tcBorders>
            <w:vAlign w:val="center"/>
          </w:tcPr>
          <w:p w14:paraId="3294A4ED" w14:textId="77777777" w:rsidR="00473E6D" w:rsidRPr="006B0749" w:rsidRDefault="00473E6D" w:rsidP="009A7344">
            <w:pPr>
              <w:ind w:right="-46"/>
              <w:jc w:val="center"/>
              <w:rPr>
                <w:color w:val="000000" w:themeColor="text1"/>
                <w:sz w:val="20"/>
                <w:szCs w:val="20"/>
              </w:rPr>
            </w:pPr>
            <w:r w:rsidRPr="006B0749">
              <w:rPr>
                <w:color w:val="000000" w:themeColor="text1"/>
                <w:sz w:val="20"/>
                <w:szCs w:val="20"/>
              </w:rPr>
              <w:t>72</w:t>
            </w:r>
          </w:p>
        </w:tc>
        <w:tc>
          <w:tcPr>
            <w:tcW w:w="1271" w:type="pct"/>
            <w:tcBorders>
              <w:top w:val="nil"/>
              <w:left w:val="nil"/>
              <w:bottom w:val="nil"/>
              <w:right w:val="nil"/>
            </w:tcBorders>
            <w:vAlign w:val="center"/>
          </w:tcPr>
          <w:p w14:paraId="0B87F8AF" w14:textId="77777777" w:rsidR="00473E6D" w:rsidRPr="006B0749" w:rsidRDefault="00473E6D" w:rsidP="009A7344">
            <w:pPr>
              <w:ind w:right="-46"/>
              <w:jc w:val="center"/>
              <w:rPr>
                <w:color w:val="000000" w:themeColor="text1"/>
                <w:sz w:val="20"/>
                <w:szCs w:val="20"/>
              </w:rPr>
            </w:pPr>
            <w:r w:rsidRPr="006B0749">
              <w:rPr>
                <w:color w:val="000000" w:themeColor="text1"/>
                <w:sz w:val="20"/>
                <w:szCs w:val="20"/>
              </w:rPr>
              <w:t>120.60</w:t>
            </w:r>
          </w:p>
        </w:tc>
        <w:tc>
          <w:tcPr>
            <w:tcW w:w="814" w:type="pct"/>
            <w:tcBorders>
              <w:top w:val="nil"/>
              <w:left w:val="nil"/>
              <w:bottom w:val="nil"/>
              <w:right w:val="nil"/>
            </w:tcBorders>
            <w:vAlign w:val="center"/>
          </w:tcPr>
          <w:p w14:paraId="7A5C0A37" w14:textId="77777777" w:rsidR="00473E6D" w:rsidRPr="006B0749" w:rsidRDefault="00473E6D" w:rsidP="009A7344">
            <w:pPr>
              <w:ind w:right="-46"/>
              <w:jc w:val="center"/>
              <w:rPr>
                <w:color w:val="000000" w:themeColor="text1"/>
                <w:sz w:val="20"/>
                <w:szCs w:val="20"/>
              </w:rPr>
            </w:pPr>
            <w:r w:rsidRPr="006B0749">
              <w:rPr>
                <w:color w:val="000000" w:themeColor="text1"/>
                <w:sz w:val="20"/>
                <w:szCs w:val="20"/>
              </w:rPr>
              <w:t>41.38</w:t>
            </w:r>
          </w:p>
        </w:tc>
        <w:tc>
          <w:tcPr>
            <w:tcW w:w="498" w:type="pct"/>
            <w:tcBorders>
              <w:top w:val="nil"/>
              <w:left w:val="nil"/>
              <w:bottom w:val="nil"/>
              <w:right w:val="nil"/>
            </w:tcBorders>
            <w:vAlign w:val="center"/>
          </w:tcPr>
          <w:p w14:paraId="3800EC79" w14:textId="77777777" w:rsidR="00473E6D" w:rsidRPr="006B0749" w:rsidRDefault="00473E6D" w:rsidP="009A7344">
            <w:pPr>
              <w:ind w:right="-46"/>
              <w:jc w:val="center"/>
              <w:rPr>
                <w:color w:val="000000" w:themeColor="text1"/>
                <w:sz w:val="20"/>
                <w:szCs w:val="20"/>
              </w:rPr>
            </w:pPr>
            <w:r w:rsidRPr="006B0749">
              <w:rPr>
                <w:color w:val="000000" w:themeColor="text1"/>
                <w:sz w:val="20"/>
                <w:szCs w:val="20"/>
              </w:rPr>
              <w:t>16.53</w:t>
            </w:r>
          </w:p>
        </w:tc>
      </w:tr>
      <w:tr w:rsidR="006B0749" w:rsidRPr="006B0749" w14:paraId="66D379AC" w14:textId="77777777" w:rsidTr="009A7344">
        <w:tc>
          <w:tcPr>
            <w:tcW w:w="1487" w:type="pct"/>
            <w:tcBorders>
              <w:top w:val="nil"/>
              <w:left w:val="nil"/>
              <w:bottom w:val="nil"/>
              <w:right w:val="nil"/>
            </w:tcBorders>
            <w:vAlign w:val="center"/>
          </w:tcPr>
          <w:p w14:paraId="4736FAB7" w14:textId="77777777" w:rsidR="00473E6D" w:rsidRPr="006B0749" w:rsidRDefault="00473E6D" w:rsidP="009A7344">
            <w:pPr>
              <w:ind w:right="-46"/>
              <w:rPr>
                <w:color w:val="000000" w:themeColor="text1"/>
                <w:sz w:val="20"/>
                <w:szCs w:val="20"/>
              </w:rPr>
            </w:pPr>
            <w:r w:rsidRPr="006B0749">
              <w:rPr>
                <w:color w:val="000000" w:themeColor="text1"/>
                <w:sz w:val="20"/>
                <w:szCs w:val="20"/>
              </w:rPr>
              <w:t>Combined vocabulary</w:t>
            </w:r>
          </w:p>
        </w:tc>
        <w:tc>
          <w:tcPr>
            <w:tcW w:w="930" w:type="pct"/>
            <w:tcBorders>
              <w:top w:val="nil"/>
              <w:left w:val="nil"/>
              <w:bottom w:val="nil"/>
              <w:right w:val="nil"/>
            </w:tcBorders>
            <w:vAlign w:val="center"/>
          </w:tcPr>
          <w:p w14:paraId="233D1FAA" w14:textId="77777777" w:rsidR="00473E6D" w:rsidRPr="006B0749" w:rsidRDefault="00473E6D" w:rsidP="009A7344">
            <w:pPr>
              <w:ind w:right="-46"/>
              <w:jc w:val="center"/>
              <w:rPr>
                <w:color w:val="000000" w:themeColor="text1"/>
                <w:sz w:val="20"/>
                <w:szCs w:val="20"/>
              </w:rPr>
            </w:pPr>
            <w:r w:rsidRPr="006B0749">
              <w:rPr>
                <w:color w:val="000000" w:themeColor="text1"/>
                <w:sz w:val="20"/>
                <w:szCs w:val="20"/>
              </w:rPr>
              <w:t>866</w:t>
            </w:r>
          </w:p>
        </w:tc>
        <w:tc>
          <w:tcPr>
            <w:tcW w:w="1271" w:type="pct"/>
            <w:tcBorders>
              <w:top w:val="nil"/>
              <w:left w:val="nil"/>
              <w:bottom w:val="nil"/>
              <w:right w:val="nil"/>
            </w:tcBorders>
            <w:vAlign w:val="center"/>
          </w:tcPr>
          <w:p w14:paraId="7AF486C9" w14:textId="77777777" w:rsidR="00473E6D" w:rsidRPr="006B0749" w:rsidRDefault="00473E6D" w:rsidP="009A7344">
            <w:pPr>
              <w:ind w:right="-46"/>
              <w:jc w:val="center"/>
              <w:rPr>
                <w:color w:val="000000" w:themeColor="text1"/>
                <w:sz w:val="20"/>
                <w:szCs w:val="20"/>
              </w:rPr>
            </w:pPr>
            <w:r w:rsidRPr="006B0749">
              <w:rPr>
                <w:color w:val="000000" w:themeColor="text1"/>
                <w:sz w:val="20"/>
                <w:szCs w:val="20"/>
              </w:rPr>
              <w:t>527.96</w:t>
            </w:r>
          </w:p>
        </w:tc>
        <w:tc>
          <w:tcPr>
            <w:tcW w:w="814" w:type="pct"/>
            <w:tcBorders>
              <w:top w:val="nil"/>
              <w:left w:val="nil"/>
              <w:bottom w:val="nil"/>
              <w:right w:val="nil"/>
            </w:tcBorders>
            <w:vAlign w:val="center"/>
          </w:tcPr>
          <w:p w14:paraId="11E3B88B" w14:textId="77777777" w:rsidR="00473E6D" w:rsidRPr="006B0749" w:rsidRDefault="00473E6D" w:rsidP="009A7344">
            <w:pPr>
              <w:ind w:right="-46"/>
              <w:jc w:val="center"/>
              <w:rPr>
                <w:color w:val="000000" w:themeColor="text1"/>
                <w:sz w:val="20"/>
                <w:szCs w:val="20"/>
              </w:rPr>
            </w:pPr>
            <w:r w:rsidRPr="006B0749">
              <w:rPr>
                <w:color w:val="000000" w:themeColor="text1"/>
                <w:sz w:val="20"/>
                <w:szCs w:val="20"/>
              </w:rPr>
              <w:t>60.97</w:t>
            </w:r>
          </w:p>
        </w:tc>
        <w:tc>
          <w:tcPr>
            <w:tcW w:w="498" w:type="pct"/>
            <w:tcBorders>
              <w:top w:val="nil"/>
              <w:left w:val="nil"/>
              <w:bottom w:val="nil"/>
              <w:right w:val="nil"/>
            </w:tcBorders>
            <w:vAlign w:val="center"/>
          </w:tcPr>
          <w:p w14:paraId="682B7925" w14:textId="77777777" w:rsidR="00473E6D" w:rsidRPr="006B0749" w:rsidRDefault="00473E6D" w:rsidP="009A7344">
            <w:pPr>
              <w:ind w:right="-46"/>
              <w:jc w:val="center"/>
              <w:rPr>
                <w:color w:val="000000" w:themeColor="text1"/>
                <w:sz w:val="20"/>
                <w:szCs w:val="20"/>
              </w:rPr>
            </w:pPr>
            <w:r w:rsidRPr="006B0749">
              <w:rPr>
                <w:color w:val="000000" w:themeColor="text1"/>
                <w:sz w:val="20"/>
                <w:szCs w:val="20"/>
              </w:rPr>
              <w:t>7.00</w:t>
            </w:r>
          </w:p>
        </w:tc>
      </w:tr>
      <w:tr w:rsidR="006B0749" w:rsidRPr="006B0749" w14:paraId="2A2FD9FF" w14:textId="77777777" w:rsidTr="009A7344">
        <w:tc>
          <w:tcPr>
            <w:tcW w:w="1487" w:type="pct"/>
            <w:tcBorders>
              <w:top w:val="nil"/>
              <w:left w:val="nil"/>
              <w:bottom w:val="nil"/>
              <w:right w:val="nil"/>
            </w:tcBorders>
            <w:vAlign w:val="center"/>
          </w:tcPr>
          <w:p w14:paraId="59EFB7A4" w14:textId="77777777" w:rsidR="00473E6D" w:rsidRPr="006B0749" w:rsidRDefault="00473E6D" w:rsidP="009A7344">
            <w:pPr>
              <w:ind w:right="-46"/>
              <w:rPr>
                <w:color w:val="000000" w:themeColor="text1"/>
                <w:sz w:val="20"/>
                <w:szCs w:val="20"/>
              </w:rPr>
            </w:pPr>
            <w:r w:rsidRPr="006B0749">
              <w:rPr>
                <w:color w:val="000000" w:themeColor="text1"/>
                <w:sz w:val="20"/>
                <w:szCs w:val="20"/>
              </w:rPr>
              <w:t>Speaking</w:t>
            </w:r>
          </w:p>
        </w:tc>
        <w:tc>
          <w:tcPr>
            <w:tcW w:w="930" w:type="pct"/>
            <w:tcBorders>
              <w:top w:val="nil"/>
              <w:left w:val="nil"/>
              <w:bottom w:val="nil"/>
              <w:right w:val="nil"/>
            </w:tcBorders>
            <w:vAlign w:val="center"/>
          </w:tcPr>
          <w:p w14:paraId="5C64E797" w14:textId="77777777" w:rsidR="00473E6D" w:rsidRPr="006B0749" w:rsidRDefault="00473E6D" w:rsidP="009A7344">
            <w:pPr>
              <w:ind w:right="-46"/>
              <w:jc w:val="center"/>
              <w:rPr>
                <w:color w:val="000000" w:themeColor="text1"/>
                <w:sz w:val="20"/>
                <w:szCs w:val="20"/>
              </w:rPr>
            </w:pPr>
            <w:r w:rsidRPr="006B0749">
              <w:rPr>
                <w:color w:val="000000" w:themeColor="text1"/>
                <w:sz w:val="20"/>
                <w:szCs w:val="20"/>
              </w:rPr>
              <w:t>9</w:t>
            </w:r>
          </w:p>
        </w:tc>
        <w:tc>
          <w:tcPr>
            <w:tcW w:w="1271" w:type="pct"/>
            <w:tcBorders>
              <w:top w:val="nil"/>
              <w:left w:val="nil"/>
              <w:bottom w:val="nil"/>
              <w:right w:val="nil"/>
            </w:tcBorders>
            <w:vAlign w:val="center"/>
          </w:tcPr>
          <w:p w14:paraId="261583F8" w14:textId="77777777" w:rsidR="00473E6D" w:rsidRPr="006B0749" w:rsidRDefault="00473E6D" w:rsidP="009A7344">
            <w:pPr>
              <w:ind w:right="-46"/>
              <w:jc w:val="center"/>
              <w:rPr>
                <w:color w:val="000000" w:themeColor="text1"/>
                <w:sz w:val="20"/>
                <w:szCs w:val="20"/>
              </w:rPr>
            </w:pPr>
            <w:r w:rsidRPr="006B0749">
              <w:rPr>
                <w:color w:val="000000" w:themeColor="text1"/>
                <w:sz w:val="20"/>
                <w:szCs w:val="20"/>
              </w:rPr>
              <w:t>5.63</w:t>
            </w:r>
          </w:p>
        </w:tc>
        <w:tc>
          <w:tcPr>
            <w:tcW w:w="814" w:type="pct"/>
            <w:tcBorders>
              <w:top w:val="nil"/>
              <w:left w:val="nil"/>
              <w:bottom w:val="nil"/>
              <w:right w:val="nil"/>
            </w:tcBorders>
            <w:vAlign w:val="center"/>
          </w:tcPr>
          <w:p w14:paraId="22747B17" w14:textId="77777777" w:rsidR="00473E6D" w:rsidRPr="006B0749" w:rsidRDefault="00473E6D" w:rsidP="009A7344">
            <w:pPr>
              <w:ind w:right="-46"/>
              <w:jc w:val="center"/>
              <w:rPr>
                <w:color w:val="000000" w:themeColor="text1"/>
                <w:sz w:val="20"/>
                <w:szCs w:val="20"/>
              </w:rPr>
            </w:pPr>
            <w:r w:rsidRPr="006B0749">
              <w:rPr>
                <w:color w:val="000000" w:themeColor="text1"/>
                <w:sz w:val="20"/>
                <w:szCs w:val="20"/>
              </w:rPr>
              <w:t>62.52</w:t>
            </w:r>
          </w:p>
        </w:tc>
        <w:tc>
          <w:tcPr>
            <w:tcW w:w="498" w:type="pct"/>
            <w:tcBorders>
              <w:top w:val="nil"/>
              <w:left w:val="nil"/>
              <w:bottom w:val="nil"/>
              <w:right w:val="nil"/>
            </w:tcBorders>
            <w:vAlign w:val="center"/>
          </w:tcPr>
          <w:p w14:paraId="69A2EB75" w14:textId="77777777" w:rsidR="00473E6D" w:rsidRPr="006B0749" w:rsidRDefault="00473E6D" w:rsidP="009A7344">
            <w:pPr>
              <w:ind w:right="-46"/>
              <w:jc w:val="center"/>
              <w:rPr>
                <w:color w:val="000000" w:themeColor="text1"/>
                <w:sz w:val="20"/>
                <w:szCs w:val="20"/>
              </w:rPr>
            </w:pPr>
            <w:r w:rsidRPr="006B0749">
              <w:rPr>
                <w:color w:val="000000" w:themeColor="text1"/>
                <w:sz w:val="20"/>
                <w:szCs w:val="20"/>
              </w:rPr>
              <w:t>8.46</w:t>
            </w:r>
          </w:p>
        </w:tc>
      </w:tr>
      <w:tr w:rsidR="006B0749" w:rsidRPr="006B0749" w14:paraId="57F75CA8" w14:textId="77777777" w:rsidTr="009A7344">
        <w:tc>
          <w:tcPr>
            <w:tcW w:w="1487" w:type="pct"/>
            <w:tcBorders>
              <w:top w:val="nil"/>
              <w:left w:val="nil"/>
              <w:right w:val="nil"/>
            </w:tcBorders>
            <w:vAlign w:val="center"/>
          </w:tcPr>
          <w:p w14:paraId="08CAD419" w14:textId="77777777" w:rsidR="00473E6D" w:rsidRPr="006B0749" w:rsidRDefault="00473E6D" w:rsidP="009A7344">
            <w:pPr>
              <w:ind w:right="-46"/>
              <w:rPr>
                <w:color w:val="000000" w:themeColor="text1"/>
                <w:sz w:val="20"/>
                <w:szCs w:val="20"/>
              </w:rPr>
            </w:pPr>
            <w:r w:rsidRPr="006B0749">
              <w:rPr>
                <w:color w:val="000000" w:themeColor="text1"/>
                <w:sz w:val="20"/>
                <w:szCs w:val="20"/>
              </w:rPr>
              <w:t>Writing</w:t>
            </w:r>
          </w:p>
        </w:tc>
        <w:tc>
          <w:tcPr>
            <w:tcW w:w="930" w:type="pct"/>
            <w:tcBorders>
              <w:top w:val="nil"/>
              <w:left w:val="nil"/>
              <w:right w:val="nil"/>
            </w:tcBorders>
            <w:vAlign w:val="center"/>
          </w:tcPr>
          <w:p w14:paraId="683768FE" w14:textId="77777777" w:rsidR="00473E6D" w:rsidRPr="006B0749" w:rsidRDefault="00473E6D" w:rsidP="009A7344">
            <w:pPr>
              <w:ind w:right="-46"/>
              <w:jc w:val="center"/>
              <w:rPr>
                <w:color w:val="000000" w:themeColor="text1"/>
                <w:sz w:val="20"/>
                <w:szCs w:val="20"/>
              </w:rPr>
            </w:pPr>
            <w:r w:rsidRPr="006B0749">
              <w:rPr>
                <w:color w:val="000000" w:themeColor="text1"/>
                <w:sz w:val="20"/>
                <w:szCs w:val="20"/>
              </w:rPr>
              <w:t>9</w:t>
            </w:r>
          </w:p>
        </w:tc>
        <w:tc>
          <w:tcPr>
            <w:tcW w:w="1271" w:type="pct"/>
            <w:tcBorders>
              <w:top w:val="nil"/>
              <w:left w:val="nil"/>
              <w:right w:val="nil"/>
            </w:tcBorders>
            <w:vAlign w:val="center"/>
          </w:tcPr>
          <w:p w14:paraId="30C3D508" w14:textId="77777777" w:rsidR="00473E6D" w:rsidRPr="006B0749" w:rsidRDefault="00473E6D" w:rsidP="009A7344">
            <w:pPr>
              <w:ind w:right="-46"/>
              <w:jc w:val="center"/>
              <w:rPr>
                <w:color w:val="000000" w:themeColor="text1"/>
                <w:sz w:val="20"/>
                <w:szCs w:val="20"/>
              </w:rPr>
            </w:pPr>
            <w:r w:rsidRPr="006B0749">
              <w:rPr>
                <w:color w:val="000000" w:themeColor="text1"/>
                <w:sz w:val="20"/>
                <w:szCs w:val="20"/>
              </w:rPr>
              <w:t>5.58</w:t>
            </w:r>
          </w:p>
        </w:tc>
        <w:tc>
          <w:tcPr>
            <w:tcW w:w="814" w:type="pct"/>
            <w:tcBorders>
              <w:top w:val="nil"/>
              <w:left w:val="nil"/>
              <w:right w:val="nil"/>
            </w:tcBorders>
            <w:vAlign w:val="center"/>
          </w:tcPr>
          <w:p w14:paraId="63D057F0" w14:textId="77777777" w:rsidR="00473E6D" w:rsidRPr="006B0749" w:rsidRDefault="00473E6D" w:rsidP="009A7344">
            <w:pPr>
              <w:ind w:right="-46"/>
              <w:jc w:val="center"/>
              <w:rPr>
                <w:color w:val="000000" w:themeColor="text1"/>
                <w:sz w:val="20"/>
                <w:szCs w:val="20"/>
              </w:rPr>
            </w:pPr>
            <w:r w:rsidRPr="006B0749">
              <w:rPr>
                <w:color w:val="000000" w:themeColor="text1"/>
                <w:sz w:val="20"/>
                <w:szCs w:val="20"/>
              </w:rPr>
              <w:t>47.33</w:t>
            </w:r>
          </w:p>
        </w:tc>
        <w:tc>
          <w:tcPr>
            <w:tcW w:w="498" w:type="pct"/>
            <w:tcBorders>
              <w:top w:val="nil"/>
              <w:left w:val="nil"/>
              <w:right w:val="nil"/>
            </w:tcBorders>
            <w:vAlign w:val="center"/>
          </w:tcPr>
          <w:p w14:paraId="4ACA8FB1" w14:textId="77777777" w:rsidR="00473E6D" w:rsidRPr="006B0749" w:rsidRDefault="00473E6D" w:rsidP="009A7344">
            <w:pPr>
              <w:ind w:right="-46"/>
              <w:jc w:val="center"/>
              <w:rPr>
                <w:color w:val="000000" w:themeColor="text1"/>
                <w:sz w:val="20"/>
                <w:szCs w:val="20"/>
              </w:rPr>
            </w:pPr>
            <w:r w:rsidRPr="006B0749">
              <w:rPr>
                <w:color w:val="000000" w:themeColor="text1"/>
                <w:sz w:val="20"/>
                <w:szCs w:val="20"/>
              </w:rPr>
              <w:t>13.16</w:t>
            </w:r>
          </w:p>
        </w:tc>
      </w:tr>
    </w:tbl>
    <w:p w14:paraId="47AA6D53" w14:textId="77777777" w:rsidR="00473E6D" w:rsidRPr="006B0749" w:rsidRDefault="00473E6D" w:rsidP="00473E6D">
      <w:pPr>
        <w:pStyle w:val="BodyText"/>
        <w:tabs>
          <w:tab w:val="left" w:pos="2988"/>
        </w:tabs>
        <w:spacing w:line="240" w:lineRule="auto"/>
        <w:ind w:firstLine="0"/>
        <w:jc w:val="both"/>
        <w:rPr>
          <w:bCs/>
          <w:color w:val="000000" w:themeColor="text1"/>
          <w:vertAlign w:val="superscript"/>
        </w:rPr>
      </w:pPr>
      <w:bookmarkStart w:id="0" w:name="_Hlk108520081"/>
      <w:r w:rsidRPr="006B0749">
        <w:rPr>
          <w:bCs/>
          <w:i/>
          <w:iCs/>
          <w:color w:val="000000" w:themeColor="text1"/>
          <w:vertAlign w:val="superscript"/>
        </w:rPr>
        <w:t>Note: N = 63</w:t>
      </w:r>
    </w:p>
    <w:bookmarkEnd w:id="0"/>
    <w:p w14:paraId="7030F040" w14:textId="77777777" w:rsidR="00473E6D" w:rsidRPr="006B0749" w:rsidRDefault="00473E6D" w:rsidP="00473E6D">
      <w:pPr>
        <w:pStyle w:val="BodyText"/>
        <w:tabs>
          <w:tab w:val="left" w:pos="2988"/>
        </w:tabs>
        <w:spacing w:line="240" w:lineRule="auto"/>
        <w:ind w:firstLine="0"/>
        <w:jc w:val="both"/>
        <w:rPr>
          <w:bCs/>
          <w:color w:val="000000" w:themeColor="text1"/>
        </w:rPr>
      </w:pPr>
    </w:p>
    <w:p w14:paraId="207DC50F" w14:textId="77777777" w:rsidR="00473E6D" w:rsidRPr="006B0749" w:rsidRDefault="00473E6D" w:rsidP="00473E6D">
      <w:pPr>
        <w:jc w:val="both"/>
        <w:rPr>
          <w:color w:val="000000" w:themeColor="text1"/>
        </w:rPr>
      </w:pPr>
      <w:r w:rsidRPr="006B0749">
        <w:rPr>
          <w:color w:val="000000" w:themeColor="text1"/>
        </w:rPr>
        <w:t>Table 1 also displays the performance of Thai university students on productive language tasks, specifically speaking and writing. The analysis revealed a mean performance score of 62.52% (SD = 8.46) on speaking tasks and a mean score of 47.33% (SD = 13.16) on writing tasks. These findings indicate that the students possess an intermediate level of language proficiency, corresponding to a B1 level on the CEFR scale. This suggests that the students are modest, independent language users capable of managing everyday communication needs.</w:t>
      </w:r>
    </w:p>
    <w:p w14:paraId="13FD8307" w14:textId="77777777" w:rsidR="00473E6D" w:rsidRPr="006B0749" w:rsidRDefault="00473E6D" w:rsidP="00473E6D">
      <w:pPr>
        <w:jc w:val="both"/>
        <w:rPr>
          <w:color w:val="000000" w:themeColor="text1"/>
        </w:rPr>
      </w:pPr>
    </w:p>
    <w:p w14:paraId="7F986E51" w14:textId="38A3FAB6" w:rsidR="00473E6D" w:rsidRPr="006B0749" w:rsidRDefault="00473E6D" w:rsidP="00473E6D">
      <w:pPr>
        <w:pStyle w:val="NormalWeb"/>
        <w:spacing w:before="0" w:beforeAutospacing="0" w:after="0" w:afterAutospacing="0"/>
        <w:jc w:val="both"/>
        <w:rPr>
          <w:color w:val="000000" w:themeColor="text1"/>
        </w:rPr>
      </w:pPr>
      <w:r w:rsidRPr="006B0749">
        <w:rPr>
          <w:color w:val="000000" w:themeColor="text1"/>
        </w:rPr>
        <w:t xml:space="preserve">As illustrated in Table 2, the findings reveal significant correlations between vocabulary knowledge tests and vocabulary knowledge, speaking, and writing skills among Thai university </w:t>
      </w:r>
      <w:r w:rsidRPr="006B0749">
        <w:rPr>
          <w:color w:val="000000" w:themeColor="text1"/>
        </w:rPr>
        <w:lastRenderedPageBreak/>
        <w:t>participants. The results indicate a positive linear relationship between various vocabulary tests, corroborating the findings of previous studies (</w:t>
      </w:r>
      <w:proofErr w:type="spellStart"/>
      <w:r w:rsidRPr="006B0749">
        <w:rPr>
          <w:color w:val="000000" w:themeColor="text1"/>
        </w:rPr>
        <w:t>Nontasee</w:t>
      </w:r>
      <w:proofErr w:type="spellEnd"/>
      <w:r w:rsidRPr="006B0749">
        <w:rPr>
          <w:color w:val="000000" w:themeColor="text1"/>
        </w:rPr>
        <w:t xml:space="preserve"> &amp; Sukying, </w:t>
      </w:r>
      <w:r w:rsidR="00FD2D64" w:rsidRPr="006B0749">
        <w:rPr>
          <w:color w:val="000000" w:themeColor="text1"/>
        </w:rPr>
        <w:t>2023</w:t>
      </w:r>
      <w:r w:rsidRPr="006B0749">
        <w:rPr>
          <w:color w:val="000000" w:themeColor="text1"/>
        </w:rPr>
        <w:t>; Sukying, 2023). Specifically, significant correlations were observed between the PVLT and WAT (</w:t>
      </w:r>
      <w:r w:rsidRPr="006B0749">
        <w:rPr>
          <w:i/>
          <w:iCs/>
          <w:color w:val="000000" w:themeColor="text1"/>
        </w:rPr>
        <w:t>r</w:t>
      </w:r>
      <w:r w:rsidRPr="006B0749">
        <w:rPr>
          <w:color w:val="000000" w:themeColor="text1"/>
        </w:rPr>
        <w:t xml:space="preserve"> = .52, </w:t>
      </w:r>
      <w:r w:rsidRPr="006B0749">
        <w:rPr>
          <w:i/>
          <w:iCs/>
          <w:color w:val="000000" w:themeColor="text1"/>
        </w:rPr>
        <w:t>p</w:t>
      </w:r>
      <w:r w:rsidRPr="006B0749">
        <w:rPr>
          <w:color w:val="000000" w:themeColor="text1"/>
        </w:rPr>
        <w:t xml:space="preserve"> &lt; .01), indicating a moderate positive relationship. The AKT showed significant correlations with the WPLT (</w:t>
      </w:r>
      <w:r w:rsidRPr="006B0749">
        <w:rPr>
          <w:i/>
          <w:iCs/>
          <w:color w:val="000000" w:themeColor="text1"/>
        </w:rPr>
        <w:t>r</w:t>
      </w:r>
      <w:r w:rsidRPr="006B0749">
        <w:rPr>
          <w:color w:val="000000" w:themeColor="text1"/>
        </w:rPr>
        <w:t xml:space="preserve"> = .53, </w:t>
      </w:r>
      <w:r w:rsidRPr="006B0749">
        <w:rPr>
          <w:i/>
          <w:iCs/>
          <w:color w:val="000000" w:themeColor="text1"/>
        </w:rPr>
        <w:t>p</w:t>
      </w:r>
      <w:r w:rsidRPr="006B0749">
        <w:rPr>
          <w:color w:val="000000" w:themeColor="text1"/>
        </w:rPr>
        <w:t xml:space="preserve"> &lt; .01) and VLT (</w:t>
      </w:r>
      <w:r w:rsidRPr="006B0749">
        <w:rPr>
          <w:i/>
          <w:iCs/>
          <w:color w:val="000000" w:themeColor="text1"/>
        </w:rPr>
        <w:t>r</w:t>
      </w:r>
      <w:r w:rsidRPr="006B0749">
        <w:rPr>
          <w:color w:val="000000" w:themeColor="text1"/>
        </w:rPr>
        <w:t xml:space="preserve"> = .55, </w:t>
      </w:r>
      <w:r w:rsidRPr="006B0749">
        <w:rPr>
          <w:i/>
          <w:iCs/>
          <w:color w:val="000000" w:themeColor="text1"/>
        </w:rPr>
        <w:t>p</w:t>
      </w:r>
      <w:r w:rsidRPr="006B0749">
        <w:rPr>
          <w:color w:val="000000" w:themeColor="text1"/>
        </w:rPr>
        <w:t xml:space="preserve"> &lt; .01), suggesting that these tests measure similar aspects of vocabulary knowledge. The WPLT and VLT were also significantly correlated (</w:t>
      </w:r>
      <w:r w:rsidRPr="006B0749">
        <w:rPr>
          <w:i/>
          <w:iCs/>
          <w:color w:val="000000" w:themeColor="text1"/>
        </w:rPr>
        <w:t>r</w:t>
      </w:r>
      <w:r w:rsidRPr="006B0749">
        <w:rPr>
          <w:color w:val="000000" w:themeColor="text1"/>
        </w:rPr>
        <w:t xml:space="preserve"> = .44, </w:t>
      </w:r>
      <w:r w:rsidRPr="006B0749">
        <w:rPr>
          <w:i/>
          <w:iCs/>
          <w:color w:val="000000" w:themeColor="text1"/>
        </w:rPr>
        <w:t>p</w:t>
      </w:r>
      <w:r w:rsidRPr="006B0749">
        <w:rPr>
          <w:color w:val="000000" w:themeColor="text1"/>
        </w:rPr>
        <w:t xml:space="preserve"> &lt; .01), further supporting the interrelatedness of these vocabulary assessments. The composite measure of overall vocabulary knowledge demonstrated strong correlations with individual tests, notably with the AKT (</w:t>
      </w:r>
      <w:r w:rsidRPr="006B0749">
        <w:rPr>
          <w:i/>
          <w:iCs/>
          <w:color w:val="000000" w:themeColor="text1"/>
        </w:rPr>
        <w:t>r</w:t>
      </w:r>
      <w:r w:rsidRPr="006B0749">
        <w:rPr>
          <w:color w:val="000000" w:themeColor="text1"/>
        </w:rPr>
        <w:t xml:space="preserve"> = .83, </w:t>
      </w:r>
      <w:r w:rsidRPr="006B0749">
        <w:rPr>
          <w:i/>
          <w:iCs/>
          <w:color w:val="000000" w:themeColor="text1"/>
        </w:rPr>
        <w:t>p</w:t>
      </w:r>
      <w:r w:rsidRPr="006B0749">
        <w:rPr>
          <w:color w:val="000000" w:themeColor="text1"/>
        </w:rPr>
        <w:t xml:space="preserve"> &lt; .01), WPLT (</w:t>
      </w:r>
      <w:r w:rsidRPr="006B0749">
        <w:rPr>
          <w:i/>
          <w:iCs/>
          <w:color w:val="000000" w:themeColor="text1"/>
        </w:rPr>
        <w:t>r</w:t>
      </w:r>
      <w:r w:rsidRPr="006B0749">
        <w:rPr>
          <w:color w:val="000000" w:themeColor="text1"/>
        </w:rPr>
        <w:t xml:space="preserve"> = .67, </w:t>
      </w:r>
      <w:r w:rsidRPr="006B0749">
        <w:rPr>
          <w:i/>
          <w:iCs/>
          <w:color w:val="000000" w:themeColor="text1"/>
        </w:rPr>
        <w:t>p</w:t>
      </w:r>
      <w:r w:rsidRPr="006B0749">
        <w:rPr>
          <w:color w:val="000000" w:themeColor="text1"/>
        </w:rPr>
        <w:t xml:space="preserve"> &lt; .01), and VLT (</w:t>
      </w:r>
      <w:r w:rsidRPr="006B0749">
        <w:rPr>
          <w:i/>
          <w:iCs/>
          <w:color w:val="000000" w:themeColor="text1"/>
        </w:rPr>
        <w:t>r</w:t>
      </w:r>
      <w:r w:rsidRPr="006B0749">
        <w:rPr>
          <w:color w:val="000000" w:themeColor="text1"/>
        </w:rPr>
        <w:t xml:space="preserve"> = .78, </w:t>
      </w:r>
      <w:r w:rsidRPr="006B0749">
        <w:rPr>
          <w:i/>
          <w:iCs/>
          <w:color w:val="000000" w:themeColor="text1"/>
        </w:rPr>
        <w:t>p</w:t>
      </w:r>
      <w:r w:rsidRPr="006B0749">
        <w:rPr>
          <w:color w:val="000000" w:themeColor="text1"/>
        </w:rPr>
        <w:t xml:space="preserve"> &lt; .01). This highlights the comprehensive nature of the vocabulary knowledge assessment.</w:t>
      </w:r>
    </w:p>
    <w:p w14:paraId="15CD2445" w14:textId="77777777" w:rsidR="00473E6D" w:rsidRPr="006B0749" w:rsidRDefault="00473E6D" w:rsidP="00473E6D">
      <w:pPr>
        <w:pStyle w:val="NormalWeb"/>
        <w:spacing w:before="0" w:beforeAutospacing="0" w:after="0" w:afterAutospacing="0"/>
        <w:jc w:val="both"/>
        <w:rPr>
          <w:color w:val="000000" w:themeColor="text1"/>
        </w:rPr>
      </w:pPr>
    </w:p>
    <w:p w14:paraId="79F534DE" w14:textId="77777777" w:rsidR="00473E6D" w:rsidRPr="006B0749" w:rsidRDefault="00473E6D" w:rsidP="00473E6D">
      <w:pPr>
        <w:pStyle w:val="NormalWeb"/>
        <w:spacing w:before="0" w:beforeAutospacing="0" w:after="0" w:afterAutospacing="0"/>
        <w:jc w:val="both"/>
        <w:rPr>
          <w:color w:val="000000" w:themeColor="text1"/>
        </w:rPr>
      </w:pPr>
      <w:r w:rsidRPr="006B0749">
        <w:rPr>
          <w:color w:val="000000" w:themeColor="text1"/>
        </w:rPr>
        <w:t>Speaking performance also showed significant correlations with the WAT (</w:t>
      </w:r>
      <w:r w:rsidRPr="006B0749">
        <w:rPr>
          <w:i/>
          <w:iCs/>
          <w:color w:val="000000" w:themeColor="text1"/>
        </w:rPr>
        <w:t>r</w:t>
      </w:r>
      <w:r w:rsidRPr="006B0749">
        <w:rPr>
          <w:color w:val="000000" w:themeColor="text1"/>
        </w:rPr>
        <w:t xml:space="preserve"> = .33, </w:t>
      </w:r>
      <w:r w:rsidRPr="006B0749">
        <w:rPr>
          <w:i/>
          <w:iCs/>
          <w:color w:val="000000" w:themeColor="text1"/>
        </w:rPr>
        <w:t>p</w:t>
      </w:r>
      <w:r w:rsidRPr="006B0749">
        <w:rPr>
          <w:color w:val="000000" w:themeColor="text1"/>
        </w:rPr>
        <w:t xml:space="preserve"> &lt; .05), AKT (</w:t>
      </w:r>
      <w:r w:rsidRPr="006B0749">
        <w:rPr>
          <w:i/>
          <w:iCs/>
          <w:color w:val="000000" w:themeColor="text1"/>
        </w:rPr>
        <w:t>r</w:t>
      </w:r>
      <w:r w:rsidRPr="006B0749">
        <w:rPr>
          <w:color w:val="000000" w:themeColor="text1"/>
        </w:rPr>
        <w:t xml:space="preserve"> = .30, </w:t>
      </w:r>
      <w:r w:rsidRPr="006B0749">
        <w:rPr>
          <w:i/>
          <w:iCs/>
          <w:color w:val="000000" w:themeColor="text1"/>
        </w:rPr>
        <w:t>p</w:t>
      </w:r>
      <w:r w:rsidRPr="006B0749">
        <w:rPr>
          <w:color w:val="000000" w:themeColor="text1"/>
        </w:rPr>
        <w:t xml:space="preserve"> &lt; .05), WPLT (</w:t>
      </w:r>
      <w:r w:rsidRPr="006B0749">
        <w:rPr>
          <w:i/>
          <w:iCs/>
          <w:color w:val="000000" w:themeColor="text1"/>
        </w:rPr>
        <w:t>r</w:t>
      </w:r>
      <w:r w:rsidRPr="006B0749">
        <w:rPr>
          <w:color w:val="000000" w:themeColor="text1"/>
        </w:rPr>
        <w:t xml:space="preserve"> = .32, </w:t>
      </w:r>
      <w:r w:rsidRPr="006B0749">
        <w:rPr>
          <w:i/>
          <w:iCs/>
          <w:color w:val="000000" w:themeColor="text1"/>
        </w:rPr>
        <w:t>p</w:t>
      </w:r>
      <w:r w:rsidRPr="006B0749">
        <w:rPr>
          <w:color w:val="000000" w:themeColor="text1"/>
        </w:rPr>
        <w:t xml:space="preserve"> &lt; .05), and VLT (</w:t>
      </w:r>
      <w:r w:rsidRPr="006B0749">
        <w:rPr>
          <w:i/>
          <w:iCs/>
          <w:color w:val="000000" w:themeColor="text1"/>
        </w:rPr>
        <w:t>r</w:t>
      </w:r>
      <w:r w:rsidRPr="006B0749">
        <w:rPr>
          <w:color w:val="000000" w:themeColor="text1"/>
        </w:rPr>
        <w:t xml:space="preserve"> = .47, </w:t>
      </w:r>
      <w:r w:rsidRPr="006B0749">
        <w:rPr>
          <w:i/>
          <w:iCs/>
          <w:color w:val="000000" w:themeColor="text1"/>
        </w:rPr>
        <w:t>p</w:t>
      </w:r>
      <w:r w:rsidRPr="006B0749">
        <w:rPr>
          <w:color w:val="000000" w:themeColor="text1"/>
        </w:rPr>
        <w:t xml:space="preserve"> &lt; .01). This indicates that better vocabulary knowledge is associated with improved speaking abilities. Similarly, writing performance was strongly correlated with the PVLT (</w:t>
      </w:r>
      <w:r w:rsidRPr="006B0749">
        <w:rPr>
          <w:i/>
          <w:iCs/>
          <w:color w:val="000000" w:themeColor="text1"/>
        </w:rPr>
        <w:t>r</w:t>
      </w:r>
      <w:r w:rsidRPr="006B0749">
        <w:rPr>
          <w:color w:val="000000" w:themeColor="text1"/>
        </w:rPr>
        <w:t xml:space="preserve"> = .82, </w:t>
      </w:r>
      <w:r w:rsidRPr="006B0749">
        <w:rPr>
          <w:i/>
          <w:iCs/>
          <w:color w:val="000000" w:themeColor="text1"/>
        </w:rPr>
        <w:t>p</w:t>
      </w:r>
      <w:r w:rsidRPr="006B0749">
        <w:rPr>
          <w:color w:val="000000" w:themeColor="text1"/>
        </w:rPr>
        <w:t xml:space="preserve"> &lt; .01), WAT (</w:t>
      </w:r>
      <w:r w:rsidRPr="006B0749">
        <w:rPr>
          <w:i/>
          <w:iCs/>
          <w:color w:val="000000" w:themeColor="text1"/>
        </w:rPr>
        <w:t>r</w:t>
      </w:r>
      <w:r w:rsidRPr="006B0749">
        <w:rPr>
          <w:color w:val="000000" w:themeColor="text1"/>
        </w:rPr>
        <w:t xml:space="preserve"> = .60, </w:t>
      </w:r>
      <w:r w:rsidRPr="006B0749">
        <w:rPr>
          <w:i/>
          <w:iCs/>
          <w:color w:val="000000" w:themeColor="text1"/>
        </w:rPr>
        <w:t>p</w:t>
      </w:r>
      <w:r w:rsidRPr="006B0749">
        <w:rPr>
          <w:color w:val="000000" w:themeColor="text1"/>
        </w:rPr>
        <w:t xml:space="preserve"> &lt; .01), and AKT (</w:t>
      </w:r>
      <w:r w:rsidRPr="006B0749">
        <w:rPr>
          <w:i/>
          <w:iCs/>
          <w:color w:val="000000" w:themeColor="text1"/>
        </w:rPr>
        <w:t xml:space="preserve">r </w:t>
      </w:r>
      <w:r w:rsidRPr="006B0749">
        <w:rPr>
          <w:color w:val="000000" w:themeColor="text1"/>
        </w:rPr>
        <w:t xml:space="preserve">= .47, </w:t>
      </w:r>
      <w:r w:rsidRPr="006B0749">
        <w:rPr>
          <w:i/>
          <w:iCs/>
          <w:color w:val="000000" w:themeColor="text1"/>
        </w:rPr>
        <w:t>p</w:t>
      </w:r>
      <w:r w:rsidRPr="006B0749">
        <w:rPr>
          <w:color w:val="000000" w:themeColor="text1"/>
        </w:rPr>
        <w:t xml:space="preserve"> &lt; .01), suggesting that extensive vocabulary knowledge contributes significantly to writing proficiency.</w:t>
      </w:r>
    </w:p>
    <w:p w14:paraId="4EFA25A1" w14:textId="77777777" w:rsidR="00473E6D" w:rsidRPr="006B0749" w:rsidRDefault="00473E6D" w:rsidP="00473E6D">
      <w:pPr>
        <w:pStyle w:val="BodyText"/>
        <w:tabs>
          <w:tab w:val="left" w:pos="2988"/>
        </w:tabs>
        <w:spacing w:line="240" w:lineRule="auto"/>
        <w:ind w:firstLine="0"/>
        <w:jc w:val="both"/>
        <w:rPr>
          <w:bCs/>
          <w:color w:val="000000" w:themeColor="text1"/>
          <w:lang w:val="en-GB"/>
        </w:rPr>
      </w:pPr>
    </w:p>
    <w:p w14:paraId="6D826A6D" w14:textId="77777777" w:rsidR="00473E6D" w:rsidRPr="006B0749" w:rsidRDefault="00473E6D" w:rsidP="00473E6D">
      <w:pPr>
        <w:pStyle w:val="BodyText"/>
        <w:tabs>
          <w:tab w:val="left" w:pos="2988"/>
        </w:tabs>
        <w:spacing w:line="240" w:lineRule="auto"/>
        <w:ind w:firstLine="0"/>
        <w:jc w:val="center"/>
        <w:rPr>
          <w:bCs/>
          <w:color w:val="000000" w:themeColor="text1"/>
          <w:sz w:val="18"/>
          <w:szCs w:val="18"/>
          <w:lang w:val="en-GB"/>
        </w:rPr>
      </w:pPr>
      <w:r w:rsidRPr="006B0749">
        <w:rPr>
          <w:bCs/>
          <w:color w:val="000000" w:themeColor="text1"/>
          <w:sz w:val="18"/>
          <w:szCs w:val="18"/>
          <w:lang w:val="en-GB"/>
        </w:rPr>
        <w:t>TABLE 2. Correlations between vocabulary test scores and L2 speaking and writing performance</w:t>
      </w:r>
    </w:p>
    <w:p w14:paraId="3F39C8BD" w14:textId="77777777" w:rsidR="00473E6D" w:rsidRPr="006B0749" w:rsidRDefault="00473E6D" w:rsidP="00473E6D">
      <w:pPr>
        <w:pStyle w:val="BodyText"/>
        <w:tabs>
          <w:tab w:val="left" w:pos="2988"/>
        </w:tabs>
        <w:spacing w:line="240" w:lineRule="auto"/>
        <w:ind w:firstLine="0"/>
        <w:jc w:val="both"/>
        <w:rPr>
          <w:bCs/>
          <w:color w:val="000000" w:themeColor="text1"/>
        </w:rPr>
      </w:pPr>
    </w:p>
    <w:tbl>
      <w:tblPr>
        <w:tblStyle w:val="TableGrid"/>
        <w:tblW w:w="5000" w:type="pct"/>
        <w:tblLook w:val="04A0" w:firstRow="1" w:lastRow="0" w:firstColumn="1" w:lastColumn="0" w:noHBand="0" w:noVBand="1"/>
      </w:tblPr>
      <w:tblGrid>
        <w:gridCol w:w="3259"/>
        <w:gridCol w:w="827"/>
        <w:gridCol w:w="827"/>
        <w:gridCol w:w="828"/>
        <w:gridCol w:w="828"/>
        <w:gridCol w:w="828"/>
        <w:gridCol w:w="596"/>
        <w:gridCol w:w="596"/>
        <w:gridCol w:w="438"/>
      </w:tblGrid>
      <w:tr w:rsidR="006B0749" w:rsidRPr="006B0749" w14:paraId="533561EA" w14:textId="77777777" w:rsidTr="009A7344">
        <w:tc>
          <w:tcPr>
            <w:tcW w:w="1838" w:type="pct"/>
            <w:tcBorders>
              <w:left w:val="nil"/>
              <w:bottom w:val="single" w:sz="4" w:space="0" w:color="000000" w:themeColor="text1"/>
              <w:right w:val="nil"/>
            </w:tcBorders>
            <w:vAlign w:val="center"/>
          </w:tcPr>
          <w:p w14:paraId="26D6DF4A" w14:textId="77777777" w:rsidR="00473E6D" w:rsidRPr="006B0749" w:rsidRDefault="00473E6D" w:rsidP="009A7344">
            <w:pPr>
              <w:ind w:right="-46"/>
              <w:rPr>
                <w:color w:val="000000" w:themeColor="text1"/>
                <w:sz w:val="20"/>
                <w:szCs w:val="20"/>
              </w:rPr>
            </w:pPr>
            <w:r w:rsidRPr="006B0749">
              <w:rPr>
                <w:color w:val="000000" w:themeColor="text1"/>
                <w:sz w:val="20"/>
                <w:szCs w:val="20"/>
              </w:rPr>
              <w:t>Tests</w:t>
            </w:r>
          </w:p>
        </w:tc>
        <w:tc>
          <w:tcPr>
            <w:tcW w:w="491" w:type="pct"/>
            <w:tcBorders>
              <w:left w:val="nil"/>
              <w:bottom w:val="single" w:sz="4" w:space="0" w:color="000000" w:themeColor="text1"/>
              <w:right w:val="nil"/>
            </w:tcBorders>
            <w:vAlign w:val="center"/>
          </w:tcPr>
          <w:p w14:paraId="1C40F18D" w14:textId="77777777" w:rsidR="00473E6D" w:rsidRPr="006B0749" w:rsidRDefault="00473E6D" w:rsidP="009A7344">
            <w:pPr>
              <w:ind w:right="-46"/>
              <w:jc w:val="center"/>
              <w:rPr>
                <w:color w:val="000000" w:themeColor="text1"/>
                <w:sz w:val="20"/>
                <w:szCs w:val="20"/>
              </w:rPr>
            </w:pPr>
            <w:r w:rsidRPr="006B0749">
              <w:rPr>
                <w:color w:val="000000" w:themeColor="text1"/>
                <w:sz w:val="20"/>
                <w:szCs w:val="20"/>
              </w:rPr>
              <w:t>1</w:t>
            </w:r>
          </w:p>
        </w:tc>
        <w:tc>
          <w:tcPr>
            <w:tcW w:w="491" w:type="pct"/>
            <w:tcBorders>
              <w:left w:val="nil"/>
              <w:bottom w:val="single" w:sz="4" w:space="0" w:color="000000" w:themeColor="text1"/>
              <w:right w:val="nil"/>
            </w:tcBorders>
            <w:vAlign w:val="center"/>
          </w:tcPr>
          <w:p w14:paraId="027F75A2" w14:textId="77777777" w:rsidR="00473E6D" w:rsidRPr="006B0749" w:rsidRDefault="00473E6D" w:rsidP="009A7344">
            <w:pPr>
              <w:ind w:right="-46"/>
              <w:jc w:val="center"/>
              <w:rPr>
                <w:color w:val="000000" w:themeColor="text1"/>
                <w:sz w:val="20"/>
                <w:szCs w:val="20"/>
              </w:rPr>
            </w:pPr>
            <w:r w:rsidRPr="006B0749">
              <w:rPr>
                <w:color w:val="000000" w:themeColor="text1"/>
                <w:sz w:val="20"/>
                <w:szCs w:val="20"/>
              </w:rPr>
              <w:t>2</w:t>
            </w:r>
          </w:p>
        </w:tc>
        <w:tc>
          <w:tcPr>
            <w:tcW w:w="491" w:type="pct"/>
            <w:tcBorders>
              <w:left w:val="nil"/>
              <w:bottom w:val="single" w:sz="4" w:space="0" w:color="000000" w:themeColor="text1"/>
              <w:right w:val="nil"/>
            </w:tcBorders>
            <w:vAlign w:val="center"/>
          </w:tcPr>
          <w:p w14:paraId="6ED07F4C" w14:textId="77777777" w:rsidR="00473E6D" w:rsidRPr="006B0749" w:rsidRDefault="00473E6D" w:rsidP="009A7344">
            <w:pPr>
              <w:ind w:right="-46"/>
              <w:jc w:val="center"/>
              <w:rPr>
                <w:color w:val="000000" w:themeColor="text1"/>
                <w:sz w:val="20"/>
                <w:szCs w:val="20"/>
              </w:rPr>
            </w:pPr>
            <w:r w:rsidRPr="006B0749">
              <w:rPr>
                <w:color w:val="000000" w:themeColor="text1"/>
                <w:sz w:val="20"/>
                <w:szCs w:val="20"/>
              </w:rPr>
              <w:t>3</w:t>
            </w:r>
          </w:p>
        </w:tc>
        <w:tc>
          <w:tcPr>
            <w:tcW w:w="491" w:type="pct"/>
            <w:tcBorders>
              <w:left w:val="nil"/>
              <w:bottom w:val="single" w:sz="4" w:space="0" w:color="000000" w:themeColor="text1"/>
              <w:right w:val="nil"/>
            </w:tcBorders>
            <w:vAlign w:val="center"/>
          </w:tcPr>
          <w:p w14:paraId="4FB07056" w14:textId="77777777" w:rsidR="00473E6D" w:rsidRPr="006B0749" w:rsidRDefault="00473E6D" w:rsidP="009A7344">
            <w:pPr>
              <w:ind w:right="-46"/>
              <w:jc w:val="center"/>
              <w:rPr>
                <w:color w:val="000000" w:themeColor="text1"/>
                <w:sz w:val="20"/>
                <w:szCs w:val="20"/>
              </w:rPr>
            </w:pPr>
            <w:r w:rsidRPr="006B0749">
              <w:rPr>
                <w:color w:val="000000" w:themeColor="text1"/>
                <w:sz w:val="20"/>
                <w:szCs w:val="20"/>
              </w:rPr>
              <w:t>4</w:t>
            </w:r>
          </w:p>
        </w:tc>
        <w:tc>
          <w:tcPr>
            <w:tcW w:w="491" w:type="pct"/>
            <w:tcBorders>
              <w:left w:val="nil"/>
              <w:bottom w:val="single" w:sz="4" w:space="0" w:color="000000" w:themeColor="text1"/>
              <w:right w:val="nil"/>
            </w:tcBorders>
            <w:vAlign w:val="center"/>
          </w:tcPr>
          <w:p w14:paraId="3ED26909" w14:textId="77777777" w:rsidR="00473E6D" w:rsidRPr="006B0749" w:rsidRDefault="00473E6D" w:rsidP="009A7344">
            <w:pPr>
              <w:ind w:right="-46"/>
              <w:jc w:val="center"/>
              <w:rPr>
                <w:color w:val="000000" w:themeColor="text1"/>
                <w:sz w:val="20"/>
                <w:szCs w:val="20"/>
              </w:rPr>
            </w:pPr>
            <w:r w:rsidRPr="006B0749">
              <w:rPr>
                <w:color w:val="000000" w:themeColor="text1"/>
                <w:sz w:val="20"/>
                <w:szCs w:val="20"/>
              </w:rPr>
              <w:t>5</w:t>
            </w:r>
          </w:p>
        </w:tc>
        <w:tc>
          <w:tcPr>
            <w:tcW w:w="216" w:type="pct"/>
            <w:tcBorders>
              <w:left w:val="nil"/>
              <w:bottom w:val="single" w:sz="4" w:space="0" w:color="000000" w:themeColor="text1"/>
              <w:right w:val="nil"/>
            </w:tcBorders>
            <w:vAlign w:val="center"/>
          </w:tcPr>
          <w:p w14:paraId="29145749" w14:textId="77777777" w:rsidR="00473E6D" w:rsidRPr="006B0749" w:rsidRDefault="00473E6D" w:rsidP="009A7344">
            <w:pPr>
              <w:ind w:right="-46"/>
              <w:jc w:val="center"/>
              <w:rPr>
                <w:color w:val="000000" w:themeColor="text1"/>
                <w:sz w:val="20"/>
                <w:szCs w:val="20"/>
              </w:rPr>
            </w:pPr>
            <w:r w:rsidRPr="006B0749">
              <w:rPr>
                <w:color w:val="000000" w:themeColor="text1"/>
                <w:sz w:val="20"/>
                <w:szCs w:val="20"/>
              </w:rPr>
              <w:t>6</w:t>
            </w:r>
          </w:p>
        </w:tc>
        <w:tc>
          <w:tcPr>
            <w:tcW w:w="216" w:type="pct"/>
            <w:tcBorders>
              <w:left w:val="nil"/>
              <w:bottom w:val="single" w:sz="4" w:space="0" w:color="000000" w:themeColor="text1"/>
              <w:right w:val="nil"/>
            </w:tcBorders>
            <w:vAlign w:val="center"/>
          </w:tcPr>
          <w:p w14:paraId="0C655D45" w14:textId="77777777" w:rsidR="00473E6D" w:rsidRPr="006B0749" w:rsidRDefault="00473E6D" w:rsidP="009A7344">
            <w:pPr>
              <w:ind w:right="-46"/>
              <w:jc w:val="center"/>
              <w:rPr>
                <w:color w:val="000000" w:themeColor="text1"/>
                <w:sz w:val="20"/>
                <w:szCs w:val="20"/>
                <w:cs/>
              </w:rPr>
            </w:pPr>
            <w:r w:rsidRPr="006B0749">
              <w:rPr>
                <w:color w:val="000000" w:themeColor="text1"/>
                <w:sz w:val="20"/>
                <w:szCs w:val="20"/>
              </w:rPr>
              <w:t>7</w:t>
            </w:r>
          </w:p>
        </w:tc>
        <w:tc>
          <w:tcPr>
            <w:tcW w:w="277" w:type="pct"/>
            <w:tcBorders>
              <w:left w:val="nil"/>
              <w:bottom w:val="single" w:sz="4" w:space="0" w:color="000000" w:themeColor="text1"/>
              <w:right w:val="nil"/>
            </w:tcBorders>
            <w:vAlign w:val="center"/>
          </w:tcPr>
          <w:p w14:paraId="27B7DA10" w14:textId="77777777" w:rsidR="00473E6D" w:rsidRPr="006B0749" w:rsidRDefault="00473E6D" w:rsidP="009A7344">
            <w:pPr>
              <w:ind w:right="-46"/>
              <w:jc w:val="center"/>
              <w:rPr>
                <w:color w:val="000000" w:themeColor="text1"/>
                <w:sz w:val="20"/>
                <w:szCs w:val="20"/>
              </w:rPr>
            </w:pPr>
            <w:r w:rsidRPr="006B0749">
              <w:rPr>
                <w:color w:val="000000" w:themeColor="text1"/>
                <w:sz w:val="20"/>
                <w:szCs w:val="20"/>
              </w:rPr>
              <w:t>8</w:t>
            </w:r>
          </w:p>
        </w:tc>
      </w:tr>
      <w:tr w:rsidR="006B0749" w:rsidRPr="006B0749" w14:paraId="5F5BB053" w14:textId="77777777" w:rsidTr="009A7344">
        <w:tc>
          <w:tcPr>
            <w:tcW w:w="1838" w:type="pct"/>
            <w:tcBorders>
              <w:left w:val="nil"/>
              <w:bottom w:val="nil"/>
              <w:right w:val="nil"/>
            </w:tcBorders>
            <w:vAlign w:val="center"/>
          </w:tcPr>
          <w:p w14:paraId="41FA4080" w14:textId="77777777" w:rsidR="00473E6D" w:rsidRPr="006B0749" w:rsidRDefault="00473E6D" w:rsidP="009A7344">
            <w:pPr>
              <w:ind w:right="-46"/>
              <w:rPr>
                <w:color w:val="000000" w:themeColor="text1"/>
                <w:sz w:val="20"/>
                <w:szCs w:val="20"/>
              </w:rPr>
            </w:pPr>
            <w:r w:rsidRPr="006B0749">
              <w:rPr>
                <w:color w:val="000000" w:themeColor="text1"/>
                <w:sz w:val="20"/>
                <w:szCs w:val="20"/>
              </w:rPr>
              <w:t>PVLT (1)</w:t>
            </w:r>
          </w:p>
        </w:tc>
        <w:tc>
          <w:tcPr>
            <w:tcW w:w="491" w:type="pct"/>
            <w:tcBorders>
              <w:left w:val="nil"/>
              <w:bottom w:val="nil"/>
              <w:right w:val="nil"/>
            </w:tcBorders>
            <w:vAlign w:val="center"/>
          </w:tcPr>
          <w:p w14:paraId="388936F5" w14:textId="77777777" w:rsidR="00473E6D" w:rsidRPr="006B0749" w:rsidRDefault="00473E6D" w:rsidP="009A7344">
            <w:pPr>
              <w:ind w:right="-46"/>
              <w:jc w:val="center"/>
              <w:rPr>
                <w:color w:val="000000" w:themeColor="text1"/>
                <w:sz w:val="20"/>
                <w:szCs w:val="20"/>
              </w:rPr>
            </w:pPr>
            <w:r w:rsidRPr="006B0749">
              <w:rPr>
                <w:color w:val="000000" w:themeColor="text1"/>
                <w:sz w:val="20"/>
                <w:szCs w:val="20"/>
              </w:rPr>
              <w:t>1</w:t>
            </w:r>
          </w:p>
        </w:tc>
        <w:tc>
          <w:tcPr>
            <w:tcW w:w="491" w:type="pct"/>
            <w:tcBorders>
              <w:left w:val="nil"/>
              <w:bottom w:val="nil"/>
              <w:right w:val="nil"/>
            </w:tcBorders>
            <w:vAlign w:val="center"/>
          </w:tcPr>
          <w:p w14:paraId="030E2149" w14:textId="77777777" w:rsidR="00473E6D" w:rsidRPr="006B0749" w:rsidRDefault="00473E6D" w:rsidP="009A7344">
            <w:pPr>
              <w:ind w:right="-46"/>
              <w:jc w:val="center"/>
              <w:rPr>
                <w:color w:val="000000" w:themeColor="text1"/>
                <w:sz w:val="20"/>
                <w:szCs w:val="20"/>
              </w:rPr>
            </w:pPr>
          </w:p>
        </w:tc>
        <w:tc>
          <w:tcPr>
            <w:tcW w:w="491" w:type="pct"/>
            <w:tcBorders>
              <w:left w:val="nil"/>
              <w:bottom w:val="nil"/>
              <w:right w:val="nil"/>
            </w:tcBorders>
            <w:vAlign w:val="center"/>
          </w:tcPr>
          <w:p w14:paraId="501F9D8C" w14:textId="77777777" w:rsidR="00473E6D" w:rsidRPr="006B0749" w:rsidRDefault="00473E6D" w:rsidP="009A7344">
            <w:pPr>
              <w:ind w:right="-46"/>
              <w:jc w:val="center"/>
              <w:rPr>
                <w:color w:val="000000" w:themeColor="text1"/>
                <w:sz w:val="20"/>
                <w:szCs w:val="20"/>
              </w:rPr>
            </w:pPr>
          </w:p>
        </w:tc>
        <w:tc>
          <w:tcPr>
            <w:tcW w:w="491" w:type="pct"/>
            <w:tcBorders>
              <w:left w:val="nil"/>
              <w:bottom w:val="nil"/>
              <w:right w:val="nil"/>
            </w:tcBorders>
            <w:vAlign w:val="center"/>
          </w:tcPr>
          <w:p w14:paraId="67EBEE42" w14:textId="77777777" w:rsidR="00473E6D" w:rsidRPr="006B0749" w:rsidRDefault="00473E6D" w:rsidP="009A7344">
            <w:pPr>
              <w:ind w:right="-46"/>
              <w:jc w:val="center"/>
              <w:rPr>
                <w:color w:val="000000" w:themeColor="text1"/>
                <w:sz w:val="20"/>
                <w:szCs w:val="20"/>
              </w:rPr>
            </w:pPr>
          </w:p>
        </w:tc>
        <w:tc>
          <w:tcPr>
            <w:tcW w:w="491" w:type="pct"/>
            <w:tcBorders>
              <w:left w:val="nil"/>
              <w:bottom w:val="nil"/>
              <w:right w:val="nil"/>
            </w:tcBorders>
            <w:vAlign w:val="center"/>
          </w:tcPr>
          <w:p w14:paraId="6120481F" w14:textId="77777777" w:rsidR="00473E6D" w:rsidRPr="006B0749" w:rsidRDefault="00473E6D" w:rsidP="009A7344">
            <w:pPr>
              <w:ind w:right="-46"/>
              <w:jc w:val="center"/>
              <w:rPr>
                <w:color w:val="000000" w:themeColor="text1"/>
                <w:sz w:val="20"/>
                <w:szCs w:val="20"/>
              </w:rPr>
            </w:pPr>
          </w:p>
        </w:tc>
        <w:tc>
          <w:tcPr>
            <w:tcW w:w="216" w:type="pct"/>
            <w:tcBorders>
              <w:left w:val="nil"/>
              <w:bottom w:val="nil"/>
              <w:right w:val="nil"/>
            </w:tcBorders>
            <w:vAlign w:val="center"/>
          </w:tcPr>
          <w:p w14:paraId="2E7BA78D" w14:textId="77777777" w:rsidR="00473E6D" w:rsidRPr="006B0749" w:rsidRDefault="00473E6D" w:rsidP="009A7344">
            <w:pPr>
              <w:ind w:right="-46"/>
              <w:jc w:val="center"/>
              <w:rPr>
                <w:color w:val="000000" w:themeColor="text1"/>
                <w:sz w:val="20"/>
                <w:szCs w:val="20"/>
              </w:rPr>
            </w:pPr>
          </w:p>
        </w:tc>
        <w:tc>
          <w:tcPr>
            <w:tcW w:w="216" w:type="pct"/>
            <w:tcBorders>
              <w:left w:val="nil"/>
              <w:bottom w:val="nil"/>
              <w:right w:val="nil"/>
            </w:tcBorders>
          </w:tcPr>
          <w:p w14:paraId="58D7A157" w14:textId="77777777" w:rsidR="00473E6D" w:rsidRPr="006B0749" w:rsidRDefault="00473E6D" w:rsidP="009A7344">
            <w:pPr>
              <w:ind w:right="-46"/>
              <w:jc w:val="center"/>
              <w:rPr>
                <w:color w:val="000000" w:themeColor="text1"/>
                <w:sz w:val="20"/>
                <w:szCs w:val="20"/>
              </w:rPr>
            </w:pPr>
          </w:p>
        </w:tc>
        <w:tc>
          <w:tcPr>
            <w:tcW w:w="277" w:type="pct"/>
            <w:tcBorders>
              <w:left w:val="nil"/>
              <w:bottom w:val="nil"/>
              <w:right w:val="nil"/>
            </w:tcBorders>
          </w:tcPr>
          <w:p w14:paraId="63556DA1" w14:textId="77777777" w:rsidR="00473E6D" w:rsidRPr="006B0749" w:rsidRDefault="00473E6D" w:rsidP="009A7344">
            <w:pPr>
              <w:ind w:right="-46"/>
              <w:jc w:val="center"/>
              <w:rPr>
                <w:color w:val="000000" w:themeColor="text1"/>
                <w:sz w:val="20"/>
                <w:szCs w:val="20"/>
              </w:rPr>
            </w:pPr>
          </w:p>
        </w:tc>
      </w:tr>
      <w:tr w:rsidR="006B0749" w:rsidRPr="006B0749" w14:paraId="1CD16B8F" w14:textId="77777777" w:rsidTr="009A7344">
        <w:tc>
          <w:tcPr>
            <w:tcW w:w="1838" w:type="pct"/>
            <w:tcBorders>
              <w:top w:val="nil"/>
              <w:left w:val="nil"/>
              <w:bottom w:val="nil"/>
              <w:right w:val="nil"/>
            </w:tcBorders>
            <w:vAlign w:val="center"/>
          </w:tcPr>
          <w:p w14:paraId="5B883D23" w14:textId="77777777" w:rsidR="00473E6D" w:rsidRPr="006B0749" w:rsidRDefault="00473E6D" w:rsidP="009A7344">
            <w:pPr>
              <w:ind w:right="-46"/>
              <w:rPr>
                <w:color w:val="000000" w:themeColor="text1"/>
                <w:sz w:val="20"/>
                <w:szCs w:val="20"/>
              </w:rPr>
            </w:pPr>
            <w:r w:rsidRPr="006B0749">
              <w:rPr>
                <w:color w:val="000000" w:themeColor="text1"/>
                <w:sz w:val="20"/>
                <w:szCs w:val="20"/>
              </w:rPr>
              <w:t>WAT (2)</w:t>
            </w:r>
          </w:p>
        </w:tc>
        <w:tc>
          <w:tcPr>
            <w:tcW w:w="491" w:type="pct"/>
            <w:tcBorders>
              <w:top w:val="nil"/>
              <w:left w:val="nil"/>
              <w:bottom w:val="nil"/>
              <w:right w:val="nil"/>
            </w:tcBorders>
            <w:vAlign w:val="center"/>
          </w:tcPr>
          <w:p w14:paraId="149E5184" w14:textId="77777777" w:rsidR="00473E6D" w:rsidRPr="006B0749" w:rsidRDefault="00473E6D" w:rsidP="009A7344">
            <w:pPr>
              <w:ind w:right="-46"/>
              <w:jc w:val="center"/>
              <w:rPr>
                <w:color w:val="000000" w:themeColor="text1"/>
                <w:sz w:val="20"/>
                <w:szCs w:val="20"/>
              </w:rPr>
            </w:pPr>
            <w:r w:rsidRPr="006B0749">
              <w:rPr>
                <w:color w:val="000000" w:themeColor="text1"/>
                <w:sz w:val="20"/>
                <w:szCs w:val="20"/>
              </w:rPr>
              <w:t>.52</w:t>
            </w:r>
            <w:r w:rsidRPr="006B0749">
              <w:rPr>
                <w:color w:val="000000" w:themeColor="text1"/>
                <w:sz w:val="20"/>
                <w:szCs w:val="20"/>
                <w:vertAlign w:val="superscript"/>
              </w:rPr>
              <w:t>**</w:t>
            </w:r>
          </w:p>
        </w:tc>
        <w:tc>
          <w:tcPr>
            <w:tcW w:w="491" w:type="pct"/>
            <w:tcBorders>
              <w:top w:val="nil"/>
              <w:left w:val="nil"/>
              <w:bottom w:val="nil"/>
              <w:right w:val="nil"/>
            </w:tcBorders>
            <w:vAlign w:val="center"/>
          </w:tcPr>
          <w:p w14:paraId="18A9FAB7" w14:textId="77777777" w:rsidR="00473E6D" w:rsidRPr="006B0749" w:rsidRDefault="00473E6D" w:rsidP="009A7344">
            <w:pPr>
              <w:ind w:right="-46"/>
              <w:jc w:val="center"/>
              <w:rPr>
                <w:color w:val="000000" w:themeColor="text1"/>
                <w:sz w:val="20"/>
                <w:szCs w:val="20"/>
              </w:rPr>
            </w:pPr>
            <w:r w:rsidRPr="006B0749">
              <w:rPr>
                <w:color w:val="000000" w:themeColor="text1"/>
                <w:sz w:val="20"/>
                <w:szCs w:val="20"/>
              </w:rPr>
              <w:t>1</w:t>
            </w:r>
          </w:p>
        </w:tc>
        <w:tc>
          <w:tcPr>
            <w:tcW w:w="491" w:type="pct"/>
            <w:tcBorders>
              <w:top w:val="nil"/>
              <w:left w:val="nil"/>
              <w:bottom w:val="nil"/>
              <w:right w:val="nil"/>
            </w:tcBorders>
            <w:vAlign w:val="center"/>
          </w:tcPr>
          <w:p w14:paraId="4C03F614" w14:textId="77777777" w:rsidR="00473E6D" w:rsidRPr="006B0749" w:rsidRDefault="00473E6D" w:rsidP="009A7344">
            <w:pPr>
              <w:ind w:right="-46"/>
              <w:jc w:val="center"/>
              <w:rPr>
                <w:color w:val="000000" w:themeColor="text1"/>
                <w:sz w:val="20"/>
                <w:szCs w:val="20"/>
              </w:rPr>
            </w:pPr>
          </w:p>
        </w:tc>
        <w:tc>
          <w:tcPr>
            <w:tcW w:w="491" w:type="pct"/>
            <w:tcBorders>
              <w:top w:val="nil"/>
              <w:left w:val="nil"/>
              <w:bottom w:val="nil"/>
              <w:right w:val="nil"/>
            </w:tcBorders>
            <w:vAlign w:val="center"/>
          </w:tcPr>
          <w:p w14:paraId="4F042E90" w14:textId="77777777" w:rsidR="00473E6D" w:rsidRPr="006B0749" w:rsidRDefault="00473E6D" w:rsidP="009A7344">
            <w:pPr>
              <w:ind w:right="-46"/>
              <w:jc w:val="center"/>
              <w:rPr>
                <w:color w:val="000000" w:themeColor="text1"/>
                <w:sz w:val="20"/>
                <w:szCs w:val="20"/>
              </w:rPr>
            </w:pPr>
          </w:p>
        </w:tc>
        <w:tc>
          <w:tcPr>
            <w:tcW w:w="491" w:type="pct"/>
            <w:tcBorders>
              <w:top w:val="nil"/>
              <w:left w:val="nil"/>
              <w:bottom w:val="nil"/>
              <w:right w:val="nil"/>
            </w:tcBorders>
            <w:vAlign w:val="center"/>
          </w:tcPr>
          <w:p w14:paraId="6E7B2739" w14:textId="77777777" w:rsidR="00473E6D" w:rsidRPr="006B0749" w:rsidRDefault="00473E6D" w:rsidP="009A7344">
            <w:pPr>
              <w:ind w:right="-46"/>
              <w:jc w:val="center"/>
              <w:rPr>
                <w:color w:val="000000" w:themeColor="text1"/>
                <w:sz w:val="20"/>
                <w:szCs w:val="20"/>
              </w:rPr>
            </w:pPr>
          </w:p>
        </w:tc>
        <w:tc>
          <w:tcPr>
            <w:tcW w:w="216" w:type="pct"/>
            <w:tcBorders>
              <w:top w:val="nil"/>
              <w:left w:val="nil"/>
              <w:bottom w:val="nil"/>
              <w:right w:val="nil"/>
            </w:tcBorders>
            <w:vAlign w:val="center"/>
          </w:tcPr>
          <w:p w14:paraId="059C988B" w14:textId="77777777" w:rsidR="00473E6D" w:rsidRPr="006B0749" w:rsidRDefault="00473E6D" w:rsidP="009A7344">
            <w:pPr>
              <w:ind w:right="-46"/>
              <w:jc w:val="center"/>
              <w:rPr>
                <w:color w:val="000000" w:themeColor="text1"/>
                <w:sz w:val="20"/>
                <w:szCs w:val="20"/>
              </w:rPr>
            </w:pPr>
          </w:p>
        </w:tc>
        <w:tc>
          <w:tcPr>
            <w:tcW w:w="216" w:type="pct"/>
            <w:tcBorders>
              <w:top w:val="nil"/>
              <w:left w:val="nil"/>
              <w:bottom w:val="nil"/>
              <w:right w:val="nil"/>
            </w:tcBorders>
          </w:tcPr>
          <w:p w14:paraId="6394B016" w14:textId="77777777" w:rsidR="00473E6D" w:rsidRPr="006B0749" w:rsidRDefault="00473E6D" w:rsidP="009A7344">
            <w:pPr>
              <w:ind w:right="-46"/>
              <w:jc w:val="center"/>
              <w:rPr>
                <w:color w:val="000000" w:themeColor="text1"/>
                <w:sz w:val="20"/>
                <w:szCs w:val="20"/>
              </w:rPr>
            </w:pPr>
          </w:p>
        </w:tc>
        <w:tc>
          <w:tcPr>
            <w:tcW w:w="277" w:type="pct"/>
            <w:tcBorders>
              <w:top w:val="nil"/>
              <w:left w:val="nil"/>
              <w:bottom w:val="nil"/>
              <w:right w:val="nil"/>
            </w:tcBorders>
          </w:tcPr>
          <w:p w14:paraId="5A34208B" w14:textId="77777777" w:rsidR="00473E6D" w:rsidRPr="006B0749" w:rsidRDefault="00473E6D" w:rsidP="009A7344">
            <w:pPr>
              <w:ind w:right="-46"/>
              <w:jc w:val="center"/>
              <w:rPr>
                <w:color w:val="000000" w:themeColor="text1"/>
                <w:sz w:val="20"/>
                <w:szCs w:val="20"/>
              </w:rPr>
            </w:pPr>
          </w:p>
        </w:tc>
      </w:tr>
      <w:tr w:rsidR="006B0749" w:rsidRPr="006B0749" w14:paraId="1121A682" w14:textId="77777777" w:rsidTr="009A7344">
        <w:tc>
          <w:tcPr>
            <w:tcW w:w="1838" w:type="pct"/>
            <w:tcBorders>
              <w:top w:val="nil"/>
              <w:left w:val="nil"/>
              <w:bottom w:val="nil"/>
              <w:right w:val="nil"/>
            </w:tcBorders>
            <w:vAlign w:val="center"/>
          </w:tcPr>
          <w:p w14:paraId="2918187B" w14:textId="77777777" w:rsidR="00473E6D" w:rsidRPr="006B0749" w:rsidRDefault="00473E6D" w:rsidP="009A7344">
            <w:pPr>
              <w:ind w:right="-46"/>
              <w:rPr>
                <w:color w:val="000000" w:themeColor="text1"/>
                <w:sz w:val="20"/>
                <w:szCs w:val="20"/>
              </w:rPr>
            </w:pPr>
            <w:r w:rsidRPr="006B0749">
              <w:rPr>
                <w:color w:val="000000" w:themeColor="text1"/>
                <w:sz w:val="20"/>
                <w:szCs w:val="20"/>
              </w:rPr>
              <w:t>AKT (3)</w:t>
            </w:r>
          </w:p>
        </w:tc>
        <w:tc>
          <w:tcPr>
            <w:tcW w:w="491" w:type="pct"/>
            <w:tcBorders>
              <w:top w:val="nil"/>
              <w:left w:val="nil"/>
              <w:bottom w:val="nil"/>
              <w:right w:val="nil"/>
            </w:tcBorders>
            <w:vAlign w:val="center"/>
          </w:tcPr>
          <w:p w14:paraId="1C6FDDC2" w14:textId="77777777" w:rsidR="00473E6D" w:rsidRPr="006B0749" w:rsidRDefault="00473E6D" w:rsidP="009A7344">
            <w:pPr>
              <w:ind w:right="-46"/>
              <w:jc w:val="center"/>
              <w:rPr>
                <w:color w:val="000000" w:themeColor="text1"/>
                <w:sz w:val="20"/>
                <w:szCs w:val="20"/>
              </w:rPr>
            </w:pPr>
            <w:r w:rsidRPr="006B0749">
              <w:rPr>
                <w:color w:val="000000" w:themeColor="text1"/>
                <w:sz w:val="20"/>
                <w:szCs w:val="20"/>
              </w:rPr>
              <w:t>-.04</w:t>
            </w:r>
          </w:p>
        </w:tc>
        <w:tc>
          <w:tcPr>
            <w:tcW w:w="491" w:type="pct"/>
            <w:tcBorders>
              <w:top w:val="nil"/>
              <w:left w:val="nil"/>
              <w:bottom w:val="nil"/>
              <w:right w:val="nil"/>
            </w:tcBorders>
            <w:vAlign w:val="center"/>
          </w:tcPr>
          <w:p w14:paraId="0A9B225D" w14:textId="77777777" w:rsidR="00473E6D" w:rsidRPr="006B0749" w:rsidRDefault="00473E6D" w:rsidP="009A7344">
            <w:pPr>
              <w:ind w:right="-46"/>
              <w:jc w:val="center"/>
              <w:rPr>
                <w:color w:val="000000" w:themeColor="text1"/>
                <w:sz w:val="20"/>
                <w:szCs w:val="20"/>
              </w:rPr>
            </w:pPr>
            <w:r w:rsidRPr="006B0749">
              <w:rPr>
                <w:color w:val="000000" w:themeColor="text1"/>
                <w:sz w:val="20"/>
                <w:szCs w:val="20"/>
              </w:rPr>
              <w:t>.07</w:t>
            </w:r>
          </w:p>
        </w:tc>
        <w:tc>
          <w:tcPr>
            <w:tcW w:w="491" w:type="pct"/>
            <w:tcBorders>
              <w:top w:val="nil"/>
              <w:left w:val="nil"/>
              <w:bottom w:val="nil"/>
              <w:right w:val="nil"/>
            </w:tcBorders>
            <w:vAlign w:val="center"/>
          </w:tcPr>
          <w:p w14:paraId="7C81F6D0" w14:textId="77777777" w:rsidR="00473E6D" w:rsidRPr="006B0749" w:rsidRDefault="00473E6D" w:rsidP="009A7344">
            <w:pPr>
              <w:ind w:right="-46"/>
              <w:jc w:val="center"/>
              <w:rPr>
                <w:color w:val="000000" w:themeColor="text1"/>
                <w:sz w:val="20"/>
                <w:szCs w:val="20"/>
              </w:rPr>
            </w:pPr>
            <w:r w:rsidRPr="006B0749">
              <w:rPr>
                <w:color w:val="000000" w:themeColor="text1"/>
                <w:sz w:val="20"/>
                <w:szCs w:val="20"/>
              </w:rPr>
              <w:t>1</w:t>
            </w:r>
          </w:p>
        </w:tc>
        <w:tc>
          <w:tcPr>
            <w:tcW w:w="491" w:type="pct"/>
            <w:tcBorders>
              <w:top w:val="nil"/>
              <w:left w:val="nil"/>
              <w:bottom w:val="nil"/>
              <w:right w:val="nil"/>
            </w:tcBorders>
            <w:vAlign w:val="center"/>
          </w:tcPr>
          <w:p w14:paraId="20E69023" w14:textId="77777777" w:rsidR="00473E6D" w:rsidRPr="006B0749" w:rsidRDefault="00473E6D" w:rsidP="009A7344">
            <w:pPr>
              <w:ind w:right="-46"/>
              <w:jc w:val="center"/>
              <w:rPr>
                <w:color w:val="000000" w:themeColor="text1"/>
                <w:sz w:val="20"/>
                <w:szCs w:val="20"/>
              </w:rPr>
            </w:pPr>
          </w:p>
        </w:tc>
        <w:tc>
          <w:tcPr>
            <w:tcW w:w="491" w:type="pct"/>
            <w:tcBorders>
              <w:top w:val="nil"/>
              <w:left w:val="nil"/>
              <w:bottom w:val="nil"/>
              <w:right w:val="nil"/>
            </w:tcBorders>
            <w:vAlign w:val="center"/>
          </w:tcPr>
          <w:p w14:paraId="48344AE2" w14:textId="77777777" w:rsidR="00473E6D" w:rsidRPr="006B0749" w:rsidRDefault="00473E6D" w:rsidP="009A7344">
            <w:pPr>
              <w:ind w:right="-46"/>
              <w:jc w:val="center"/>
              <w:rPr>
                <w:color w:val="000000" w:themeColor="text1"/>
                <w:sz w:val="20"/>
                <w:szCs w:val="20"/>
              </w:rPr>
            </w:pPr>
          </w:p>
        </w:tc>
        <w:tc>
          <w:tcPr>
            <w:tcW w:w="216" w:type="pct"/>
            <w:tcBorders>
              <w:top w:val="nil"/>
              <w:left w:val="nil"/>
              <w:bottom w:val="nil"/>
              <w:right w:val="nil"/>
            </w:tcBorders>
            <w:vAlign w:val="center"/>
          </w:tcPr>
          <w:p w14:paraId="19299479" w14:textId="77777777" w:rsidR="00473E6D" w:rsidRPr="006B0749" w:rsidRDefault="00473E6D" w:rsidP="009A7344">
            <w:pPr>
              <w:ind w:right="-46"/>
              <w:jc w:val="center"/>
              <w:rPr>
                <w:color w:val="000000" w:themeColor="text1"/>
                <w:sz w:val="20"/>
                <w:szCs w:val="20"/>
              </w:rPr>
            </w:pPr>
          </w:p>
        </w:tc>
        <w:tc>
          <w:tcPr>
            <w:tcW w:w="216" w:type="pct"/>
            <w:tcBorders>
              <w:top w:val="nil"/>
              <w:left w:val="nil"/>
              <w:bottom w:val="nil"/>
              <w:right w:val="nil"/>
            </w:tcBorders>
          </w:tcPr>
          <w:p w14:paraId="6B31ADA9" w14:textId="77777777" w:rsidR="00473E6D" w:rsidRPr="006B0749" w:rsidRDefault="00473E6D" w:rsidP="009A7344">
            <w:pPr>
              <w:ind w:right="-46"/>
              <w:jc w:val="center"/>
              <w:rPr>
                <w:color w:val="000000" w:themeColor="text1"/>
                <w:sz w:val="20"/>
                <w:szCs w:val="20"/>
              </w:rPr>
            </w:pPr>
          </w:p>
        </w:tc>
        <w:tc>
          <w:tcPr>
            <w:tcW w:w="277" w:type="pct"/>
            <w:tcBorders>
              <w:top w:val="nil"/>
              <w:left w:val="nil"/>
              <w:bottom w:val="nil"/>
              <w:right w:val="nil"/>
            </w:tcBorders>
          </w:tcPr>
          <w:p w14:paraId="6BE02613" w14:textId="77777777" w:rsidR="00473E6D" w:rsidRPr="006B0749" w:rsidRDefault="00473E6D" w:rsidP="009A7344">
            <w:pPr>
              <w:ind w:right="-46"/>
              <w:jc w:val="center"/>
              <w:rPr>
                <w:color w:val="000000" w:themeColor="text1"/>
                <w:sz w:val="20"/>
                <w:szCs w:val="20"/>
              </w:rPr>
            </w:pPr>
          </w:p>
        </w:tc>
      </w:tr>
      <w:tr w:rsidR="006B0749" w:rsidRPr="006B0749" w14:paraId="278625A4" w14:textId="77777777" w:rsidTr="009A7344">
        <w:tc>
          <w:tcPr>
            <w:tcW w:w="1838" w:type="pct"/>
            <w:tcBorders>
              <w:top w:val="nil"/>
              <w:left w:val="nil"/>
              <w:bottom w:val="nil"/>
              <w:right w:val="nil"/>
            </w:tcBorders>
            <w:vAlign w:val="center"/>
          </w:tcPr>
          <w:p w14:paraId="52FD8997" w14:textId="77777777" w:rsidR="00473E6D" w:rsidRPr="006B0749" w:rsidRDefault="00473E6D" w:rsidP="009A7344">
            <w:pPr>
              <w:ind w:right="-46"/>
              <w:rPr>
                <w:color w:val="000000" w:themeColor="text1"/>
                <w:sz w:val="20"/>
                <w:szCs w:val="20"/>
              </w:rPr>
            </w:pPr>
            <w:r w:rsidRPr="006B0749">
              <w:rPr>
                <w:color w:val="000000" w:themeColor="text1"/>
                <w:sz w:val="20"/>
                <w:szCs w:val="20"/>
              </w:rPr>
              <w:t>WPLT (4)</w:t>
            </w:r>
          </w:p>
        </w:tc>
        <w:tc>
          <w:tcPr>
            <w:tcW w:w="491" w:type="pct"/>
            <w:tcBorders>
              <w:top w:val="nil"/>
              <w:left w:val="nil"/>
              <w:bottom w:val="nil"/>
              <w:right w:val="nil"/>
            </w:tcBorders>
            <w:vAlign w:val="center"/>
          </w:tcPr>
          <w:p w14:paraId="639440D1" w14:textId="77777777" w:rsidR="00473E6D" w:rsidRPr="006B0749" w:rsidRDefault="00473E6D" w:rsidP="009A7344">
            <w:pPr>
              <w:ind w:right="-46"/>
              <w:jc w:val="center"/>
              <w:rPr>
                <w:color w:val="000000" w:themeColor="text1"/>
                <w:sz w:val="20"/>
                <w:szCs w:val="20"/>
              </w:rPr>
            </w:pPr>
            <w:r w:rsidRPr="006B0749">
              <w:rPr>
                <w:color w:val="000000" w:themeColor="text1"/>
                <w:sz w:val="20"/>
                <w:szCs w:val="20"/>
              </w:rPr>
              <w:t>.25</w:t>
            </w:r>
          </w:p>
        </w:tc>
        <w:tc>
          <w:tcPr>
            <w:tcW w:w="491" w:type="pct"/>
            <w:tcBorders>
              <w:top w:val="nil"/>
              <w:left w:val="nil"/>
              <w:bottom w:val="nil"/>
              <w:right w:val="nil"/>
            </w:tcBorders>
            <w:vAlign w:val="center"/>
          </w:tcPr>
          <w:p w14:paraId="49877F65" w14:textId="77777777" w:rsidR="00473E6D" w:rsidRPr="006B0749" w:rsidRDefault="00473E6D" w:rsidP="009A7344">
            <w:pPr>
              <w:ind w:right="-46"/>
              <w:jc w:val="center"/>
              <w:rPr>
                <w:color w:val="000000" w:themeColor="text1"/>
                <w:sz w:val="20"/>
                <w:szCs w:val="20"/>
              </w:rPr>
            </w:pPr>
            <w:r w:rsidRPr="006B0749">
              <w:rPr>
                <w:color w:val="000000" w:themeColor="text1"/>
                <w:sz w:val="20"/>
                <w:szCs w:val="20"/>
              </w:rPr>
              <w:t>.22</w:t>
            </w:r>
          </w:p>
        </w:tc>
        <w:tc>
          <w:tcPr>
            <w:tcW w:w="491" w:type="pct"/>
            <w:tcBorders>
              <w:top w:val="nil"/>
              <w:left w:val="nil"/>
              <w:bottom w:val="nil"/>
              <w:right w:val="nil"/>
            </w:tcBorders>
            <w:vAlign w:val="center"/>
          </w:tcPr>
          <w:p w14:paraId="6E2F2DFD" w14:textId="77777777" w:rsidR="00473E6D" w:rsidRPr="006B0749" w:rsidRDefault="00473E6D" w:rsidP="009A7344">
            <w:pPr>
              <w:ind w:right="-46"/>
              <w:jc w:val="center"/>
              <w:rPr>
                <w:color w:val="000000" w:themeColor="text1"/>
                <w:sz w:val="20"/>
                <w:szCs w:val="20"/>
              </w:rPr>
            </w:pPr>
            <w:r w:rsidRPr="006B0749">
              <w:rPr>
                <w:color w:val="000000" w:themeColor="text1"/>
                <w:sz w:val="20"/>
                <w:szCs w:val="20"/>
              </w:rPr>
              <w:t>.53</w:t>
            </w:r>
            <w:r w:rsidRPr="006B0749">
              <w:rPr>
                <w:color w:val="000000" w:themeColor="text1"/>
                <w:sz w:val="20"/>
                <w:szCs w:val="20"/>
                <w:vertAlign w:val="superscript"/>
              </w:rPr>
              <w:t>**</w:t>
            </w:r>
          </w:p>
        </w:tc>
        <w:tc>
          <w:tcPr>
            <w:tcW w:w="491" w:type="pct"/>
            <w:tcBorders>
              <w:top w:val="nil"/>
              <w:left w:val="nil"/>
              <w:bottom w:val="nil"/>
              <w:right w:val="nil"/>
            </w:tcBorders>
            <w:vAlign w:val="center"/>
          </w:tcPr>
          <w:p w14:paraId="23043D1F" w14:textId="77777777" w:rsidR="00473E6D" w:rsidRPr="006B0749" w:rsidRDefault="00473E6D" w:rsidP="009A7344">
            <w:pPr>
              <w:ind w:right="-46"/>
              <w:jc w:val="center"/>
              <w:rPr>
                <w:color w:val="000000" w:themeColor="text1"/>
                <w:sz w:val="20"/>
                <w:szCs w:val="20"/>
              </w:rPr>
            </w:pPr>
            <w:r w:rsidRPr="006B0749">
              <w:rPr>
                <w:color w:val="000000" w:themeColor="text1"/>
                <w:sz w:val="20"/>
                <w:szCs w:val="20"/>
              </w:rPr>
              <w:t>1</w:t>
            </w:r>
          </w:p>
        </w:tc>
        <w:tc>
          <w:tcPr>
            <w:tcW w:w="491" w:type="pct"/>
            <w:tcBorders>
              <w:top w:val="nil"/>
              <w:left w:val="nil"/>
              <w:bottom w:val="nil"/>
              <w:right w:val="nil"/>
            </w:tcBorders>
            <w:vAlign w:val="center"/>
          </w:tcPr>
          <w:p w14:paraId="74A98BA0" w14:textId="77777777" w:rsidR="00473E6D" w:rsidRPr="006B0749" w:rsidRDefault="00473E6D" w:rsidP="009A7344">
            <w:pPr>
              <w:ind w:right="-46"/>
              <w:jc w:val="center"/>
              <w:rPr>
                <w:color w:val="000000" w:themeColor="text1"/>
                <w:sz w:val="20"/>
                <w:szCs w:val="20"/>
              </w:rPr>
            </w:pPr>
          </w:p>
        </w:tc>
        <w:tc>
          <w:tcPr>
            <w:tcW w:w="216" w:type="pct"/>
            <w:tcBorders>
              <w:top w:val="nil"/>
              <w:left w:val="nil"/>
              <w:bottom w:val="nil"/>
              <w:right w:val="nil"/>
            </w:tcBorders>
            <w:vAlign w:val="center"/>
          </w:tcPr>
          <w:p w14:paraId="275E7043" w14:textId="77777777" w:rsidR="00473E6D" w:rsidRPr="006B0749" w:rsidRDefault="00473E6D" w:rsidP="009A7344">
            <w:pPr>
              <w:ind w:right="-46"/>
              <w:jc w:val="center"/>
              <w:rPr>
                <w:color w:val="000000" w:themeColor="text1"/>
                <w:sz w:val="20"/>
                <w:szCs w:val="20"/>
              </w:rPr>
            </w:pPr>
          </w:p>
        </w:tc>
        <w:tc>
          <w:tcPr>
            <w:tcW w:w="216" w:type="pct"/>
            <w:tcBorders>
              <w:top w:val="nil"/>
              <w:left w:val="nil"/>
              <w:bottom w:val="nil"/>
              <w:right w:val="nil"/>
            </w:tcBorders>
          </w:tcPr>
          <w:p w14:paraId="6D058CFC" w14:textId="77777777" w:rsidR="00473E6D" w:rsidRPr="006B0749" w:rsidRDefault="00473E6D" w:rsidP="009A7344">
            <w:pPr>
              <w:ind w:right="-46"/>
              <w:jc w:val="center"/>
              <w:rPr>
                <w:color w:val="000000" w:themeColor="text1"/>
                <w:sz w:val="20"/>
                <w:szCs w:val="20"/>
              </w:rPr>
            </w:pPr>
          </w:p>
        </w:tc>
        <w:tc>
          <w:tcPr>
            <w:tcW w:w="277" w:type="pct"/>
            <w:tcBorders>
              <w:top w:val="nil"/>
              <w:left w:val="nil"/>
              <w:bottom w:val="nil"/>
              <w:right w:val="nil"/>
            </w:tcBorders>
          </w:tcPr>
          <w:p w14:paraId="08FE86CD" w14:textId="77777777" w:rsidR="00473E6D" w:rsidRPr="006B0749" w:rsidRDefault="00473E6D" w:rsidP="009A7344">
            <w:pPr>
              <w:ind w:right="-46"/>
              <w:jc w:val="center"/>
              <w:rPr>
                <w:color w:val="000000" w:themeColor="text1"/>
                <w:sz w:val="20"/>
                <w:szCs w:val="20"/>
              </w:rPr>
            </w:pPr>
          </w:p>
        </w:tc>
      </w:tr>
      <w:tr w:rsidR="006B0749" w:rsidRPr="006B0749" w14:paraId="5DD7D576" w14:textId="77777777" w:rsidTr="009A7344">
        <w:tc>
          <w:tcPr>
            <w:tcW w:w="1838" w:type="pct"/>
            <w:tcBorders>
              <w:top w:val="nil"/>
              <w:left w:val="nil"/>
              <w:bottom w:val="nil"/>
              <w:right w:val="nil"/>
            </w:tcBorders>
            <w:vAlign w:val="center"/>
          </w:tcPr>
          <w:p w14:paraId="605EBCC6" w14:textId="77777777" w:rsidR="00473E6D" w:rsidRPr="006B0749" w:rsidRDefault="00473E6D" w:rsidP="009A7344">
            <w:pPr>
              <w:ind w:right="-46"/>
              <w:rPr>
                <w:color w:val="000000" w:themeColor="text1"/>
                <w:sz w:val="20"/>
                <w:szCs w:val="20"/>
              </w:rPr>
            </w:pPr>
            <w:r w:rsidRPr="006B0749">
              <w:rPr>
                <w:color w:val="000000" w:themeColor="text1"/>
                <w:sz w:val="20"/>
                <w:szCs w:val="20"/>
              </w:rPr>
              <w:t>VLT (5)</w:t>
            </w:r>
          </w:p>
        </w:tc>
        <w:tc>
          <w:tcPr>
            <w:tcW w:w="491" w:type="pct"/>
            <w:tcBorders>
              <w:top w:val="nil"/>
              <w:left w:val="nil"/>
              <w:bottom w:val="nil"/>
              <w:right w:val="nil"/>
            </w:tcBorders>
            <w:vAlign w:val="center"/>
          </w:tcPr>
          <w:p w14:paraId="2D7CDA9D" w14:textId="77777777" w:rsidR="00473E6D" w:rsidRPr="006B0749" w:rsidRDefault="00473E6D" w:rsidP="009A7344">
            <w:pPr>
              <w:ind w:right="-46"/>
              <w:jc w:val="center"/>
              <w:rPr>
                <w:color w:val="000000" w:themeColor="text1"/>
                <w:sz w:val="20"/>
                <w:szCs w:val="20"/>
              </w:rPr>
            </w:pPr>
            <w:r w:rsidRPr="006B0749">
              <w:rPr>
                <w:color w:val="000000" w:themeColor="text1"/>
                <w:sz w:val="20"/>
                <w:szCs w:val="20"/>
              </w:rPr>
              <w:t>.19</w:t>
            </w:r>
          </w:p>
        </w:tc>
        <w:tc>
          <w:tcPr>
            <w:tcW w:w="491" w:type="pct"/>
            <w:tcBorders>
              <w:top w:val="nil"/>
              <w:left w:val="nil"/>
              <w:bottom w:val="nil"/>
              <w:right w:val="nil"/>
            </w:tcBorders>
            <w:vAlign w:val="center"/>
          </w:tcPr>
          <w:p w14:paraId="29DB74FB" w14:textId="77777777" w:rsidR="00473E6D" w:rsidRPr="006B0749" w:rsidRDefault="00473E6D" w:rsidP="009A7344">
            <w:pPr>
              <w:ind w:right="-46"/>
              <w:jc w:val="center"/>
              <w:rPr>
                <w:color w:val="000000" w:themeColor="text1"/>
                <w:sz w:val="20"/>
                <w:szCs w:val="20"/>
              </w:rPr>
            </w:pPr>
            <w:r w:rsidRPr="006B0749">
              <w:rPr>
                <w:color w:val="000000" w:themeColor="text1"/>
                <w:sz w:val="20"/>
                <w:szCs w:val="20"/>
              </w:rPr>
              <w:t>.01</w:t>
            </w:r>
          </w:p>
        </w:tc>
        <w:tc>
          <w:tcPr>
            <w:tcW w:w="491" w:type="pct"/>
            <w:tcBorders>
              <w:top w:val="nil"/>
              <w:left w:val="nil"/>
              <w:bottom w:val="nil"/>
              <w:right w:val="nil"/>
            </w:tcBorders>
            <w:vAlign w:val="center"/>
          </w:tcPr>
          <w:p w14:paraId="632380A5" w14:textId="77777777" w:rsidR="00473E6D" w:rsidRPr="006B0749" w:rsidRDefault="00473E6D" w:rsidP="009A7344">
            <w:pPr>
              <w:ind w:right="-46"/>
              <w:jc w:val="center"/>
              <w:rPr>
                <w:color w:val="000000" w:themeColor="text1"/>
                <w:sz w:val="20"/>
                <w:szCs w:val="20"/>
              </w:rPr>
            </w:pPr>
            <w:r w:rsidRPr="006B0749">
              <w:rPr>
                <w:color w:val="000000" w:themeColor="text1"/>
                <w:sz w:val="20"/>
                <w:szCs w:val="20"/>
              </w:rPr>
              <w:t>.55</w:t>
            </w:r>
            <w:r w:rsidRPr="006B0749">
              <w:rPr>
                <w:color w:val="000000" w:themeColor="text1"/>
                <w:sz w:val="20"/>
                <w:szCs w:val="20"/>
                <w:vertAlign w:val="superscript"/>
              </w:rPr>
              <w:t>**</w:t>
            </w:r>
          </w:p>
        </w:tc>
        <w:tc>
          <w:tcPr>
            <w:tcW w:w="491" w:type="pct"/>
            <w:tcBorders>
              <w:top w:val="nil"/>
              <w:left w:val="nil"/>
              <w:bottom w:val="nil"/>
              <w:right w:val="nil"/>
            </w:tcBorders>
            <w:vAlign w:val="center"/>
          </w:tcPr>
          <w:p w14:paraId="640B345F" w14:textId="77777777" w:rsidR="00473E6D" w:rsidRPr="006B0749" w:rsidRDefault="00473E6D" w:rsidP="009A7344">
            <w:pPr>
              <w:ind w:right="-46"/>
              <w:jc w:val="center"/>
              <w:rPr>
                <w:color w:val="000000" w:themeColor="text1"/>
                <w:sz w:val="20"/>
                <w:szCs w:val="20"/>
              </w:rPr>
            </w:pPr>
            <w:r w:rsidRPr="006B0749">
              <w:rPr>
                <w:color w:val="000000" w:themeColor="text1"/>
                <w:sz w:val="20"/>
                <w:szCs w:val="20"/>
              </w:rPr>
              <w:t>.44</w:t>
            </w:r>
            <w:r w:rsidRPr="006B0749">
              <w:rPr>
                <w:color w:val="000000" w:themeColor="text1"/>
                <w:sz w:val="20"/>
                <w:szCs w:val="20"/>
                <w:vertAlign w:val="superscript"/>
              </w:rPr>
              <w:t>**</w:t>
            </w:r>
          </w:p>
        </w:tc>
        <w:tc>
          <w:tcPr>
            <w:tcW w:w="491" w:type="pct"/>
            <w:tcBorders>
              <w:top w:val="nil"/>
              <w:left w:val="nil"/>
              <w:bottom w:val="nil"/>
              <w:right w:val="nil"/>
            </w:tcBorders>
            <w:vAlign w:val="center"/>
          </w:tcPr>
          <w:p w14:paraId="1CE51913" w14:textId="77777777" w:rsidR="00473E6D" w:rsidRPr="006B0749" w:rsidRDefault="00473E6D" w:rsidP="009A7344">
            <w:pPr>
              <w:ind w:right="-46"/>
              <w:jc w:val="center"/>
              <w:rPr>
                <w:color w:val="000000" w:themeColor="text1"/>
                <w:sz w:val="20"/>
                <w:szCs w:val="20"/>
              </w:rPr>
            </w:pPr>
            <w:r w:rsidRPr="006B0749">
              <w:rPr>
                <w:color w:val="000000" w:themeColor="text1"/>
                <w:sz w:val="20"/>
                <w:szCs w:val="20"/>
              </w:rPr>
              <w:t>1</w:t>
            </w:r>
          </w:p>
        </w:tc>
        <w:tc>
          <w:tcPr>
            <w:tcW w:w="216" w:type="pct"/>
            <w:tcBorders>
              <w:top w:val="nil"/>
              <w:left w:val="nil"/>
              <w:bottom w:val="nil"/>
              <w:right w:val="nil"/>
            </w:tcBorders>
            <w:vAlign w:val="center"/>
          </w:tcPr>
          <w:p w14:paraId="1BFFAB59" w14:textId="77777777" w:rsidR="00473E6D" w:rsidRPr="006B0749" w:rsidRDefault="00473E6D" w:rsidP="009A7344">
            <w:pPr>
              <w:ind w:right="-46"/>
              <w:jc w:val="center"/>
              <w:rPr>
                <w:color w:val="000000" w:themeColor="text1"/>
                <w:sz w:val="20"/>
                <w:szCs w:val="20"/>
              </w:rPr>
            </w:pPr>
          </w:p>
        </w:tc>
        <w:tc>
          <w:tcPr>
            <w:tcW w:w="216" w:type="pct"/>
            <w:tcBorders>
              <w:top w:val="nil"/>
              <w:left w:val="nil"/>
              <w:bottom w:val="nil"/>
              <w:right w:val="nil"/>
            </w:tcBorders>
          </w:tcPr>
          <w:p w14:paraId="3A5D26B6" w14:textId="77777777" w:rsidR="00473E6D" w:rsidRPr="006B0749" w:rsidRDefault="00473E6D" w:rsidP="009A7344">
            <w:pPr>
              <w:ind w:right="-46"/>
              <w:jc w:val="center"/>
              <w:rPr>
                <w:color w:val="000000" w:themeColor="text1"/>
                <w:sz w:val="20"/>
                <w:szCs w:val="20"/>
              </w:rPr>
            </w:pPr>
          </w:p>
        </w:tc>
        <w:tc>
          <w:tcPr>
            <w:tcW w:w="277" w:type="pct"/>
            <w:tcBorders>
              <w:top w:val="nil"/>
              <w:left w:val="nil"/>
              <w:bottom w:val="nil"/>
              <w:right w:val="nil"/>
            </w:tcBorders>
          </w:tcPr>
          <w:p w14:paraId="22A2E27F" w14:textId="77777777" w:rsidR="00473E6D" w:rsidRPr="006B0749" w:rsidRDefault="00473E6D" w:rsidP="009A7344">
            <w:pPr>
              <w:ind w:right="-46"/>
              <w:jc w:val="center"/>
              <w:rPr>
                <w:color w:val="000000" w:themeColor="text1"/>
                <w:sz w:val="20"/>
                <w:szCs w:val="20"/>
              </w:rPr>
            </w:pPr>
          </w:p>
        </w:tc>
      </w:tr>
      <w:tr w:rsidR="006B0749" w:rsidRPr="006B0749" w14:paraId="71E8BD86" w14:textId="77777777" w:rsidTr="009A7344">
        <w:tc>
          <w:tcPr>
            <w:tcW w:w="1838" w:type="pct"/>
            <w:tcBorders>
              <w:top w:val="nil"/>
              <w:left w:val="nil"/>
              <w:bottom w:val="nil"/>
              <w:right w:val="nil"/>
            </w:tcBorders>
            <w:vAlign w:val="center"/>
          </w:tcPr>
          <w:p w14:paraId="3C24F9F7" w14:textId="77777777" w:rsidR="00473E6D" w:rsidRPr="006B0749" w:rsidRDefault="00473E6D" w:rsidP="009A7344">
            <w:pPr>
              <w:ind w:right="-46"/>
              <w:rPr>
                <w:color w:val="000000" w:themeColor="text1"/>
                <w:sz w:val="20"/>
                <w:szCs w:val="20"/>
              </w:rPr>
            </w:pPr>
            <w:r w:rsidRPr="006B0749">
              <w:rPr>
                <w:color w:val="000000" w:themeColor="text1"/>
                <w:sz w:val="20"/>
                <w:szCs w:val="20"/>
              </w:rPr>
              <w:t>Vocabulary (6)</w:t>
            </w:r>
          </w:p>
        </w:tc>
        <w:tc>
          <w:tcPr>
            <w:tcW w:w="491" w:type="pct"/>
            <w:tcBorders>
              <w:top w:val="nil"/>
              <w:left w:val="nil"/>
              <w:bottom w:val="nil"/>
              <w:right w:val="nil"/>
            </w:tcBorders>
            <w:vAlign w:val="center"/>
          </w:tcPr>
          <w:p w14:paraId="71965A5C" w14:textId="77777777" w:rsidR="00473E6D" w:rsidRPr="006B0749" w:rsidRDefault="00473E6D" w:rsidP="009A7344">
            <w:pPr>
              <w:ind w:right="-46"/>
              <w:jc w:val="center"/>
              <w:rPr>
                <w:color w:val="000000" w:themeColor="text1"/>
                <w:sz w:val="20"/>
                <w:szCs w:val="20"/>
              </w:rPr>
            </w:pPr>
            <w:r w:rsidRPr="006B0749">
              <w:rPr>
                <w:color w:val="000000" w:themeColor="text1"/>
                <w:sz w:val="20"/>
                <w:szCs w:val="20"/>
              </w:rPr>
              <w:t>.25*</w:t>
            </w:r>
          </w:p>
        </w:tc>
        <w:tc>
          <w:tcPr>
            <w:tcW w:w="491" w:type="pct"/>
            <w:tcBorders>
              <w:top w:val="nil"/>
              <w:left w:val="nil"/>
              <w:bottom w:val="nil"/>
              <w:right w:val="nil"/>
            </w:tcBorders>
            <w:vAlign w:val="center"/>
          </w:tcPr>
          <w:p w14:paraId="30156F43" w14:textId="77777777" w:rsidR="00473E6D" w:rsidRPr="006B0749" w:rsidRDefault="00473E6D" w:rsidP="009A7344">
            <w:pPr>
              <w:ind w:right="-46"/>
              <w:jc w:val="center"/>
              <w:rPr>
                <w:color w:val="000000" w:themeColor="text1"/>
                <w:sz w:val="20"/>
                <w:szCs w:val="20"/>
              </w:rPr>
            </w:pPr>
            <w:r w:rsidRPr="006B0749">
              <w:rPr>
                <w:color w:val="000000" w:themeColor="text1"/>
                <w:sz w:val="20"/>
                <w:szCs w:val="20"/>
              </w:rPr>
              <w:t>.41</w:t>
            </w:r>
            <w:r w:rsidRPr="006B0749">
              <w:rPr>
                <w:color w:val="000000" w:themeColor="text1"/>
                <w:sz w:val="20"/>
                <w:szCs w:val="20"/>
                <w:vertAlign w:val="superscript"/>
              </w:rPr>
              <w:t>**</w:t>
            </w:r>
          </w:p>
        </w:tc>
        <w:tc>
          <w:tcPr>
            <w:tcW w:w="491" w:type="pct"/>
            <w:tcBorders>
              <w:top w:val="nil"/>
              <w:left w:val="nil"/>
              <w:bottom w:val="nil"/>
              <w:right w:val="nil"/>
            </w:tcBorders>
            <w:vAlign w:val="center"/>
          </w:tcPr>
          <w:p w14:paraId="415A3049" w14:textId="77777777" w:rsidR="00473E6D" w:rsidRPr="006B0749" w:rsidRDefault="00473E6D" w:rsidP="009A7344">
            <w:pPr>
              <w:ind w:right="-46"/>
              <w:jc w:val="center"/>
              <w:rPr>
                <w:color w:val="000000" w:themeColor="text1"/>
                <w:sz w:val="20"/>
                <w:szCs w:val="20"/>
              </w:rPr>
            </w:pPr>
            <w:r w:rsidRPr="006B0749">
              <w:rPr>
                <w:color w:val="000000" w:themeColor="text1"/>
                <w:sz w:val="20"/>
                <w:szCs w:val="20"/>
              </w:rPr>
              <w:t>.83</w:t>
            </w:r>
            <w:r w:rsidRPr="006B0749">
              <w:rPr>
                <w:color w:val="000000" w:themeColor="text1"/>
                <w:sz w:val="20"/>
                <w:szCs w:val="20"/>
                <w:vertAlign w:val="superscript"/>
              </w:rPr>
              <w:t>**</w:t>
            </w:r>
          </w:p>
        </w:tc>
        <w:tc>
          <w:tcPr>
            <w:tcW w:w="491" w:type="pct"/>
            <w:tcBorders>
              <w:top w:val="nil"/>
              <w:left w:val="nil"/>
              <w:bottom w:val="nil"/>
              <w:right w:val="nil"/>
            </w:tcBorders>
            <w:vAlign w:val="center"/>
          </w:tcPr>
          <w:p w14:paraId="3BFB3D48" w14:textId="77777777" w:rsidR="00473E6D" w:rsidRPr="006B0749" w:rsidRDefault="00473E6D" w:rsidP="009A7344">
            <w:pPr>
              <w:ind w:right="-46"/>
              <w:jc w:val="center"/>
              <w:rPr>
                <w:color w:val="000000" w:themeColor="text1"/>
                <w:sz w:val="20"/>
                <w:szCs w:val="20"/>
              </w:rPr>
            </w:pPr>
            <w:r w:rsidRPr="006B0749">
              <w:rPr>
                <w:color w:val="000000" w:themeColor="text1"/>
                <w:sz w:val="20"/>
                <w:szCs w:val="20"/>
              </w:rPr>
              <w:t>.67</w:t>
            </w:r>
            <w:r w:rsidRPr="006B0749">
              <w:rPr>
                <w:color w:val="000000" w:themeColor="text1"/>
                <w:sz w:val="20"/>
                <w:szCs w:val="20"/>
                <w:vertAlign w:val="superscript"/>
              </w:rPr>
              <w:t>**</w:t>
            </w:r>
          </w:p>
        </w:tc>
        <w:tc>
          <w:tcPr>
            <w:tcW w:w="491" w:type="pct"/>
            <w:tcBorders>
              <w:top w:val="nil"/>
              <w:left w:val="nil"/>
              <w:bottom w:val="nil"/>
              <w:right w:val="nil"/>
            </w:tcBorders>
            <w:vAlign w:val="center"/>
          </w:tcPr>
          <w:p w14:paraId="306AC80D" w14:textId="77777777" w:rsidR="00473E6D" w:rsidRPr="006B0749" w:rsidRDefault="00473E6D" w:rsidP="009A7344">
            <w:pPr>
              <w:ind w:right="-46"/>
              <w:jc w:val="center"/>
              <w:rPr>
                <w:color w:val="000000" w:themeColor="text1"/>
                <w:sz w:val="20"/>
                <w:szCs w:val="20"/>
              </w:rPr>
            </w:pPr>
            <w:r w:rsidRPr="006B0749">
              <w:rPr>
                <w:color w:val="000000" w:themeColor="text1"/>
                <w:sz w:val="20"/>
                <w:szCs w:val="20"/>
              </w:rPr>
              <w:t>.78</w:t>
            </w:r>
            <w:r w:rsidRPr="006B0749">
              <w:rPr>
                <w:color w:val="000000" w:themeColor="text1"/>
                <w:sz w:val="20"/>
                <w:szCs w:val="20"/>
                <w:vertAlign w:val="superscript"/>
              </w:rPr>
              <w:t>**</w:t>
            </w:r>
          </w:p>
        </w:tc>
        <w:tc>
          <w:tcPr>
            <w:tcW w:w="216" w:type="pct"/>
            <w:tcBorders>
              <w:top w:val="nil"/>
              <w:left w:val="nil"/>
              <w:bottom w:val="nil"/>
              <w:right w:val="nil"/>
            </w:tcBorders>
            <w:vAlign w:val="center"/>
          </w:tcPr>
          <w:p w14:paraId="0B896CD9" w14:textId="77777777" w:rsidR="00473E6D" w:rsidRPr="006B0749" w:rsidRDefault="00473E6D" w:rsidP="009A7344">
            <w:pPr>
              <w:ind w:right="-46"/>
              <w:jc w:val="center"/>
              <w:rPr>
                <w:color w:val="000000" w:themeColor="text1"/>
                <w:sz w:val="20"/>
                <w:szCs w:val="20"/>
              </w:rPr>
            </w:pPr>
            <w:r w:rsidRPr="006B0749">
              <w:rPr>
                <w:color w:val="000000" w:themeColor="text1"/>
                <w:sz w:val="20"/>
                <w:szCs w:val="20"/>
              </w:rPr>
              <w:t>1</w:t>
            </w:r>
          </w:p>
        </w:tc>
        <w:tc>
          <w:tcPr>
            <w:tcW w:w="216" w:type="pct"/>
            <w:tcBorders>
              <w:top w:val="nil"/>
              <w:left w:val="nil"/>
              <w:bottom w:val="nil"/>
              <w:right w:val="nil"/>
            </w:tcBorders>
          </w:tcPr>
          <w:p w14:paraId="3221774E" w14:textId="77777777" w:rsidR="00473E6D" w:rsidRPr="006B0749" w:rsidRDefault="00473E6D" w:rsidP="009A7344">
            <w:pPr>
              <w:ind w:right="-46"/>
              <w:jc w:val="center"/>
              <w:rPr>
                <w:color w:val="000000" w:themeColor="text1"/>
                <w:sz w:val="20"/>
                <w:szCs w:val="20"/>
              </w:rPr>
            </w:pPr>
          </w:p>
        </w:tc>
        <w:tc>
          <w:tcPr>
            <w:tcW w:w="277" w:type="pct"/>
            <w:tcBorders>
              <w:top w:val="nil"/>
              <w:left w:val="nil"/>
              <w:bottom w:val="nil"/>
              <w:right w:val="nil"/>
            </w:tcBorders>
          </w:tcPr>
          <w:p w14:paraId="48EAC733" w14:textId="77777777" w:rsidR="00473E6D" w:rsidRPr="006B0749" w:rsidRDefault="00473E6D" w:rsidP="009A7344">
            <w:pPr>
              <w:ind w:right="-46"/>
              <w:jc w:val="center"/>
              <w:rPr>
                <w:color w:val="000000" w:themeColor="text1"/>
                <w:sz w:val="20"/>
                <w:szCs w:val="20"/>
              </w:rPr>
            </w:pPr>
          </w:p>
        </w:tc>
      </w:tr>
      <w:tr w:rsidR="006B0749" w:rsidRPr="006B0749" w14:paraId="78F0E112" w14:textId="77777777" w:rsidTr="009A7344">
        <w:tc>
          <w:tcPr>
            <w:tcW w:w="1838" w:type="pct"/>
            <w:tcBorders>
              <w:top w:val="nil"/>
              <w:left w:val="nil"/>
              <w:bottom w:val="nil"/>
              <w:right w:val="nil"/>
            </w:tcBorders>
            <w:vAlign w:val="center"/>
          </w:tcPr>
          <w:p w14:paraId="08BBC142" w14:textId="77777777" w:rsidR="00473E6D" w:rsidRPr="006B0749" w:rsidRDefault="00473E6D" w:rsidP="009A7344">
            <w:pPr>
              <w:ind w:right="-46"/>
              <w:rPr>
                <w:color w:val="000000" w:themeColor="text1"/>
                <w:sz w:val="20"/>
                <w:szCs w:val="20"/>
              </w:rPr>
            </w:pPr>
            <w:r w:rsidRPr="006B0749">
              <w:rPr>
                <w:color w:val="000000" w:themeColor="text1"/>
                <w:sz w:val="20"/>
                <w:szCs w:val="20"/>
              </w:rPr>
              <w:t>Speaking (7)</w:t>
            </w:r>
          </w:p>
        </w:tc>
        <w:tc>
          <w:tcPr>
            <w:tcW w:w="491" w:type="pct"/>
            <w:tcBorders>
              <w:top w:val="nil"/>
              <w:left w:val="nil"/>
              <w:bottom w:val="nil"/>
              <w:right w:val="nil"/>
            </w:tcBorders>
            <w:vAlign w:val="center"/>
          </w:tcPr>
          <w:p w14:paraId="25F1B2F5" w14:textId="77777777" w:rsidR="00473E6D" w:rsidRPr="006B0749" w:rsidRDefault="00473E6D" w:rsidP="009A7344">
            <w:pPr>
              <w:ind w:right="-46"/>
              <w:jc w:val="center"/>
              <w:rPr>
                <w:color w:val="000000" w:themeColor="text1"/>
                <w:sz w:val="20"/>
                <w:szCs w:val="20"/>
              </w:rPr>
            </w:pPr>
            <w:r w:rsidRPr="006B0749">
              <w:rPr>
                <w:color w:val="000000" w:themeColor="text1"/>
                <w:sz w:val="20"/>
                <w:szCs w:val="20"/>
              </w:rPr>
              <w:t>.24</w:t>
            </w:r>
          </w:p>
        </w:tc>
        <w:tc>
          <w:tcPr>
            <w:tcW w:w="491" w:type="pct"/>
            <w:tcBorders>
              <w:top w:val="nil"/>
              <w:left w:val="nil"/>
              <w:bottom w:val="nil"/>
              <w:right w:val="nil"/>
            </w:tcBorders>
            <w:vAlign w:val="center"/>
          </w:tcPr>
          <w:p w14:paraId="446B1A66" w14:textId="77777777" w:rsidR="00473E6D" w:rsidRPr="006B0749" w:rsidRDefault="00473E6D" w:rsidP="009A7344">
            <w:pPr>
              <w:ind w:right="-46"/>
              <w:jc w:val="center"/>
              <w:rPr>
                <w:color w:val="000000" w:themeColor="text1"/>
                <w:sz w:val="20"/>
                <w:szCs w:val="20"/>
              </w:rPr>
            </w:pPr>
            <w:r w:rsidRPr="006B0749">
              <w:rPr>
                <w:color w:val="000000" w:themeColor="text1"/>
                <w:sz w:val="20"/>
                <w:szCs w:val="20"/>
              </w:rPr>
              <w:t>.33</w:t>
            </w:r>
            <w:r w:rsidRPr="006B0749">
              <w:rPr>
                <w:color w:val="000000" w:themeColor="text1"/>
                <w:sz w:val="20"/>
                <w:szCs w:val="20"/>
                <w:vertAlign w:val="superscript"/>
              </w:rPr>
              <w:t>*</w:t>
            </w:r>
          </w:p>
        </w:tc>
        <w:tc>
          <w:tcPr>
            <w:tcW w:w="491" w:type="pct"/>
            <w:tcBorders>
              <w:top w:val="nil"/>
              <w:left w:val="nil"/>
              <w:bottom w:val="nil"/>
              <w:right w:val="nil"/>
            </w:tcBorders>
            <w:vAlign w:val="center"/>
          </w:tcPr>
          <w:p w14:paraId="5BE09A23" w14:textId="77777777" w:rsidR="00473E6D" w:rsidRPr="006B0749" w:rsidRDefault="00473E6D" w:rsidP="009A7344">
            <w:pPr>
              <w:ind w:right="-46"/>
              <w:jc w:val="center"/>
              <w:rPr>
                <w:color w:val="000000" w:themeColor="text1"/>
                <w:sz w:val="20"/>
                <w:szCs w:val="20"/>
              </w:rPr>
            </w:pPr>
            <w:r w:rsidRPr="006B0749">
              <w:rPr>
                <w:color w:val="000000" w:themeColor="text1"/>
                <w:sz w:val="20"/>
                <w:szCs w:val="20"/>
              </w:rPr>
              <w:t>.30</w:t>
            </w:r>
            <w:r w:rsidRPr="006B0749">
              <w:rPr>
                <w:color w:val="000000" w:themeColor="text1"/>
                <w:sz w:val="20"/>
                <w:szCs w:val="20"/>
                <w:vertAlign w:val="superscript"/>
              </w:rPr>
              <w:t>*</w:t>
            </w:r>
          </w:p>
        </w:tc>
        <w:tc>
          <w:tcPr>
            <w:tcW w:w="491" w:type="pct"/>
            <w:tcBorders>
              <w:top w:val="nil"/>
              <w:left w:val="nil"/>
              <w:bottom w:val="nil"/>
              <w:right w:val="nil"/>
            </w:tcBorders>
            <w:vAlign w:val="center"/>
          </w:tcPr>
          <w:p w14:paraId="52861DCF" w14:textId="77777777" w:rsidR="00473E6D" w:rsidRPr="006B0749" w:rsidRDefault="00473E6D" w:rsidP="009A7344">
            <w:pPr>
              <w:ind w:right="-46"/>
              <w:jc w:val="center"/>
              <w:rPr>
                <w:color w:val="000000" w:themeColor="text1"/>
                <w:sz w:val="20"/>
                <w:szCs w:val="20"/>
              </w:rPr>
            </w:pPr>
            <w:r w:rsidRPr="006B0749">
              <w:rPr>
                <w:color w:val="000000" w:themeColor="text1"/>
                <w:sz w:val="20"/>
                <w:szCs w:val="20"/>
              </w:rPr>
              <w:t>.32</w:t>
            </w:r>
            <w:r w:rsidRPr="006B0749">
              <w:rPr>
                <w:color w:val="000000" w:themeColor="text1"/>
                <w:sz w:val="20"/>
                <w:szCs w:val="20"/>
                <w:vertAlign w:val="superscript"/>
              </w:rPr>
              <w:t>*</w:t>
            </w:r>
          </w:p>
        </w:tc>
        <w:tc>
          <w:tcPr>
            <w:tcW w:w="491" w:type="pct"/>
            <w:tcBorders>
              <w:top w:val="nil"/>
              <w:left w:val="nil"/>
              <w:bottom w:val="nil"/>
              <w:right w:val="nil"/>
            </w:tcBorders>
            <w:vAlign w:val="center"/>
          </w:tcPr>
          <w:p w14:paraId="7E327A04" w14:textId="77777777" w:rsidR="00473E6D" w:rsidRPr="006B0749" w:rsidRDefault="00473E6D" w:rsidP="009A7344">
            <w:pPr>
              <w:ind w:right="-46"/>
              <w:jc w:val="center"/>
              <w:rPr>
                <w:color w:val="000000" w:themeColor="text1"/>
                <w:sz w:val="20"/>
                <w:szCs w:val="20"/>
              </w:rPr>
            </w:pPr>
            <w:r w:rsidRPr="006B0749">
              <w:rPr>
                <w:color w:val="000000" w:themeColor="text1"/>
                <w:sz w:val="20"/>
                <w:szCs w:val="20"/>
              </w:rPr>
              <w:t>.47</w:t>
            </w:r>
            <w:r w:rsidRPr="006B0749">
              <w:rPr>
                <w:color w:val="000000" w:themeColor="text1"/>
                <w:sz w:val="20"/>
                <w:szCs w:val="20"/>
                <w:vertAlign w:val="superscript"/>
              </w:rPr>
              <w:t>**</w:t>
            </w:r>
          </w:p>
        </w:tc>
        <w:tc>
          <w:tcPr>
            <w:tcW w:w="216" w:type="pct"/>
            <w:tcBorders>
              <w:top w:val="nil"/>
              <w:left w:val="nil"/>
              <w:bottom w:val="nil"/>
              <w:right w:val="nil"/>
            </w:tcBorders>
            <w:vAlign w:val="center"/>
          </w:tcPr>
          <w:p w14:paraId="717FFA44" w14:textId="77777777" w:rsidR="00473E6D" w:rsidRPr="006B0749" w:rsidRDefault="00473E6D" w:rsidP="009A7344">
            <w:pPr>
              <w:ind w:right="-46"/>
              <w:jc w:val="center"/>
              <w:rPr>
                <w:color w:val="000000" w:themeColor="text1"/>
                <w:sz w:val="20"/>
                <w:szCs w:val="20"/>
              </w:rPr>
            </w:pPr>
            <w:r w:rsidRPr="006B0749">
              <w:rPr>
                <w:color w:val="000000" w:themeColor="text1"/>
                <w:sz w:val="20"/>
                <w:szCs w:val="20"/>
              </w:rPr>
              <w:t>.51</w:t>
            </w:r>
            <w:r w:rsidRPr="006B0749">
              <w:rPr>
                <w:color w:val="000000" w:themeColor="text1"/>
                <w:sz w:val="20"/>
                <w:szCs w:val="20"/>
                <w:vertAlign w:val="superscript"/>
              </w:rPr>
              <w:t>**</w:t>
            </w:r>
          </w:p>
        </w:tc>
        <w:tc>
          <w:tcPr>
            <w:tcW w:w="216" w:type="pct"/>
            <w:tcBorders>
              <w:top w:val="nil"/>
              <w:left w:val="nil"/>
              <w:bottom w:val="nil"/>
              <w:right w:val="nil"/>
            </w:tcBorders>
          </w:tcPr>
          <w:p w14:paraId="55B0E4A2" w14:textId="77777777" w:rsidR="00473E6D" w:rsidRPr="006B0749" w:rsidRDefault="00473E6D" w:rsidP="009A7344">
            <w:pPr>
              <w:ind w:right="-46"/>
              <w:jc w:val="center"/>
              <w:rPr>
                <w:color w:val="000000" w:themeColor="text1"/>
                <w:sz w:val="20"/>
                <w:szCs w:val="20"/>
              </w:rPr>
            </w:pPr>
            <w:r w:rsidRPr="006B0749">
              <w:rPr>
                <w:color w:val="000000" w:themeColor="text1"/>
                <w:sz w:val="20"/>
                <w:szCs w:val="20"/>
              </w:rPr>
              <w:t>1</w:t>
            </w:r>
          </w:p>
        </w:tc>
        <w:tc>
          <w:tcPr>
            <w:tcW w:w="277" w:type="pct"/>
            <w:tcBorders>
              <w:top w:val="nil"/>
              <w:left w:val="nil"/>
              <w:bottom w:val="nil"/>
              <w:right w:val="nil"/>
            </w:tcBorders>
          </w:tcPr>
          <w:p w14:paraId="7E400446" w14:textId="77777777" w:rsidR="00473E6D" w:rsidRPr="006B0749" w:rsidRDefault="00473E6D" w:rsidP="009A7344">
            <w:pPr>
              <w:ind w:right="-46"/>
              <w:jc w:val="center"/>
              <w:rPr>
                <w:color w:val="000000" w:themeColor="text1"/>
                <w:sz w:val="20"/>
                <w:szCs w:val="20"/>
              </w:rPr>
            </w:pPr>
          </w:p>
        </w:tc>
      </w:tr>
      <w:tr w:rsidR="006B0749" w:rsidRPr="006B0749" w14:paraId="71ED5521" w14:textId="77777777" w:rsidTr="009A7344">
        <w:tc>
          <w:tcPr>
            <w:tcW w:w="1838" w:type="pct"/>
            <w:tcBorders>
              <w:top w:val="nil"/>
              <w:left w:val="nil"/>
              <w:right w:val="nil"/>
            </w:tcBorders>
            <w:vAlign w:val="center"/>
          </w:tcPr>
          <w:p w14:paraId="4BF76241" w14:textId="77777777" w:rsidR="00473E6D" w:rsidRPr="006B0749" w:rsidRDefault="00473E6D" w:rsidP="009A7344">
            <w:pPr>
              <w:ind w:right="-46"/>
              <w:rPr>
                <w:color w:val="000000" w:themeColor="text1"/>
                <w:sz w:val="20"/>
                <w:szCs w:val="20"/>
              </w:rPr>
            </w:pPr>
            <w:r w:rsidRPr="006B0749">
              <w:rPr>
                <w:color w:val="000000" w:themeColor="text1"/>
                <w:sz w:val="20"/>
                <w:szCs w:val="20"/>
              </w:rPr>
              <w:t>Writing (8)</w:t>
            </w:r>
          </w:p>
        </w:tc>
        <w:tc>
          <w:tcPr>
            <w:tcW w:w="491" w:type="pct"/>
            <w:tcBorders>
              <w:top w:val="nil"/>
              <w:left w:val="nil"/>
              <w:right w:val="nil"/>
            </w:tcBorders>
            <w:vAlign w:val="center"/>
          </w:tcPr>
          <w:p w14:paraId="6C81350C" w14:textId="77777777" w:rsidR="00473E6D" w:rsidRPr="006B0749" w:rsidRDefault="00473E6D" w:rsidP="009A7344">
            <w:pPr>
              <w:ind w:right="-46"/>
              <w:jc w:val="center"/>
              <w:rPr>
                <w:color w:val="000000" w:themeColor="text1"/>
                <w:sz w:val="20"/>
                <w:szCs w:val="20"/>
              </w:rPr>
            </w:pPr>
            <w:r w:rsidRPr="006B0749">
              <w:rPr>
                <w:color w:val="000000" w:themeColor="text1"/>
                <w:sz w:val="20"/>
                <w:szCs w:val="20"/>
              </w:rPr>
              <w:t>.82</w:t>
            </w:r>
            <w:r w:rsidRPr="006B0749">
              <w:rPr>
                <w:color w:val="000000" w:themeColor="text1"/>
                <w:sz w:val="20"/>
                <w:szCs w:val="20"/>
                <w:vertAlign w:val="superscript"/>
              </w:rPr>
              <w:t>**</w:t>
            </w:r>
          </w:p>
        </w:tc>
        <w:tc>
          <w:tcPr>
            <w:tcW w:w="491" w:type="pct"/>
            <w:tcBorders>
              <w:top w:val="nil"/>
              <w:left w:val="nil"/>
              <w:right w:val="nil"/>
            </w:tcBorders>
            <w:vAlign w:val="center"/>
          </w:tcPr>
          <w:p w14:paraId="33DCFA9B" w14:textId="77777777" w:rsidR="00473E6D" w:rsidRPr="006B0749" w:rsidRDefault="00473E6D" w:rsidP="009A7344">
            <w:pPr>
              <w:ind w:right="-46"/>
              <w:jc w:val="center"/>
              <w:rPr>
                <w:color w:val="000000" w:themeColor="text1"/>
                <w:sz w:val="20"/>
                <w:szCs w:val="20"/>
              </w:rPr>
            </w:pPr>
            <w:r w:rsidRPr="006B0749">
              <w:rPr>
                <w:color w:val="000000" w:themeColor="text1"/>
                <w:sz w:val="20"/>
                <w:szCs w:val="20"/>
              </w:rPr>
              <w:t>.60</w:t>
            </w:r>
            <w:r w:rsidRPr="006B0749">
              <w:rPr>
                <w:color w:val="000000" w:themeColor="text1"/>
                <w:sz w:val="20"/>
                <w:szCs w:val="20"/>
                <w:vertAlign w:val="superscript"/>
              </w:rPr>
              <w:t>**</w:t>
            </w:r>
          </w:p>
        </w:tc>
        <w:tc>
          <w:tcPr>
            <w:tcW w:w="491" w:type="pct"/>
            <w:tcBorders>
              <w:top w:val="nil"/>
              <w:left w:val="nil"/>
              <w:right w:val="nil"/>
            </w:tcBorders>
            <w:vAlign w:val="center"/>
          </w:tcPr>
          <w:p w14:paraId="3F86DFDB" w14:textId="77777777" w:rsidR="00473E6D" w:rsidRPr="006B0749" w:rsidRDefault="00473E6D" w:rsidP="009A7344">
            <w:pPr>
              <w:ind w:right="-46"/>
              <w:jc w:val="center"/>
              <w:rPr>
                <w:color w:val="000000" w:themeColor="text1"/>
                <w:sz w:val="20"/>
                <w:szCs w:val="20"/>
              </w:rPr>
            </w:pPr>
            <w:r w:rsidRPr="006B0749">
              <w:rPr>
                <w:color w:val="000000" w:themeColor="text1"/>
                <w:sz w:val="20"/>
                <w:szCs w:val="20"/>
              </w:rPr>
              <w:t>.47</w:t>
            </w:r>
            <w:r w:rsidRPr="006B0749">
              <w:rPr>
                <w:color w:val="000000" w:themeColor="text1"/>
                <w:sz w:val="20"/>
                <w:szCs w:val="20"/>
                <w:vertAlign w:val="superscript"/>
              </w:rPr>
              <w:t>**</w:t>
            </w:r>
          </w:p>
        </w:tc>
        <w:tc>
          <w:tcPr>
            <w:tcW w:w="491" w:type="pct"/>
            <w:tcBorders>
              <w:top w:val="nil"/>
              <w:left w:val="nil"/>
              <w:right w:val="nil"/>
            </w:tcBorders>
            <w:vAlign w:val="center"/>
          </w:tcPr>
          <w:p w14:paraId="34469C57" w14:textId="77777777" w:rsidR="00473E6D" w:rsidRPr="006B0749" w:rsidRDefault="00473E6D" w:rsidP="009A7344">
            <w:pPr>
              <w:ind w:right="-46"/>
              <w:jc w:val="center"/>
              <w:rPr>
                <w:color w:val="000000" w:themeColor="text1"/>
                <w:sz w:val="20"/>
                <w:szCs w:val="20"/>
              </w:rPr>
            </w:pPr>
            <w:r w:rsidRPr="006B0749">
              <w:rPr>
                <w:color w:val="000000" w:themeColor="text1"/>
                <w:sz w:val="20"/>
                <w:szCs w:val="20"/>
              </w:rPr>
              <w:t>.23</w:t>
            </w:r>
          </w:p>
        </w:tc>
        <w:tc>
          <w:tcPr>
            <w:tcW w:w="491" w:type="pct"/>
            <w:tcBorders>
              <w:top w:val="nil"/>
              <w:left w:val="nil"/>
              <w:right w:val="nil"/>
            </w:tcBorders>
            <w:vAlign w:val="center"/>
          </w:tcPr>
          <w:p w14:paraId="13E88FE6" w14:textId="77777777" w:rsidR="00473E6D" w:rsidRPr="006B0749" w:rsidRDefault="00473E6D" w:rsidP="009A7344">
            <w:pPr>
              <w:ind w:right="-46"/>
              <w:jc w:val="center"/>
              <w:rPr>
                <w:color w:val="000000" w:themeColor="text1"/>
                <w:sz w:val="20"/>
                <w:szCs w:val="20"/>
              </w:rPr>
            </w:pPr>
            <w:r w:rsidRPr="006B0749">
              <w:rPr>
                <w:color w:val="000000" w:themeColor="text1"/>
                <w:sz w:val="20"/>
                <w:szCs w:val="20"/>
              </w:rPr>
              <w:t>.19</w:t>
            </w:r>
          </w:p>
        </w:tc>
        <w:tc>
          <w:tcPr>
            <w:tcW w:w="216" w:type="pct"/>
            <w:tcBorders>
              <w:top w:val="nil"/>
              <w:left w:val="nil"/>
              <w:right w:val="nil"/>
            </w:tcBorders>
            <w:vAlign w:val="center"/>
          </w:tcPr>
          <w:p w14:paraId="5BE5194F" w14:textId="77777777" w:rsidR="00473E6D" w:rsidRPr="006B0749" w:rsidRDefault="00473E6D" w:rsidP="009A7344">
            <w:pPr>
              <w:ind w:right="-46"/>
              <w:jc w:val="center"/>
              <w:rPr>
                <w:color w:val="000000" w:themeColor="text1"/>
                <w:sz w:val="20"/>
                <w:szCs w:val="20"/>
              </w:rPr>
            </w:pPr>
            <w:r w:rsidRPr="006B0749">
              <w:rPr>
                <w:color w:val="000000" w:themeColor="text1"/>
                <w:sz w:val="20"/>
                <w:szCs w:val="20"/>
              </w:rPr>
              <w:t>.36</w:t>
            </w:r>
            <w:r w:rsidRPr="006B0749">
              <w:rPr>
                <w:color w:val="000000" w:themeColor="text1"/>
                <w:sz w:val="20"/>
                <w:szCs w:val="20"/>
                <w:vertAlign w:val="superscript"/>
              </w:rPr>
              <w:t>**</w:t>
            </w:r>
          </w:p>
        </w:tc>
        <w:tc>
          <w:tcPr>
            <w:tcW w:w="216" w:type="pct"/>
            <w:tcBorders>
              <w:top w:val="nil"/>
              <w:left w:val="nil"/>
              <w:right w:val="nil"/>
            </w:tcBorders>
          </w:tcPr>
          <w:p w14:paraId="7F08D2B9" w14:textId="77777777" w:rsidR="00473E6D" w:rsidRPr="006B0749" w:rsidRDefault="00473E6D" w:rsidP="009A7344">
            <w:pPr>
              <w:ind w:right="-46"/>
              <w:jc w:val="center"/>
              <w:rPr>
                <w:color w:val="000000" w:themeColor="text1"/>
                <w:sz w:val="20"/>
                <w:szCs w:val="20"/>
              </w:rPr>
            </w:pPr>
            <w:r w:rsidRPr="006B0749">
              <w:rPr>
                <w:color w:val="000000" w:themeColor="text1"/>
                <w:sz w:val="20"/>
                <w:szCs w:val="20"/>
              </w:rPr>
              <w:t>.37</w:t>
            </w:r>
            <w:r w:rsidRPr="006B0749">
              <w:rPr>
                <w:color w:val="000000" w:themeColor="text1"/>
                <w:sz w:val="20"/>
                <w:szCs w:val="20"/>
                <w:vertAlign w:val="superscript"/>
              </w:rPr>
              <w:t>**</w:t>
            </w:r>
          </w:p>
        </w:tc>
        <w:tc>
          <w:tcPr>
            <w:tcW w:w="277" w:type="pct"/>
            <w:tcBorders>
              <w:top w:val="nil"/>
              <w:left w:val="nil"/>
              <w:right w:val="nil"/>
            </w:tcBorders>
          </w:tcPr>
          <w:p w14:paraId="1088FA0C" w14:textId="77777777" w:rsidR="00473E6D" w:rsidRPr="006B0749" w:rsidRDefault="00473E6D" w:rsidP="009A7344">
            <w:pPr>
              <w:ind w:right="-46"/>
              <w:jc w:val="center"/>
              <w:rPr>
                <w:color w:val="000000" w:themeColor="text1"/>
                <w:sz w:val="20"/>
                <w:szCs w:val="20"/>
              </w:rPr>
            </w:pPr>
            <w:r w:rsidRPr="006B0749">
              <w:rPr>
                <w:color w:val="000000" w:themeColor="text1"/>
                <w:sz w:val="20"/>
                <w:szCs w:val="20"/>
              </w:rPr>
              <w:t>1</w:t>
            </w:r>
          </w:p>
        </w:tc>
      </w:tr>
    </w:tbl>
    <w:p w14:paraId="38E7CAB9" w14:textId="77777777" w:rsidR="00473E6D" w:rsidRPr="006B0749" w:rsidRDefault="00473E6D" w:rsidP="00473E6D">
      <w:pPr>
        <w:pStyle w:val="BodyText"/>
        <w:tabs>
          <w:tab w:val="left" w:pos="2988"/>
        </w:tabs>
        <w:spacing w:line="240" w:lineRule="auto"/>
        <w:ind w:firstLine="0"/>
        <w:jc w:val="both"/>
        <w:rPr>
          <w:bCs/>
          <w:color w:val="000000" w:themeColor="text1"/>
          <w:vertAlign w:val="superscript"/>
        </w:rPr>
      </w:pPr>
      <w:r w:rsidRPr="006B0749">
        <w:rPr>
          <w:bCs/>
          <w:i/>
          <w:iCs/>
          <w:color w:val="000000" w:themeColor="text1"/>
          <w:vertAlign w:val="superscript"/>
        </w:rPr>
        <w:t>Notes:</w:t>
      </w:r>
      <w:r w:rsidRPr="006B0749">
        <w:rPr>
          <w:bCs/>
          <w:color w:val="000000" w:themeColor="text1"/>
          <w:vertAlign w:val="superscript"/>
        </w:rPr>
        <w:t xml:space="preserve"> **</w:t>
      </w:r>
      <w:r w:rsidRPr="006B0749">
        <w:rPr>
          <w:bCs/>
          <w:i/>
          <w:iCs/>
          <w:color w:val="000000" w:themeColor="text1"/>
          <w:vertAlign w:val="superscript"/>
        </w:rPr>
        <w:t>p</w:t>
      </w:r>
      <w:r w:rsidRPr="006B0749">
        <w:rPr>
          <w:bCs/>
          <w:color w:val="000000" w:themeColor="text1"/>
          <w:vertAlign w:val="superscript"/>
        </w:rPr>
        <w:t xml:space="preserve"> &lt; 0.01 (2-tailed), *</w:t>
      </w:r>
      <w:r w:rsidRPr="006B0749">
        <w:rPr>
          <w:bCs/>
          <w:i/>
          <w:iCs/>
          <w:color w:val="000000" w:themeColor="text1"/>
          <w:vertAlign w:val="superscript"/>
        </w:rPr>
        <w:t>p</w:t>
      </w:r>
      <w:r w:rsidRPr="006B0749">
        <w:rPr>
          <w:bCs/>
          <w:color w:val="000000" w:themeColor="text1"/>
          <w:vertAlign w:val="superscript"/>
        </w:rPr>
        <w:t xml:space="preserve"> &lt; 0.05 (2-tailed),</w:t>
      </w:r>
    </w:p>
    <w:p w14:paraId="2F58FF3D" w14:textId="77777777" w:rsidR="00473E6D" w:rsidRPr="006B0749" w:rsidRDefault="00473E6D" w:rsidP="00473E6D">
      <w:pPr>
        <w:pStyle w:val="BodyText"/>
        <w:tabs>
          <w:tab w:val="left" w:pos="2988"/>
        </w:tabs>
        <w:spacing w:line="240" w:lineRule="auto"/>
        <w:ind w:firstLine="0"/>
        <w:jc w:val="both"/>
        <w:rPr>
          <w:bCs/>
          <w:color w:val="000000" w:themeColor="text1"/>
        </w:rPr>
      </w:pPr>
    </w:p>
    <w:p w14:paraId="04448D72" w14:textId="77777777" w:rsidR="00473E6D" w:rsidRPr="006B0749" w:rsidRDefault="00473E6D" w:rsidP="00473E6D">
      <w:pPr>
        <w:pStyle w:val="NormalWeb"/>
        <w:spacing w:before="0" w:beforeAutospacing="0" w:after="0" w:afterAutospacing="0"/>
        <w:jc w:val="both"/>
        <w:rPr>
          <w:color w:val="000000" w:themeColor="text1"/>
        </w:rPr>
      </w:pPr>
      <w:r w:rsidRPr="006B0749">
        <w:rPr>
          <w:color w:val="000000" w:themeColor="text1"/>
          <w:lang w:val="en-US"/>
        </w:rPr>
        <w:t xml:space="preserve">Stepwise multiple regression was also conducted to determine the role of individual vocabulary knowledge aspects in the </w:t>
      </w:r>
      <w:r w:rsidRPr="006B0749">
        <w:rPr>
          <w:color w:val="000000" w:themeColor="text1"/>
        </w:rPr>
        <w:t>L2 speaking ability of Thai university students, as predicted by various vocabulary knowledge tests. The overall stepwise regression provides a meaningful explanatory model (</w:t>
      </w:r>
      <w:r w:rsidRPr="006B0749">
        <w:rPr>
          <w:i/>
          <w:iCs/>
          <w:color w:val="000000" w:themeColor="text1"/>
        </w:rPr>
        <w:t>R</w:t>
      </w:r>
      <w:r w:rsidRPr="006B0749">
        <w:rPr>
          <w:color w:val="000000" w:themeColor="text1"/>
        </w:rPr>
        <w:t xml:space="preserve">² = .177, </w:t>
      </w:r>
      <w:r w:rsidRPr="006B0749">
        <w:rPr>
          <w:i/>
          <w:iCs/>
          <w:color w:val="000000" w:themeColor="text1"/>
        </w:rPr>
        <w:t>F</w:t>
      </w:r>
      <w:r w:rsidRPr="006B0749">
        <w:rPr>
          <w:color w:val="000000" w:themeColor="text1"/>
        </w:rPr>
        <w:t xml:space="preserve">(1,61) = 13.162, </w:t>
      </w:r>
      <w:r w:rsidRPr="006B0749">
        <w:rPr>
          <w:i/>
          <w:iCs/>
          <w:color w:val="000000" w:themeColor="text1"/>
        </w:rPr>
        <w:t>p</w:t>
      </w:r>
      <w:r w:rsidRPr="006B0749">
        <w:rPr>
          <w:color w:val="000000" w:themeColor="text1"/>
        </w:rPr>
        <w:t xml:space="preserve"> &lt; .001), demonstrating that 17.7% of the variance in L2 speaking performance is explained by VLT performance. The VLT significantly contributes to L2 speaking ability, with a standardised regression coefficient (β) of .42 (</w:t>
      </w:r>
      <w:r w:rsidRPr="006B0749">
        <w:rPr>
          <w:i/>
          <w:iCs/>
          <w:color w:val="000000" w:themeColor="text1"/>
        </w:rPr>
        <w:t>p</w:t>
      </w:r>
      <w:r w:rsidRPr="006B0749">
        <w:rPr>
          <w:color w:val="000000" w:themeColor="text1"/>
        </w:rPr>
        <w:t xml:space="preserve"> &lt; .001). The relative effect size for the predictor on speaking performance denoted as sr², is .421 (</w:t>
      </w:r>
      <w:r w:rsidRPr="006B0749">
        <w:rPr>
          <w:i/>
          <w:iCs/>
          <w:color w:val="000000" w:themeColor="text1"/>
        </w:rPr>
        <w:t>p</w:t>
      </w:r>
      <w:r w:rsidRPr="006B0749">
        <w:rPr>
          <w:color w:val="000000" w:themeColor="text1"/>
        </w:rPr>
        <w:t xml:space="preserve"> &lt; .001), indicating that the VLT has a more significant impact on L2 speaking performance than other vocabulary tests. The </w:t>
      </w:r>
      <w:proofErr w:type="spellStart"/>
      <w:r w:rsidRPr="006B0749">
        <w:rPr>
          <w:color w:val="000000" w:themeColor="text1"/>
        </w:rPr>
        <w:t>unstandardised</w:t>
      </w:r>
      <w:proofErr w:type="spellEnd"/>
      <w:r w:rsidRPr="006B0749">
        <w:rPr>
          <w:color w:val="000000" w:themeColor="text1"/>
        </w:rPr>
        <w:t xml:space="preserve"> regression coefficient or slope (B) for the VLT was .332 (</w:t>
      </w:r>
      <w:r w:rsidRPr="006B0749">
        <w:rPr>
          <w:i/>
          <w:iCs/>
          <w:color w:val="000000" w:themeColor="text1"/>
        </w:rPr>
        <w:t>t</w:t>
      </w:r>
      <w:r w:rsidRPr="006B0749">
        <w:rPr>
          <w:color w:val="000000" w:themeColor="text1"/>
        </w:rPr>
        <w:t xml:space="preserve"> = 3.628, </w:t>
      </w:r>
      <w:r w:rsidRPr="006B0749">
        <w:rPr>
          <w:i/>
          <w:iCs/>
          <w:color w:val="000000" w:themeColor="text1"/>
        </w:rPr>
        <w:t>p</w:t>
      </w:r>
      <w:r w:rsidRPr="006B0749">
        <w:rPr>
          <w:color w:val="000000" w:themeColor="text1"/>
        </w:rPr>
        <w:t xml:space="preserve"> &lt; .001), meaning that for each percentage increase in VLT performance, there is an average 0.332 percentage increase in speaking performance, holding other variables constant. For example, if a Thai university participant improves their VLT score by 10%, their L2 speaking performance is expected to increase by approximately 3.32%. The confidence intervals indicate 95% confidence that the VLT regression coefficient lies between 0.15 and 0.52.</w:t>
      </w:r>
    </w:p>
    <w:p w14:paraId="54F3106D" w14:textId="77777777" w:rsidR="00473E6D" w:rsidRPr="006B0749" w:rsidRDefault="00473E6D" w:rsidP="00473E6D">
      <w:pPr>
        <w:pStyle w:val="NormalWeb"/>
        <w:spacing w:before="0" w:beforeAutospacing="0" w:after="0" w:afterAutospacing="0"/>
        <w:jc w:val="both"/>
        <w:rPr>
          <w:color w:val="000000" w:themeColor="text1"/>
        </w:rPr>
      </w:pPr>
    </w:p>
    <w:p w14:paraId="0BCA006A" w14:textId="77777777" w:rsidR="00473E6D" w:rsidRPr="006B0749" w:rsidRDefault="00473E6D" w:rsidP="00473E6D">
      <w:pPr>
        <w:pStyle w:val="NormalWeb"/>
        <w:spacing w:before="0" w:beforeAutospacing="0" w:after="0" w:afterAutospacing="0"/>
        <w:jc w:val="both"/>
        <w:rPr>
          <w:color w:val="000000" w:themeColor="text1"/>
        </w:rPr>
      </w:pPr>
      <w:r w:rsidRPr="006B0749">
        <w:rPr>
          <w:color w:val="000000" w:themeColor="text1"/>
        </w:rPr>
        <w:t xml:space="preserve">Model 2 incorporated both the Vocabulary Levels Test (VLT) and the Word Associates Test (WAT), indicating that the model significantly improves the explanatory power of the regression model (R² = .288, </w:t>
      </w:r>
      <w:r w:rsidRPr="006B0749">
        <w:rPr>
          <w:i/>
          <w:iCs/>
          <w:color w:val="000000" w:themeColor="text1"/>
        </w:rPr>
        <w:t>F</w:t>
      </w:r>
      <w:r w:rsidRPr="006B0749">
        <w:rPr>
          <w:color w:val="000000" w:themeColor="text1"/>
        </w:rPr>
        <w:t xml:space="preserve">(2,60) = 12.130, </w:t>
      </w:r>
      <w:r w:rsidRPr="006B0749">
        <w:rPr>
          <w:i/>
          <w:iCs/>
          <w:color w:val="000000" w:themeColor="text1"/>
        </w:rPr>
        <w:t>p</w:t>
      </w:r>
      <w:r w:rsidRPr="006B0749">
        <w:rPr>
          <w:color w:val="000000" w:themeColor="text1"/>
        </w:rPr>
        <w:t xml:space="preserve"> &lt; .001). With the addition of the WAT, the variance explained increased to 28.8%, indicating that these two tests better predict L2 </w:t>
      </w:r>
      <w:r w:rsidRPr="006B0749">
        <w:rPr>
          <w:color w:val="000000" w:themeColor="text1"/>
        </w:rPr>
        <w:lastRenderedPageBreak/>
        <w:t xml:space="preserve">speaking ability than the VLT alone. In Model 2, the VLT remained a significant predictor (B = .332, </w:t>
      </w:r>
      <w:r w:rsidRPr="006B0749">
        <w:rPr>
          <w:i/>
          <w:iCs/>
          <w:color w:val="000000" w:themeColor="text1"/>
        </w:rPr>
        <w:t>t</w:t>
      </w:r>
      <w:r w:rsidRPr="006B0749">
        <w:rPr>
          <w:color w:val="000000" w:themeColor="text1"/>
        </w:rPr>
        <w:t xml:space="preserve"> = 3.861, </w:t>
      </w:r>
      <w:r w:rsidRPr="006B0749">
        <w:rPr>
          <w:i/>
          <w:iCs/>
          <w:color w:val="000000" w:themeColor="text1"/>
        </w:rPr>
        <w:t>p</w:t>
      </w:r>
      <w:r w:rsidRPr="006B0749">
        <w:rPr>
          <w:color w:val="000000" w:themeColor="text1"/>
        </w:rPr>
        <w:t xml:space="preserve"> &lt; .001), with a 95% confidence interval of 0.16 to 0.50. This suggests that for each unit increase in VLT performance, L2 speaking performance increases by 0.332 percentage points, and there is a 95% chance that the actual value of this increase lies between 0.16 and 0.50 percentage points. The WAT also emerged as a significant predictor (B = .247, </w:t>
      </w:r>
      <w:r w:rsidRPr="006B0749">
        <w:rPr>
          <w:i/>
          <w:iCs/>
          <w:color w:val="000000" w:themeColor="text1"/>
        </w:rPr>
        <w:t xml:space="preserve">t </w:t>
      </w:r>
      <w:r w:rsidRPr="006B0749">
        <w:rPr>
          <w:color w:val="000000" w:themeColor="text1"/>
        </w:rPr>
        <w:t xml:space="preserve">= 3.050, </w:t>
      </w:r>
      <w:r w:rsidRPr="006B0749">
        <w:rPr>
          <w:i/>
          <w:iCs/>
          <w:color w:val="000000" w:themeColor="text1"/>
        </w:rPr>
        <w:t>p</w:t>
      </w:r>
      <w:r w:rsidRPr="006B0749">
        <w:rPr>
          <w:color w:val="000000" w:themeColor="text1"/>
        </w:rPr>
        <w:t xml:space="preserve"> = .003), with a 95% confidence interval of 0.09 to 0.41. This indicates that each unit increase in WAT performance leads to a 0.247 percentage point increase in L2 speaking performance, with a 95% confidence that this effect is between 0.09 and 0.41 percentage points.</w:t>
      </w:r>
    </w:p>
    <w:p w14:paraId="5F7E9BAD" w14:textId="77777777" w:rsidR="00473E6D" w:rsidRPr="006B0749" w:rsidRDefault="00473E6D" w:rsidP="00473E6D">
      <w:pPr>
        <w:pStyle w:val="NormalWeb"/>
        <w:spacing w:before="0" w:beforeAutospacing="0" w:after="0" w:afterAutospacing="0"/>
        <w:jc w:val="both"/>
        <w:rPr>
          <w:color w:val="000000" w:themeColor="text1"/>
        </w:rPr>
      </w:pPr>
    </w:p>
    <w:p w14:paraId="17272C65" w14:textId="77777777" w:rsidR="00473E6D" w:rsidRPr="006B0749" w:rsidRDefault="00473E6D" w:rsidP="00473E6D">
      <w:pPr>
        <w:pStyle w:val="NormalWeb"/>
        <w:spacing w:before="0" w:beforeAutospacing="0" w:after="0" w:afterAutospacing="0"/>
        <w:jc w:val="both"/>
        <w:rPr>
          <w:color w:val="000000" w:themeColor="text1"/>
        </w:rPr>
      </w:pPr>
      <w:r w:rsidRPr="006B0749">
        <w:rPr>
          <w:color w:val="000000" w:themeColor="text1"/>
        </w:rPr>
        <w:t>These findings highlight the importance of VLT and WAT in predicting L2 speaking performance. The VLT, with a relative effect size (sr²) of .421, had a more substantial impact on L2 speaking ability than the WAT (sr² = .366). This suggests that improvements in vocabulary knowledge as measured by the VLT are more strongly associated with gains in L2 speaking performance than those measured by the WAT. The significant contributions of both tests indicate that they assess different yet complementary aspects of vocabulary knowledge that are crucial for speaking proficiency.</w:t>
      </w:r>
    </w:p>
    <w:p w14:paraId="54DECB6C" w14:textId="77777777" w:rsidR="00473E6D" w:rsidRPr="006B0749" w:rsidRDefault="00473E6D" w:rsidP="00473E6D">
      <w:pPr>
        <w:pStyle w:val="NormalWeb"/>
        <w:spacing w:before="0" w:beforeAutospacing="0" w:after="0" w:afterAutospacing="0"/>
        <w:jc w:val="both"/>
        <w:rPr>
          <w:color w:val="000000" w:themeColor="text1"/>
        </w:rPr>
      </w:pPr>
    </w:p>
    <w:p w14:paraId="022ED8F0" w14:textId="77777777" w:rsidR="00473E6D" w:rsidRPr="006B0749" w:rsidRDefault="00473E6D" w:rsidP="00473E6D">
      <w:pPr>
        <w:pStyle w:val="BodyText"/>
        <w:tabs>
          <w:tab w:val="left" w:pos="2988"/>
        </w:tabs>
        <w:spacing w:line="240" w:lineRule="auto"/>
        <w:ind w:firstLine="0"/>
        <w:jc w:val="center"/>
        <w:rPr>
          <w:bCs/>
          <w:color w:val="000000" w:themeColor="text1"/>
          <w:sz w:val="18"/>
          <w:szCs w:val="18"/>
          <w:lang w:val="en-GB"/>
        </w:rPr>
      </w:pPr>
      <w:r w:rsidRPr="006B0749">
        <w:rPr>
          <w:bCs/>
          <w:color w:val="000000" w:themeColor="text1"/>
          <w:sz w:val="18"/>
          <w:szCs w:val="18"/>
          <w:lang w:val="en-GB"/>
        </w:rPr>
        <w:t>TABLE 3. Regression analysis of vocabulary knowledge explaining L2 speaking performance</w:t>
      </w:r>
    </w:p>
    <w:p w14:paraId="5A451579" w14:textId="77777777" w:rsidR="00473E6D" w:rsidRPr="006B0749" w:rsidRDefault="00473E6D" w:rsidP="00473E6D">
      <w:pPr>
        <w:pStyle w:val="BodyText"/>
        <w:tabs>
          <w:tab w:val="left" w:pos="2988"/>
        </w:tabs>
        <w:spacing w:line="240" w:lineRule="auto"/>
        <w:ind w:firstLine="0"/>
        <w:jc w:val="both"/>
        <w:rPr>
          <w:bCs/>
          <w:color w:val="000000" w:themeColor="text1"/>
        </w:rPr>
      </w:pPr>
    </w:p>
    <w:tbl>
      <w:tblPr>
        <w:tblStyle w:val="TableGrid"/>
        <w:tblW w:w="5000" w:type="pct"/>
        <w:tblLook w:val="04A0" w:firstRow="1" w:lastRow="0" w:firstColumn="1" w:lastColumn="0" w:noHBand="0" w:noVBand="1"/>
      </w:tblPr>
      <w:tblGrid>
        <w:gridCol w:w="1516"/>
        <w:gridCol w:w="1209"/>
        <w:gridCol w:w="1675"/>
        <w:gridCol w:w="894"/>
        <w:gridCol w:w="1051"/>
        <w:gridCol w:w="894"/>
        <w:gridCol w:w="894"/>
        <w:gridCol w:w="894"/>
      </w:tblGrid>
      <w:tr w:rsidR="006B0749" w:rsidRPr="006B0749" w14:paraId="053F4D9C" w14:textId="77777777" w:rsidTr="009A7344">
        <w:tc>
          <w:tcPr>
            <w:tcW w:w="840" w:type="pct"/>
            <w:tcBorders>
              <w:left w:val="nil"/>
              <w:bottom w:val="single" w:sz="4" w:space="0" w:color="000000" w:themeColor="text1"/>
              <w:right w:val="nil"/>
            </w:tcBorders>
            <w:vAlign w:val="center"/>
          </w:tcPr>
          <w:p w14:paraId="2755BC32" w14:textId="77777777" w:rsidR="00473E6D" w:rsidRPr="006B0749" w:rsidRDefault="00473E6D" w:rsidP="009A7344">
            <w:pPr>
              <w:ind w:right="-46"/>
              <w:rPr>
                <w:b/>
                <w:bCs/>
                <w:color w:val="000000" w:themeColor="text1"/>
                <w:sz w:val="20"/>
                <w:szCs w:val="20"/>
              </w:rPr>
            </w:pPr>
            <w:r w:rsidRPr="006B0749">
              <w:rPr>
                <w:b/>
                <w:bCs/>
                <w:color w:val="000000" w:themeColor="text1"/>
                <w:sz w:val="20"/>
                <w:szCs w:val="20"/>
              </w:rPr>
              <w:t>Variable</w:t>
            </w:r>
          </w:p>
        </w:tc>
        <w:tc>
          <w:tcPr>
            <w:tcW w:w="670" w:type="pct"/>
            <w:tcBorders>
              <w:left w:val="nil"/>
              <w:bottom w:val="single" w:sz="4" w:space="0" w:color="000000" w:themeColor="text1"/>
              <w:right w:val="nil"/>
            </w:tcBorders>
            <w:vAlign w:val="center"/>
          </w:tcPr>
          <w:p w14:paraId="1F219099" w14:textId="77777777" w:rsidR="00473E6D" w:rsidRPr="006B0749" w:rsidRDefault="00473E6D" w:rsidP="009A7344">
            <w:pPr>
              <w:ind w:right="-46"/>
              <w:jc w:val="center"/>
              <w:rPr>
                <w:b/>
                <w:bCs/>
                <w:color w:val="000000" w:themeColor="text1"/>
                <w:sz w:val="20"/>
                <w:szCs w:val="20"/>
              </w:rPr>
            </w:pPr>
            <w:r w:rsidRPr="006B0749">
              <w:rPr>
                <w:b/>
                <w:bCs/>
                <w:color w:val="000000" w:themeColor="text1"/>
                <w:sz w:val="20"/>
                <w:szCs w:val="20"/>
              </w:rPr>
              <w:t>B</w:t>
            </w:r>
          </w:p>
        </w:tc>
        <w:tc>
          <w:tcPr>
            <w:tcW w:w="928" w:type="pct"/>
            <w:tcBorders>
              <w:left w:val="nil"/>
              <w:bottom w:val="single" w:sz="4" w:space="0" w:color="000000" w:themeColor="text1"/>
              <w:right w:val="nil"/>
            </w:tcBorders>
            <w:vAlign w:val="center"/>
          </w:tcPr>
          <w:p w14:paraId="65B50D87" w14:textId="77777777" w:rsidR="00473E6D" w:rsidRPr="006B0749" w:rsidRDefault="00473E6D" w:rsidP="009A7344">
            <w:pPr>
              <w:ind w:right="-46"/>
              <w:jc w:val="center"/>
              <w:rPr>
                <w:b/>
                <w:bCs/>
                <w:color w:val="000000" w:themeColor="text1"/>
                <w:sz w:val="20"/>
                <w:szCs w:val="20"/>
              </w:rPr>
            </w:pPr>
            <w:r w:rsidRPr="006B0749">
              <w:rPr>
                <w:b/>
                <w:bCs/>
                <w:color w:val="000000" w:themeColor="text1"/>
                <w:sz w:val="20"/>
                <w:szCs w:val="20"/>
              </w:rPr>
              <w:t>Std. error</w:t>
            </w:r>
          </w:p>
        </w:tc>
        <w:tc>
          <w:tcPr>
            <w:tcW w:w="495" w:type="pct"/>
            <w:tcBorders>
              <w:left w:val="nil"/>
              <w:bottom w:val="single" w:sz="4" w:space="0" w:color="000000" w:themeColor="text1"/>
              <w:right w:val="nil"/>
            </w:tcBorders>
            <w:vAlign w:val="center"/>
          </w:tcPr>
          <w:p w14:paraId="6DD4ECFA" w14:textId="77777777" w:rsidR="00473E6D" w:rsidRPr="006B0749" w:rsidRDefault="00473E6D" w:rsidP="009A7344">
            <w:pPr>
              <w:ind w:right="-46"/>
              <w:jc w:val="center"/>
              <w:rPr>
                <w:b/>
                <w:bCs/>
                <w:i/>
                <w:iCs/>
                <w:color w:val="000000" w:themeColor="text1"/>
                <w:sz w:val="20"/>
                <w:szCs w:val="20"/>
                <w:cs/>
              </w:rPr>
            </w:pPr>
            <w:r w:rsidRPr="006B0749">
              <w:rPr>
                <w:b/>
                <w:bCs/>
                <w:i/>
                <w:iCs/>
                <w:color w:val="000000" w:themeColor="text1"/>
                <w:sz w:val="20"/>
                <w:szCs w:val="20"/>
              </w:rPr>
              <w:sym w:font="Symbol" w:char="F062"/>
            </w:r>
          </w:p>
        </w:tc>
        <w:tc>
          <w:tcPr>
            <w:tcW w:w="582" w:type="pct"/>
            <w:tcBorders>
              <w:left w:val="nil"/>
              <w:bottom w:val="single" w:sz="4" w:space="0" w:color="000000" w:themeColor="text1"/>
              <w:right w:val="nil"/>
            </w:tcBorders>
            <w:vAlign w:val="center"/>
          </w:tcPr>
          <w:p w14:paraId="1C94131B" w14:textId="77777777" w:rsidR="00473E6D" w:rsidRPr="006B0749" w:rsidRDefault="00473E6D" w:rsidP="009A7344">
            <w:pPr>
              <w:ind w:right="-46"/>
              <w:jc w:val="center"/>
              <w:rPr>
                <w:b/>
                <w:bCs/>
                <w:i/>
                <w:iCs/>
                <w:color w:val="000000" w:themeColor="text1"/>
                <w:sz w:val="20"/>
                <w:szCs w:val="20"/>
              </w:rPr>
            </w:pPr>
            <w:r w:rsidRPr="006B0749">
              <w:rPr>
                <w:b/>
                <w:bCs/>
                <w:i/>
                <w:iCs/>
                <w:color w:val="000000" w:themeColor="text1"/>
                <w:sz w:val="20"/>
                <w:szCs w:val="20"/>
              </w:rPr>
              <w:t>t</w:t>
            </w:r>
          </w:p>
        </w:tc>
        <w:tc>
          <w:tcPr>
            <w:tcW w:w="495" w:type="pct"/>
            <w:tcBorders>
              <w:left w:val="nil"/>
              <w:bottom w:val="single" w:sz="4" w:space="0" w:color="000000" w:themeColor="text1"/>
              <w:right w:val="nil"/>
            </w:tcBorders>
            <w:vAlign w:val="center"/>
          </w:tcPr>
          <w:p w14:paraId="77ADB604" w14:textId="77777777" w:rsidR="00473E6D" w:rsidRPr="006B0749" w:rsidRDefault="00473E6D" w:rsidP="009A7344">
            <w:pPr>
              <w:ind w:right="-46"/>
              <w:jc w:val="center"/>
              <w:rPr>
                <w:b/>
                <w:bCs/>
                <w:color w:val="000000" w:themeColor="text1"/>
                <w:sz w:val="20"/>
                <w:szCs w:val="20"/>
              </w:rPr>
            </w:pPr>
            <w:r w:rsidRPr="006B0749">
              <w:rPr>
                <w:b/>
                <w:bCs/>
                <w:color w:val="000000" w:themeColor="text1"/>
                <w:sz w:val="20"/>
                <w:szCs w:val="20"/>
              </w:rPr>
              <w:t>Sig.</w:t>
            </w:r>
          </w:p>
        </w:tc>
        <w:tc>
          <w:tcPr>
            <w:tcW w:w="495" w:type="pct"/>
            <w:tcBorders>
              <w:left w:val="nil"/>
              <w:bottom w:val="single" w:sz="4" w:space="0" w:color="000000" w:themeColor="text1"/>
              <w:right w:val="nil"/>
            </w:tcBorders>
            <w:vAlign w:val="center"/>
          </w:tcPr>
          <w:p w14:paraId="5E2CB508" w14:textId="77777777" w:rsidR="00473E6D" w:rsidRPr="006B0749" w:rsidRDefault="00473E6D" w:rsidP="009A7344">
            <w:pPr>
              <w:ind w:right="-46"/>
              <w:jc w:val="center"/>
              <w:rPr>
                <w:b/>
                <w:bCs/>
                <w:color w:val="000000" w:themeColor="text1"/>
                <w:sz w:val="20"/>
                <w:szCs w:val="20"/>
              </w:rPr>
            </w:pPr>
            <w:r w:rsidRPr="006B0749">
              <w:rPr>
                <w:b/>
                <w:bCs/>
                <w:i/>
                <w:iCs/>
                <w:color w:val="000000" w:themeColor="text1"/>
                <w:sz w:val="20"/>
                <w:szCs w:val="20"/>
              </w:rPr>
              <w:t>sr</w:t>
            </w:r>
            <w:r w:rsidRPr="006B0749">
              <w:rPr>
                <w:b/>
                <w:bCs/>
                <w:i/>
                <w:iCs/>
                <w:color w:val="000000" w:themeColor="text1"/>
                <w:sz w:val="20"/>
                <w:szCs w:val="20"/>
                <w:vertAlign w:val="superscript"/>
              </w:rPr>
              <w:t>2</w:t>
            </w:r>
          </w:p>
        </w:tc>
        <w:tc>
          <w:tcPr>
            <w:tcW w:w="495" w:type="pct"/>
            <w:tcBorders>
              <w:left w:val="nil"/>
              <w:bottom w:val="single" w:sz="4" w:space="0" w:color="000000" w:themeColor="text1"/>
              <w:right w:val="nil"/>
            </w:tcBorders>
            <w:vAlign w:val="center"/>
          </w:tcPr>
          <w:p w14:paraId="7429DE3A" w14:textId="77777777" w:rsidR="00473E6D" w:rsidRPr="006B0749" w:rsidRDefault="00473E6D" w:rsidP="009A7344">
            <w:pPr>
              <w:ind w:right="-46"/>
              <w:jc w:val="center"/>
              <w:rPr>
                <w:b/>
                <w:bCs/>
                <w:i/>
                <w:iCs/>
                <w:color w:val="000000" w:themeColor="text1"/>
                <w:sz w:val="20"/>
                <w:szCs w:val="20"/>
              </w:rPr>
            </w:pPr>
            <w:r w:rsidRPr="006B0749">
              <w:rPr>
                <w:b/>
                <w:bCs/>
                <w:i/>
                <w:iCs/>
                <w:color w:val="000000" w:themeColor="text1"/>
                <w:sz w:val="20"/>
                <w:szCs w:val="20"/>
              </w:rPr>
              <w:t>R</w:t>
            </w:r>
            <w:r w:rsidRPr="006B0749">
              <w:rPr>
                <w:b/>
                <w:bCs/>
                <w:color w:val="000000" w:themeColor="text1"/>
                <w:sz w:val="20"/>
                <w:szCs w:val="20"/>
                <w:vertAlign w:val="superscript"/>
              </w:rPr>
              <w:t>2</w:t>
            </w:r>
          </w:p>
        </w:tc>
      </w:tr>
      <w:tr w:rsidR="006B0749" w:rsidRPr="006B0749" w14:paraId="43574420" w14:textId="77777777" w:rsidTr="009A7344">
        <w:tc>
          <w:tcPr>
            <w:tcW w:w="840" w:type="pct"/>
            <w:tcBorders>
              <w:left w:val="nil"/>
              <w:bottom w:val="nil"/>
              <w:right w:val="nil"/>
            </w:tcBorders>
          </w:tcPr>
          <w:p w14:paraId="68911AEF" w14:textId="77777777" w:rsidR="00473E6D" w:rsidRPr="006B0749" w:rsidRDefault="00473E6D" w:rsidP="009A7344">
            <w:pPr>
              <w:ind w:right="-46"/>
              <w:jc w:val="both"/>
              <w:rPr>
                <w:b/>
                <w:bCs/>
                <w:color w:val="000000" w:themeColor="text1"/>
                <w:sz w:val="20"/>
                <w:szCs w:val="20"/>
              </w:rPr>
            </w:pPr>
            <w:r w:rsidRPr="006B0749">
              <w:rPr>
                <w:b/>
                <w:bCs/>
                <w:color w:val="000000" w:themeColor="text1"/>
                <w:sz w:val="20"/>
                <w:szCs w:val="20"/>
              </w:rPr>
              <w:t>Model 1</w:t>
            </w:r>
          </w:p>
        </w:tc>
        <w:tc>
          <w:tcPr>
            <w:tcW w:w="670" w:type="pct"/>
            <w:tcBorders>
              <w:left w:val="nil"/>
              <w:bottom w:val="nil"/>
              <w:right w:val="nil"/>
            </w:tcBorders>
            <w:vAlign w:val="center"/>
          </w:tcPr>
          <w:p w14:paraId="21C324AF" w14:textId="77777777" w:rsidR="00473E6D" w:rsidRPr="006B0749" w:rsidRDefault="00473E6D" w:rsidP="009A7344">
            <w:pPr>
              <w:ind w:right="-46"/>
              <w:jc w:val="center"/>
              <w:rPr>
                <w:color w:val="000000" w:themeColor="text1"/>
                <w:sz w:val="20"/>
                <w:szCs w:val="20"/>
              </w:rPr>
            </w:pPr>
          </w:p>
        </w:tc>
        <w:tc>
          <w:tcPr>
            <w:tcW w:w="928" w:type="pct"/>
            <w:tcBorders>
              <w:left w:val="nil"/>
              <w:bottom w:val="nil"/>
              <w:right w:val="nil"/>
            </w:tcBorders>
            <w:vAlign w:val="center"/>
          </w:tcPr>
          <w:p w14:paraId="56630997" w14:textId="77777777" w:rsidR="00473E6D" w:rsidRPr="006B0749" w:rsidRDefault="00473E6D" w:rsidP="009A7344">
            <w:pPr>
              <w:ind w:right="-46"/>
              <w:jc w:val="center"/>
              <w:rPr>
                <w:color w:val="000000" w:themeColor="text1"/>
                <w:sz w:val="20"/>
                <w:szCs w:val="20"/>
              </w:rPr>
            </w:pPr>
          </w:p>
        </w:tc>
        <w:tc>
          <w:tcPr>
            <w:tcW w:w="495" w:type="pct"/>
            <w:tcBorders>
              <w:left w:val="nil"/>
              <w:bottom w:val="nil"/>
              <w:right w:val="nil"/>
            </w:tcBorders>
            <w:vAlign w:val="center"/>
          </w:tcPr>
          <w:p w14:paraId="3073D2A7" w14:textId="77777777" w:rsidR="00473E6D" w:rsidRPr="006B0749" w:rsidRDefault="00473E6D" w:rsidP="009A7344">
            <w:pPr>
              <w:ind w:right="-46"/>
              <w:jc w:val="center"/>
              <w:rPr>
                <w:color w:val="000000" w:themeColor="text1"/>
                <w:sz w:val="20"/>
                <w:szCs w:val="20"/>
              </w:rPr>
            </w:pPr>
          </w:p>
        </w:tc>
        <w:tc>
          <w:tcPr>
            <w:tcW w:w="582" w:type="pct"/>
            <w:tcBorders>
              <w:left w:val="nil"/>
              <w:bottom w:val="nil"/>
              <w:right w:val="nil"/>
            </w:tcBorders>
            <w:vAlign w:val="center"/>
          </w:tcPr>
          <w:p w14:paraId="6665209D" w14:textId="77777777" w:rsidR="00473E6D" w:rsidRPr="006B0749" w:rsidRDefault="00473E6D" w:rsidP="009A7344">
            <w:pPr>
              <w:ind w:right="-46"/>
              <w:jc w:val="center"/>
              <w:rPr>
                <w:color w:val="000000" w:themeColor="text1"/>
                <w:sz w:val="20"/>
                <w:szCs w:val="20"/>
              </w:rPr>
            </w:pPr>
          </w:p>
        </w:tc>
        <w:tc>
          <w:tcPr>
            <w:tcW w:w="495" w:type="pct"/>
            <w:tcBorders>
              <w:left w:val="nil"/>
              <w:bottom w:val="nil"/>
              <w:right w:val="nil"/>
            </w:tcBorders>
            <w:vAlign w:val="center"/>
          </w:tcPr>
          <w:p w14:paraId="50A11FF8" w14:textId="77777777" w:rsidR="00473E6D" w:rsidRPr="006B0749" w:rsidRDefault="00473E6D" w:rsidP="009A7344">
            <w:pPr>
              <w:ind w:right="-46"/>
              <w:jc w:val="center"/>
              <w:rPr>
                <w:color w:val="000000" w:themeColor="text1"/>
                <w:sz w:val="20"/>
                <w:szCs w:val="20"/>
              </w:rPr>
            </w:pPr>
          </w:p>
        </w:tc>
        <w:tc>
          <w:tcPr>
            <w:tcW w:w="495" w:type="pct"/>
            <w:tcBorders>
              <w:left w:val="nil"/>
              <w:bottom w:val="nil"/>
              <w:right w:val="nil"/>
            </w:tcBorders>
            <w:vAlign w:val="center"/>
          </w:tcPr>
          <w:p w14:paraId="50544D60" w14:textId="77777777" w:rsidR="00473E6D" w:rsidRPr="006B0749" w:rsidRDefault="00473E6D" w:rsidP="009A7344">
            <w:pPr>
              <w:ind w:right="-46"/>
              <w:jc w:val="center"/>
              <w:rPr>
                <w:color w:val="000000" w:themeColor="text1"/>
                <w:sz w:val="20"/>
                <w:szCs w:val="20"/>
              </w:rPr>
            </w:pPr>
          </w:p>
        </w:tc>
        <w:tc>
          <w:tcPr>
            <w:tcW w:w="495" w:type="pct"/>
            <w:tcBorders>
              <w:left w:val="nil"/>
              <w:bottom w:val="nil"/>
              <w:right w:val="nil"/>
            </w:tcBorders>
          </w:tcPr>
          <w:p w14:paraId="4D294560" w14:textId="77777777" w:rsidR="00473E6D" w:rsidRPr="006B0749" w:rsidRDefault="00473E6D" w:rsidP="009A7344">
            <w:pPr>
              <w:ind w:right="-46"/>
              <w:jc w:val="center"/>
              <w:rPr>
                <w:color w:val="000000" w:themeColor="text1"/>
                <w:sz w:val="20"/>
                <w:szCs w:val="20"/>
              </w:rPr>
            </w:pPr>
          </w:p>
        </w:tc>
      </w:tr>
      <w:tr w:rsidR="006B0749" w:rsidRPr="006B0749" w14:paraId="571AB241" w14:textId="77777777" w:rsidTr="009A7344">
        <w:tc>
          <w:tcPr>
            <w:tcW w:w="840" w:type="pct"/>
            <w:tcBorders>
              <w:top w:val="nil"/>
              <w:left w:val="nil"/>
              <w:bottom w:val="nil"/>
              <w:right w:val="nil"/>
            </w:tcBorders>
          </w:tcPr>
          <w:p w14:paraId="05DD47B6" w14:textId="77777777" w:rsidR="00473E6D" w:rsidRPr="006B0749" w:rsidRDefault="00473E6D" w:rsidP="009A7344">
            <w:pPr>
              <w:ind w:right="-46"/>
              <w:jc w:val="both"/>
              <w:rPr>
                <w:color w:val="000000" w:themeColor="text1"/>
                <w:sz w:val="20"/>
                <w:szCs w:val="20"/>
              </w:rPr>
            </w:pPr>
            <w:r w:rsidRPr="006B0749">
              <w:rPr>
                <w:color w:val="000000" w:themeColor="text1"/>
                <w:sz w:val="20"/>
                <w:szCs w:val="20"/>
              </w:rPr>
              <w:t>Constant</w:t>
            </w:r>
          </w:p>
        </w:tc>
        <w:tc>
          <w:tcPr>
            <w:tcW w:w="670" w:type="pct"/>
            <w:tcBorders>
              <w:top w:val="nil"/>
              <w:left w:val="nil"/>
              <w:bottom w:val="nil"/>
              <w:right w:val="nil"/>
            </w:tcBorders>
            <w:vAlign w:val="center"/>
          </w:tcPr>
          <w:p w14:paraId="1514BA8E" w14:textId="77777777" w:rsidR="00473E6D" w:rsidRPr="006B0749" w:rsidRDefault="00473E6D" w:rsidP="009A7344">
            <w:pPr>
              <w:ind w:right="-46"/>
              <w:jc w:val="center"/>
              <w:rPr>
                <w:color w:val="000000" w:themeColor="text1"/>
                <w:sz w:val="20"/>
                <w:szCs w:val="20"/>
              </w:rPr>
            </w:pPr>
            <w:r w:rsidRPr="006B0749">
              <w:rPr>
                <w:color w:val="000000" w:themeColor="text1"/>
                <w:sz w:val="20"/>
                <w:szCs w:val="20"/>
              </w:rPr>
              <w:t>36.664</w:t>
            </w:r>
          </w:p>
        </w:tc>
        <w:tc>
          <w:tcPr>
            <w:tcW w:w="928" w:type="pct"/>
            <w:tcBorders>
              <w:top w:val="nil"/>
              <w:left w:val="nil"/>
              <w:bottom w:val="nil"/>
              <w:right w:val="nil"/>
            </w:tcBorders>
            <w:vAlign w:val="center"/>
          </w:tcPr>
          <w:p w14:paraId="57459E38" w14:textId="77777777" w:rsidR="00473E6D" w:rsidRPr="006B0749" w:rsidRDefault="00473E6D" w:rsidP="009A7344">
            <w:pPr>
              <w:ind w:right="-46"/>
              <w:jc w:val="center"/>
              <w:rPr>
                <w:color w:val="000000" w:themeColor="text1"/>
                <w:sz w:val="20"/>
                <w:szCs w:val="20"/>
              </w:rPr>
            </w:pPr>
            <w:r w:rsidRPr="006B0749">
              <w:rPr>
                <w:color w:val="000000" w:themeColor="text1"/>
                <w:sz w:val="20"/>
                <w:szCs w:val="20"/>
              </w:rPr>
              <w:t>7.194</w:t>
            </w:r>
          </w:p>
        </w:tc>
        <w:tc>
          <w:tcPr>
            <w:tcW w:w="495" w:type="pct"/>
            <w:tcBorders>
              <w:top w:val="nil"/>
              <w:left w:val="nil"/>
              <w:bottom w:val="nil"/>
              <w:right w:val="nil"/>
            </w:tcBorders>
            <w:vAlign w:val="center"/>
          </w:tcPr>
          <w:p w14:paraId="24D3B2DF" w14:textId="77777777" w:rsidR="00473E6D" w:rsidRPr="006B0749" w:rsidRDefault="00473E6D" w:rsidP="009A7344">
            <w:pPr>
              <w:ind w:right="-46"/>
              <w:jc w:val="center"/>
              <w:rPr>
                <w:color w:val="000000" w:themeColor="text1"/>
                <w:sz w:val="20"/>
                <w:szCs w:val="20"/>
              </w:rPr>
            </w:pPr>
          </w:p>
        </w:tc>
        <w:tc>
          <w:tcPr>
            <w:tcW w:w="582" w:type="pct"/>
            <w:tcBorders>
              <w:top w:val="nil"/>
              <w:left w:val="nil"/>
              <w:bottom w:val="nil"/>
              <w:right w:val="nil"/>
            </w:tcBorders>
            <w:vAlign w:val="center"/>
          </w:tcPr>
          <w:p w14:paraId="6881D765" w14:textId="77777777" w:rsidR="00473E6D" w:rsidRPr="006B0749" w:rsidRDefault="00473E6D" w:rsidP="009A7344">
            <w:pPr>
              <w:ind w:right="-46"/>
              <w:jc w:val="center"/>
              <w:rPr>
                <w:color w:val="000000" w:themeColor="text1"/>
                <w:sz w:val="20"/>
                <w:szCs w:val="20"/>
              </w:rPr>
            </w:pPr>
            <w:r w:rsidRPr="006B0749">
              <w:rPr>
                <w:color w:val="000000" w:themeColor="text1"/>
                <w:sz w:val="20"/>
                <w:szCs w:val="20"/>
              </w:rPr>
              <w:t>5.097</w:t>
            </w:r>
          </w:p>
        </w:tc>
        <w:tc>
          <w:tcPr>
            <w:tcW w:w="495" w:type="pct"/>
            <w:tcBorders>
              <w:top w:val="nil"/>
              <w:left w:val="nil"/>
              <w:bottom w:val="nil"/>
              <w:right w:val="nil"/>
            </w:tcBorders>
            <w:vAlign w:val="center"/>
          </w:tcPr>
          <w:p w14:paraId="58313B58" w14:textId="77777777" w:rsidR="00473E6D" w:rsidRPr="006B0749" w:rsidRDefault="00473E6D" w:rsidP="009A7344">
            <w:pPr>
              <w:ind w:right="-46"/>
              <w:jc w:val="center"/>
              <w:rPr>
                <w:color w:val="000000" w:themeColor="text1"/>
                <w:sz w:val="20"/>
                <w:szCs w:val="20"/>
              </w:rPr>
            </w:pPr>
            <w:r w:rsidRPr="006B0749">
              <w:rPr>
                <w:color w:val="000000" w:themeColor="text1"/>
                <w:sz w:val="20"/>
                <w:szCs w:val="20"/>
              </w:rPr>
              <w:t>.000</w:t>
            </w:r>
          </w:p>
        </w:tc>
        <w:tc>
          <w:tcPr>
            <w:tcW w:w="495" w:type="pct"/>
            <w:tcBorders>
              <w:top w:val="nil"/>
              <w:left w:val="nil"/>
              <w:bottom w:val="nil"/>
              <w:right w:val="nil"/>
            </w:tcBorders>
            <w:vAlign w:val="center"/>
          </w:tcPr>
          <w:p w14:paraId="73BE9042" w14:textId="77777777" w:rsidR="00473E6D" w:rsidRPr="006B0749" w:rsidRDefault="00473E6D" w:rsidP="009A7344">
            <w:pPr>
              <w:ind w:right="-46"/>
              <w:jc w:val="center"/>
              <w:rPr>
                <w:color w:val="000000" w:themeColor="text1"/>
                <w:sz w:val="20"/>
                <w:szCs w:val="20"/>
              </w:rPr>
            </w:pPr>
          </w:p>
        </w:tc>
        <w:tc>
          <w:tcPr>
            <w:tcW w:w="495" w:type="pct"/>
            <w:tcBorders>
              <w:top w:val="nil"/>
              <w:left w:val="nil"/>
              <w:bottom w:val="nil"/>
              <w:right w:val="nil"/>
            </w:tcBorders>
          </w:tcPr>
          <w:p w14:paraId="70B12664" w14:textId="77777777" w:rsidR="00473E6D" w:rsidRPr="006B0749" w:rsidRDefault="00473E6D" w:rsidP="009A7344">
            <w:pPr>
              <w:ind w:right="-46"/>
              <w:jc w:val="center"/>
              <w:rPr>
                <w:color w:val="000000" w:themeColor="text1"/>
                <w:sz w:val="20"/>
                <w:szCs w:val="20"/>
              </w:rPr>
            </w:pPr>
            <w:r w:rsidRPr="006B0749">
              <w:rPr>
                <w:color w:val="000000" w:themeColor="text1"/>
                <w:sz w:val="20"/>
                <w:szCs w:val="20"/>
              </w:rPr>
              <w:t>.177</w:t>
            </w:r>
          </w:p>
        </w:tc>
      </w:tr>
      <w:tr w:rsidR="006B0749" w:rsidRPr="006B0749" w14:paraId="39C6650D" w14:textId="77777777" w:rsidTr="009A7344">
        <w:tc>
          <w:tcPr>
            <w:tcW w:w="840" w:type="pct"/>
            <w:tcBorders>
              <w:top w:val="nil"/>
              <w:left w:val="nil"/>
              <w:bottom w:val="nil"/>
              <w:right w:val="nil"/>
            </w:tcBorders>
          </w:tcPr>
          <w:p w14:paraId="36353F0E" w14:textId="77777777" w:rsidR="00473E6D" w:rsidRPr="006B0749" w:rsidRDefault="00473E6D" w:rsidP="009A7344">
            <w:pPr>
              <w:ind w:right="-46"/>
              <w:jc w:val="both"/>
              <w:rPr>
                <w:color w:val="000000" w:themeColor="text1"/>
                <w:sz w:val="20"/>
                <w:szCs w:val="20"/>
              </w:rPr>
            </w:pPr>
            <w:r w:rsidRPr="006B0749">
              <w:rPr>
                <w:color w:val="000000" w:themeColor="text1"/>
                <w:sz w:val="20"/>
                <w:szCs w:val="20"/>
              </w:rPr>
              <w:t>VLT</w:t>
            </w:r>
          </w:p>
        </w:tc>
        <w:tc>
          <w:tcPr>
            <w:tcW w:w="670" w:type="pct"/>
            <w:tcBorders>
              <w:top w:val="nil"/>
              <w:left w:val="nil"/>
              <w:bottom w:val="nil"/>
              <w:right w:val="nil"/>
            </w:tcBorders>
            <w:vAlign w:val="center"/>
          </w:tcPr>
          <w:p w14:paraId="33C0D4F4" w14:textId="77777777" w:rsidR="00473E6D" w:rsidRPr="006B0749" w:rsidRDefault="00473E6D" w:rsidP="009A7344">
            <w:pPr>
              <w:ind w:right="-46"/>
              <w:jc w:val="center"/>
              <w:rPr>
                <w:color w:val="000000" w:themeColor="text1"/>
                <w:sz w:val="20"/>
                <w:szCs w:val="20"/>
              </w:rPr>
            </w:pPr>
            <w:r w:rsidRPr="006B0749">
              <w:rPr>
                <w:color w:val="000000" w:themeColor="text1"/>
                <w:sz w:val="20"/>
                <w:szCs w:val="20"/>
              </w:rPr>
              <w:t>.332</w:t>
            </w:r>
          </w:p>
        </w:tc>
        <w:tc>
          <w:tcPr>
            <w:tcW w:w="928" w:type="pct"/>
            <w:tcBorders>
              <w:top w:val="nil"/>
              <w:left w:val="nil"/>
              <w:bottom w:val="nil"/>
              <w:right w:val="nil"/>
            </w:tcBorders>
            <w:vAlign w:val="center"/>
          </w:tcPr>
          <w:p w14:paraId="07B65874" w14:textId="77777777" w:rsidR="00473E6D" w:rsidRPr="006B0749" w:rsidRDefault="00473E6D" w:rsidP="009A7344">
            <w:pPr>
              <w:ind w:right="-46"/>
              <w:jc w:val="center"/>
              <w:rPr>
                <w:color w:val="000000" w:themeColor="text1"/>
                <w:sz w:val="20"/>
                <w:szCs w:val="20"/>
              </w:rPr>
            </w:pPr>
            <w:r w:rsidRPr="006B0749">
              <w:rPr>
                <w:color w:val="000000" w:themeColor="text1"/>
                <w:sz w:val="20"/>
                <w:szCs w:val="20"/>
              </w:rPr>
              <w:t>.092</w:t>
            </w:r>
          </w:p>
        </w:tc>
        <w:tc>
          <w:tcPr>
            <w:tcW w:w="495" w:type="pct"/>
            <w:tcBorders>
              <w:top w:val="nil"/>
              <w:left w:val="nil"/>
              <w:bottom w:val="nil"/>
              <w:right w:val="nil"/>
            </w:tcBorders>
            <w:vAlign w:val="center"/>
          </w:tcPr>
          <w:p w14:paraId="796C1C60" w14:textId="77777777" w:rsidR="00473E6D" w:rsidRPr="006B0749" w:rsidRDefault="00473E6D" w:rsidP="009A7344">
            <w:pPr>
              <w:ind w:right="-46"/>
              <w:jc w:val="center"/>
              <w:rPr>
                <w:color w:val="000000" w:themeColor="text1"/>
                <w:sz w:val="20"/>
                <w:szCs w:val="20"/>
              </w:rPr>
            </w:pPr>
            <w:r w:rsidRPr="006B0749">
              <w:rPr>
                <w:color w:val="000000" w:themeColor="text1"/>
                <w:sz w:val="20"/>
                <w:szCs w:val="20"/>
              </w:rPr>
              <w:t>.421</w:t>
            </w:r>
          </w:p>
        </w:tc>
        <w:tc>
          <w:tcPr>
            <w:tcW w:w="582" w:type="pct"/>
            <w:tcBorders>
              <w:top w:val="nil"/>
              <w:left w:val="nil"/>
              <w:bottom w:val="nil"/>
              <w:right w:val="nil"/>
            </w:tcBorders>
            <w:vAlign w:val="center"/>
          </w:tcPr>
          <w:p w14:paraId="43897E98" w14:textId="77777777" w:rsidR="00473E6D" w:rsidRPr="006B0749" w:rsidRDefault="00473E6D" w:rsidP="009A7344">
            <w:pPr>
              <w:ind w:right="-46"/>
              <w:jc w:val="center"/>
              <w:rPr>
                <w:color w:val="000000" w:themeColor="text1"/>
                <w:sz w:val="20"/>
                <w:szCs w:val="20"/>
              </w:rPr>
            </w:pPr>
            <w:r w:rsidRPr="006B0749">
              <w:rPr>
                <w:color w:val="000000" w:themeColor="text1"/>
                <w:sz w:val="20"/>
                <w:szCs w:val="20"/>
              </w:rPr>
              <w:t>3.628</w:t>
            </w:r>
          </w:p>
        </w:tc>
        <w:tc>
          <w:tcPr>
            <w:tcW w:w="495" w:type="pct"/>
            <w:tcBorders>
              <w:top w:val="nil"/>
              <w:left w:val="nil"/>
              <w:bottom w:val="nil"/>
              <w:right w:val="nil"/>
            </w:tcBorders>
            <w:vAlign w:val="center"/>
          </w:tcPr>
          <w:p w14:paraId="0CCA6078" w14:textId="77777777" w:rsidR="00473E6D" w:rsidRPr="006B0749" w:rsidRDefault="00473E6D" w:rsidP="009A7344">
            <w:pPr>
              <w:ind w:right="-46"/>
              <w:jc w:val="center"/>
              <w:rPr>
                <w:color w:val="000000" w:themeColor="text1"/>
                <w:sz w:val="20"/>
                <w:szCs w:val="20"/>
              </w:rPr>
            </w:pPr>
            <w:r w:rsidRPr="006B0749">
              <w:rPr>
                <w:color w:val="000000" w:themeColor="text1"/>
                <w:sz w:val="20"/>
                <w:szCs w:val="20"/>
              </w:rPr>
              <w:t>.001</w:t>
            </w:r>
          </w:p>
        </w:tc>
        <w:tc>
          <w:tcPr>
            <w:tcW w:w="495" w:type="pct"/>
            <w:tcBorders>
              <w:top w:val="nil"/>
              <w:left w:val="nil"/>
              <w:bottom w:val="nil"/>
              <w:right w:val="nil"/>
            </w:tcBorders>
            <w:vAlign w:val="center"/>
          </w:tcPr>
          <w:p w14:paraId="4AE38780" w14:textId="77777777" w:rsidR="00473E6D" w:rsidRPr="006B0749" w:rsidRDefault="00473E6D" w:rsidP="009A7344">
            <w:pPr>
              <w:ind w:right="-46"/>
              <w:jc w:val="center"/>
              <w:rPr>
                <w:color w:val="000000" w:themeColor="text1"/>
                <w:sz w:val="20"/>
                <w:szCs w:val="20"/>
              </w:rPr>
            </w:pPr>
            <w:r w:rsidRPr="006B0749">
              <w:rPr>
                <w:color w:val="000000" w:themeColor="text1"/>
                <w:sz w:val="20"/>
                <w:szCs w:val="20"/>
              </w:rPr>
              <w:t>.421</w:t>
            </w:r>
          </w:p>
        </w:tc>
        <w:tc>
          <w:tcPr>
            <w:tcW w:w="495" w:type="pct"/>
            <w:tcBorders>
              <w:top w:val="nil"/>
              <w:left w:val="nil"/>
              <w:bottom w:val="nil"/>
              <w:right w:val="nil"/>
            </w:tcBorders>
          </w:tcPr>
          <w:p w14:paraId="15D22447" w14:textId="77777777" w:rsidR="00473E6D" w:rsidRPr="006B0749" w:rsidRDefault="00473E6D" w:rsidP="009A7344">
            <w:pPr>
              <w:ind w:right="-46"/>
              <w:jc w:val="center"/>
              <w:rPr>
                <w:color w:val="000000" w:themeColor="text1"/>
                <w:sz w:val="20"/>
                <w:szCs w:val="20"/>
              </w:rPr>
            </w:pPr>
          </w:p>
        </w:tc>
      </w:tr>
      <w:tr w:rsidR="006B0749" w:rsidRPr="006B0749" w14:paraId="0371B21D" w14:textId="77777777" w:rsidTr="009A7344">
        <w:tc>
          <w:tcPr>
            <w:tcW w:w="840" w:type="pct"/>
            <w:tcBorders>
              <w:top w:val="nil"/>
              <w:left w:val="nil"/>
              <w:bottom w:val="nil"/>
              <w:right w:val="nil"/>
            </w:tcBorders>
          </w:tcPr>
          <w:p w14:paraId="0B1F727A" w14:textId="77777777" w:rsidR="00473E6D" w:rsidRPr="006B0749" w:rsidRDefault="00473E6D" w:rsidP="009A7344">
            <w:pPr>
              <w:ind w:right="-46"/>
              <w:jc w:val="both"/>
              <w:rPr>
                <w:b/>
                <w:bCs/>
                <w:color w:val="000000" w:themeColor="text1"/>
                <w:sz w:val="20"/>
                <w:szCs w:val="20"/>
              </w:rPr>
            </w:pPr>
            <w:r w:rsidRPr="006B0749">
              <w:rPr>
                <w:b/>
                <w:bCs/>
                <w:color w:val="000000" w:themeColor="text1"/>
                <w:sz w:val="20"/>
                <w:szCs w:val="20"/>
              </w:rPr>
              <w:t>Model 2</w:t>
            </w:r>
          </w:p>
        </w:tc>
        <w:tc>
          <w:tcPr>
            <w:tcW w:w="670" w:type="pct"/>
            <w:tcBorders>
              <w:top w:val="nil"/>
              <w:left w:val="nil"/>
              <w:bottom w:val="nil"/>
              <w:right w:val="nil"/>
            </w:tcBorders>
            <w:vAlign w:val="center"/>
          </w:tcPr>
          <w:p w14:paraId="50776220" w14:textId="77777777" w:rsidR="00473E6D" w:rsidRPr="006B0749" w:rsidRDefault="00473E6D" w:rsidP="009A7344">
            <w:pPr>
              <w:ind w:right="-46"/>
              <w:jc w:val="center"/>
              <w:rPr>
                <w:color w:val="000000" w:themeColor="text1"/>
                <w:sz w:val="20"/>
                <w:szCs w:val="20"/>
              </w:rPr>
            </w:pPr>
          </w:p>
        </w:tc>
        <w:tc>
          <w:tcPr>
            <w:tcW w:w="928" w:type="pct"/>
            <w:tcBorders>
              <w:top w:val="nil"/>
              <w:left w:val="nil"/>
              <w:bottom w:val="nil"/>
              <w:right w:val="nil"/>
            </w:tcBorders>
            <w:vAlign w:val="center"/>
          </w:tcPr>
          <w:p w14:paraId="0EFC3B1F" w14:textId="77777777" w:rsidR="00473E6D" w:rsidRPr="006B0749" w:rsidRDefault="00473E6D" w:rsidP="009A7344">
            <w:pPr>
              <w:ind w:right="-46"/>
              <w:jc w:val="center"/>
              <w:rPr>
                <w:color w:val="000000" w:themeColor="text1"/>
                <w:sz w:val="20"/>
                <w:szCs w:val="20"/>
              </w:rPr>
            </w:pPr>
          </w:p>
        </w:tc>
        <w:tc>
          <w:tcPr>
            <w:tcW w:w="495" w:type="pct"/>
            <w:tcBorders>
              <w:top w:val="nil"/>
              <w:left w:val="nil"/>
              <w:bottom w:val="nil"/>
              <w:right w:val="nil"/>
            </w:tcBorders>
            <w:vAlign w:val="center"/>
          </w:tcPr>
          <w:p w14:paraId="7D74D166" w14:textId="77777777" w:rsidR="00473E6D" w:rsidRPr="006B0749" w:rsidRDefault="00473E6D" w:rsidP="009A7344">
            <w:pPr>
              <w:ind w:right="-46"/>
              <w:jc w:val="center"/>
              <w:rPr>
                <w:color w:val="000000" w:themeColor="text1"/>
                <w:sz w:val="20"/>
                <w:szCs w:val="20"/>
              </w:rPr>
            </w:pPr>
          </w:p>
        </w:tc>
        <w:tc>
          <w:tcPr>
            <w:tcW w:w="582" w:type="pct"/>
            <w:tcBorders>
              <w:top w:val="nil"/>
              <w:left w:val="nil"/>
              <w:bottom w:val="nil"/>
              <w:right w:val="nil"/>
            </w:tcBorders>
            <w:vAlign w:val="center"/>
          </w:tcPr>
          <w:p w14:paraId="05923EA7" w14:textId="77777777" w:rsidR="00473E6D" w:rsidRPr="006B0749" w:rsidRDefault="00473E6D" w:rsidP="009A7344">
            <w:pPr>
              <w:ind w:right="-46"/>
              <w:jc w:val="center"/>
              <w:rPr>
                <w:color w:val="000000" w:themeColor="text1"/>
                <w:sz w:val="20"/>
                <w:szCs w:val="20"/>
              </w:rPr>
            </w:pPr>
          </w:p>
        </w:tc>
        <w:tc>
          <w:tcPr>
            <w:tcW w:w="495" w:type="pct"/>
            <w:tcBorders>
              <w:top w:val="nil"/>
              <w:left w:val="nil"/>
              <w:bottom w:val="nil"/>
              <w:right w:val="nil"/>
            </w:tcBorders>
            <w:vAlign w:val="center"/>
          </w:tcPr>
          <w:p w14:paraId="567A453D" w14:textId="77777777" w:rsidR="00473E6D" w:rsidRPr="006B0749" w:rsidRDefault="00473E6D" w:rsidP="009A7344">
            <w:pPr>
              <w:ind w:right="-46"/>
              <w:jc w:val="center"/>
              <w:rPr>
                <w:color w:val="000000" w:themeColor="text1"/>
                <w:sz w:val="20"/>
                <w:szCs w:val="20"/>
              </w:rPr>
            </w:pPr>
          </w:p>
        </w:tc>
        <w:tc>
          <w:tcPr>
            <w:tcW w:w="495" w:type="pct"/>
            <w:tcBorders>
              <w:top w:val="nil"/>
              <w:left w:val="nil"/>
              <w:bottom w:val="nil"/>
              <w:right w:val="nil"/>
            </w:tcBorders>
            <w:vAlign w:val="center"/>
          </w:tcPr>
          <w:p w14:paraId="2BBF1452" w14:textId="77777777" w:rsidR="00473E6D" w:rsidRPr="006B0749" w:rsidRDefault="00473E6D" w:rsidP="009A7344">
            <w:pPr>
              <w:ind w:right="-46"/>
              <w:jc w:val="center"/>
              <w:rPr>
                <w:color w:val="000000" w:themeColor="text1"/>
                <w:sz w:val="20"/>
                <w:szCs w:val="20"/>
              </w:rPr>
            </w:pPr>
          </w:p>
        </w:tc>
        <w:tc>
          <w:tcPr>
            <w:tcW w:w="495" w:type="pct"/>
            <w:tcBorders>
              <w:top w:val="nil"/>
              <w:left w:val="nil"/>
              <w:bottom w:val="nil"/>
              <w:right w:val="nil"/>
            </w:tcBorders>
          </w:tcPr>
          <w:p w14:paraId="5C7B5B7D" w14:textId="77777777" w:rsidR="00473E6D" w:rsidRPr="006B0749" w:rsidRDefault="00473E6D" w:rsidP="009A7344">
            <w:pPr>
              <w:ind w:right="-46"/>
              <w:jc w:val="center"/>
              <w:rPr>
                <w:color w:val="000000" w:themeColor="text1"/>
                <w:sz w:val="20"/>
                <w:szCs w:val="20"/>
              </w:rPr>
            </w:pPr>
          </w:p>
        </w:tc>
      </w:tr>
      <w:tr w:rsidR="006B0749" w:rsidRPr="006B0749" w14:paraId="0DBF6628" w14:textId="77777777" w:rsidTr="009A7344">
        <w:tc>
          <w:tcPr>
            <w:tcW w:w="840" w:type="pct"/>
            <w:tcBorders>
              <w:top w:val="nil"/>
              <w:left w:val="nil"/>
              <w:bottom w:val="nil"/>
              <w:right w:val="nil"/>
            </w:tcBorders>
          </w:tcPr>
          <w:p w14:paraId="3BCAC4FF" w14:textId="77777777" w:rsidR="00473E6D" w:rsidRPr="006B0749" w:rsidRDefault="00473E6D" w:rsidP="009A7344">
            <w:pPr>
              <w:ind w:right="-46"/>
              <w:jc w:val="both"/>
              <w:rPr>
                <w:color w:val="000000" w:themeColor="text1"/>
                <w:sz w:val="20"/>
                <w:szCs w:val="20"/>
              </w:rPr>
            </w:pPr>
            <w:r w:rsidRPr="006B0749">
              <w:rPr>
                <w:color w:val="000000" w:themeColor="text1"/>
                <w:sz w:val="20"/>
                <w:szCs w:val="20"/>
              </w:rPr>
              <w:t>Constant</w:t>
            </w:r>
          </w:p>
        </w:tc>
        <w:tc>
          <w:tcPr>
            <w:tcW w:w="670" w:type="pct"/>
            <w:tcBorders>
              <w:top w:val="nil"/>
              <w:left w:val="nil"/>
              <w:bottom w:val="nil"/>
              <w:right w:val="nil"/>
            </w:tcBorders>
            <w:vAlign w:val="center"/>
          </w:tcPr>
          <w:p w14:paraId="6CF448E5" w14:textId="77777777" w:rsidR="00473E6D" w:rsidRPr="006B0749" w:rsidRDefault="00473E6D" w:rsidP="009A7344">
            <w:pPr>
              <w:ind w:right="-46"/>
              <w:jc w:val="center"/>
              <w:rPr>
                <w:color w:val="000000" w:themeColor="text1"/>
                <w:sz w:val="20"/>
                <w:szCs w:val="20"/>
              </w:rPr>
            </w:pPr>
            <w:r w:rsidRPr="006B0749">
              <w:rPr>
                <w:color w:val="000000" w:themeColor="text1"/>
                <w:sz w:val="20"/>
                <w:szCs w:val="20"/>
              </w:rPr>
              <w:t>22.932</w:t>
            </w:r>
          </w:p>
        </w:tc>
        <w:tc>
          <w:tcPr>
            <w:tcW w:w="928" w:type="pct"/>
            <w:tcBorders>
              <w:top w:val="nil"/>
              <w:left w:val="nil"/>
              <w:bottom w:val="nil"/>
              <w:right w:val="nil"/>
            </w:tcBorders>
            <w:vAlign w:val="center"/>
          </w:tcPr>
          <w:p w14:paraId="729D665C" w14:textId="77777777" w:rsidR="00473E6D" w:rsidRPr="006B0749" w:rsidRDefault="00473E6D" w:rsidP="009A7344">
            <w:pPr>
              <w:ind w:right="-46"/>
              <w:jc w:val="center"/>
              <w:rPr>
                <w:color w:val="000000" w:themeColor="text1"/>
                <w:sz w:val="20"/>
                <w:szCs w:val="20"/>
              </w:rPr>
            </w:pPr>
            <w:r w:rsidRPr="006B0749">
              <w:rPr>
                <w:color w:val="000000" w:themeColor="text1"/>
                <w:sz w:val="20"/>
                <w:szCs w:val="20"/>
              </w:rPr>
              <w:t>8.113</w:t>
            </w:r>
          </w:p>
        </w:tc>
        <w:tc>
          <w:tcPr>
            <w:tcW w:w="495" w:type="pct"/>
            <w:tcBorders>
              <w:top w:val="nil"/>
              <w:left w:val="nil"/>
              <w:bottom w:val="nil"/>
              <w:right w:val="nil"/>
            </w:tcBorders>
            <w:vAlign w:val="center"/>
          </w:tcPr>
          <w:p w14:paraId="1B6CCA4A" w14:textId="77777777" w:rsidR="00473E6D" w:rsidRPr="006B0749" w:rsidRDefault="00473E6D" w:rsidP="009A7344">
            <w:pPr>
              <w:ind w:right="-46"/>
              <w:jc w:val="center"/>
              <w:rPr>
                <w:color w:val="000000" w:themeColor="text1"/>
                <w:sz w:val="20"/>
                <w:szCs w:val="20"/>
              </w:rPr>
            </w:pPr>
          </w:p>
        </w:tc>
        <w:tc>
          <w:tcPr>
            <w:tcW w:w="582" w:type="pct"/>
            <w:tcBorders>
              <w:top w:val="nil"/>
              <w:left w:val="nil"/>
              <w:bottom w:val="nil"/>
              <w:right w:val="nil"/>
            </w:tcBorders>
            <w:vAlign w:val="center"/>
          </w:tcPr>
          <w:p w14:paraId="37993DE5" w14:textId="77777777" w:rsidR="00473E6D" w:rsidRPr="006B0749" w:rsidRDefault="00473E6D" w:rsidP="009A7344">
            <w:pPr>
              <w:ind w:right="-46"/>
              <w:jc w:val="center"/>
              <w:rPr>
                <w:color w:val="000000" w:themeColor="text1"/>
                <w:sz w:val="20"/>
                <w:szCs w:val="20"/>
              </w:rPr>
            </w:pPr>
            <w:r w:rsidRPr="006B0749">
              <w:rPr>
                <w:color w:val="000000" w:themeColor="text1"/>
                <w:sz w:val="20"/>
                <w:szCs w:val="20"/>
              </w:rPr>
              <w:t>2.827</w:t>
            </w:r>
          </w:p>
        </w:tc>
        <w:tc>
          <w:tcPr>
            <w:tcW w:w="495" w:type="pct"/>
            <w:tcBorders>
              <w:top w:val="nil"/>
              <w:left w:val="nil"/>
              <w:bottom w:val="nil"/>
              <w:right w:val="nil"/>
            </w:tcBorders>
            <w:vAlign w:val="center"/>
          </w:tcPr>
          <w:p w14:paraId="0CE838D6" w14:textId="77777777" w:rsidR="00473E6D" w:rsidRPr="006B0749" w:rsidRDefault="00473E6D" w:rsidP="009A7344">
            <w:pPr>
              <w:ind w:right="-46"/>
              <w:jc w:val="center"/>
              <w:rPr>
                <w:color w:val="000000" w:themeColor="text1"/>
                <w:sz w:val="20"/>
                <w:szCs w:val="20"/>
              </w:rPr>
            </w:pPr>
            <w:r w:rsidRPr="006B0749">
              <w:rPr>
                <w:color w:val="000000" w:themeColor="text1"/>
                <w:sz w:val="20"/>
                <w:szCs w:val="20"/>
              </w:rPr>
              <w:t>.006</w:t>
            </w:r>
          </w:p>
        </w:tc>
        <w:tc>
          <w:tcPr>
            <w:tcW w:w="495" w:type="pct"/>
            <w:tcBorders>
              <w:top w:val="nil"/>
              <w:left w:val="nil"/>
              <w:bottom w:val="nil"/>
              <w:right w:val="nil"/>
            </w:tcBorders>
            <w:vAlign w:val="center"/>
          </w:tcPr>
          <w:p w14:paraId="43D91786" w14:textId="77777777" w:rsidR="00473E6D" w:rsidRPr="006B0749" w:rsidRDefault="00473E6D" w:rsidP="009A7344">
            <w:pPr>
              <w:ind w:right="-46"/>
              <w:jc w:val="center"/>
              <w:rPr>
                <w:color w:val="000000" w:themeColor="text1"/>
                <w:sz w:val="20"/>
                <w:szCs w:val="20"/>
              </w:rPr>
            </w:pPr>
          </w:p>
        </w:tc>
        <w:tc>
          <w:tcPr>
            <w:tcW w:w="495" w:type="pct"/>
            <w:tcBorders>
              <w:top w:val="nil"/>
              <w:left w:val="nil"/>
              <w:bottom w:val="nil"/>
              <w:right w:val="nil"/>
            </w:tcBorders>
          </w:tcPr>
          <w:p w14:paraId="7A6848D7" w14:textId="77777777" w:rsidR="00473E6D" w:rsidRPr="006B0749" w:rsidRDefault="00473E6D" w:rsidP="009A7344">
            <w:pPr>
              <w:ind w:right="-46"/>
              <w:jc w:val="center"/>
              <w:rPr>
                <w:color w:val="000000" w:themeColor="text1"/>
                <w:sz w:val="20"/>
                <w:szCs w:val="20"/>
              </w:rPr>
            </w:pPr>
            <w:r w:rsidRPr="006B0749">
              <w:rPr>
                <w:color w:val="000000" w:themeColor="text1"/>
                <w:sz w:val="20"/>
                <w:szCs w:val="20"/>
              </w:rPr>
              <w:t>.288</w:t>
            </w:r>
          </w:p>
        </w:tc>
      </w:tr>
      <w:tr w:rsidR="006B0749" w:rsidRPr="006B0749" w14:paraId="535BB268" w14:textId="77777777" w:rsidTr="009A7344">
        <w:tc>
          <w:tcPr>
            <w:tcW w:w="840" w:type="pct"/>
            <w:tcBorders>
              <w:top w:val="nil"/>
              <w:left w:val="nil"/>
              <w:bottom w:val="nil"/>
              <w:right w:val="nil"/>
            </w:tcBorders>
          </w:tcPr>
          <w:p w14:paraId="02BEBE5D" w14:textId="77777777" w:rsidR="00473E6D" w:rsidRPr="006B0749" w:rsidRDefault="00473E6D" w:rsidP="009A7344">
            <w:pPr>
              <w:ind w:right="-46"/>
              <w:jc w:val="both"/>
              <w:rPr>
                <w:color w:val="000000" w:themeColor="text1"/>
                <w:sz w:val="20"/>
                <w:szCs w:val="20"/>
              </w:rPr>
            </w:pPr>
            <w:r w:rsidRPr="006B0749">
              <w:rPr>
                <w:color w:val="000000" w:themeColor="text1"/>
                <w:sz w:val="20"/>
                <w:szCs w:val="20"/>
              </w:rPr>
              <w:t>VLT</w:t>
            </w:r>
          </w:p>
        </w:tc>
        <w:tc>
          <w:tcPr>
            <w:tcW w:w="670" w:type="pct"/>
            <w:tcBorders>
              <w:top w:val="nil"/>
              <w:left w:val="nil"/>
              <w:bottom w:val="nil"/>
              <w:right w:val="nil"/>
            </w:tcBorders>
            <w:vAlign w:val="center"/>
          </w:tcPr>
          <w:p w14:paraId="6A99A13E" w14:textId="77777777" w:rsidR="00473E6D" w:rsidRPr="006B0749" w:rsidRDefault="00473E6D" w:rsidP="009A7344">
            <w:pPr>
              <w:ind w:right="-46"/>
              <w:jc w:val="center"/>
              <w:rPr>
                <w:color w:val="000000" w:themeColor="text1"/>
                <w:sz w:val="20"/>
                <w:szCs w:val="20"/>
              </w:rPr>
            </w:pPr>
            <w:r w:rsidRPr="006B0749">
              <w:rPr>
                <w:color w:val="000000" w:themeColor="text1"/>
                <w:sz w:val="20"/>
                <w:szCs w:val="20"/>
              </w:rPr>
              <w:t>.332</w:t>
            </w:r>
          </w:p>
        </w:tc>
        <w:tc>
          <w:tcPr>
            <w:tcW w:w="928" w:type="pct"/>
            <w:tcBorders>
              <w:top w:val="nil"/>
              <w:left w:val="nil"/>
              <w:bottom w:val="nil"/>
              <w:right w:val="nil"/>
            </w:tcBorders>
            <w:vAlign w:val="center"/>
          </w:tcPr>
          <w:p w14:paraId="22CBAEDB" w14:textId="77777777" w:rsidR="00473E6D" w:rsidRPr="006B0749" w:rsidRDefault="00473E6D" w:rsidP="009A7344">
            <w:pPr>
              <w:ind w:right="-46"/>
              <w:jc w:val="center"/>
              <w:rPr>
                <w:color w:val="000000" w:themeColor="text1"/>
                <w:sz w:val="20"/>
                <w:szCs w:val="20"/>
              </w:rPr>
            </w:pPr>
            <w:r w:rsidRPr="006B0749">
              <w:rPr>
                <w:color w:val="000000" w:themeColor="text1"/>
                <w:sz w:val="20"/>
                <w:szCs w:val="20"/>
              </w:rPr>
              <w:t>.086</w:t>
            </w:r>
          </w:p>
        </w:tc>
        <w:tc>
          <w:tcPr>
            <w:tcW w:w="495" w:type="pct"/>
            <w:tcBorders>
              <w:top w:val="nil"/>
              <w:left w:val="nil"/>
              <w:bottom w:val="nil"/>
              <w:right w:val="nil"/>
            </w:tcBorders>
            <w:vAlign w:val="center"/>
          </w:tcPr>
          <w:p w14:paraId="7AFFBE2E" w14:textId="77777777" w:rsidR="00473E6D" w:rsidRPr="006B0749" w:rsidRDefault="00473E6D" w:rsidP="009A7344">
            <w:pPr>
              <w:ind w:right="-46"/>
              <w:jc w:val="center"/>
              <w:rPr>
                <w:color w:val="000000" w:themeColor="text1"/>
                <w:sz w:val="20"/>
                <w:szCs w:val="20"/>
              </w:rPr>
            </w:pPr>
            <w:r w:rsidRPr="006B0749">
              <w:rPr>
                <w:color w:val="000000" w:themeColor="text1"/>
                <w:sz w:val="20"/>
                <w:szCs w:val="20"/>
              </w:rPr>
              <w:t>.421</w:t>
            </w:r>
          </w:p>
        </w:tc>
        <w:tc>
          <w:tcPr>
            <w:tcW w:w="582" w:type="pct"/>
            <w:tcBorders>
              <w:top w:val="nil"/>
              <w:left w:val="nil"/>
              <w:bottom w:val="nil"/>
              <w:right w:val="nil"/>
            </w:tcBorders>
            <w:vAlign w:val="center"/>
          </w:tcPr>
          <w:p w14:paraId="402FD483" w14:textId="77777777" w:rsidR="00473E6D" w:rsidRPr="006B0749" w:rsidRDefault="00473E6D" w:rsidP="009A7344">
            <w:pPr>
              <w:ind w:right="-46"/>
              <w:jc w:val="center"/>
              <w:rPr>
                <w:color w:val="000000" w:themeColor="text1"/>
                <w:sz w:val="20"/>
                <w:szCs w:val="20"/>
              </w:rPr>
            </w:pPr>
            <w:r w:rsidRPr="006B0749">
              <w:rPr>
                <w:color w:val="000000" w:themeColor="text1"/>
                <w:sz w:val="20"/>
                <w:szCs w:val="20"/>
              </w:rPr>
              <w:t>3.861</w:t>
            </w:r>
          </w:p>
        </w:tc>
        <w:tc>
          <w:tcPr>
            <w:tcW w:w="495" w:type="pct"/>
            <w:tcBorders>
              <w:top w:val="nil"/>
              <w:left w:val="nil"/>
              <w:bottom w:val="nil"/>
              <w:right w:val="nil"/>
            </w:tcBorders>
            <w:vAlign w:val="center"/>
          </w:tcPr>
          <w:p w14:paraId="05F86B5A" w14:textId="77777777" w:rsidR="00473E6D" w:rsidRPr="006B0749" w:rsidRDefault="00473E6D" w:rsidP="009A7344">
            <w:pPr>
              <w:ind w:right="-46"/>
              <w:jc w:val="center"/>
              <w:rPr>
                <w:color w:val="000000" w:themeColor="text1"/>
                <w:sz w:val="20"/>
                <w:szCs w:val="20"/>
              </w:rPr>
            </w:pPr>
            <w:r w:rsidRPr="006B0749">
              <w:rPr>
                <w:color w:val="000000" w:themeColor="text1"/>
                <w:sz w:val="20"/>
                <w:szCs w:val="20"/>
              </w:rPr>
              <w:t>.000</w:t>
            </w:r>
          </w:p>
        </w:tc>
        <w:tc>
          <w:tcPr>
            <w:tcW w:w="495" w:type="pct"/>
            <w:tcBorders>
              <w:top w:val="nil"/>
              <w:left w:val="nil"/>
              <w:bottom w:val="nil"/>
              <w:right w:val="nil"/>
            </w:tcBorders>
            <w:vAlign w:val="center"/>
          </w:tcPr>
          <w:p w14:paraId="263B134B" w14:textId="77777777" w:rsidR="00473E6D" w:rsidRPr="006B0749" w:rsidRDefault="00473E6D" w:rsidP="009A7344">
            <w:pPr>
              <w:ind w:right="-46"/>
              <w:jc w:val="center"/>
              <w:rPr>
                <w:color w:val="000000" w:themeColor="text1"/>
                <w:sz w:val="20"/>
                <w:szCs w:val="20"/>
              </w:rPr>
            </w:pPr>
            <w:r w:rsidRPr="006B0749">
              <w:rPr>
                <w:color w:val="000000" w:themeColor="text1"/>
                <w:sz w:val="20"/>
                <w:szCs w:val="20"/>
              </w:rPr>
              <w:t>.446</w:t>
            </w:r>
          </w:p>
        </w:tc>
        <w:tc>
          <w:tcPr>
            <w:tcW w:w="495" w:type="pct"/>
            <w:tcBorders>
              <w:top w:val="nil"/>
              <w:left w:val="nil"/>
              <w:bottom w:val="nil"/>
              <w:right w:val="nil"/>
            </w:tcBorders>
          </w:tcPr>
          <w:p w14:paraId="435FF58B" w14:textId="77777777" w:rsidR="00473E6D" w:rsidRPr="006B0749" w:rsidRDefault="00473E6D" w:rsidP="009A7344">
            <w:pPr>
              <w:ind w:right="-46"/>
              <w:jc w:val="center"/>
              <w:rPr>
                <w:color w:val="000000" w:themeColor="text1"/>
                <w:sz w:val="20"/>
                <w:szCs w:val="20"/>
              </w:rPr>
            </w:pPr>
          </w:p>
        </w:tc>
      </w:tr>
      <w:tr w:rsidR="006B0749" w:rsidRPr="006B0749" w14:paraId="358D419F" w14:textId="77777777" w:rsidTr="009A7344">
        <w:tc>
          <w:tcPr>
            <w:tcW w:w="840" w:type="pct"/>
            <w:tcBorders>
              <w:top w:val="nil"/>
              <w:left w:val="nil"/>
              <w:right w:val="nil"/>
            </w:tcBorders>
          </w:tcPr>
          <w:p w14:paraId="7FD8229C" w14:textId="77777777" w:rsidR="00473E6D" w:rsidRPr="006B0749" w:rsidRDefault="00473E6D" w:rsidP="009A7344">
            <w:pPr>
              <w:ind w:right="-46"/>
              <w:jc w:val="both"/>
              <w:rPr>
                <w:color w:val="000000" w:themeColor="text1"/>
                <w:sz w:val="20"/>
                <w:szCs w:val="20"/>
              </w:rPr>
            </w:pPr>
            <w:r w:rsidRPr="006B0749">
              <w:rPr>
                <w:color w:val="000000" w:themeColor="text1"/>
                <w:sz w:val="20"/>
                <w:szCs w:val="20"/>
              </w:rPr>
              <w:t>WAT</w:t>
            </w:r>
          </w:p>
        </w:tc>
        <w:tc>
          <w:tcPr>
            <w:tcW w:w="670" w:type="pct"/>
            <w:tcBorders>
              <w:top w:val="nil"/>
              <w:left w:val="nil"/>
              <w:right w:val="nil"/>
            </w:tcBorders>
            <w:vAlign w:val="center"/>
          </w:tcPr>
          <w:p w14:paraId="21B4AAEB" w14:textId="77777777" w:rsidR="00473E6D" w:rsidRPr="006B0749" w:rsidRDefault="00473E6D" w:rsidP="009A7344">
            <w:pPr>
              <w:ind w:right="-46"/>
              <w:jc w:val="center"/>
              <w:rPr>
                <w:color w:val="000000" w:themeColor="text1"/>
                <w:sz w:val="20"/>
                <w:szCs w:val="20"/>
              </w:rPr>
            </w:pPr>
            <w:r w:rsidRPr="006B0749">
              <w:rPr>
                <w:color w:val="000000" w:themeColor="text1"/>
                <w:sz w:val="20"/>
                <w:szCs w:val="20"/>
              </w:rPr>
              <w:t>.247</w:t>
            </w:r>
          </w:p>
        </w:tc>
        <w:tc>
          <w:tcPr>
            <w:tcW w:w="928" w:type="pct"/>
            <w:tcBorders>
              <w:top w:val="nil"/>
              <w:left w:val="nil"/>
              <w:right w:val="nil"/>
            </w:tcBorders>
            <w:vAlign w:val="center"/>
          </w:tcPr>
          <w:p w14:paraId="2B0DB0BF" w14:textId="77777777" w:rsidR="00473E6D" w:rsidRPr="006B0749" w:rsidRDefault="00473E6D" w:rsidP="009A7344">
            <w:pPr>
              <w:ind w:right="-46"/>
              <w:jc w:val="center"/>
              <w:rPr>
                <w:color w:val="000000" w:themeColor="text1"/>
                <w:sz w:val="20"/>
                <w:szCs w:val="20"/>
              </w:rPr>
            </w:pPr>
            <w:r w:rsidRPr="006B0749">
              <w:rPr>
                <w:color w:val="000000" w:themeColor="text1"/>
                <w:sz w:val="20"/>
                <w:szCs w:val="20"/>
              </w:rPr>
              <w:t>.081</w:t>
            </w:r>
          </w:p>
        </w:tc>
        <w:tc>
          <w:tcPr>
            <w:tcW w:w="495" w:type="pct"/>
            <w:tcBorders>
              <w:top w:val="nil"/>
              <w:left w:val="nil"/>
              <w:right w:val="nil"/>
            </w:tcBorders>
            <w:vAlign w:val="center"/>
          </w:tcPr>
          <w:p w14:paraId="47424BC7" w14:textId="77777777" w:rsidR="00473E6D" w:rsidRPr="006B0749" w:rsidRDefault="00473E6D" w:rsidP="009A7344">
            <w:pPr>
              <w:ind w:right="-46"/>
              <w:jc w:val="center"/>
              <w:rPr>
                <w:color w:val="000000" w:themeColor="text1"/>
                <w:sz w:val="20"/>
                <w:szCs w:val="20"/>
              </w:rPr>
            </w:pPr>
            <w:r w:rsidRPr="006B0749">
              <w:rPr>
                <w:color w:val="000000" w:themeColor="text1"/>
                <w:sz w:val="20"/>
                <w:szCs w:val="20"/>
              </w:rPr>
              <w:t>.332</w:t>
            </w:r>
          </w:p>
        </w:tc>
        <w:tc>
          <w:tcPr>
            <w:tcW w:w="582" w:type="pct"/>
            <w:tcBorders>
              <w:top w:val="nil"/>
              <w:left w:val="nil"/>
              <w:right w:val="nil"/>
            </w:tcBorders>
            <w:vAlign w:val="center"/>
          </w:tcPr>
          <w:p w14:paraId="5561FA91" w14:textId="77777777" w:rsidR="00473E6D" w:rsidRPr="006B0749" w:rsidRDefault="00473E6D" w:rsidP="009A7344">
            <w:pPr>
              <w:ind w:right="-46"/>
              <w:jc w:val="center"/>
              <w:rPr>
                <w:color w:val="000000" w:themeColor="text1"/>
                <w:sz w:val="20"/>
                <w:szCs w:val="20"/>
              </w:rPr>
            </w:pPr>
            <w:r w:rsidRPr="006B0749">
              <w:rPr>
                <w:color w:val="000000" w:themeColor="text1"/>
                <w:sz w:val="20"/>
                <w:szCs w:val="20"/>
              </w:rPr>
              <w:t>3.050</w:t>
            </w:r>
          </w:p>
        </w:tc>
        <w:tc>
          <w:tcPr>
            <w:tcW w:w="495" w:type="pct"/>
            <w:tcBorders>
              <w:top w:val="nil"/>
              <w:left w:val="nil"/>
              <w:right w:val="nil"/>
            </w:tcBorders>
            <w:vAlign w:val="center"/>
          </w:tcPr>
          <w:p w14:paraId="2AD66E62" w14:textId="77777777" w:rsidR="00473E6D" w:rsidRPr="006B0749" w:rsidRDefault="00473E6D" w:rsidP="009A7344">
            <w:pPr>
              <w:ind w:right="-46"/>
              <w:jc w:val="center"/>
              <w:rPr>
                <w:color w:val="000000" w:themeColor="text1"/>
                <w:sz w:val="20"/>
                <w:szCs w:val="20"/>
              </w:rPr>
            </w:pPr>
            <w:r w:rsidRPr="006B0749">
              <w:rPr>
                <w:color w:val="000000" w:themeColor="text1"/>
                <w:sz w:val="20"/>
                <w:szCs w:val="20"/>
              </w:rPr>
              <w:t>.003</w:t>
            </w:r>
          </w:p>
        </w:tc>
        <w:tc>
          <w:tcPr>
            <w:tcW w:w="495" w:type="pct"/>
            <w:tcBorders>
              <w:top w:val="nil"/>
              <w:left w:val="nil"/>
              <w:right w:val="nil"/>
            </w:tcBorders>
            <w:vAlign w:val="center"/>
          </w:tcPr>
          <w:p w14:paraId="7F557A0B" w14:textId="77777777" w:rsidR="00473E6D" w:rsidRPr="006B0749" w:rsidRDefault="00473E6D" w:rsidP="009A7344">
            <w:pPr>
              <w:ind w:right="-46"/>
              <w:jc w:val="center"/>
              <w:rPr>
                <w:color w:val="000000" w:themeColor="text1"/>
                <w:sz w:val="20"/>
                <w:szCs w:val="20"/>
              </w:rPr>
            </w:pPr>
            <w:r w:rsidRPr="006B0749">
              <w:rPr>
                <w:color w:val="000000" w:themeColor="text1"/>
                <w:sz w:val="20"/>
                <w:szCs w:val="20"/>
              </w:rPr>
              <w:t>.366</w:t>
            </w:r>
          </w:p>
        </w:tc>
        <w:tc>
          <w:tcPr>
            <w:tcW w:w="495" w:type="pct"/>
            <w:tcBorders>
              <w:top w:val="nil"/>
              <w:left w:val="nil"/>
              <w:right w:val="nil"/>
            </w:tcBorders>
          </w:tcPr>
          <w:p w14:paraId="0D37ED0A" w14:textId="77777777" w:rsidR="00473E6D" w:rsidRPr="006B0749" w:rsidRDefault="00473E6D" w:rsidP="009A7344">
            <w:pPr>
              <w:ind w:right="-46"/>
              <w:jc w:val="center"/>
              <w:rPr>
                <w:color w:val="000000" w:themeColor="text1"/>
                <w:sz w:val="20"/>
                <w:szCs w:val="20"/>
              </w:rPr>
            </w:pPr>
          </w:p>
        </w:tc>
      </w:tr>
    </w:tbl>
    <w:p w14:paraId="071B31F4" w14:textId="77777777" w:rsidR="00473E6D" w:rsidRPr="006B0749" w:rsidRDefault="00473E6D" w:rsidP="00473E6D">
      <w:pPr>
        <w:ind w:right="-46"/>
        <w:jc w:val="both"/>
        <w:rPr>
          <w:color w:val="000000" w:themeColor="text1"/>
        </w:rPr>
      </w:pPr>
      <w:r w:rsidRPr="006B0749">
        <w:rPr>
          <w:bCs/>
          <w:i/>
          <w:iCs/>
          <w:color w:val="000000" w:themeColor="text1"/>
          <w:vertAlign w:val="superscript"/>
        </w:rPr>
        <w:t>Notes:</w:t>
      </w:r>
      <w:r w:rsidRPr="006B0749">
        <w:rPr>
          <w:bCs/>
          <w:color w:val="000000" w:themeColor="text1"/>
          <w:vertAlign w:val="superscript"/>
        </w:rPr>
        <w:t xml:space="preserve"> </w:t>
      </w:r>
      <w:proofErr w:type="gramStart"/>
      <w:r w:rsidRPr="006B0749">
        <w:rPr>
          <w:bCs/>
          <w:i/>
          <w:iCs/>
          <w:color w:val="000000" w:themeColor="text1"/>
          <w:vertAlign w:val="superscript"/>
        </w:rPr>
        <w:t>F</w:t>
      </w:r>
      <w:r w:rsidRPr="006B0749">
        <w:rPr>
          <w:bCs/>
          <w:color w:val="000000" w:themeColor="text1"/>
          <w:vertAlign w:val="superscript"/>
        </w:rPr>
        <w:t>(</w:t>
      </w:r>
      <w:proofErr w:type="gramEnd"/>
      <w:r w:rsidRPr="006B0749">
        <w:rPr>
          <w:bCs/>
          <w:color w:val="000000" w:themeColor="text1"/>
          <w:vertAlign w:val="superscript"/>
        </w:rPr>
        <w:t xml:space="preserve">1,61) = 13.162, </w:t>
      </w:r>
      <w:r w:rsidRPr="006B0749">
        <w:rPr>
          <w:bCs/>
          <w:i/>
          <w:iCs/>
          <w:color w:val="000000" w:themeColor="text1"/>
          <w:vertAlign w:val="superscript"/>
        </w:rPr>
        <w:t>p</w:t>
      </w:r>
      <w:r w:rsidRPr="006B0749">
        <w:rPr>
          <w:bCs/>
          <w:color w:val="000000" w:themeColor="text1"/>
          <w:vertAlign w:val="superscript"/>
        </w:rPr>
        <w:t xml:space="preserve"> &lt; .001 for Model 1, SEE = 7.74; </w:t>
      </w:r>
      <w:r w:rsidRPr="006B0749">
        <w:rPr>
          <w:bCs/>
          <w:i/>
          <w:iCs/>
          <w:color w:val="000000" w:themeColor="text1"/>
          <w:vertAlign w:val="superscript"/>
        </w:rPr>
        <w:t>F</w:t>
      </w:r>
      <w:r w:rsidRPr="006B0749">
        <w:rPr>
          <w:bCs/>
          <w:color w:val="000000" w:themeColor="text1"/>
          <w:vertAlign w:val="superscript"/>
        </w:rPr>
        <w:t xml:space="preserve">(2,60) = 12.130, </w:t>
      </w:r>
      <w:r w:rsidRPr="006B0749">
        <w:rPr>
          <w:bCs/>
          <w:i/>
          <w:iCs/>
          <w:color w:val="000000" w:themeColor="text1"/>
          <w:vertAlign w:val="superscript"/>
        </w:rPr>
        <w:t>p</w:t>
      </w:r>
      <w:r w:rsidRPr="006B0749">
        <w:rPr>
          <w:bCs/>
          <w:color w:val="000000" w:themeColor="text1"/>
          <w:vertAlign w:val="superscript"/>
        </w:rPr>
        <w:t xml:space="preserve"> &lt; .001 for Model 2, SEE = 7.26</w:t>
      </w:r>
    </w:p>
    <w:p w14:paraId="3958122B" w14:textId="77777777" w:rsidR="00473E6D" w:rsidRPr="006B0749" w:rsidRDefault="00473E6D" w:rsidP="00473E6D">
      <w:pPr>
        <w:pStyle w:val="NormalWeb"/>
        <w:spacing w:before="0" w:beforeAutospacing="0" w:after="0" w:afterAutospacing="0"/>
        <w:jc w:val="both"/>
        <w:rPr>
          <w:color w:val="000000" w:themeColor="text1"/>
          <w:lang w:val="en-US"/>
        </w:rPr>
      </w:pPr>
    </w:p>
    <w:p w14:paraId="02BDBBC4" w14:textId="77777777" w:rsidR="00473E6D" w:rsidRPr="006B0749" w:rsidRDefault="00473E6D" w:rsidP="00473E6D">
      <w:pPr>
        <w:pStyle w:val="NormalWeb"/>
        <w:spacing w:before="0" w:beforeAutospacing="0" w:after="0" w:afterAutospacing="0"/>
        <w:jc w:val="both"/>
        <w:rPr>
          <w:color w:val="000000" w:themeColor="text1"/>
        </w:rPr>
      </w:pPr>
      <w:r w:rsidRPr="006B0749">
        <w:rPr>
          <w:color w:val="000000" w:themeColor="text1"/>
        </w:rPr>
        <w:t>The stepwise multiple regression analyses presented in Table 4 were also conducted to determine the predictive role of vocabulary knowledge in L2 writing performance among Thai university participants. Model 1 reveals that the Productive Vocabulary Levels Test (PVLT) robustly predicts L2 writing performance. The constant 20.298 signifies the baseline writing score when the PVLT score is zero, indicating the foundational writing ability of participants without considering their productive vocabulary knowledge. The coefficient of 0.653 signifies that for every unit increase in PVLT score, the writing performance is predicted to increase by 0.653 percentage points. This model is highly significant (</w:t>
      </w:r>
      <w:r w:rsidRPr="006B0749">
        <w:rPr>
          <w:i/>
          <w:iCs/>
          <w:color w:val="000000" w:themeColor="text1"/>
        </w:rPr>
        <w:t>F</w:t>
      </w:r>
      <w:r w:rsidRPr="006B0749">
        <w:rPr>
          <w:color w:val="000000" w:themeColor="text1"/>
        </w:rPr>
        <w:t xml:space="preserve">(1,61) = 125.867, </w:t>
      </w:r>
      <w:r w:rsidRPr="006B0749">
        <w:rPr>
          <w:i/>
          <w:iCs/>
          <w:color w:val="000000" w:themeColor="text1"/>
        </w:rPr>
        <w:t>p</w:t>
      </w:r>
      <w:r w:rsidRPr="006B0749">
        <w:rPr>
          <w:color w:val="000000" w:themeColor="text1"/>
        </w:rPr>
        <w:t xml:space="preserve"> &lt; .001) and explains 67.4% (R² = .674) of the variance in writing performance. The high standardised regression coefficient (β = .821) highlights the strong positive relationship between productive vocabulary knowledge and writing proficiency, indicating that participants with higher productive vocabulary scores tend to perform better in writing tasks.</w:t>
      </w:r>
    </w:p>
    <w:p w14:paraId="43D8EDE6" w14:textId="77777777" w:rsidR="00473E6D" w:rsidRPr="006B0749" w:rsidRDefault="00473E6D" w:rsidP="00473E6D">
      <w:pPr>
        <w:pStyle w:val="NormalWeb"/>
        <w:spacing w:before="0" w:beforeAutospacing="0" w:after="0" w:afterAutospacing="0"/>
        <w:jc w:val="both"/>
        <w:rPr>
          <w:color w:val="000000" w:themeColor="text1"/>
        </w:rPr>
      </w:pPr>
    </w:p>
    <w:p w14:paraId="742B6406" w14:textId="77777777" w:rsidR="00473E6D" w:rsidRPr="006B0749" w:rsidRDefault="00473E6D" w:rsidP="00473E6D">
      <w:pPr>
        <w:pStyle w:val="NormalWeb"/>
        <w:spacing w:before="0" w:beforeAutospacing="0" w:after="0" w:afterAutospacing="0"/>
        <w:jc w:val="both"/>
        <w:rPr>
          <w:color w:val="000000" w:themeColor="text1"/>
        </w:rPr>
      </w:pPr>
      <w:r w:rsidRPr="006B0749">
        <w:rPr>
          <w:color w:val="000000" w:themeColor="text1"/>
        </w:rPr>
        <w:t>Model 2 expands on the first by including both PVLT and the Word Associates Test (WAT) as predictors. In this model, the constant value of 9.388 represents the baseline writing performance when both PVLT and WAT scores are zero. The coefficient for PVLT (0.558) indicates that each unit increase in PVLT score contributes to a 0.558 percentage point increase in writing performance. In contrast, the coefficient for WAT (0.266) suggests that each unit increase in WAT score leads to a 0.266 percentage point increase in writing performance. This model is also highly significant (</w:t>
      </w:r>
      <w:r w:rsidRPr="006B0749">
        <w:rPr>
          <w:i/>
          <w:iCs/>
          <w:color w:val="000000" w:themeColor="text1"/>
        </w:rPr>
        <w:t>F</w:t>
      </w:r>
      <w:r w:rsidRPr="006B0749">
        <w:rPr>
          <w:color w:val="000000" w:themeColor="text1"/>
        </w:rPr>
        <w:t xml:space="preserve">(2,60) = 74.299, </w:t>
      </w:r>
      <w:r w:rsidRPr="006B0749">
        <w:rPr>
          <w:i/>
          <w:iCs/>
          <w:color w:val="000000" w:themeColor="text1"/>
        </w:rPr>
        <w:t>p</w:t>
      </w:r>
      <w:r w:rsidRPr="006B0749">
        <w:rPr>
          <w:color w:val="000000" w:themeColor="text1"/>
        </w:rPr>
        <w:t xml:space="preserve"> &lt; .001) and explains 71.2% (R² = .712) of the variance in L2 writing performance. The standardised regression coefficients for PVLT (β = .701) and WAT (β = .231) highlight that while PVLT remains the stronger predictor, WAT also significantly explains the variation in writing performance.</w:t>
      </w:r>
    </w:p>
    <w:p w14:paraId="3FA9385C" w14:textId="77777777" w:rsidR="00473E6D" w:rsidRPr="006B0749" w:rsidRDefault="00473E6D" w:rsidP="00473E6D">
      <w:pPr>
        <w:pStyle w:val="BodyText"/>
        <w:tabs>
          <w:tab w:val="left" w:pos="2988"/>
        </w:tabs>
        <w:spacing w:line="240" w:lineRule="auto"/>
        <w:ind w:firstLine="0"/>
        <w:jc w:val="both"/>
        <w:rPr>
          <w:rFonts w:eastAsiaTheme="minorEastAsia"/>
          <w:color w:val="000000" w:themeColor="text1"/>
          <w:lang w:val="en-MY"/>
        </w:rPr>
      </w:pPr>
    </w:p>
    <w:p w14:paraId="59E3F6C4" w14:textId="77777777" w:rsidR="00473E6D" w:rsidRPr="006B0749" w:rsidRDefault="00473E6D" w:rsidP="00473E6D">
      <w:pPr>
        <w:pStyle w:val="BodyText"/>
        <w:tabs>
          <w:tab w:val="left" w:pos="2988"/>
        </w:tabs>
        <w:spacing w:line="240" w:lineRule="auto"/>
        <w:ind w:firstLine="0"/>
        <w:jc w:val="center"/>
        <w:rPr>
          <w:bCs/>
          <w:color w:val="000000" w:themeColor="text1"/>
          <w:sz w:val="18"/>
          <w:szCs w:val="18"/>
          <w:lang w:val="en-GB"/>
        </w:rPr>
      </w:pPr>
      <w:r w:rsidRPr="006B0749">
        <w:rPr>
          <w:bCs/>
          <w:color w:val="000000" w:themeColor="text1"/>
          <w:sz w:val="18"/>
          <w:szCs w:val="18"/>
          <w:lang w:val="en-GB"/>
        </w:rPr>
        <w:t>TABLE 4. Regression analysis of vocabulary knowledge explaining L2 writing performance</w:t>
      </w:r>
    </w:p>
    <w:p w14:paraId="197E92C6" w14:textId="77777777" w:rsidR="00473E6D" w:rsidRPr="006B0749" w:rsidRDefault="00473E6D" w:rsidP="00473E6D">
      <w:pPr>
        <w:pStyle w:val="BodyText"/>
        <w:tabs>
          <w:tab w:val="left" w:pos="2988"/>
        </w:tabs>
        <w:spacing w:line="240" w:lineRule="auto"/>
        <w:ind w:firstLine="0"/>
        <w:jc w:val="both"/>
        <w:rPr>
          <w:bCs/>
          <w:color w:val="000000" w:themeColor="text1"/>
        </w:rPr>
      </w:pPr>
    </w:p>
    <w:tbl>
      <w:tblPr>
        <w:tblStyle w:val="TableGrid"/>
        <w:tblW w:w="5000" w:type="pct"/>
        <w:tblLook w:val="04A0" w:firstRow="1" w:lastRow="0" w:firstColumn="1" w:lastColumn="0" w:noHBand="0" w:noVBand="1"/>
      </w:tblPr>
      <w:tblGrid>
        <w:gridCol w:w="1492"/>
        <w:gridCol w:w="1189"/>
        <w:gridCol w:w="1648"/>
        <w:gridCol w:w="878"/>
        <w:gridCol w:w="1189"/>
        <w:gridCol w:w="877"/>
        <w:gridCol w:w="877"/>
        <w:gridCol w:w="877"/>
      </w:tblGrid>
      <w:tr w:rsidR="006B0749" w:rsidRPr="006B0749" w14:paraId="7BE94432" w14:textId="77777777" w:rsidTr="009A7344">
        <w:tc>
          <w:tcPr>
            <w:tcW w:w="826" w:type="pct"/>
            <w:tcBorders>
              <w:left w:val="nil"/>
              <w:bottom w:val="single" w:sz="4" w:space="0" w:color="000000" w:themeColor="text1"/>
              <w:right w:val="nil"/>
            </w:tcBorders>
            <w:vAlign w:val="center"/>
          </w:tcPr>
          <w:p w14:paraId="27D17A0B" w14:textId="77777777" w:rsidR="00473E6D" w:rsidRPr="006B0749" w:rsidRDefault="00473E6D" w:rsidP="009A7344">
            <w:pPr>
              <w:ind w:right="-46"/>
              <w:rPr>
                <w:b/>
                <w:bCs/>
                <w:color w:val="000000" w:themeColor="text1"/>
                <w:sz w:val="20"/>
                <w:szCs w:val="20"/>
              </w:rPr>
            </w:pPr>
            <w:r w:rsidRPr="006B0749">
              <w:rPr>
                <w:b/>
                <w:bCs/>
                <w:color w:val="000000" w:themeColor="text1"/>
                <w:sz w:val="20"/>
                <w:szCs w:val="20"/>
              </w:rPr>
              <w:t>Variable</w:t>
            </w:r>
          </w:p>
        </w:tc>
        <w:tc>
          <w:tcPr>
            <w:tcW w:w="658" w:type="pct"/>
            <w:tcBorders>
              <w:left w:val="nil"/>
              <w:bottom w:val="single" w:sz="4" w:space="0" w:color="000000" w:themeColor="text1"/>
              <w:right w:val="nil"/>
            </w:tcBorders>
            <w:vAlign w:val="center"/>
          </w:tcPr>
          <w:p w14:paraId="2A43AFBF" w14:textId="77777777" w:rsidR="00473E6D" w:rsidRPr="006B0749" w:rsidRDefault="00473E6D" w:rsidP="009A7344">
            <w:pPr>
              <w:ind w:right="-46"/>
              <w:jc w:val="center"/>
              <w:rPr>
                <w:b/>
                <w:bCs/>
                <w:color w:val="000000" w:themeColor="text1"/>
                <w:sz w:val="20"/>
                <w:szCs w:val="20"/>
              </w:rPr>
            </w:pPr>
            <w:r w:rsidRPr="006B0749">
              <w:rPr>
                <w:b/>
                <w:bCs/>
                <w:color w:val="000000" w:themeColor="text1"/>
                <w:sz w:val="20"/>
                <w:szCs w:val="20"/>
              </w:rPr>
              <w:t>B</w:t>
            </w:r>
          </w:p>
        </w:tc>
        <w:tc>
          <w:tcPr>
            <w:tcW w:w="912" w:type="pct"/>
            <w:tcBorders>
              <w:left w:val="nil"/>
              <w:bottom w:val="single" w:sz="4" w:space="0" w:color="000000" w:themeColor="text1"/>
              <w:right w:val="nil"/>
            </w:tcBorders>
            <w:vAlign w:val="center"/>
          </w:tcPr>
          <w:p w14:paraId="01B9EB43" w14:textId="77777777" w:rsidR="00473E6D" w:rsidRPr="006B0749" w:rsidRDefault="00473E6D" w:rsidP="009A7344">
            <w:pPr>
              <w:ind w:right="-46"/>
              <w:jc w:val="center"/>
              <w:rPr>
                <w:b/>
                <w:bCs/>
                <w:color w:val="000000" w:themeColor="text1"/>
                <w:sz w:val="20"/>
                <w:szCs w:val="20"/>
              </w:rPr>
            </w:pPr>
            <w:r w:rsidRPr="006B0749">
              <w:rPr>
                <w:b/>
                <w:bCs/>
                <w:color w:val="000000" w:themeColor="text1"/>
                <w:sz w:val="20"/>
                <w:szCs w:val="20"/>
              </w:rPr>
              <w:t>Std. error</w:t>
            </w:r>
          </w:p>
        </w:tc>
        <w:tc>
          <w:tcPr>
            <w:tcW w:w="486" w:type="pct"/>
            <w:tcBorders>
              <w:left w:val="nil"/>
              <w:bottom w:val="single" w:sz="4" w:space="0" w:color="000000" w:themeColor="text1"/>
              <w:right w:val="nil"/>
            </w:tcBorders>
            <w:vAlign w:val="center"/>
          </w:tcPr>
          <w:p w14:paraId="548317A5" w14:textId="77777777" w:rsidR="00473E6D" w:rsidRPr="006B0749" w:rsidRDefault="00473E6D" w:rsidP="009A7344">
            <w:pPr>
              <w:ind w:right="-46"/>
              <w:jc w:val="center"/>
              <w:rPr>
                <w:b/>
                <w:bCs/>
                <w:i/>
                <w:iCs/>
                <w:color w:val="000000" w:themeColor="text1"/>
                <w:sz w:val="20"/>
                <w:szCs w:val="20"/>
                <w:cs/>
              </w:rPr>
            </w:pPr>
            <w:r w:rsidRPr="006B0749">
              <w:rPr>
                <w:b/>
                <w:bCs/>
                <w:i/>
                <w:iCs/>
                <w:color w:val="000000" w:themeColor="text1"/>
                <w:sz w:val="20"/>
                <w:szCs w:val="20"/>
              </w:rPr>
              <w:sym w:font="Symbol" w:char="F062"/>
            </w:r>
          </w:p>
        </w:tc>
        <w:tc>
          <w:tcPr>
            <w:tcW w:w="658" w:type="pct"/>
            <w:tcBorders>
              <w:left w:val="nil"/>
              <w:bottom w:val="single" w:sz="4" w:space="0" w:color="000000" w:themeColor="text1"/>
              <w:right w:val="nil"/>
            </w:tcBorders>
            <w:vAlign w:val="center"/>
          </w:tcPr>
          <w:p w14:paraId="442EF886" w14:textId="77777777" w:rsidR="00473E6D" w:rsidRPr="006B0749" w:rsidRDefault="00473E6D" w:rsidP="009A7344">
            <w:pPr>
              <w:ind w:right="-46"/>
              <w:jc w:val="center"/>
              <w:rPr>
                <w:b/>
                <w:bCs/>
                <w:i/>
                <w:iCs/>
                <w:color w:val="000000" w:themeColor="text1"/>
                <w:sz w:val="20"/>
                <w:szCs w:val="20"/>
              </w:rPr>
            </w:pPr>
            <w:r w:rsidRPr="006B0749">
              <w:rPr>
                <w:b/>
                <w:bCs/>
                <w:i/>
                <w:iCs/>
                <w:color w:val="000000" w:themeColor="text1"/>
                <w:sz w:val="20"/>
                <w:szCs w:val="20"/>
              </w:rPr>
              <w:t>t</w:t>
            </w:r>
          </w:p>
        </w:tc>
        <w:tc>
          <w:tcPr>
            <w:tcW w:w="486" w:type="pct"/>
            <w:tcBorders>
              <w:left w:val="nil"/>
              <w:bottom w:val="single" w:sz="4" w:space="0" w:color="000000" w:themeColor="text1"/>
              <w:right w:val="nil"/>
            </w:tcBorders>
            <w:vAlign w:val="center"/>
          </w:tcPr>
          <w:p w14:paraId="59010684" w14:textId="77777777" w:rsidR="00473E6D" w:rsidRPr="006B0749" w:rsidRDefault="00473E6D" w:rsidP="009A7344">
            <w:pPr>
              <w:ind w:right="-46"/>
              <w:jc w:val="center"/>
              <w:rPr>
                <w:b/>
                <w:bCs/>
                <w:color w:val="000000" w:themeColor="text1"/>
                <w:sz w:val="20"/>
                <w:szCs w:val="20"/>
              </w:rPr>
            </w:pPr>
            <w:r w:rsidRPr="006B0749">
              <w:rPr>
                <w:b/>
                <w:bCs/>
                <w:color w:val="000000" w:themeColor="text1"/>
                <w:sz w:val="20"/>
                <w:szCs w:val="20"/>
              </w:rPr>
              <w:t>Sig.</w:t>
            </w:r>
          </w:p>
        </w:tc>
        <w:tc>
          <w:tcPr>
            <w:tcW w:w="486" w:type="pct"/>
            <w:tcBorders>
              <w:left w:val="nil"/>
              <w:bottom w:val="single" w:sz="4" w:space="0" w:color="000000" w:themeColor="text1"/>
              <w:right w:val="nil"/>
            </w:tcBorders>
            <w:vAlign w:val="center"/>
          </w:tcPr>
          <w:p w14:paraId="1763EDFE" w14:textId="77777777" w:rsidR="00473E6D" w:rsidRPr="006B0749" w:rsidRDefault="00473E6D" w:rsidP="009A7344">
            <w:pPr>
              <w:ind w:right="-46"/>
              <w:jc w:val="center"/>
              <w:rPr>
                <w:b/>
                <w:bCs/>
                <w:color w:val="000000" w:themeColor="text1"/>
                <w:sz w:val="20"/>
                <w:szCs w:val="20"/>
              </w:rPr>
            </w:pPr>
            <w:r w:rsidRPr="006B0749">
              <w:rPr>
                <w:b/>
                <w:bCs/>
                <w:i/>
                <w:iCs/>
                <w:color w:val="000000" w:themeColor="text1"/>
                <w:sz w:val="20"/>
                <w:szCs w:val="20"/>
              </w:rPr>
              <w:t>sr</w:t>
            </w:r>
            <w:r w:rsidRPr="006B0749">
              <w:rPr>
                <w:b/>
                <w:bCs/>
                <w:i/>
                <w:iCs/>
                <w:color w:val="000000" w:themeColor="text1"/>
                <w:sz w:val="20"/>
                <w:szCs w:val="20"/>
                <w:vertAlign w:val="superscript"/>
              </w:rPr>
              <w:t>2</w:t>
            </w:r>
          </w:p>
        </w:tc>
        <w:tc>
          <w:tcPr>
            <w:tcW w:w="486" w:type="pct"/>
            <w:tcBorders>
              <w:left w:val="nil"/>
              <w:bottom w:val="single" w:sz="4" w:space="0" w:color="000000" w:themeColor="text1"/>
              <w:right w:val="nil"/>
            </w:tcBorders>
            <w:vAlign w:val="center"/>
          </w:tcPr>
          <w:p w14:paraId="6FADDC4C" w14:textId="77777777" w:rsidR="00473E6D" w:rsidRPr="006B0749" w:rsidRDefault="00473E6D" w:rsidP="009A7344">
            <w:pPr>
              <w:ind w:right="-46"/>
              <w:jc w:val="center"/>
              <w:rPr>
                <w:b/>
                <w:bCs/>
                <w:i/>
                <w:iCs/>
                <w:color w:val="000000" w:themeColor="text1"/>
                <w:sz w:val="20"/>
                <w:szCs w:val="20"/>
              </w:rPr>
            </w:pPr>
            <w:r w:rsidRPr="006B0749">
              <w:rPr>
                <w:b/>
                <w:bCs/>
                <w:i/>
                <w:iCs/>
                <w:color w:val="000000" w:themeColor="text1"/>
                <w:sz w:val="20"/>
                <w:szCs w:val="20"/>
              </w:rPr>
              <w:t>R</w:t>
            </w:r>
            <w:r w:rsidRPr="006B0749">
              <w:rPr>
                <w:b/>
                <w:bCs/>
                <w:color w:val="000000" w:themeColor="text1"/>
                <w:sz w:val="20"/>
                <w:szCs w:val="20"/>
                <w:vertAlign w:val="superscript"/>
              </w:rPr>
              <w:t>2</w:t>
            </w:r>
          </w:p>
        </w:tc>
      </w:tr>
      <w:tr w:rsidR="006B0749" w:rsidRPr="006B0749" w14:paraId="6558AC79" w14:textId="77777777" w:rsidTr="009A7344">
        <w:tc>
          <w:tcPr>
            <w:tcW w:w="826" w:type="pct"/>
            <w:tcBorders>
              <w:left w:val="nil"/>
              <w:bottom w:val="nil"/>
              <w:right w:val="nil"/>
            </w:tcBorders>
          </w:tcPr>
          <w:p w14:paraId="3EEA2448" w14:textId="77777777" w:rsidR="00473E6D" w:rsidRPr="006B0749" w:rsidRDefault="00473E6D" w:rsidP="009A7344">
            <w:pPr>
              <w:ind w:right="-46"/>
              <w:jc w:val="both"/>
              <w:rPr>
                <w:b/>
                <w:bCs/>
                <w:color w:val="000000" w:themeColor="text1"/>
                <w:sz w:val="20"/>
                <w:szCs w:val="20"/>
              </w:rPr>
            </w:pPr>
            <w:r w:rsidRPr="006B0749">
              <w:rPr>
                <w:b/>
                <w:bCs/>
                <w:color w:val="000000" w:themeColor="text1"/>
                <w:sz w:val="20"/>
                <w:szCs w:val="20"/>
              </w:rPr>
              <w:t>Model 1</w:t>
            </w:r>
          </w:p>
        </w:tc>
        <w:tc>
          <w:tcPr>
            <w:tcW w:w="658" w:type="pct"/>
            <w:tcBorders>
              <w:left w:val="nil"/>
              <w:bottom w:val="nil"/>
              <w:right w:val="nil"/>
            </w:tcBorders>
            <w:vAlign w:val="center"/>
          </w:tcPr>
          <w:p w14:paraId="377EAA36" w14:textId="77777777" w:rsidR="00473E6D" w:rsidRPr="006B0749" w:rsidRDefault="00473E6D" w:rsidP="009A7344">
            <w:pPr>
              <w:ind w:right="-46"/>
              <w:jc w:val="center"/>
              <w:rPr>
                <w:color w:val="000000" w:themeColor="text1"/>
                <w:sz w:val="20"/>
                <w:szCs w:val="20"/>
              </w:rPr>
            </w:pPr>
          </w:p>
        </w:tc>
        <w:tc>
          <w:tcPr>
            <w:tcW w:w="912" w:type="pct"/>
            <w:tcBorders>
              <w:left w:val="nil"/>
              <w:bottom w:val="nil"/>
              <w:right w:val="nil"/>
            </w:tcBorders>
            <w:vAlign w:val="center"/>
          </w:tcPr>
          <w:p w14:paraId="11549B1C" w14:textId="77777777" w:rsidR="00473E6D" w:rsidRPr="006B0749" w:rsidRDefault="00473E6D" w:rsidP="009A7344">
            <w:pPr>
              <w:ind w:right="-46"/>
              <w:jc w:val="center"/>
              <w:rPr>
                <w:color w:val="000000" w:themeColor="text1"/>
                <w:sz w:val="20"/>
                <w:szCs w:val="20"/>
              </w:rPr>
            </w:pPr>
          </w:p>
        </w:tc>
        <w:tc>
          <w:tcPr>
            <w:tcW w:w="486" w:type="pct"/>
            <w:tcBorders>
              <w:left w:val="nil"/>
              <w:bottom w:val="nil"/>
              <w:right w:val="nil"/>
            </w:tcBorders>
            <w:vAlign w:val="center"/>
          </w:tcPr>
          <w:p w14:paraId="75CF2B34" w14:textId="77777777" w:rsidR="00473E6D" w:rsidRPr="006B0749" w:rsidRDefault="00473E6D" w:rsidP="009A7344">
            <w:pPr>
              <w:ind w:right="-46"/>
              <w:jc w:val="center"/>
              <w:rPr>
                <w:color w:val="000000" w:themeColor="text1"/>
                <w:sz w:val="20"/>
                <w:szCs w:val="20"/>
              </w:rPr>
            </w:pPr>
          </w:p>
        </w:tc>
        <w:tc>
          <w:tcPr>
            <w:tcW w:w="658" w:type="pct"/>
            <w:tcBorders>
              <w:left w:val="nil"/>
              <w:bottom w:val="nil"/>
              <w:right w:val="nil"/>
            </w:tcBorders>
            <w:vAlign w:val="center"/>
          </w:tcPr>
          <w:p w14:paraId="27B96646" w14:textId="77777777" w:rsidR="00473E6D" w:rsidRPr="006B0749" w:rsidRDefault="00473E6D" w:rsidP="009A7344">
            <w:pPr>
              <w:ind w:right="-46"/>
              <w:jc w:val="center"/>
              <w:rPr>
                <w:color w:val="000000" w:themeColor="text1"/>
                <w:sz w:val="20"/>
                <w:szCs w:val="20"/>
              </w:rPr>
            </w:pPr>
          </w:p>
        </w:tc>
        <w:tc>
          <w:tcPr>
            <w:tcW w:w="486" w:type="pct"/>
            <w:tcBorders>
              <w:left w:val="nil"/>
              <w:bottom w:val="nil"/>
              <w:right w:val="nil"/>
            </w:tcBorders>
            <w:vAlign w:val="center"/>
          </w:tcPr>
          <w:p w14:paraId="0E9552FD" w14:textId="77777777" w:rsidR="00473E6D" w:rsidRPr="006B0749" w:rsidRDefault="00473E6D" w:rsidP="009A7344">
            <w:pPr>
              <w:ind w:right="-46"/>
              <w:jc w:val="center"/>
              <w:rPr>
                <w:color w:val="000000" w:themeColor="text1"/>
                <w:sz w:val="20"/>
                <w:szCs w:val="20"/>
              </w:rPr>
            </w:pPr>
          </w:p>
        </w:tc>
        <w:tc>
          <w:tcPr>
            <w:tcW w:w="486" w:type="pct"/>
            <w:tcBorders>
              <w:left w:val="nil"/>
              <w:bottom w:val="nil"/>
              <w:right w:val="nil"/>
            </w:tcBorders>
            <w:vAlign w:val="center"/>
          </w:tcPr>
          <w:p w14:paraId="119D794C" w14:textId="77777777" w:rsidR="00473E6D" w:rsidRPr="006B0749" w:rsidRDefault="00473E6D" w:rsidP="009A7344">
            <w:pPr>
              <w:ind w:right="-46"/>
              <w:jc w:val="center"/>
              <w:rPr>
                <w:color w:val="000000" w:themeColor="text1"/>
                <w:sz w:val="20"/>
                <w:szCs w:val="20"/>
              </w:rPr>
            </w:pPr>
          </w:p>
        </w:tc>
        <w:tc>
          <w:tcPr>
            <w:tcW w:w="486" w:type="pct"/>
            <w:tcBorders>
              <w:left w:val="nil"/>
              <w:bottom w:val="nil"/>
              <w:right w:val="nil"/>
            </w:tcBorders>
          </w:tcPr>
          <w:p w14:paraId="614313BA" w14:textId="77777777" w:rsidR="00473E6D" w:rsidRPr="006B0749" w:rsidRDefault="00473E6D" w:rsidP="009A7344">
            <w:pPr>
              <w:ind w:right="-46"/>
              <w:jc w:val="center"/>
              <w:rPr>
                <w:color w:val="000000" w:themeColor="text1"/>
                <w:sz w:val="20"/>
                <w:szCs w:val="20"/>
              </w:rPr>
            </w:pPr>
          </w:p>
        </w:tc>
      </w:tr>
      <w:tr w:rsidR="006B0749" w:rsidRPr="006B0749" w14:paraId="21D12528" w14:textId="77777777" w:rsidTr="009A7344">
        <w:tc>
          <w:tcPr>
            <w:tcW w:w="826" w:type="pct"/>
            <w:tcBorders>
              <w:top w:val="nil"/>
              <w:left w:val="nil"/>
              <w:bottom w:val="nil"/>
              <w:right w:val="nil"/>
            </w:tcBorders>
          </w:tcPr>
          <w:p w14:paraId="15DD78FF" w14:textId="77777777" w:rsidR="00473E6D" w:rsidRPr="006B0749" w:rsidRDefault="00473E6D" w:rsidP="009A7344">
            <w:pPr>
              <w:ind w:right="-46"/>
              <w:jc w:val="both"/>
              <w:rPr>
                <w:color w:val="000000" w:themeColor="text1"/>
                <w:sz w:val="20"/>
                <w:szCs w:val="20"/>
              </w:rPr>
            </w:pPr>
            <w:r w:rsidRPr="006B0749">
              <w:rPr>
                <w:color w:val="000000" w:themeColor="text1"/>
                <w:sz w:val="20"/>
                <w:szCs w:val="20"/>
              </w:rPr>
              <w:t>Constant</w:t>
            </w:r>
          </w:p>
        </w:tc>
        <w:tc>
          <w:tcPr>
            <w:tcW w:w="658" w:type="pct"/>
            <w:tcBorders>
              <w:top w:val="nil"/>
              <w:left w:val="nil"/>
              <w:bottom w:val="nil"/>
              <w:right w:val="nil"/>
            </w:tcBorders>
            <w:vAlign w:val="center"/>
          </w:tcPr>
          <w:p w14:paraId="6C779CB6" w14:textId="77777777" w:rsidR="00473E6D" w:rsidRPr="006B0749" w:rsidRDefault="00473E6D" w:rsidP="009A7344">
            <w:pPr>
              <w:ind w:right="-46"/>
              <w:jc w:val="center"/>
              <w:rPr>
                <w:color w:val="000000" w:themeColor="text1"/>
                <w:sz w:val="20"/>
                <w:szCs w:val="20"/>
              </w:rPr>
            </w:pPr>
            <w:r w:rsidRPr="006B0749">
              <w:rPr>
                <w:color w:val="000000" w:themeColor="text1"/>
                <w:sz w:val="20"/>
                <w:szCs w:val="20"/>
              </w:rPr>
              <w:t>20.298</w:t>
            </w:r>
          </w:p>
        </w:tc>
        <w:tc>
          <w:tcPr>
            <w:tcW w:w="912" w:type="pct"/>
            <w:tcBorders>
              <w:top w:val="nil"/>
              <w:left w:val="nil"/>
              <w:bottom w:val="nil"/>
              <w:right w:val="nil"/>
            </w:tcBorders>
            <w:vAlign w:val="center"/>
          </w:tcPr>
          <w:p w14:paraId="43C3D64C" w14:textId="77777777" w:rsidR="00473E6D" w:rsidRPr="006B0749" w:rsidRDefault="00473E6D" w:rsidP="009A7344">
            <w:pPr>
              <w:ind w:right="-46"/>
              <w:jc w:val="center"/>
              <w:rPr>
                <w:color w:val="000000" w:themeColor="text1"/>
                <w:sz w:val="20"/>
                <w:szCs w:val="20"/>
              </w:rPr>
            </w:pPr>
            <w:r w:rsidRPr="006B0749">
              <w:rPr>
                <w:color w:val="000000" w:themeColor="text1"/>
                <w:sz w:val="20"/>
                <w:szCs w:val="20"/>
              </w:rPr>
              <w:t>2.592</w:t>
            </w:r>
          </w:p>
        </w:tc>
        <w:tc>
          <w:tcPr>
            <w:tcW w:w="486" w:type="pct"/>
            <w:tcBorders>
              <w:top w:val="nil"/>
              <w:left w:val="nil"/>
              <w:bottom w:val="nil"/>
              <w:right w:val="nil"/>
            </w:tcBorders>
            <w:vAlign w:val="center"/>
          </w:tcPr>
          <w:p w14:paraId="4B00F5E7" w14:textId="77777777" w:rsidR="00473E6D" w:rsidRPr="006B0749" w:rsidRDefault="00473E6D" w:rsidP="009A7344">
            <w:pPr>
              <w:ind w:right="-46"/>
              <w:jc w:val="center"/>
              <w:rPr>
                <w:color w:val="000000" w:themeColor="text1"/>
                <w:sz w:val="20"/>
                <w:szCs w:val="20"/>
              </w:rPr>
            </w:pPr>
          </w:p>
        </w:tc>
        <w:tc>
          <w:tcPr>
            <w:tcW w:w="658" w:type="pct"/>
            <w:tcBorders>
              <w:top w:val="nil"/>
              <w:left w:val="nil"/>
              <w:bottom w:val="nil"/>
              <w:right w:val="nil"/>
            </w:tcBorders>
            <w:vAlign w:val="center"/>
          </w:tcPr>
          <w:p w14:paraId="7EE68604" w14:textId="77777777" w:rsidR="00473E6D" w:rsidRPr="006B0749" w:rsidRDefault="00473E6D" w:rsidP="009A7344">
            <w:pPr>
              <w:ind w:right="-46"/>
              <w:jc w:val="center"/>
              <w:rPr>
                <w:color w:val="000000" w:themeColor="text1"/>
                <w:sz w:val="20"/>
                <w:szCs w:val="20"/>
              </w:rPr>
            </w:pPr>
            <w:r w:rsidRPr="006B0749">
              <w:rPr>
                <w:color w:val="000000" w:themeColor="text1"/>
                <w:sz w:val="20"/>
                <w:szCs w:val="20"/>
              </w:rPr>
              <w:t>7.831</w:t>
            </w:r>
          </w:p>
        </w:tc>
        <w:tc>
          <w:tcPr>
            <w:tcW w:w="486" w:type="pct"/>
            <w:tcBorders>
              <w:top w:val="nil"/>
              <w:left w:val="nil"/>
              <w:bottom w:val="nil"/>
              <w:right w:val="nil"/>
            </w:tcBorders>
            <w:vAlign w:val="center"/>
          </w:tcPr>
          <w:p w14:paraId="6CB04541" w14:textId="77777777" w:rsidR="00473E6D" w:rsidRPr="006B0749" w:rsidRDefault="00473E6D" w:rsidP="009A7344">
            <w:pPr>
              <w:ind w:right="-46"/>
              <w:jc w:val="center"/>
              <w:rPr>
                <w:color w:val="000000" w:themeColor="text1"/>
                <w:sz w:val="20"/>
                <w:szCs w:val="20"/>
              </w:rPr>
            </w:pPr>
            <w:r w:rsidRPr="006B0749">
              <w:rPr>
                <w:color w:val="000000" w:themeColor="text1"/>
                <w:sz w:val="20"/>
                <w:szCs w:val="20"/>
              </w:rPr>
              <w:t>.000</w:t>
            </w:r>
          </w:p>
        </w:tc>
        <w:tc>
          <w:tcPr>
            <w:tcW w:w="486" w:type="pct"/>
            <w:tcBorders>
              <w:top w:val="nil"/>
              <w:left w:val="nil"/>
              <w:bottom w:val="nil"/>
              <w:right w:val="nil"/>
            </w:tcBorders>
            <w:vAlign w:val="center"/>
          </w:tcPr>
          <w:p w14:paraId="415DCDEB" w14:textId="77777777" w:rsidR="00473E6D" w:rsidRPr="006B0749" w:rsidRDefault="00473E6D" w:rsidP="009A7344">
            <w:pPr>
              <w:ind w:right="-46"/>
              <w:jc w:val="center"/>
              <w:rPr>
                <w:color w:val="000000" w:themeColor="text1"/>
                <w:sz w:val="20"/>
                <w:szCs w:val="20"/>
              </w:rPr>
            </w:pPr>
          </w:p>
        </w:tc>
        <w:tc>
          <w:tcPr>
            <w:tcW w:w="486" w:type="pct"/>
            <w:tcBorders>
              <w:top w:val="nil"/>
              <w:left w:val="nil"/>
              <w:bottom w:val="nil"/>
              <w:right w:val="nil"/>
            </w:tcBorders>
          </w:tcPr>
          <w:p w14:paraId="46B17B39" w14:textId="77777777" w:rsidR="00473E6D" w:rsidRPr="006B0749" w:rsidRDefault="00473E6D" w:rsidP="009A7344">
            <w:pPr>
              <w:ind w:right="-46"/>
              <w:jc w:val="center"/>
              <w:rPr>
                <w:color w:val="000000" w:themeColor="text1"/>
                <w:sz w:val="20"/>
                <w:szCs w:val="20"/>
              </w:rPr>
            </w:pPr>
            <w:r w:rsidRPr="006B0749">
              <w:rPr>
                <w:color w:val="000000" w:themeColor="text1"/>
                <w:sz w:val="20"/>
                <w:szCs w:val="20"/>
              </w:rPr>
              <w:t>.674</w:t>
            </w:r>
          </w:p>
        </w:tc>
      </w:tr>
      <w:tr w:rsidR="006B0749" w:rsidRPr="006B0749" w14:paraId="6D51EFDD" w14:textId="77777777" w:rsidTr="009A7344">
        <w:tc>
          <w:tcPr>
            <w:tcW w:w="826" w:type="pct"/>
            <w:tcBorders>
              <w:top w:val="nil"/>
              <w:left w:val="nil"/>
              <w:bottom w:val="nil"/>
              <w:right w:val="nil"/>
            </w:tcBorders>
          </w:tcPr>
          <w:p w14:paraId="6F8B3523" w14:textId="77777777" w:rsidR="00473E6D" w:rsidRPr="006B0749" w:rsidRDefault="00473E6D" w:rsidP="009A7344">
            <w:pPr>
              <w:ind w:right="-46"/>
              <w:jc w:val="both"/>
              <w:rPr>
                <w:color w:val="000000" w:themeColor="text1"/>
                <w:sz w:val="20"/>
                <w:szCs w:val="20"/>
              </w:rPr>
            </w:pPr>
            <w:r w:rsidRPr="006B0749">
              <w:rPr>
                <w:color w:val="000000" w:themeColor="text1"/>
                <w:sz w:val="20"/>
                <w:szCs w:val="20"/>
              </w:rPr>
              <w:t>PVLT</w:t>
            </w:r>
          </w:p>
        </w:tc>
        <w:tc>
          <w:tcPr>
            <w:tcW w:w="658" w:type="pct"/>
            <w:tcBorders>
              <w:top w:val="nil"/>
              <w:left w:val="nil"/>
              <w:bottom w:val="nil"/>
              <w:right w:val="nil"/>
            </w:tcBorders>
            <w:vAlign w:val="center"/>
          </w:tcPr>
          <w:p w14:paraId="4A82761A" w14:textId="77777777" w:rsidR="00473E6D" w:rsidRPr="006B0749" w:rsidRDefault="00473E6D" w:rsidP="009A7344">
            <w:pPr>
              <w:ind w:right="-46"/>
              <w:jc w:val="center"/>
              <w:rPr>
                <w:color w:val="000000" w:themeColor="text1"/>
                <w:sz w:val="20"/>
                <w:szCs w:val="20"/>
              </w:rPr>
            </w:pPr>
            <w:r w:rsidRPr="006B0749">
              <w:rPr>
                <w:color w:val="000000" w:themeColor="text1"/>
                <w:sz w:val="20"/>
                <w:szCs w:val="20"/>
              </w:rPr>
              <w:t>.653</w:t>
            </w:r>
          </w:p>
        </w:tc>
        <w:tc>
          <w:tcPr>
            <w:tcW w:w="912" w:type="pct"/>
            <w:tcBorders>
              <w:top w:val="nil"/>
              <w:left w:val="nil"/>
              <w:bottom w:val="nil"/>
              <w:right w:val="nil"/>
            </w:tcBorders>
            <w:vAlign w:val="center"/>
          </w:tcPr>
          <w:p w14:paraId="09F99CFD" w14:textId="77777777" w:rsidR="00473E6D" w:rsidRPr="006B0749" w:rsidRDefault="00473E6D" w:rsidP="009A7344">
            <w:pPr>
              <w:ind w:right="-46"/>
              <w:jc w:val="center"/>
              <w:rPr>
                <w:color w:val="000000" w:themeColor="text1"/>
                <w:sz w:val="20"/>
                <w:szCs w:val="20"/>
              </w:rPr>
            </w:pPr>
            <w:r w:rsidRPr="006B0749">
              <w:rPr>
                <w:color w:val="000000" w:themeColor="text1"/>
                <w:sz w:val="20"/>
                <w:szCs w:val="20"/>
              </w:rPr>
              <w:t>.058</w:t>
            </w:r>
          </w:p>
        </w:tc>
        <w:tc>
          <w:tcPr>
            <w:tcW w:w="486" w:type="pct"/>
            <w:tcBorders>
              <w:top w:val="nil"/>
              <w:left w:val="nil"/>
              <w:bottom w:val="nil"/>
              <w:right w:val="nil"/>
            </w:tcBorders>
            <w:vAlign w:val="center"/>
          </w:tcPr>
          <w:p w14:paraId="48084BB5" w14:textId="77777777" w:rsidR="00473E6D" w:rsidRPr="006B0749" w:rsidRDefault="00473E6D" w:rsidP="009A7344">
            <w:pPr>
              <w:ind w:right="-46"/>
              <w:jc w:val="center"/>
              <w:rPr>
                <w:color w:val="000000" w:themeColor="text1"/>
                <w:sz w:val="20"/>
                <w:szCs w:val="20"/>
              </w:rPr>
            </w:pPr>
            <w:r w:rsidRPr="006B0749">
              <w:rPr>
                <w:color w:val="000000" w:themeColor="text1"/>
                <w:sz w:val="20"/>
                <w:szCs w:val="20"/>
              </w:rPr>
              <w:t>.821</w:t>
            </w:r>
          </w:p>
        </w:tc>
        <w:tc>
          <w:tcPr>
            <w:tcW w:w="658" w:type="pct"/>
            <w:tcBorders>
              <w:top w:val="nil"/>
              <w:left w:val="nil"/>
              <w:bottom w:val="nil"/>
              <w:right w:val="nil"/>
            </w:tcBorders>
            <w:vAlign w:val="center"/>
          </w:tcPr>
          <w:p w14:paraId="014D48A2" w14:textId="77777777" w:rsidR="00473E6D" w:rsidRPr="006B0749" w:rsidRDefault="00473E6D" w:rsidP="009A7344">
            <w:pPr>
              <w:ind w:right="-46"/>
              <w:jc w:val="center"/>
              <w:rPr>
                <w:color w:val="000000" w:themeColor="text1"/>
                <w:sz w:val="20"/>
                <w:szCs w:val="20"/>
              </w:rPr>
            </w:pPr>
            <w:r w:rsidRPr="006B0749">
              <w:rPr>
                <w:color w:val="000000" w:themeColor="text1"/>
                <w:sz w:val="20"/>
                <w:szCs w:val="20"/>
              </w:rPr>
              <w:t>11.219</w:t>
            </w:r>
          </w:p>
        </w:tc>
        <w:tc>
          <w:tcPr>
            <w:tcW w:w="486" w:type="pct"/>
            <w:tcBorders>
              <w:top w:val="nil"/>
              <w:left w:val="nil"/>
              <w:bottom w:val="nil"/>
              <w:right w:val="nil"/>
            </w:tcBorders>
            <w:vAlign w:val="center"/>
          </w:tcPr>
          <w:p w14:paraId="0CE81538" w14:textId="77777777" w:rsidR="00473E6D" w:rsidRPr="006B0749" w:rsidRDefault="00473E6D" w:rsidP="009A7344">
            <w:pPr>
              <w:ind w:right="-46"/>
              <w:jc w:val="center"/>
              <w:rPr>
                <w:color w:val="000000" w:themeColor="text1"/>
                <w:sz w:val="20"/>
                <w:szCs w:val="20"/>
              </w:rPr>
            </w:pPr>
            <w:r w:rsidRPr="006B0749">
              <w:rPr>
                <w:color w:val="000000" w:themeColor="text1"/>
                <w:sz w:val="20"/>
                <w:szCs w:val="20"/>
              </w:rPr>
              <w:t>.000</w:t>
            </w:r>
          </w:p>
        </w:tc>
        <w:tc>
          <w:tcPr>
            <w:tcW w:w="486" w:type="pct"/>
            <w:tcBorders>
              <w:top w:val="nil"/>
              <w:left w:val="nil"/>
              <w:bottom w:val="nil"/>
              <w:right w:val="nil"/>
            </w:tcBorders>
            <w:vAlign w:val="center"/>
          </w:tcPr>
          <w:p w14:paraId="3E82B8D2" w14:textId="77777777" w:rsidR="00473E6D" w:rsidRPr="006B0749" w:rsidRDefault="00473E6D" w:rsidP="009A7344">
            <w:pPr>
              <w:ind w:right="-46"/>
              <w:jc w:val="center"/>
              <w:rPr>
                <w:color w:val="000000" w:themeColor="text1"/>
                <w:sz w:val="20"/>
                <w:szCs w:val="20"/>
              </w:rPr>
            </w:pPr>
            <w:r w:rsidRPr="006B0749">
              <w:rPr>
                <w:color w:val="000000" w:themeColor="text1"/>
                <w:sz w:val="20"/>
                <w:szCs w:val="20"/>
              </w:rPr>
              <w:t>.821</w:t>
            </w:r>
          </w:p>
        </w:tc>
        <w:tc>
          <w:tcPr>
            <w:tcW w:w="486" w:type="pct"/>
            <w:tcBorders>
              <w:top w:val="nil"/>
              <w:left w:val="nil"/>
              <w:bottom w:val="nil"/>
              <w:right w:val="nil"/>
            </w:tcBorders>
          </w:tcPr>
          <w:p w14:paraId="37F92D77" w14:textId="77777777" w:rsidR="00473E6D" w:rsidRPr="006B0749" w:rsidRDefault="00473E6D" w:rsidP="009A7344">
            <w:pPr>
              <w:ind w:right="-46"/>
              <w:jc w:val="center"/>
              <w:rPr>
                <w:color w:val="000000" w:themeColor="text1"/>
                <w:sz w:val="20"/>
                <w:szCs w:val="20"/>
              </w:rPr>
            </w:pPr>
          </w:p>
        </w:tc>
      </w:tr>
      <w:tr w:rsidR="006B0749" w:rsidRPr="006B0749" w14:paraId="6ABB11C8" w14:textId="77777777" w:rsidTr="009A7344">
        <w:tc>
          <w:tcPr>
            <w:tcW w:w="826" w:type="pct"/>
            <w:tcBorders>
              <w:top w:val="nil"/>
              <w:left w:val="nil"/>
              <w:bottom w:val="nil"/>
              <w:right w:val="nil"/>
            </w:tcBorders>
          </w:tcPr>
          <w:p w14:paraId="7B6BF5FB" w14:textId="77777777" w:rsidR="00473E6D" w:rsidRPr="006B0749" w:rsidRDefault="00473E6D" w:rsidP="009A7344">
            <w:pPr>
              <w:ind w:right="-46"/>
              <w:jc w:val="both"/>
              <w:rPr>
                <w:b/>
                <w:bCs/>
                <w:color w:val="000000" w:themeColor="text1"/>
                <w:sz w:val="20"/>
                <w:szCs w:val="20"/>
              </w:rPr>
            </w:pPr>
            <w:r w:rsidRPr="006B0749">
              <w:rPr>
                <w:b/>
                <w:bCs/>
                <w:color w:val="000000" w:themeColor="text1"/>
                <w:sz w:val="20"/>
                <w:szCs w:val="20"/>
              </w:rPr>
              <w:t>Model 2</w:t>
            </w:r>
          </w:p>
        </w:tc>
        <w:tc>
          <w:tcPr>
            <w:tcW w:w="658" w:type="pct"/>
            <w:tcBorders>
              <w:top w:val="nil"/>
              <w:left w:val="nil"/>
              <w:bottom w:val="nil"/>
              <w:right w:val="nil"/>
            </w:tcBorders>
            <w:vAlign w:val="center"/>
          </w:tcPr>
          <w:p w14:paraId="77C89265" w14:textId="77777777" w:rsidR="00473E6D" w:rsidRPr="006B0749" w:rsidRDefault="00473E6D" w:rsidP="009A7344">
            <w:pPr>
              <w:ind w:right="-46"/>
              <w:jc w:val="center"/>
              <w:rPr>
                <w:color w:val="000000" w:themeColor="text1"/>
                <w:sz w:val="20"/>
                <w:szCs w:val="20"/>
              </w:rPr>
            </w:pPr>
          </w:p>
        </w:tc>
        <w:tc>
          <w:tcPr>
            <w:tcW w:w="912" w:type="pct"/>
            <w:tcBorders>
              <w:top w:val="nil"/>
              <w:left w:val="nil"/>
              <w:bottom w:val="nil"/>
              <w:right w:val="nil"/>
            </w:tcBorders>
            <w:vAlign w:val="center"/>
          </w:tcPr>
          <w:p w14:paraId="64A52267" w14:textId="77777777" w:rsidR="00473E6D" w:rsidRPr="006B0749" w:rsidRDefault="00473E6D" w:rsidP="009A7344">
            <w:pPr>
              <w:ind w:right="-46"/>
              <w:jc w:val="center"/>
              <w:rPr>
                <w:color w:val="000000" w:themeColor="text1"/>
                <w:sz w:val="20"/>
                <w:szCs w:val="20"/>
              </w:rPr>
            </w:pPr>
          </w:p>
        </w:tc>
        <w:tc>
          <w:tcPr>
            <w:tcW w:w="486" w:type="pct"/>
            <w:tcBorders>
              <w:top w:val="nil"/>
              <w:left w:val="nil"/>
              <w:bottom w:val="nil"/>
              <w:right w:val="nil"/>
            </w:tcBorders>
            <w:vAlign w:val="center"/>
          </w:tcPr>
          <w:p w14:paraId="2E25B10C" w14:textId="77777777" w:rsidR="00473E6D" w:rsidRPr="006B0749" w:rsidRDefault="00473E6D" w:rsidP="009A7344">
            <w:pPr>
              <w:ind w:right="-46"/>
              <w:jc w:val="center"/>
              <w:rPr>
                <w:color w:val="000000" w:themeColor="text1"/>
                <w:sz w:val="20"/>
                <w:szCs w:val="20"/>
              </w:rPr>
            </w:pPr>
          </w:p>
        </w:tc>
        <w:tc>
          <w:tcPr>
            <w:tcW w:w="658" w:type="pct"/>
            <w:tcBorders>
              <w:top w:val="nil"/>
              <w:left w:val="nil"/>
              <w:bottom w:val="nil"/>
              <w:right w:val="nil"/>
            </w:tcBorders>
            <w:vAlign w:val="center"/>
          </w:tcPr>
          <w:p w14:paraId="7705D4D9" w14:textId="77777777" w:rsidR="00473E6D" w:rsidRPr="006B0749" w:rsidRDefault="00473E6D" w:rsidP="009A7344">
            <w:pPr>
              <w:ind w:right="-46"/>
              <w:jc w:val="center"/>
              <w:rPr>
                <w:color w:val="000000" w:themeColor="text1"/>
                <w:sz w:val="20"/>
                <w:szCs w:val="20"/>
              </w:rPr>
            </w:pPr>
          </w:p>
        </w:tc>
        <w:tc>
          <w:tcPr>
            <w:tcW w:w="486" w:type="pct"/>
            <w:tcBorders>
              <w:top w:val="nil"/>
              <w:left w:val="nil"/>
              <w:bottom w:val="nil"/>
              <w:right w:val="nil"/>
            </w:tcBorders>
            <w:vAlign w:val="center"/>
          </w:tcPr>
          <w:p w14:paraId="35C39194" w14:textId="77777777" w:rsidR="00473E6D" w:rsidRPr="006B0749" w:rsidRDefault="00473E6D" w:rsidP="009A7344">
            <w:pPr>
              <w:ind w:right="-46"/>
              <w:jc w:val="center"/>
              <w:rPr>
                <w:color w:val="000000" w:themeColor="text1"/>
                <w:sz w:val="20"/>
                <w:szCs w:val="20"/>
              </w:rPr>
            </w:pPr>
          </w:p>
        </w:tc>
        <w:tc>
          <w:tcPr>
            <w:tcW w:w="486" w:type="pct"/>
            <w:tcBorders>
              <w:top w:val="nil"/>
              <w:left w:val="nil"/>
              <w:bottom w:val="nil"/>
              <w:right w:val="nil"/>
            </w:tcBorders>
            <w:vAlign w:val="center"/>
          </w:tcPr>
          <w:p w14:paraId="2AB4A146" w14:textId="77777777" w:rsidR="00473E6D" w:rsidRPr="006B0749" w:rsidRDefault="00473E6D" w:rsidP="009A7344">
            <w:pPr>
              <w:ind w:right="-46"/>
              <w:jc w:val="center"/>
              <w:rPr>
                <w:color w:val="000000" w:themeColor="text1"/>
                <w:sz w:val="20"/>
                <w:szCs w:val="20"/>
              </w:rPr>
            </w:pPr>
          </w:p>
        </w:tc>
        <w:tc>
          <w:tcPr>
            <w:tcW w:w="486" w:type="pct"/>
            <w:tcBorders>
              <w:top w:val="nil"/>
              <w:left w:val="nil"/>
              <w:bottom w:val="nil"/>
              <w:right w:val="nil"/>
            </w:tcBorders>
          </w:tcPr>
          <w:p w14:paraId="6E9BD158" w14:textId="77777777" w:rsidR="00473E6D" w:rsidRPr="006B0749" w:rsidRDefault="00473E6D" w:rsidP="009A7344">
            <w:pPr>
              <w:ind w:right="-46"/>
              <w:jc w:val="center"/>
              <w:rPr>
                <w:color w:val="000000" w:themeColor="text1"/>
                <w:sz w:val="20"/>
                <w:szCs w:val="20"/>
              </w:rPr>
            </w:pPr>
          </w:p>
        </w:tc>
      </w:tr>
      <w:tr w:rsidR="006B0749" w:rsidRPr="006B0749" w14:paraId="68F93357" w14:textId="77777777" w:rsidTr="009A7344">
        <w:tc>
          <w:tcPr>
            <w:tcW w:w="826" w:type="pct"/>
            <w:tcBorders>
              <w:top w:val="nil"/>
              <w:left w:val="nil"/>
              <w:bottom w:val="nil"/>
              <w:right w:val="nil"/>
            </w:tcBorders>
          </w:tcPr>
          <w:p w14:paraId="25A60664" w14:textId="77777777" w:rsidR="00473E6D" w:rsidRPr="006B0749" w:rsidRDefault="00473E6D" w:rsidP="009A7344">
            <w:pPr>
              <w:ind w:right="-46"/>
              <w:jc w:val="both"/>
              <w:rPr>
                <w:color w:val="000000" w:themeColor="text1"/>
                <w:sz w:val="20"/>
                <w:szCs w:val="20"/>
              </w:rPr>
            </w:pPr>
            <w:r w:rsidRPr="006B0749">
              <w:rPr>
                <w:color w:val="000000" w:themeColor="text1"/>
                <w:sz w:val="20"/>
                <w:szCs w:val="20"/>
              </w:rPr>
              <w:t>Constant</w:t>
            </w:r>
          </w:p>
        </w:tc>
        <w:tc>
          <w:tcPr>
            <w:tcW w:w="658" w:type="pct"/>
            <w:tcBorders>
              <w:top w:val="nil"/>
              <w:left w:val="nil"/>
              <w:bottom w:val="nil"/>
              <w:right w:val="nil"/>
            </w:tcBorders>
            <w:vAlign w:val="center"/>
          </w:tcPr>
          <w:p w14:paraId="6D4FF0E8" w14:textId="77777777" w:rsidR="00473E6D" w:rsidRPr="006B0749" w:rsidRDefault="00473E6D" w:rsidP="009A7344">
            <w:pPr>
              <w:ind w:right="-46"/>
              <w:jc w:val="center"/>
              <w:rPr>
                <w:color w:val="000000" w:themeColor="text1"/>
                <w:sz w:val="20"/>
                <w:szCs w:val="20"/>
              </w:rPr>
            </w:pPr>
            <w:r w:rsidRPr="006B0749">
              <w:rPr>
                <w:color w:val="000000" w:themeColor="text1"/>
                <w:sz w:val="20"/>
                <w:szCs w:val="20"/>
              </w:rPr>
              <w:t>9.388</w:t>
            </w:r>
          </w:p>
        </w:tc>
        <w:tc>
          <w:tcPr>
            <w:tcW w:w="912" w:type="pct"/>
            <w:tcBorders>
              <w:top w:val="nil"/>
              <w:left w:val="nil"/>
              <w:bottom w:val="nil"/>
              <w:right w:val="nil"/>
            </w:tcBorders>
            <w:vAlign w:val="center"/>
          </w:tcPr>
          <w:p w14:paraId="2ED9F888" w14:textId="77777777" w:rsidR="00473E6D" w:rsidRPr="006B0749" w:rsidRDefault="00473E6D" w:rsidP="009A7344">
            <w:pPr>
              <w:ind w:right="-46"/>
              <w:jc w:val="center"/>
              <w:rPr>
                <w:color w:val="000000" w:themeColor="text1"/>
                <w:sz w:val="20"/>
                <w:szCs w:val="20"/>
              </w:rPr>
            </w:pPr>
            <w:r w:rsidRPr="006B0749">
              <w:rPr>
                <w:color w:val="000000" w:themeColor="text1"/>
                <w:sz w:val="20"/>
                <w:szCs w:val="20"/>
              </w:rPr>
              <w:t>4.552</w:t>
            </w:r>
          </w:p>
        </w:tc>
        <w:tc>
          <w:tcPr>
            <w:tcW w:w="486" w:type="pct"/>
            <w:tcBorders>
              <w:top w:val="nil"/>
              <w:left w:val="nil"/>
              <w:bottom w:val="nil"/>
              <w:right w:val="nil"/>
            </w:tcBorders>
            <w:vAlign w:val="center"/>
          </w:tcPr>
          <w:p w14:paraId="7B2043CF" w14:textId="77777777" w:rsidR="00473E6D" w:rsidRPr="006B0749" w:rsidRDefault="00473E6D" w:rsidP="009A7344">
            <w:pPr>
              <w:ind w:right="-46"/>
              <w:jc w:val="center"/>
              <w:rPr>
                <w:color w:val="000000" w:themeColor="text1"/>
                <w:sz w:val="20"/>
                <w:szCs w:val="20"/>
              </w:rPr>
            </w:pPr>
          </w:p>
        </w:tc>
        <w:tc>
          <w:tcPr>
            <w:tcW w:w="658" w:type="pct"/>
            <w:tcBorders>
              <w:top w:val="nil"/>
              <w:left w:val="nil"/>
              <w:bottom w:val="nil"/>
              <w:right w:val="nil"/>
            </w:tcBorders>
            <w:vAlign w:val="center"/>
          </w:tcPr>
          <w:p w14:paraId="1FD64434" w14:textId="77777777" w:rsidR="00473E6D" w:rsidRPr="006B0749" w:rsidRDefault="00473E6D" w:rsidP="009A7344">
            <w:pPr>
              <w:ind w:right="-46"/>
              <w:jc w:val="center"/>
              <w:rPr>
                <w:color w:val="000000" w:themeColor="text1"/>
                <w:sz w:val="20"/>
                <w:szCs w:val="20"/>
              </w:rPr>
            </w:pPr>
            <w:r w:rsidRPr="006B0749">
              <w:rPr>
                <w:color w:val="000000" w:themeColor="text1"/>
                <w:sz w:val="20"/>
                <w:szCs w:val="20"/>
              </w:rPr>
              <w:t>2.062</w:t>
            </w:r>
          </w:p>
        </w:tc>
        <w:tc>
          <w:tcPr>
            <w:tcW w:w="486" w:type="pct"/>
            <w:tcBorders>
              <w:top w:val="nil"/>
              <w:left w:val="nil"/>
              <w:bottom w:val="nil"/>
              <w:right w:val="nil"/>
            </w:tcBorders>
            <w:vAlign w:val="center"/>
          </w:tcPr>
          <w:p w14:paraId="7A0336DC" w14:textId="77777777" w:rsidR="00473E6D" w:rsidRPr="006B0749" w:rsidRDefault="00473E6D" w:rsidP="009A7344">
            <w:pPr>
              <w:ind w:right="-46"/>
              <w:jc w:val="center"/>
              <w:rPr>
                <w:color w:val="000000" w:themeColor="text1"/>
                <w:sz w:val="20"/>
                <w:szCs w:val="20"/>
              </w:rPr>
            </w:pPr>
            <w:r w:rsidRPr="006B0749">
              <w:rPr>
                <w:color w:val="000000" w:themeColor="text1"/>
                <w:sz w:val="20"/>
                <w:szCs w:val="20"/>
              </w:rPr>
              <w:t>.044</w:t>
            </w:r>
          </w:p>
        </w:tc>
        <w:tc>
          <w:tcPr>
            <w:tcW w:w="486" w:type="pct"/>
            <w:tcBorders>
              <w:top w:val="nil"/>
              <w:left w:val="nil"/>
              <w:bottom w:val="nil"/>
              <w:right w:val="nil"/>
            </w:tcBorders>
            <w:vAlign w:val="center"/>
          </w:tcPr>
          <w:p w14:paraId="685C8A0F" w14:textId="77777777" w:rsidR="00473E6D" w:rsidRPr="006B0749" w:rsidRDefault="00473E6D" w:rsidP="009A7344">
            <w:pPr>
              <w:ind w:right="-46"/>
              <w:jc w:val="center"/>
              <w:rPr>
                <w:color w:val="000000" w:themeColor="text1"/>
                <w:sz w:val="20"/>
                <w:szCs w:val="20"/>
              </w:rPr>
            </w:pPr>
          </w:p>
        </w:tc>
        <w:tc>
          <w:tcPr>
            <w:tcW w:w="486" w:type="pct"/>
            <w:tcBorders>
              <w:top w:val="nil"/>
              <w:left w:val="nil"/>
              <w:bottom w:val="nil"/>
              <w:right w:val="nil"/>
            </w:tcBorders>
          </w:tcPr>
          <w:p w14:paraId="41295045" w14:textId="77777777" w:rsidR="00473E6D" w:rsidRPr="006B0749" w:rsidRDefault="00473E6D" w:rsidP="009A7344">
            <w:pPr>
              <w:ind w:right="-46"/>
              <w:jc w:val="center"/>
              <w:rPr>
                <w:color w:val="000000" w:themeColor="text1"/>
                <w:sz w:val="20"/>
                <w:szCs w:val="20"/>
              </w:rPr>
            </w:pPr>
            <w:r w:rsidRPr="006B0749">
              <w:rPr>
                <w:color w:val="000000" w:themeColor="text1"/>
                <w:sz w:val="20"/>
                <w:szCs w:val="20"/>
              </w:rPr>
              <w:t>.712</w:t>
            </w:r>
          </w:p>
        </w:tc>
      </w:tr>
      <w:tr w:rsidR="006B0749" w:rsidRPr="006B0749" w14:paraId="33ED340F" w14:textId="77777777" w:rsidTr="009A7344">
        <w:tc>
          <w:tcPr>
            <w:tcW w:w="826" w:type="pct"/>
            <w:tcBorders>
              <w:top w:val="nil"/>
              <w:left w:val="nil"/>
              <w:bottom w:val="nil"/>
              <w:right w:val="nil"/>
            </w:tcBorders>
          </w:tcPr>
          <w:p w14:paraId="3B338D5D" w14:textId="77777777" w:rsidR="00473E6D" w:rsidRPr="006B0749" w:rsidRDefault="00473E6D" w:rsidP="009A7344">
            <w:pPr>
              <w:ind w:right="-46"/>
              <w:jc w:val="both"/>
              <w:rPr>
                <w:color w:val="000000" w:themeColor="text1"/>
                <w:sz w:val="20"/>
                <w:szCs w:val="20"/>
              </w:rPr>
            </w:pPr>
            <w:r w:rsidRPr="006B0749">
              <w:rPr>
                <w:color w:val="000000" w:themeColor="text1"/>
                <w:sz w:val="20"/>
                <w:szCs w:val="20"/>
              </w:rPr>
              <w:t>PVLT</w:t>
            </w:r>
          </w:p>
        </w:tc>
        <w:tc>
          <w:tcPr>
            <w:tcW w:w="658" w:type="pct"/>
            <w:tcBorders>
              <w:top w:val="nil"/>
              <w:left w:val="nil"/>
              <w:bottom w:val="nil"/>
              <w:right w:val="nil"/>
            </w:tcBorders>
            <w:vAlign w:val="center"/>
          </w:tcPr>
          <w:p w14:paraId="43C2ECD2" w14:textId="77777777" w:rsidR="00473E6D" w:rsidRPr="006B0749" w:rsidRDefault="00473E6D" w:rsidP="009A7344">
            <w:pPr>
              <w:ind w:right="-46"/>
              <w:jc w:val="center"/>
              <w:rPr>
                <w:color w:val="000000" w:themeColor="text1"/>
                <w:sz w:val="20"/>
                <w:szCs w:val="20"/>
              </w:rPr>
            </w:pPr>
            <w:r w:rsidRPr="006B0749">
              <w:rPr>
                <w:color w:val="000000" w:themeColor="text1"/>
                <w:sz w:val="20"/>
                <w:szCs w:val="20"/>
              </w:rPr>
              <w:t>.558</w:t>
            </w:r>
          </w:p>
        </w:tc>
        <w:tc>
          <w:tcPr>
            <w:tcW w:w="912" w:type="pct"/>
            <w:tcBorders>
              <w:top w:val="nil"/>
              <w:left w:val="nil"/>
              <w:bottom w:val="nil"/>
              <w:right w:val="nil"/>
            </w:tcBorders>
            <w:vAlign w:val="center"/>
          </w:tcPr>
          <w:p w14:paraId="28040B6F" w14:textId="77777777" w:rsidR="00473E6D" w:rsidRPr="006B0749" w:rsidRDefault="00473E6D" w:rsidP="009A7344">
            <w:pPr>
              <w:ind w:right="-46"/>
              <w:jc w:val="center"/>
              <w:rPr>
                <w:color w:val="000000" w:themeColor="text1"/>
                <w:sz w:val="20"/>
                <w:szCs w:val="20"/>
              </w:rPr>
            </w:pPr>
            <w:r w:rsidRPr="006B0749">
              <w:rPr>
                <w:color w:val="000000" w:themeColor="text1"/>
                <w:sz w:val="20"/>
                <w:szCs w:val="20"/>
              </w:rPr>
              <w:t>.065</w:t>
            </w:r>
          </w:p>
        </w:tc>
        <w:tc>
          <w:tcPr>
            <w:tcW w:w="486" w:type="pct"/>
            <w:tcBorders>
              <w:top w:val="nil"/>
              <w:left w:val="nil"/>
              <w:bottom w:val="nil"/>
              <w:right w:val="nil"/>
            </w:tcBorders>
            <w:vAlign w:val="center"/>
          </w:tcPr>
          <w:p w14:paraId="3E375E51" w14:textId="77777777" w:rsidR="00473E6D" w:rsidRPr="006B0749" w:rsidRDefault="00473E6D" w:rsidP="009A7344">
            <w:pPr>
              <w:ind w:right="-46"/>
              <w:jc w:val="center"/>
              <w:rPr>
                <w:color w:val="000000" w:themeColor="text1"/>
                <w:sz w:val="20"/>
                <w:szCs w:val="20"/>
              </w:rPr>
            </w:pPr>
            <w:r w:rsidRPr="006B0749">
              <w:rPr>
                <w:color w:val="000000" w:themeColor="text1"/>
                <w:sz w:val="20"/>
                <w:szCs w:val="20"/>
              </w:rPr>
              <w:t>.701</w:t>
            </w:r>
          </w:p>
        </w:tc>
        <w:tc>
          <w:tcPr>
            <w:tcW w:w="658" w:type="pct"/>
            <w:tcBorders>
              <w:top w:val="nil"/>
              <w:left w:val="nil"/>
              <w:bottom w:val="nil"/>
              <w:right w:val="nil"/>
            </w:tcBorders>
            <w:vAlign w:val="center"/>
          </w:tcPr>
          <w:p w14:paraId="6D2A1DB8" w14:textId="77777777" w:rsidR="00473E6D" w:rsidRPr="006B0749" w:rsidRDefault="00473E6D" w:rsidP="009A7344">
            <w:pPr>
              <w:ind w:right="-46"/>
              <w:jc w:val="center"/>
              <w:rPr>
                <w:color w:val="000000" w:themeColor="text1"/>
                <w:sz w:val="20"/>
                <w:szCs w:val="20"/>
              </w:rPr>
            </w:pPr>
            <w:r w:rsidRPr="006B0749">
              <w:rPr>
                <w:color w:val="000000" w:themeColor="text1"/>
                <w:sz w:val="20"/>
                <w:szCs w:val="20"/>
              </w:rPr>
              <w:t>8.646</w:t>
            </w:r>
          </w:p>
        </w:tc>
        <w:tc>
          <w:tcPr>
            <w:tcW w:w="486" w:type="pct"/>
            <w:tcBorders>
              <w:top w:val="nil"/>
              <w:left w:val="nil"/>
              <w:bottom w:val="nil"/>
              <w:right w:val="nil"/>
            </w:tcBorders>
            <w:vAlign w:val="center"/>
          </w:tcPr>
          <w:p w14:paraId="03C302F3" w14:textId="77777777" w:rsidR="00473E6D" w:rsidRPr="006B0749" w:rsidRDefault="00473E6D" w:rsidP="009A7344">
            <w:pPr>
              <w:ind w:right="-46"/>
              <w:jc w:val="center"/>
              <w:rPr>
                <w:color w:val="000000" w:themeColor="text1"/>
                <w:sz w:val="20"/>
                <w:szCs w:val="20"/>
              </w:rPr>
            </w:pPr>
            <w:r w:rsidRPr="006B0749">
              <w:rPr>
                <w:color w:val="000000" w:themeColor="text1"/>
                <w:sz w:val="20"/>
                <w:szCs w:val="20"/>
              </w:rPr>
              <w:t>.000</w:t>
            </w:r>
          </w:p>
        </w:tc>
        <w:tc>
          <w:tcPr>
            <w:tcW w:w="486" w:type="pct"/>
            <w:tcBorders>
              <w:top w:val="nil"/>
              <w:left w:val="nil"/>
              <w:bottom w:val="nil"/>
              <w:right w:val="nil"/>
            </w:tcBorders>
            <w:vAlign w:val="center"/>
          </w:tcPr>
          <w:p w14:paraId="6B54D55A" w14:textId="77777777" w:rsidR="00473E6D" w:rsidRPr="006B0749" w:rsidRDefault="00473E6D" w:rsidP="009A7344">
            <w:pPr>
              <w:ind w:right="-46"/>
              <w:jc w:val="center"/>
              <w:rPr>
                <w:color w:val="000000" w:themeColor="text1"/>
                <w:sz w:val="20"/>
                <w:szCs w:val="20"/>
              </w:rPr>
            </w:pPr>
            <w:r w:rsidRPr="006B0749">
              <w:rPr>
                <w:color w:val="000000" w:themeColor="text1"/>
                <w:sz w:val="20"/>
                <w:szCs w:val="20"/>
              </w:rPr>
              <w:t>.745</w:t>
            </w:r>
          </w:p>
        </w:tc>
        <w:tc>
          <w:tcPr>
            <w:tcW w:w="486" w:type="pct"/>
            <w:tcBorders>
              <w:top w:val="nil"/>
              <w:left w:val="nil"/>
              <w:bottom w:val="nil"/>
              <w:right w:val="nil"/>
            </w:tcBorders>
          </w:tcPr>
          <w:p w14:paraId="3089DCED" w14:textId="77777777" w:rsidR="00473E6D" w:rsidRPr="006B0749" w:rsidRDefault="00473E6D" w:rsidP="009A7344">
            <w:pPr>
              <w:ind w:right="-46"/>
              <w:jc w:val="center"/>
              <w:rPr>
                <w:color w:val="000000" w:themeColor="text1"/>
                <w:sz w:val="20"/>
                <w:szCs w:val="20"/>
              </w:rPr>
            </w:pPr>
          </w:p>
        </w:tc>
      </w:tr>
      <w:tr w:rsidR="006B0749" w:rsidRPr="006B0749" w14:paraId="177CB40C" w14:textId="77777777" w:rsidTr="009A7344">
        <w:tc>
          <w:tcPr>
            <w:tcW w:w="826" w:type="pct"/>
            <w:tcBorders>
              <w:top w:val="nil"/>
              <w:left w:val="nil"/>
              <w:right w:val="nil"/>
            </w:tcBorders>
          </w:tcPr>
          <w:p w14:paraId="2DF2F3A0" w14:textId="77777777" w:rsidR="00473E6D" w:rsidRPr="006B0749" w:rsidRDefault="00473E6D" w:rsidP="009A7344">
            <w:pPr>
              <w:ind w:right="-46"/>
              <w:jc w:val="both"/>
              <w:rPr>
                <w:color w:val="000000" w:themeColor="text1"/>
                <w:sz w:val="20"/>
                <w:szCs w:val="20"/>
              </w:rPr>
            </w:pPr>
            <w:r w:rsidRPr="006B0749">
              <w:rPr>
                <w:color w:val="000000" w:themeColor="text1"/>
                <w:sz w:val="20"/>
                <w:szCs w:val="20"/>
              </w:rPr>
              <w:t>WAT</w:t>
            </w:r>
          </w:p>
        </w:tc>
        <w:tc>
          <w:tcPr>
            <w:tcW w:w="658" w:type="pct"/>
            <w:tcBorders>
              <w:top w:val="nil"/>
              <w:left w:val="nil"/>
              <w:right w:val="nil"/>
            </w:tcBorders>
            <w:vAlign w:val="center"/>
          </w:tcPr>
          <w:p w14:paraId="5C79023C" w14:textId="77777777" w:rsidR="00473E6D" w:rsidRPr="006B0749" w:rsidRDefault="00473E6D" w:rsidP="009A7344">
            <w:pPr>
              <w:ind w:right="-46"/>
              <w:jc w:val="center"/>
              <w:rPr>
                <w:color w:val="000000" w:themeColor="text1"/>
                <w:sz w:val="20"/>
                <w:szCs w:val="20"/>
              </w:rPr>
            </w:pPr>
            <w:r w:rsidRPr="006B0749">
              <w:rPr>
                <w:color w:val="000000" w:themeColor="text1"/>
                <w:sz w:val="20"/>
                <w:szCs w:val="20"/>
              </w:rPr>
              <w:t>.266</w:t>
            </w:r>
          </w:p>
        </w:tc>
        <w:tc>
          <w:tcPr>
            <w:tcW w:w="912" w:type="pct"/>
            <w:tcBorders>
              <w:top w:val="nil"/>
              <w:left w:val="nil"/>
              <w:right w:val="nil"/>
            </w:tcBorders>
            <w:vAlign w:val="center"/>
          </w:tcPr>
          <w:p w14:paraId="2957B215" w14:textId="77777777" w:rsidR="00473E6D" w:rsidRPr="006B0749" w:rsidRDefault="00473E6D" w:rsidP="009A7344">
            <w:pPr>
              <w:ind w:right="-46"/>
              <w:jc w:val="center"/>
              <w:rPr>
                <w:color w:val="000000" w:themeColor="text1"/>
                <w:sz w:val="20"/>
                <w:szCs w:val="20"/>
              </w:rPr>
            </w:pPr>
            <w:r w:rsidRPr="006B0749">
              <w:rPr>
                <w:color w:val="000000" w:themeColor="text1"/>
                <w:sz w:val="20"/>
                <w:szCs w:val="20"/>
              </w:rPr>
              <w:t>.093</w:t>
            </w:r>
          </w:p>
        </w:tc>
        <w:tc>
          <w:tcPr>
            <w:tcW w:w="486" w:type="pct"/>
            <w:tcBorders>
              <w:top w:val="nil"/>
              <w:left w:val="nil"/>
              <w:right w:val="nil"/>
            </w:tcBorders>
            <w:vAlign w:val="center"/>
          </w:tcPr>
          <w:p w14:paraId="245793E4" w14:textId="77777777" w:rsidR="00473E6D" w:rsidRPr="006B0749" w:rsidRDefault="00473E6D" w:rsidP="009A7344">
            <w:pPr>
              <w:ind w:right="-46"/>
              <w:jc w:val="center"/>
              <w:rPr>
                <w:color w:val="000000" w:themeColor="text1"/>
                <w:sz w:val="20"/>
                <w:szCs w:val="20"/>
              </w:rPr>
            </w:pPr>
            <w:r w:rsidRPr="006B0749">
              <w:rPr>
                <w:color w:val="000000" w:themeColor="text1"/>
                <w:sz w:val="20"/>
                <w:szCs w:val="20"/>
              </w:rPr>
              <w:t>.231</w:t>
            </w:r>
          </w:p>
        </w:tc>
        <w:tc>
          <w:tcPr>
            <w:tcW w:w="658" w:type="pct"/>
            <w:tcBorders>
              <w:top w:val="nil"/>
              <w:left w:val="nil"/>
              <w:right w:val="nil"/>
            </w:tcBorders>
            <w:vAlign w:val="center"/>
          </w:tcPr>
          <w:p w14:paraId="4ED15783" w14:textId="77777777" w:rsidR="00473E6D" w:rsidRPr="006B0749" w:rsidRDefault="00473E6D" w:rsidP="009A7344">
            <w:pPr>
              <w:ind w:right="-46"/>
              <w:jc w:val="center"/>
              <w:rPr>
                <w:color w:val="000000" w:themeColor="text1"/>
                <w:sz w:val="20"/>
                <w:szCs w:val="20"/>
              </w:rPr>
            </w:pPr>
            <w:r w:rsidRPr="006B0749">
              <w:rPr>
                <w:color w:val="000000" w:themeColor="text1"/>
                <w:sz w:val="20"/>
                <w:szCs w:val="20"/>
              </w:rPr>
              <w:t>2.845</w:t>
            </w:r>
          </w:p>
        </w:tc>
        <w:tc>
          <w:tcPr>
            <w:tcW w:w="486" w:type="pct"/>
            <w:tcBorders>
              <w:top w:val="nil"/>
              <w:left w:val="nil"/>
              <w:right w:val="nil"/>
            </w:tcBorders>
            <w:vAlign w:val="center"/>
          </w:tcPr>
          <w:p w14:paraId="50171395" w14:textId="77777777" w:rsidR="00473E6D" w:rsidRPr="006B0749" w:rsidRDefault="00473E6D" w:rsidP="009A7344">
            <w:pPr>
              <w:ind w:right="-46"/>
              <w:jc w:val="center"/>
              <w:rPr>
                <w:color w:val="000000" w:themeColor="text1"/>
                <w:sz w:val="20"/>
                <w:szCs w:val="20"/>
              </w:rPr>
            </w:pPr>
            <w:r w:rsidRPr="006B0749">
              <w:rPr>
                <w:color w:val="000000" w:themeColor="text1"/>
                <w:sz w:val="20"/>
                <w:szCs w:val="20"/>
              </w:rPr>
              <w:t>.006</w:t>
            </w:r>
          </w:p>
        </w:tc>
        <w:tc>
          <w:tcPr>
            <w:tcW w:w="486" w:type="pct"/>
            <w:tcBorders>
              <w:top w:val="nil"/>
              <w:left w:val="nil"/>
              <w:right w:val="nil"/>
            </w:tcBorders>
            <w:vAlign w:val="center"/>
          </w:tcPr>
          <w:p w14:paraId="2057108D" w14:textId="77777777" w:rsidR="00473E6D" w:rsidRPr="006B0749" w:rsidRDefault="00473E6D" w:rsidP="009A7344">
            <w:pPr>
              <w:ind w:right="-46"/>
              <w:jc w:val="center"/>
              <w:rPr>
                <w:color w:val="000000" w:themeColor="text1"/>
                <w:sz w:val="20"/>
                <w:szCs w:val="20"/>
              </w:rPr>
            </w:pPr>
            <w:r w:rsidRPr="006B0749">
              <w:rPr>
                <w:color w:val="000000" w:themeColor="text1"/>
                <w:sz w:val="20"/>
                <w:szCs w:val="20"/>
              </w:rPr>
              <w:t>.345</w:t>
            </w:r>
          </w:p>
        </w:tc>
        <w:tc>
          <w:tcPr>
            <w:tcW w:w="486" w:type="pct"/>
            <w:tcBorders>
              <w:top w:val="nil"/>
              <w:left w:val="nil"/>
              <w:right w:val="nil"/>
            </w:tcBorders>
          </w:tcPr>
          <w:p w14:paraId="4722A765" w14:textId="77777777" w:rsidR="00473E6D" w:rsidRPr="006B0749" w:rsidRDefault="00473E6D" w:rsidP="009A7344">
            <w:pPr>
              <w:ind w:right="-46"/>
              <w:jc w:val="center"/>
              <w:rPr>
                <w:color w:val="000000" w:themeColor="text1"/>
                <w:sz w:val="20"/>
                <w:szCs w:val="20"/>
              </w:rPr>
            </w:pPr>
          </w:p>
        </w:tc>
      </w:tr>
    </w:tbl>
    <w:p w14:paraId="2613E87C" w14:textId="77777777" w:rsidR="00473E6D" w:rsidRPr="006B0749" w:rsidRDefault="00473E6D" w:rsidP="00473E6D">
      <w:pPr>
        <w:ind w:right="-46"/>
        <w:jc w:val="both"/>
        <w:rPr>
          <w:color w:val="000000" w:themeColor="text1"/>
        </w:rPr>
      </w:pPr>
      <w:r w:rsidRPr="006B0749">
        <w:rPr>
          <w:bCs/>
          <w:i/>
          <w:iCs/>
          <w:color w:val="000000" w:themeColor="text1"/>
          <w:vertAlign w:val="superscript"/>
        </w:rPr>
        <w:t>Notes:</w:t>
      </w:r>
      <w:r w:rsidRPr="006B0749">
        <w:rPr>
          <w:bCs/>
          <w:color w:val="000000" w:themeColor="text1"/>
          <w:vertAlign w:val="superscript"/>
        </w:rPr>
        <w:t xml:space="preserve"> </w:t>
      </w:r>
      <w:proofErr w:type="gramStart"/>
      <w:r w:rsidRPr="006B0749">
        <w:rPr>
          <w:bCs/>
          <w:i/>
          <w:iCs/>
          <w:color w:val="000000" w:themeColor="text1"/>
          <w:vertAlign w:val="superscript"/>
        </w:rPr>
        <w:t>F</w:t>
      </w:r>
      <w:r w:rsidRPr="006B0749">
        <w:rPr>
          <w:bCs/>
          <w:color w:val="000000" w:themeColor="text1"/>
          <w:vertAlign w:val="superscript"/>
        </w:rPr>
        <w:t>(</w:t>
      </w:r>
      <w:proofErr w:type="gramEnd"/>
      <w:r w:rsidRPr="006B0749">
        <w:rPr>
          <w:bCs/>
          <w:color w:val="000000" w:themeColor="text1"/>
          <w:vertAlign w:val="superscript"/>
        </w:rPr>
        <w:t xml:space="preserve">1,61) = 125.867, </w:t>
      </w:r>
      <w:r w:rsidRPr="006B0749">
        <w:rPr>
          <w:bCs/>
          <w:i/>
          <w:iCs/>
          <w:color w:val="000000" w:themeColor="text1"/>
          <w:vertAlign w:val="superscript"/>
        </w:rPr>
        <w:t>p</w:t>
      </w:r>
      <w:r w:rsidRPr="006B0749">
        <w:rPr>
          <w:bCs/>
          <w:color w:val="000000" w:themeColor="text1"/>
          <w:vertAlign w:val="superscript"/>
        </w:rPr>
        <w:t xml:space="preserve"> &lt; .001 for Model 1, SEE = 7.58; </w:t>
      </w:r>
      <w:r w:rsidRPr="006B0749">
        <w:rPr>
          <w:bCs/>
          <w:i/>
          <w:iCs/>
          <w:color w:val="000000" w:themeColor="text1"/>
          <w:vertAlign w:val="superscript"/>
        </w:rPr>
        <w:t>F</w:t>
      </w:r>
      <w:r w:rsidRPr="006B0749">
        <w:rPr>
          <w:bCs/>
          <w:color w:val="000000" w:themeColor="text1"/>
          <w:vertAlign w:val="superscript"/>
        </w:rPr>
        <w:t xml:space="preserve">(2,60) = 74.299, </w:t>
      </w:r>
      <w:r w:rsidRPr="006B0749">
        <w:rPr>
          <w:bCs/>
          <w:i/>
          <w:iCs/>
          <w:color w:val="000000" w:themeColor="text1"/>
          <w:vertAlign w:val="superscript"/>
        </w:rPr>
        <w:t>p</w:t>
      </w:r>
      <w:r w:rsidRPr="006B0749">
        <w:rPr>
          <w:bCs/>
          <w:color w:val="000000" w:themeColor="text1"/>
          <w:vertAlign w:val="superscript"/>
        </w:rPr>
        <w:t xml:space="preserve"> &lt; .001 for Model 2, SEE = 7.17</w:t>
      </w:r>
    </w:p>
    <w:p w14:paraId="4675C91B" w14:textId="77777777" w:rsidR="009E29AD" w:rsidRPr="006B0749" w:rsidRDefault="009E29AD" w:rsidP="00DF3C82">
      <w:pPr>
        <w:pStyle w:val="BodyText"/>
        <w:tabs>
          <w:tab w:val="left" w:pos="2988"/>
        </w:tabs>
        <w:spacing w:line="240" w:lineRule="auto"/>
        <w:ind w:firstLine="0"/>
        <w:jc w:val="both"/>
        <w:rPr>
          <w:bCs/>
          <w:color w:val="000000" w:themeColor="text1"/>
        </w:rPr>
      </w:pPr>
    </w:p>
    <w:p w14:paraId="5DAAA84E" w14:textId="5AEF77E4" w:rsidR="00DF3C82" w:rsidRPr="006B0749" w:rsidRDefault="00DF3C82" w:rsidP="00DF3C82">
      <w:pPr>
        <w:pStyle w:val="BodyText"/>
        <w:tabs>
          <w:tab w:val="left" w:pos="2988"/>
        </w:tabs>
        <w:spacing w:line="240" w:lineRule="auto"/>
        <w:ind w:firstLine="0"/>
        <w:jc w:val="center"/>
        <w:rPr>
          <w:b/>
          <w:bCs/>
          <w:color w:val="000000" w:themeColor="text1"/>
        </w:rPr>
      </w:pPr>
      <w:r w:rsidRPr="006B0749">
        <w:rPr>
          <w:b/>
          <w:bCs/>
          <w:color w:val="000000" w:themeColor="text1"/>
        </w:rPr>
        <w:t>DISCUSSION</w:t>
      </w:r>
    </w:p>
    <w:p w14:paraId="702DEF3B" w14:textId="77777777" w:rsidR="00DF3C82" w:rsidRPr="006B0749" w:rsidRDefault="00DF3C82" w:rsidP="00DF3C82">
      <w:pPr>
        <w:pStyle w:val="BodyText"/>
        <w:tabs>
          <w:tab w:val="left" w:pos="2988"/>
        </w:tabs>
        <w:spacing w:line="240" w:lineRule="auto"/>
        <w:ind w:firstLine="0"/>
        <w:jc w:val="both"/>
        <w:rPr>
          <w:bCs/>
          <w:color w:val="000000" w:themeColor="text1"/>
        </w:rPr>
      </w:pPr>
    </w:p>
    <w:p w14:paraId="28420B82" w14:textId="77777777" w:rsidR="00473E6D" w:rsidRPr="006B0749" w:rsidRDefault="00473E6D" w:rsidP="00473E6D">
      <w:pPr>
        <w:pStyle w:val="NormalWeb"/>
        <w:spacing w:before="0" w:beforeAutospacing="0" w:after="0" w:afterAutospacing="0"/>
        <w:jc w:val="both"/>
        <w:rPr>
          <w:b/>
          <w:bCs/>
          <w:color w:val="000000" w:themeColor="text1"/>
        </w:rPr>
      </w:pPr>
      <w:r w:rsidRPr="006B0749">
        <w:rPr>
          <w:b/>
          <w:bCs/>
          <w:color w:val="000000" w:themeColor="text1"/>
        </w:rPr>
        <w:t>The nature of vocabulary learning in Thai EFL learners</w:t>
      </w:r>
    </w:p>
    <w:p w14:paraId="08C04875" w14:textId="77777777" w:rsidR="00473E6D" w:rsidRPr="006B0749" w:rsidRDefault="00473E6D" w:rsidP="00473E6D">
      <w:pPr>
        <w:pStyle w:val="NormalWeb"/>
        <w:spacing w:before="0" w:beforeAutospacing="0" w:after="0" w:afterAutospacing="0"/>
        <w:jc w:val="both"/>
        <w:rPr>
          <w:color w:val="000000" w:themeColor="text1"/>
        </w:rPr>
      </w:pPr>
      <w:r w:rsidRPr="006B0749">
        <w:rPr>
          <w:color w:val="000000" w:themeColor="text1"/>
        </w:rPr>
        <w:t>This study aimed to explore the nature of vocabulary knowledge acquisition among Thai EFL learners at the tertiary level. The findings provide significant insights into Thai university students’ vocabulary knowledge and language proficiency. The results reveal a distinction of vocabulary acquisition among Thai university students, characterised by varying proficiency levels across different vocabulary knowledge tests. This variation reflects the incremental nature of vocabulary acquisition, where foundational knowledge is progressively built upon over time. The analysis showed the following average performances across five vocabulary knowledge tests: Vocabulary Levels Test (VLT), Word Part Levels Test (WPLT), Word Associates Test (WAT), Affix Knowledge Test (AKT), and Productive Vocabulary Levels Test (PVLT). This indicates that students have the highest proficiency in the VLT, followed by the WPLT, with the lowest proficiency in the PVLT. This pattern suggests that students acquire different aspects of vocabulary knowledge at different stages, with foundational aspects (measured by the VLT and WPLT) being acquired earlier and more completely than more complex and productive aspects (measured by the PVLT).</w:t>
      </w:r>
    </w:p>
    <w:p w14:paraId="53A855E4" w14:textId="77777777" w:rsidR="00473E6D" w:rsidRPr="006B0749" w:rsidRDefault="00473E6D" w:rsidP="00473E6D">
      <w:pPr>
        <w:pStyle w:val="NormalWeb"/>
        <w:spacing w:before="0" w:beforeAutospacing="0" w:after="0" w:afterAutospacing="0"/>
        <w:jc w:val="both"/>
        <w:rPr>
          <w:color w:val="000000" w:themeColor="text1"/>
        </w:rPr>
      </w:pPr>
    </w:p>
    <w:p w14:paraId="7BF3FE2A" w14:textId="77777777" w:rsidR="00473E6D" w:rsidRPr="006B0749" w:rsidRDefault="00473E6D" w:rsidP="00473E6D">
      <w:pPr>
        <w:pStyle w:val="NormalWeb"/>
        <w:spacing w:before="0" w:beforeAutospacing="0" w:after="0" w:afterAutospacing="0"/>
        <w:jc w:val="both"/>
        <w:rPr>
          <w:color w:val="000000" w:themeColor="text1"/>
        </w:rPr>
      </w:pPr>
      <w:r w:rsidRPr="006B0749">
        <w:rPr>
          <w:color w:val="000000" w:themeColor="text1"/>
        </w:rPr>
        <w:t xml:space="preserve">The observed acquisition aligns with previous claims that vocabulary acquisition is a progressive process. Foundational knowledge, such as recognising and understanding primary word forms and meanings, is typically acquired first (Nation, 2022; </w:t>
      </w:r>
      <w:proofErr w:type="spellStart"/>
      <w:r w:rsidRPr="006B0749">
        <w:rPr>
          <w:color w:val="000000" w:themeColor="text1"/>
        </w:rPr>
        <w:t>Nontasee</w:t>
      </w:r>
      <w:proofErr w:type="spellEnd"/>
      <w:r w:rsidRPr="006B0749">
        <w:rPr>
          <w:color w:val="000000" w:themeColor="text1"/>
        </w:rPr>
        <w:t xml:space="preserve"> &amp; Sukying, 2023; Schmitt, 2010). As learners’ exposure and experience with the language increase, they gradually acquire more complex aspects of vocabulary, including word associations and productive use of vocabulary. </w:t>
      </w:r>
    </w:p>
    <w:p w14:paraId="5A6A9881" w14:textId="77777777" w:rsidR="00473E6D" w:rsidRPr="006B0749" w:rsidRDefault="00473E6D" w:rsidP="00473E6D">
      <w:pPr>
        <w:pStyle w:val="NormalWeb"/>
        <w:spacing w:before="0" w:beforeAutospacing="0" w:after="0" w:afterAutospacing="0"/>
        <w:jc w:val="both"/>
        <w:rPr>
          <w:color w:val="000000" w:themeColor="text1"/>
        </w:rPr>
      </w:pPr>
    </w:p>
    <w:p w14:paraId="46696175" w14:textId="5E61F743" w:rsidR="00473E6D" w:rsidRPr="006B0749" w:rsidRDefault="00473E6D" w:rsidP="00473E6D">
      <w:pPr>
        <w:pStyle w:val="NormalWeb"/>
        <w:spacing w:before="0" w:beforeAutospacing="0" w:after="0" w:afterAutospacing="0"/>
        <w:jc w:val="both"/>
        <w:rPr>
          <w:color w:val="000000" w:themeColor="text1"/>
        </w:rPr>
      </w:pPr>
      <w:r w:rsidRPr="006B0749">
        <w:rPr>
          <w:color w:val="000000" w:themeColor="text1"/>
        </w:rPr>
        <w:t xml:space="preserve">Initially, the foundational knowledge involves recognising and understanding high-frequency words and their meanings, as measured by the Vocabulary Levels Test (VLT) and Word Part Levels Test (WPLT). This is followed by associative knowledge, which entails understanding the relationships between words and their appropriate use in context, assessed through the Word Associates Test (WAT). Affix knowledge, measured by the Affix Knowledge Test (AKT), involves the ability to understand and apply prefixes and suffixes to form new words. Finally, productive knowledge, as measured by the Productive Vocabulary Levels Test (PVLT), requires the ability to accurately and fluently use vocabulary in both speaking and writing. The relative difficulty of these tests is linked to the specific cognitive demands they place on learners. The VLT focuses on word recognition, which is typically considered more accessible because it involves matching words to definitions or synonyms with minimal cognitive processing (Nation, 2022; Schmitt, 2014). In contrast, the WAT is more challenging as it requires a more profound comprehension of complex word relationships, such as synonyms, antonyms, and collocations, which involves higher-level semantic knowledge </w:t>
      </w:r>
      <w:r w:rsidRPr="006B0749">
        <w:rPr>
          <w:color w:val="000000" w:themeColor="text1"/>
        </w:rPr>
        <w:lastRenderedPageBreak/>
        <w:t>(</w:t>
      </w:r>
      <w:r w:rsidR="00301E2B" w:rsidRPr="006B0749">
        <w:rPr>
          <w:color w:val="000000" w:themeColor="text1"/>
        </w:rPr>
        <w:t>Read, 2000, 2020</w:t>
      </w:r>
      <w:r w:rsidRPr="006B0749">
        <w:rPr>
          <w:color w:val="000000" w:themeColor="text1"/>
        </w:rPr>
        <w:t>; Schmitt, 2010). The PVLT, the most demanding of the three, assesses productive vocabulary knowledge by requiring learners to actively recall and produce words in appropriate forms and contexts, making it more cognitively demanding. This progression, from recognition to deep semantic analysis and finally to active word production, reflects the increasing cognitive challenges each test imposes. The form-meaning connection of a word is a foundational component of vocabulary knowledge, and understanding lexical networks and semantic relationships can further develop this foundational knowledge, enhancing a learner’s overall vocabulary proficiency.</w:t>
      </w:r>
    </w:p>
    <w:p w14:paraId="53CCA21D" w14:textId="77777777" w:rsidR="00473E6D" w:rsidRPr="006B0749" w:rsidRDefault="00473E6D" w:rsidP="00473E6D">
      <w:pPr>
        <w:pStyle w:val="NormalWeb"/>
        <w:spacing w:before="0" w:beforeAutospacing="0" w:after="0" w:afterAutospacing="0"/>
        <w:jc w:val="both"/>
        <w:rPr>
          <w:color w:val="000000" w:themeColor="text1"/>
        </w:rPr>
      </w:pPr>
    </w:p>
    <w:p w14:paraId="6C741FDA" w14:textId="757CF62A" w:rsidR="00473E6D" w:rsidRPr="006B0749" w:rsidRDefault="00473E6D" w:rsidP="00473E6D">
      <w:pPr>
        <w:pStyle w:val="NormalWeb"/>
        <w:spacing w:before="0" w:beforeAutospacing="0" w:after="0" w:afterAutospacing="0"/>
        <w:jc w:val="both"/>
        <w:rPr>
          <w:color w:val="000000" w:themeColor="text1"/>
        </w:rPr>
      </w:pPr>
      <w:r w:rsidRPr="006B0749">
        <w:rPr>
          <w:color w:val="000000" w:themeColor="text1"/>
        </w:rPr>
        <w:t>The relative ease of the Word Part Levels Test (WPLT) compared to the Affix Knowledge Test (AKT) can be attributed to the different cognitive and linguistic demands each test imposes. The WPLT primarily focuses on recognising and understanding word parts, such as roots, prefixes, and suffixes, often through tasks that involve matching or combining these components to form complete words. Since the WPLT relies heavily on recognition and recall, it is generally less cognitively demanding than tasks that require active word production. Additionally, the WPLT provides more contextual clues, allowing learners to deduce the meanings of unfamiliar words by recognising familiar components. This context helps reduce the cognitive load on learners and makes the test relatively easier (</w:t>
      </w:r>
      <w:r w:rsidR="00F82A9F" w:rsidRPr="006B0749">
        <w:rPr>
          <w:color w:val="000000" w:themeColor="text1"/>
        </w:rPr>
        <w:t>Nation, 2021</w:t>
      </w:r>
      <w:r w:rsidRPr="006B0749">
        <w:rPr>
          <w:color w:val="000000" w:themeColor="text1"/>
        </w:rPr>
        <w:t xml:space="preserve">; Sukying, 2022). </w:t>
      </w:r>
    </w:p>
    <w:p w14:paraId="3DF6EEEC" w14:textId="77777777" w:rsidR="00473E6D" w:rsidRPr="006B0749" w:rsidRDefault="00473E6D" w:rsidP="00473E6D">
      <w:pPr>
        <w:pStyle w:val="NormalWeb"/>
        <w:spacing w:before="0" w:beforeAutospacing="0" w:after="0" w:afterAutospacing="0"/>
        <w:jc w:val="both"/>
        <w:rPr>
          <w:color w:val="000000" w:themeColor="text1"/>
        </w:rPr>
      </w:pPr>
    </w:p>
    <w:p w14:paraId="4538AFF9" w14:textId="77777777" w:rsidR="00473E6D" w:rsidRPr="006B0749" w:rsidRDefault="00473E6D" w:rsidP="00473E6D">
      <w:pPr>
        <w:pStyle w:val="NormalWeb"/>
        <w:spacing w:before="0" w:beforeAutospacing="0" w:after="0" w:afterAutospacing="0"/>
        <w:jc w:val="both"/>
        <w:rPr>
          <w:color w:val="000000" w:themeColor="text1"/>
        </w:rPr>
      </w:pPr>
      <w:r w:rsidRPr="006B0749">
        <w:rPr>
          <w:color w:val="000000" w:themeColor="text1"/>
        </w:rPr>
        <w:t xml:space="preserve">On the other hand, the AKT requires a deeper understanding of affixes, their functions, and their effects on word meanings and grammatical structures. Learners must not only recognise affixes but also comprehend and apply them correctly in various contexts, considering both forms and meanings. This demands more advanced linguistic analysis and active recall, making the AKT more challenging due to the need for a more thorough understanding of word formation and affix application in diverse linguistic contexts (Sukying, 2018, 2022). For instance, the prompt “If we cannot believe that something is true, it is _____________(believe)” requires learners to apply the affix “un-” to correctly form the word </w:t>
      </w:r>
      <w:r w:rsidRPr="006B0749">
        <w:rPr>
          <w:i/>
          <w:iCs/>
          <w:color w:val="000000" w:themeColor="text1"/>
        </w:rPr>
        <w:t>unbelievable</w:t>
      </w:r>
      <w:r w:rsidRPr="006B0749">
        <w:rPr>
          <w:color w:val="000000" w:themeColor="text1"/>
        </w:rPr>
        <w:t xml:space="preserve">. This example highlights the more profound knowledge of affixation needed for the AKT, as learners must identify and apply the appropriate affix to create a word that fits the given context. In brief, the WPLT is easier due to its reliance on recognition and contextual support, whereas the AKT is more complex because it requires the active application of affix knowledge in varied contexts. </w:t>
      </w:r>
    </w:p>
    <w:p w14:paraId="2AC3ADF0" w14:textId="77777777" w:rsidR="00473E6D" w:rsidRPr="006B0749" w:rsidRDefault="00473E6D" w:rsidP="00473E6D">
      <w:pPr>
        <w:pStyle w:val="NormalWeb"/>
        <w:spacing w:before="0" w:beforeAutospacing="0" w:after="0" w:afterAutospacing="0"/>
        <w:jc w:val="both"/>
        <w:rPr>
          <w:color w:val="000000" w:themeColor="text1"/>
        </w:rPr>
      </w:pPr>
    </w:p>
    <w:p w14:paraId="2FF498CB" w14:textId="49DC6685" w:rsidR="00473E6D" w:rsidRPr="006B0749" w:rsidRDefault="00473E6D" w:rsidP="00473E6D">
      <w:pPr>
        <w:pStyle w:val="NormalWeb"/>
        <w:spacing w:before="0" w:beforeAutospacing="0" w:after="0" w:afterAutospacing="0"/>
        <w:jc w:val="both"/>
        <w:rPr>
          <w:color w:val="000000" w:themeColor="text1"/>
        </w:rPr>
      </w:pPr>
      <w:r w:rsidRPr="006B0749">
        <w:rPr>
          <w:color w:val="000000" w:themeColor="text1"/>
        </w:rPr>
        <w:t>Altogether, the current study supports previous studies that vocabulary knowledge entails the incremental and multifaceted process of vocabulary acquisition (</w:t>
      </w:r>
      <w:r w:rsidRPr="006B0749">
        <w:rPr>
          <w:bCs/>
          <w:color w:val="000000" w:themeColor="text1"/>
        </w:rPr>
        <w:t>Gonzále</w:t>
      </w:r>
      <w:r w:rsidR="00F82A9F" w:rsidRPr="006B0749">
        <w:rPr>
          <w:bCs/>
          <w:color w:val="000000" w:themeColor="text1"/>
        </w:rPr>
        <w:t>z-Fernández, &amp; Schmitt, 2020</w:t>
      </w:r>
      <w:r w:rsidRPr="006B0749">
        <w:rPr>
          <w:bCs/>
          <w:color w:val="000000" w:themeColor="text1"/>
        </w:rPr>
        <w:t xml:space="preserve">; </w:t>
      </w:r>
      <w:proofErr w:type="spellStart"/>
      <w:r w:rsidRPr="006B0749">
        <w:rPr>
          <w:color w:val="000000" w:themeColor="text1"/>
        </w:rPr>
        <w:t>Nontasee</w:t>
      </w:r>
      <w:proofErr w:type="spellEnd"/>
      <w:r w:rsidRPr="006B0749">
        <w:rPr>
          <w:color w:val="000000" w:themeColor="text1"/>
        </w:rPr>
        <w:t xml:space="preserve"> &amp; Sukying, 2023: Schmitt, 2014). Specifically, the study suggests that foundational vocabulary knowledge, as measured by the VLT and WPLT, is acquired earlier and more thoroughly than the more complex aspects of vocabulary knowledge assessed by the WAT, AKT, and PVLT. This highlights the sequential nature of vocabulary learning, where basic recognition and understanding form the foundation for deeper comprehension and active vocabulary use. </w:t>
      </w:r>
    </w:p>
    <w:p w14:paraId="55967DF5" w14:textId="77777777" w:rsidR="00473E6D" w:rsidRPr="006B0749" w:rsidRDefault="00473E6D" w:rsidP="00473E6D">
      <w:pPr>
        <w:pStyle w:val="BodyText"/>
        <w:tabs>
          <w:tab w:val="left" w:pos="2988"/>
        </w:tabs>
        <w:spacing w:line="240" w:lineRule="auto"/>
        <w:ind w:firstLine="0"/>
        <w:jc w:val="both"/>
        <w:rPr>
          <w:bCs/>
          <w:color w:val="000000" w:themeColor="text1"/>
        </w:rPr>
      </w:pPr>
    </w:p>
    <w:p w14:paraId="096B1485" w14:textId="51163C4F" w:rsidR="00473E6D" w:rsidRPr="006B0749" w:rsidRDefault="00473E6D" w:rsidP="00473E6D">
      <w:pPr>
        <w:pStyle w:val="NormalWeb"/>
        <w:spacing w:before="0" w:beforeAutospacing="0" w:after="0" w:afterAutospacing="0"/>
        <w:jc w:val="both"/>
        <w:rPr>
          <w:color w:val="000000" w:themeColor="text1"/>
        </w:rPr>
      </w:pPr>
      <w:r w:rsidRPr="006B0749">
        <w:rPr>
          <w:color w:val="000000" w:themeColor="text1"/>
        </w:rPr>
        <w:t xml:space="preserve">The significant relationships between various aspects of vocabulary knowledge aspects provide strong evidence of the interconnected nature of vocabulary acquisition. These findings demonstrate how different dimensions of word knowledge reinforce and build upon one another. For instance, knowing the form and meaning of a word (measured by the VLT and WPLT) forms a foundation for comprehending its associations and collocations (measured by the WAT). This deeper understanding supports the ability to use the word productively in </w:t>
      </w:r>
      <w:r w:rsidRPr="006B0749">
        <w:rPr>
          <w:color w:val="000000" w:themeColor="text1"/>
        </w:rPr>
        <w:lastRenderedPageBreak/>
        <w:t>context (measured by the PVLT). Therefore, vocabulary knowledge is cumulative and integrative, with each layer of understanding enhancing overall language proficiency.</w:t>
      </w:r>
    </w:p>
    <w:p w14:paraId="6BFEF719" w14:textId="77777777" w:rsidR="00473E6D" w:rsidRPr="006B0749" w:rsidRDefault="00473E6D" w:rsidP="00473E6D">
      <w:pPr>
        <w:pStyle w:val="NormalWeb"/>
        <w:spacing w:before="0" w:beforeAutospacing="0" w:after="0" w:afterAutospacing="0"/>
        <w:jc w:val="both"/>
        <w:rPr>
          <w:color w:val="000000" w:themeColor="text1"/>
        </w:rPr>
      </w:pPr>
    </w:p>
    <w:p w14:paraId="2F5A708C" w14:textId="2BF3A2AC" w:rsidR="00473E6D" w:rsidRPr="006B0749" w:rsidRDefault="00473E6D" w:rsidP="00473E6D">
      <w:pPr>
        <w:pStyle w:val="NormalWeb"/>
        <w:spacing w:before="0" w:beforeAutospacing="0" w:after="0" w:afterAutospacing="0"/>
        <w:jc w:val="both"/>
        <w:rPr>
          <w:color w:val="000000" w:themeColor="text1"/>
        </w:rPr>
      </w:pPr>
      <w:r w:rsidRPr="006B0749">
        <w:rPr>
          <w:color w:val="000000" w:themeColor="text1"/>
        </w:rPr>
        <w:t>The significant correlations between vocabulary knowledge and productive language skills (speaking and writing) highlight the critical role of a strong vocabulary foundation in articulating thoughts clearly and precisely in speaking and writing. The present findings reflect the multifaceted and complex nature of vocabulary knowledge, which includes recognition, understanding, and productive use in various contexts. Vocabulary is not a singular construct; it involves knowledge of word forms, meanings, and use, measured by different vocabulary tests that capture overlapping but distinct aspects of word knowledge (Nation, 2022; Schmitt, 2014; Webb &amp; Nation, 2017). The incremental nature of vocabulary acquisition also plays a key role in these findings. Vocabulary learning is a gradual process of acquiring basic word forms and meanings. As learners progress, they develop a deeper understanding of word relationships and associations. The most advanced stage of vocabulary acquisition is productive use, where learners actively recall and use words in appropriate contexts (Webb &amp; Nation, 2017; Laufer, 202</w:t>
      </w:r>
      <w:r w:rsidR="00B6184A" w:rsidRPr="006B0749">
        <w:rPr>
          <w:color w:val="000000" w:themeColor="text1"/>
        </w:rPr>
        <w:t>4; Laufer &amp; Goldstein, 2004</w:t>
      </w:r>
      <w:r w:rsidRPr="006B0749">
        <w:rPr>
          <w:color w:val="000000" w:themeColor="text1"/>
        </w:rPr>
        <w:t xml:space="preserve">). </w:t>
      </w:r>
    </w:p>
    <w:p w14:paraId="3B9C6514" w14:textId="77777777" w:rsidR="00473E6D" w:rsidRPr="006B0749" w:rsidRDefault="00473E6D" w:rsidP="00473E6D">
      <w:pPr>
        <w:pStyle w:val="NormalWeb"/>
        <w:spacing w:before="0" w:beforeAutospacing="0" w:after="0" w:afterAutospacing="0"/>
        <w:jc w:val="both"/>
        <w:rPr>
          <w:color w:val="000000" w:themeColor="text1"/>
        </w:rPr>
      </w:pPr>
    </w:p>
    <w:p w14:paraId="79DE8F46" w14:textId="77777777" w:rsidR="00473E6D" w:rsidRPr="006B0749" w:rsidRDefault="00473E6D" w:rsidP="00473E6D">
      <w:pPr>
        <w:pStyle w:val="NormalWeb"/>
        <w:spacing w:before="0" w:beforeAutospacing="0" w:after="0" w:afterAutospacing="0"/>
        <w:jc w:val="both"/>
        <w:rPr>
          <w:color w:val="000000" w:themeColor="text1"/>
        </w:rPr>
      </w:pPr>
      <w:r w:rsidRPr="006B0749">
        <w:rPr>
          <w:b/>
          <w:bCs/>
          <w:color w:val="000000" w:themeColor="text1"/>
        </w:rPr>
        <w:t>The role of vocabulary knowledge in L2 speaking ability in Thai university learners</w:t>
      </w:r>
    </w:p>
    <w:p w14:paraId="6A2B568E" w14:textId="77777777" w:rsidR="00473E6D" w:rsidRPr="006B0749" w:rsidRDefault="00473E6D" w:rsidP="00473E6D">
      <w:pPr>
        <w:pStyle w:val="NormalWeb"/>
        <w:spacing w:before="0" w:beforeAutospacing="0" w:after="0" w:afterAutospacing="0"/>
        <w:jc w:val="both"/>
        <w:rPr>
          <w:color w:val="000000" w:themeColor="text1"/>
        </w:rPr>
      </w:pPr>
      <w:r w:rsidRPr="006B0749">
        <w:rPr>
          <w:color w:val="000000" w:themeColor="text1"/>
        </w:rPr>
        <w:t>The stepwise multiple regression analyses highlight the significant but varied impact of different vocabulary knowledge tests on L2 speaking ability among Thai university students. The VLT alone explained 17.7% of the variance in speaking performance, with a 10% increase in VLT score correlating to an approximately 3.32% increase in speaking performance. When combined with the Word Associates Test (WAT), the explanatory power increased to 28.8%, indicating that these tests together provide a better prediction of L2 speaking ability than the VLT alone. These findings underscore that while vocabulary knowledge, mainly measured by the VLT and WAT, is crucial for L2 speaking proficiency, not all vocabulary tests contribute equally. The differential contributions of the VLT, WAT, WPLT, AKT, and PVLT can be attributed to the specific aspects of vocabulary knowledge they measure. The VLT focuses on basic word recognition and definition matching, which forms a foundation for language use. The WAT, however, requires a deeper understanding of word relationships, which is essential for nuanced communication.</w:t>
      </w:r>
    </w:p>
    <w:p w14:paraId="1BA4759B" w14:textId="77777777" w:rsidR="00473E6D" w:rsidRPr="006B0749" w:rsidRDefault="00473E6D" w:rsidP="00473E6D">
      <w:pPr>
        <w:pStyle w:val="NormalWeb"/>
        <w:spacing w:before="0" w:beforeAutospacing="0" w:after="0" w:afterAutospacing="0"/>
        <w:jc w:val="both"/>
        <w:rPr>
          <w:color w:val="000000" w:themeColor="text1"/>
        </w:rPr>
      </w:pPr>
    </w:p>
    <w:p w14:paraId="0F4083FE" w14:textId="77777777" w:rsidR="00473E6D" w:rsidRPr="006B0749" w:rsidRDefault="00473E6D" w:rsidP="00473E6D">
      <w:pPr>
        <w:pStyle w:val="NormalWeb"/>
        <w:spacing w:before="0" w:beforeAutospacing="0" w:after="0" w:afterAutospacing="0"/>
        <w:jc w:val="both"/>
        <w:rPr>
          <w:color w:val="000000" w:themeColor="text1"/>
        </w:rPr>
      </w:pPr>
      <w:r w:rsidRPr="006B0749">
        <w:rPr>
          <w:color w:val="000000" w:themeColor="text1"/>
        </w:rPr>
        <w:t>The WPLT, AKT, and PVLT assess more specific or advanced aspects of vocabulary knowledge, such as word parts, affixes, and productive use, respectively. These aspects, while necessary, may not be as directly influential on speaking ability as the more foundational and relational knowledge assessed by the VLT and WAT. For instance, the PVLT’s focus on productive vocabulary knowledge, involving active recall and word production, is more challenging and may not immediately impact speaking ability compared to the recognition and relational understanding tested by the VLT and WAT.</w:t>
      </w:r>
    </w:p>
    <w:p w14:paraId="39146218" w14:textId="77777777" w:rsidR="00473E6D" w:rsidRPr="006B0749" w:rsidRDefault="00473E6D" w:rsidP="00473E6D">
      <w:pPr>
        <w:pStyle w:val="NormalWeb"/>
        <w:spacing w:before="0" w:beforeAutospacing="0" w:after="0" w:afterAutospacing="0"/>
        <w:jc w:val="both"/>
        <w:rPr>
          <w:color w:val="000000" w:themeColor="text1"/>
        </w:rPr>
      </w:pPr>
    </w:p>
    <w:p w14:paraId="5E03FCBF" w14:textId="77777777" w:rsidR="00473E6D" w:rsidRPr="006B0749" w:rsidRDefault="00473E6D" w:rsidP="00473E6D">
      <w:pPr>
        <w:pStyle w:val="NormalWeb"/>
        <w:spacing w:before="0" w:beforeAutospacing="0" w:after="0" w:afterAutospacing="0"/>
        <w:jc w:val="both"/>
        <w:rPr>
          <w:color w:val="000000" w:themeColor="text1"/>
        </w:rPr>
      </w:pPr>
      <w:r w:rsidRPr="006B0749">
        <w:rPr>
          <w:color w:val="000000" w:themeColor="text1"/>
        </w:rPr>
        <w:t>In summary, the predictive role and contribution of vocabulary knowledge to L2 speaking skills among EFL learners are not equal because different vocabulary tests measure different facets of lexical knowledge. The VLT and WAT have more direct and significant impacts due to their focus on foundational and relational vocabulary knowledge, which are more readily applicable to speaking tasks. This highlights the need for a balanced vocabulary instruction approach that addresses fundamental and advanced aspects to enhance language proficiency.</w:t>
      </w:r>
    </w:p>
    <w:p w14:paraId="5A0416E8" w14:textId="77777777" w:rsidR="00473E6D" w:rsidRPr="006B0749" w:rsidRDefault="00473E6D" w:rsidP="00473E6D">
      <w:pPr>
        <w:pStyle w:val="NormalWeb"/>
        <w:spacing w:before="0" w:beforeAutospacing="0" w:after="0" w:afterAutospacing="0"/>
        <w:jc w:val="both"/>
        <w:rPr>
          <w:b/>
          <w:bCs/>
          <w:color w:val="000000" w:themeColor="text1"/>
        </w:rPr>
      </w:pPr>
    </w:p>
    <w:p w14:paraId="69EFB538" w14:textId="77777777" w:rsidR="00473E6D" w:rsidRPr="006B0749" w:rsidRDefault="00473E6D" w:rsidP="00473E6D">
      <w:pPr>
        <w:pStyle w:val="NormalWeb"/>
        <w:spacing w:before="0" w:beforeAutospacing="0" w:after="0" w:afterAutospacing="0"/>
        <w:jc w:val="both"/>
        <w:rPr>
          <w:b/>
          <w:bCs/>
          <w:color w:val="000000" w:themeColor="text1"/>
        </w:rPr>
      </w:pPr>
      <w:r w:rsidRPr="006B0749">
        <w:rPr>
          <w:b/>
          <w:bCs/>
          <w:color w:val="000000" w:themeColor="text1"/>
        </w:rPr>
        <w:t>The role of vocabulary knowledge in L2 writing performance in Thai university learners</w:t>
      </w:r>
    </w:p>
    <w:p w14:paraId="2C08179C" w14:textId="77777777" w:rsidR="00473E6D" w:rsidRPr="006B0749" w:rsidRDefault="00473E6D" w:rsidP="00473E6D">
      <w:pPr>
        <w:pStyle w:val="NormalWeb"/>
        <w:spacing w:before="0" w:beforeAutospacing="0" w:after="0" w:afterAutospacing="0"/>
        <w:jc w:val="both"/>
        <w:rPr>
          <w:color w:val="000000" w:themeColor="text1"/>
        </w:rPr>
      </w:pPr>
      <w:r w:rsidRPr="006B0749">
        <w:rPr>
          <w:color w:val="000000" w:themeColor="text1"/>
        </w:rPr>
        <w:t xml:space="preserve">This study aimed to reveal the predictive role of vocabulary knowledge in enhancing L2 writing ability among university learners. The Productive Vocabulary Levels Test (PVLT) emerged as </w:t>
      </w:r>
      <w:r w:rsidRPr="006B0749">
        <w:rPr>
          <w:color w:val="000000" w:themeColor="text1"/>
        </w:rPr>
        <w:lastRenderedPageBreak/>
        <w:t>a significant predictor of L2 writing performance, explaining 67.4% of the variance. This means that for each unit increase in PVLT score, there is a predicted 0.653 percentage point increase in writing performance. The strong predictive power of the PVLT emphasises the critical role of productive vocabulary knowledge in enhancing L2 writing ability. This finding aligns with earlier research (Nation, 2022; Schmitt &amp; Schmitt, 2020; Sukying, 2023).</w:t>
      </w:r>
    </w:p>
    <w:p w14:paraId="4D7E9596" w14:textId="77777777" w:rsidR="00473E6D" w:rsidRPr="006B0749" w:rsidRDefault="00473E6D" w:rsidP="00473E6D">
      <w:pPr>
        <w:pStyle w:val="NormalWeb"/>
        <w:spacing w:before="0" w:beforeAutospacing="0" w:after="0" w:afterAutospacing="0"/>
        <w:jc w:val="both"/>
        <w:rPr>
          <w:color w:val="000000" w:themeColor="text1"/>
        </w:rPr>
      </w:pPr>
    </w:p>
    <w:p w14:paraId="0C3D7423" w14:textId="332F1A6E" w:rsidR="00473E6D" w:rsidRPr="006B0749" w:rsidRDefault="00473E6D" w:rsidP="00473E6D">
      <w:pPr>
        <w:pStyle w:val="NormalWeb"/>
        <w:spacing w:before="0" w:beforeAutospacing="0" w:after="0" w:afterAutospacing="0"/>
        <w:jc w:val="both"/>
        <w:rPr>
          <w:color w:val="000000" w:themeColor="text1"/>
        </w:rPr>
      </w:pPr>
      <w:r w:rsidRPr="006B0749">
        <w:rPr>
          <w:color w:val="000000" w:themeColor="text1"/>
        </w:rPr>
        <w:t>When the Word Associates Test (WAT) was added to the regression model, the explanatory power of the model increased, with the combined predictors (PVLT and WAT) explaining 71.2% of the variance in writing performance. This additional explanatory power demonstrates the significant contribution of the WAT to writing performance. While the PVLT remains the stronger predictor, the inclusion of the WAT adds a valuable dimension to the model. The increased variance from 67.4% to 71.2% when the WAT is included highlights the importance of word associations in writing proficiency. The WAT measures learners’ ability to understand and use word relationships and contexts, which are crucial for effective written communication. This suggests that students who can make connections between words and appreciate their contextual meanings are better equipped to produce coherent and contextually appropriate written texts.</w:t>
      </w:r>
    </w:p>
    <w:p w14:paraId="2C9D119F" w14:textId="77777777" w:rsidR="00473E6D" w:rsidRPr="006B0749" w:rsidRDefault="00473E6D" w:rsidP="00473E6D">
      <w:pPr>
        <w:pStyle w:val="NormalWeb"/>
        <w:spacing w:before="0" w:beforeAutospacing="0" w:after="0" w:afterAutospacing="0"/>
        <w:jc w:val="both"/>
        <w:rPr>
          <w:color w:val="000000" w:themeColor="text1"/>
        </w:rPr>
      </w:pPr>
    </w:p>
    <w:p w14:paraId="20B9CF5D" w14:textId="3298B80A" w:rsidR="00473E6D" w:rsidRPr="006B0749" w:rsidRDefault="00473E6D" w:rsidP="00473E6D">
      <w:pPr>
        <w:pStyle w:val="NormalWeb"/>
        <w:spacing w:before="0" w:beforeAutospacing="0" w:after="0" w:afterAutospacing="0"/>
        <w:jc w:val="both"/>
        <w:rPr>
          <w:color w:val="000000" w:themeColor="text1"/>
        </w:rPr>
      </w:pPr>
      <w:r w:rsidRPr="006B0749">
        <w:rPr>
          <w:color w:val="000000" w:themeColor="text1"/>
        </w:rPr>
        <w:t xml:space="preserve">The significant contribution of the PVLT and the WAT underscores the multifaceted nature of vocabulary knowledge and its impact on writing skills. Productive vocabulary knowledge, as measured by the PVLT, is essential for generating written content. In contrast, the ability to understand and use word associations, as measured by the WAT, enhances the quality and </w:t>
      </w:r>
      <w:r w:rsidR="008D7BE2" w:rsidRPr="006B0749">
        <w:rPr>
          <w:color w:val="000000" w:themeColor="text1"/>
        </w:rPr>
        <w:t>coherence of writing (Read, 2020</w:t>
      </w:r>
      <w:r w:rsidRPr="006B0749">
        <w:rPr>
          <w:color w:val="000000" w:themeColor="text1"/>
        </w:rPr>
        <w:t>). The disparity in the predictive power of the different vocabulary knowledge tests for L2 writing skills can be attributed to the specific aspects of vocabulary knowledge each test measures. The PVLT and WAT were statistically significant predictors of writing performance, while the VLT, WPLT, and AKT were not.</w:t>
      </w:r>
    </w:p>
    <w:p w14:paraId="1354EB05" w14:textId="77777777" w:rsidR="00473E6D" w:rsidRPr="006B0749" w:rsidRDefault="00473E6D" w:rsidP="00473E6D">
      <w:pPr>
        <w:pStyle w:val="NormalWeb"/>
        <w:spacing w:before="0" w:beforeAutospacing="0" w:after="0" w:afterAutospacing="0"/>
        <w:jc w:val="both"/>
        <w:rPr>
          <w:color w:val="000000" w:themeColor="text1"/>
        </w:rPr>
      </w:pPr>
    </w:p>
    <w:p w14:paraId="3BC8D630" w14:textId="77777777" w:rsidR="00473E6D" w:rsidRPr="006B0749" w:rsidRDefault="00473E6D" w:rsidP="00473E6D">
      <w:pPr>
        <w:pStyle w:val="NormalWeb"/>
        <w:spacing w:before="0" w:beforeAutospacing="0" w:after="0" w:afterAutospacing="0"/>
        <w:jc w:val="both"/>
        <w:rPr>
          <w:color w:val="000000" w:themeColor="text1"/>
        </w:rPr>
      </w:pPr>
      <w:r w:rsidRPr="006B0749">
        <w:rPr>
          <w:color w:val="000000" w:themeColor="text1"/>
        </w:rPr>
        <w:t>The PVLT measures productive vocabulary knowledge, directly assessing learners’ ability to recall and use words in appropriate contexts. This ability is crucial for writing, where generating and using a diverse range of vocabulary accurately and fluently is essential. The high predictive power of the PVLT, explaining 67.4% of the variance in writing performance, underscores its relevance. This test’s focus on active vocabulary production aligns closely with the requirements of effective writing, making it a strong predictor of writing ability (Nation, 2022; Webb &amp; Nation, 2017).</w:t>
      </w:r>
    </w:p>
    <w:p w14:paraId="22CDD232" w14:textId="77777777" w:rsidR="00473E6D" w:rsidRPr="006B0749" w:rsidRDefault="00473E6D" w:rsidP="00473E6D">
      <w:pPr>
        <w:pStyle w:val="NormalWeb"/>
        <w:spacing w:before="0" w:beforeAutospacing="0" w:after="0" w:afterAutospacing="0"/>
        <w:jc w:val="both"/>
        <w:rPr>
          <w:color w:val="000000" w:themeColor="text1"/>
        </w:rPr>
      </w:pPr>
    </w:p>
    <w:p w14:paraId="4D058B13" w14:textId="59299915" w:rsidR="00473E6D" w:rsidRPr="006B0749" w:rsidRDefault="00473E6D" w:rsidP="00473E6D">
      <w:pPr>
        <w:pStyle w:val="NormalWeb"/>
        <w:spacing w:before="0" w:beforeAutospacing="0" w:after="0" w:afterAutospacing="0"/>
        <w:jc w:val="both"/>
        <w:rPr>
          <w:color w:val="000000" w:themeColor="text1"/>
        </w:rPr>
      </w:pPr>
      <w:r w:rsidRPr="006B0749">
        <w:rPr>
          <w:color w:val="000000" w:themeColor="text1"/>
        </w:rPr>
        <w:t>The WAT measures the ability to understand and use word associations, which is essential for creating coherent and contextually appropriate texts. Understanding how words relate to each other and using them effectively within different contexts enhances the quality of writing. The addition of the WAT to the regression model increased the explained variance in writing performance to 71.2%, highlighting its significant complementary role alongside the PVLT (Schmitt &amp; Schmitt, 2020</w:t>
      </w:r>
      <w:r w:rsidR="00AB1373" w:rsidRPr="006B0749">
        <w:rPr>
          <w:color w:val="000000" w:themeColor="text1"/>
        </w:rPr>
        <w:t>; Sukying, 2023</w:t>
      </w:r>
      <w:r w:rsidRPr="006B0749">
        <w:rPr>
          <w:color w:val="000000" w:themeColor="text1"/>
        </w:rPr>
        <w:t>). In contrast, the VLT, WPLT, and AKT focus on different aspects of vocabulary knowledge that may not directly translate into writing proficiency. The VLT primarily assesses receptive vocabulary knowledge, which involves recognising and understanding words rather than producing them. While this is foundational, it does not directly measure the ability to use vocabulary in writing. Similarly, the WPLT focuses on understanding word parts, such as prefixes and suffixes, which are more relevant to reading and comprehension than writing. The AKT evaluates knowledge of affixes and derivational morphology, which, although necessary, may not capture the full scope of vocabulary use required for proficient writing (</w:t>
      </w:r>
      <w:r w:rsidR="00AB1373" w:rsidRPr="006B0749">
        <w:rPr>
          <w:color w:val="000000" w:themeColor="text1"/>
        </w:rPr>
        <w:t>Laufer, 2024; S</w:t>
      </w:r>
      <w:r w:rsidR="00B3727E" w:rsidRPr="006B0749">
        <w:rPr>
          <w:color w:val="000000" w:themeColor="text1"/>
        </w:rPr>
        <w:t>ukying, 2022</w:t>
      </w:r>
      <w:r w:rsidRPr="006B0749">
        <w:rPr>
          <w:color w:val="000000" w:themeColor="text1"/>
        </w:rPr>
        <w:t>).</w:t>
      </w:r>
    </w:p>
    <w:p w14:paraId="68B5399B" w14:textId="77777777" w:rsidR="00473E6D" w:rsidRPr="006B0749" w:rsidRDefault="00473E6D" w:rsidP="00473E6D">
      <w:pPr>
        <w:pStyle w:val="NormalWeb"/>
        <w:spacing w:before="0" w:beforeAutospacing="0" w:after="0" w:afterAutospacing="0"/>
        <w:jc w:val="both"/>
        <w:rPr>
          <w:color w:val="000000" w:themeColor="text1"/>
        </w:rPr>
      </w:pPr>
    </w:p>
    <w:p w14:paraId="0B6FEA1F" w14:textId="35128F2A" w:rsidR="00473E6D" w:rsidRPr="006B0749" w:rsidRDefault="00473E6D" w:rsidP="00473E6D">
      <w:pPr>
        <w:pStyle w:val="NormalWeb"/>
        <w:spacing w:before="0" w:beforeAutospacing="0" w:after="0" w:afterAutospacing="0"/>
        <w:jc w:val="both"/>
        <w:rPr>
          <w:color w:val="000000" w:themeColor="text1"/>
        </w:rPr>
      </w:pPr>
      <w:r w:rsidRPr="006B0749">
        <w:rPr>
          <w:color w:val="000000" w:themeColor="text1"/>
        </w:rPr>
        <w:lastRenderedPageBreak/>
        <w:t>The lack of significant predictive power from the VLT, WPLT, and AKT suggests that these tests measure aspects of vocabulary knowledge that are less directly applicable to writing tasks. Writing requires a broad vocabulary and the ability to use words flexibly and appropriately within various contexts, skills that the PVLT and WAT assess more effectively. This finding aligns with recent research emphasising the need for vocabulary assessments that capture the productive and associative aspects of vocabulary knowledge, which are critical for writing proficiency (</w:t>
      </w:r>
      <w:r w:rsidR="00AB1373" w:rsidRPr="006B0749">
        <w:rPr>
          <w:color w:val="000000" w:themeColor="text1"/>
        </w:rPr>
        <w:t>Read, 2020</w:t>
      </w:r>
      <w:r w:rsidRPr="006B0749">
        <w:rPr>
          <w:color w:val="000000" w:themeColor="text1"/>
        </w:rPr>
        <w:t>; Schmitt &amp; Schmitt, 2020).</w:t>
      </w:r>
    </w:p>
    <w:p w14:paraId="5F754F92" w14:textId="77777777" w:rsidR="00473E6D" w:rsidRPr="006B0749" w:rsidRDefault="00473E6D" w:rsidP="00473E6D">
      <w:pPr>
        <w:pStyle w:val="NormalWeb"/>
        <w:spacing w:before="0" w:beforeAutospacing="0" w:after="0" w:afterAutospacing="0"/>
        <w:jc w:val="both"/>
        <w:rPr>
          <w:color w:val="000000" w:themeColor="text1"/>
        </w:rPr>
      </w:pPr>
      <w:bookmarkStart w:id="1" w:name="_GoBack"/>
      <w:bookmarkEnd w:id="1"/>
    </w:p>
    <w:p w14:paraId="327A899A" w14:textId="77777777" w:rsidR="00473E6D" w:rsidRPr="006B0749" w:rsidRDefault="00473E6D" w:rsidP="00473E6D">
      <w:pPr>
        <w:pStyle w:val="NormalWeb"/>
        <w:spacing w:before="0" w:beforeAutospacing="0" w:after="0" w:afterAutospacing="0"/>
        <w:jc w:val="both"/>
        <w:rPr>
          <w:color w:val="000000" w:themeColor="text1"/>
        </w:rPr>
      </w:pPr>
      <w:r w:rsidRPr="006B0749">
        <w:rPr>
          <w:color w:val="000000" w:themeColor="text1"/>
        </w:rPr>
        <w:t>The predictive role and contribution of different vocabulary knowledge tests to L2 writing skills are influenced by the specific aspects of vocabulary each test measures. The PVLT and WAT are significant predictors of writing performance due to their focus on productive use and word associations. At the same time, the VLT, WPLT, and AKT are less predictive because they assess aspects of vocabulary knowledge that are less directly applicable to writing tasks. These findings highlight the importance of targeted vocabulary assessments and instruction that align closely with the demands of writing proficiency.</w:t>
      </w:r>
    </w:p>
    <w:p w14:paraId="21FDB290" w14:textId="77777777" w:rsidR="00473E6D" w:rsidRPr="006B0749" w:rsidRDefault="00473E6D" w:rsidP="00473E6D">
      <w:pPr>
        <w:pStyle w:val="BodyText"/>
        <w:tabs>
          <w:tab w:val="left" w:pos="2988"/>
        </w:tabs>
        <w:spacing w:line="240" w:lineRule="auto"/>
        <w:ind w:firstLine="0"/>
        <w:jc w:val="both"/>
        <w:rPr>
          <w:bCs/>
          <w:color w:val="000000" w:themeColor="text1"/>
        </w:rPr>
      </w:pPr>
    </w:p>
    <w:p w14:paraId="1CB7FB15" w14:textId="77777777" w:rsidR="00473E6D" w:rsidRPr="006B0749" w:rsidRDefault="00473E6D" w:rsidP="00473E6D">
      <w:pPr>
        <w:pStyle w:val="BodyText"/>
        <w:tabs>
          <w:tab w:val="left" w:pos="2988"/>
        </w:tabs>
        <w:spacing w:line="240" w:lineRule="auto"/>
        <w:ind w:firstLine="0"/>
        <w:jc w:val="center"/>
        <w:rPr>
          <w:b/>
          <w:bCs/>
          <w:color w:val="000000" w:themeColor="text1"/>
        </w:rPr>
      </w:pPr>
      <w:r w:rsidRPr="006B0749">
        <w:rPr>
          <w:b/>
          <w:bCs/>
          <w:color w:val="000000" w:themeColor="text1"/>
        </w:rPr>
        <w:t>CONCLUSION</w:t>
      </w:r>
    </w:p>
    <w:p w14:paraId="59281404" w14:textId="77777777" w:rsidR="00473E6D" w:rsidRPr="006B0749" w:rsidRDefault="00473E6D" w:rsidP="00473E6D">
      <w:pPr>
        <w:pStyle w:val="BodyText"/>
        <w:tabs>
          <w:tab w:val="left" w:pos="2988"/>
        </w:tabs>
        <w:spacing w:line="240" w:lineRule="auto"/>
        <w:ind w:firstLine="0"/>
        <w:jc w:val="both"/>
        <w:rPr>
          <w:bCs/>
          <w:color w:val="000000" w:themeColor="text1"/>
        </w:rPr>
      </w:pPr>
    </w:p>
    <w:p w14:paraId="7194D0EA" w14:textId="77777777" w:rsidR="00473E6D" w:rsidRPr="006B0749" w:rsidRDefault="00473E6D" w:rsidP="00473E6D">
      <w:pPr>
        <w:pStyle w:val="BodyText"/>
        <w:tabs>
          <w:tab w:val="left" w:pos="2988"/>
        </w:tabs>
        <w:spacing w:line="240" w:lineRule="auto"/>
        <w:ind w:firstLine="0"/>
        <w:jc w:val="both"/>
        <w:rPr>
          <w:bCs/>
          <w:color w:val="000000" w:themeColor="text1"/>
        </w:rPr>
      </w:pPr>
      <w:r w:rsidRPr="006B0749">
        <w:rPr>
          <w:bCs/>
          <w:color w:val="000000" w:themeColor="text1"/>
        </w:rPr>
        <w:t>This research examined the role of vocabulary knowledge in English language use among Thai university learners. The findings indicate that vocabulary acquisition is an incremental process, with foundational knowledge, as measured by the Vocabulary Levels Test (VLT) and Word Part Levels Test (WPLT), being developed earlier than more complex, productive skills assessed by the Productive Vocabulary Levels Test (PVLT). The progression from recognition-based tasks to productive tasks reflects increasing cognitive demands, highlighting the critical role of foundational vocabulary knowledge for advanced language use. These findings suggest the need for a balanced approach to vocabulary instruction that builds both foundational knowledge and its application in productive skills.</w:t>
      </w:r>
    </w:p>
    <w:p w14:paraId="751F9DB0" w14:textId="77777777" w:rsidR="00473E6D" w:rsidRPr="006B0749" w:rsidRDefault="00473E6D" w:rsidP="00473E6D">
      <w:pPr>
        <w:pStyle w:val="BodyText"/>
        <w:tabs>
          <w:tab w:val="left" w:pos="2988"/>
        </w:tabs>
        <w:spacing w:line="240" w:lineRule="auto"/>
        <w:ind w:firstLine="0"/>
        <w:jc w:val="both"/>
        <w:rPr>
          <w:bCs/>
          <w:color w:val="000000" w:themeColor="text1"/>
        </w:rPr>
      </w:pPr>
    </w:p>
    <w:p w14:paraId="58F14C5E" w14:textId="77777777" w:rsidR="00473E6D" w:rsidRPr="006B0749" w:rsidRDefault="00473E6D" w:rsidP="00473E6D">
      <w:pPr>
        <w:pStyle w:val="BodyText"/>
        <w:tabs>
          <w:tab w:val="left" w:pos="2988"/>
        </w:tabs>
        <w:spacing w:line="240" w:lineRule="auto"/>
        <w:ind w:firstLine="0"/>
        <w:jc w:val="both"/>
        <w:rPr>
          <w:bCs/>
          <w:color w:val="000000" w:themeColor="text1"/>
        </w:rPr>
      </w:pPr>
      <w:r w:rsidRPr="006B0749">
        <w:rPr>
          <w:bCs/>
          <w:color w:val="000000" w:themeColor="text1"/>
        </w:rPr>
        <w:t>The study also demonstrated significant positive correlations between vocabulary knowledge and speaking and writing skills, confirming that as vocabulary knowledge increases, so does learners’ performance in productive language tasks. Writing, in particular, showed a stronger relationship with vocabulary knowledge than speaking, likely due to the more deliberate and planned nature of writing, which allows for precise word selection. The VLT and the WAT together accounted for 28.8% of the variance in speaking performance, while the PVLT and the WAT explained 71.2% of the variance in writing performance. This highlights the importance of productive vocabulary and word associations in enhancing writing skills. Overall, the study demonstrates the essential role of vocabulary knowledge in achieving language proficiency and highlights the need for targeted vocabulary instruction to improve both speaking and writing abilities.</w:t>
      </w:r>
    </w:p>
    <w:p w14:paraId="3C0B8D7D" w14:textId="77777777" w:rsidR="00473E6D" w:rsidRPr="006B0749" w:rsidRDefault="00473E6D" w:rsidP="00473E6D">
      <w:pPr>
        <w:pStyle w:val="BodyText"/>
        <w:tabs>
          <w:tab w:val="left" w:pos="2988"/>
        </w:tabs>
        <w:spacing w:line="240" w:lineRule="auto"/>
        <w:ind w:firstLine="0"/>
        <w:jc w:val="both"/>
        <w:rPr>
          <w:bCs/>
          <w:color w:val="000000" w:themeColor="text1"/>
        </w:rPr>
      </w:pPr>
    </w:p>
    <w:p w14:paraId="223FB7FF" w14:textId="77777777" w:rsidR="00473E6D" w:rsidRPr="006B0749" w:rsidRDefault="00473E6D" w:rsidP="00473E6D">
      <w:pPr>
        <w:pStyle w:val="BodyText"/>
        <w:tabs>
          <w:tab w:val="left" w:pos="2988"/>
        </w:tabs>
        <w:spacing w:line="240" w:lineRule="auto"/>
        <w:ind w:firstLine="0"/>
        <w:jc w:val="center"/>
        <w:rPr>
          <w:b/>
          <w:bCs/>
          <w:color w:val="000000" w:themeColor="text1"/>
        </w:rPr>
      </w:pPr>
      <w:r w:rsidRPr="006B0749">
        <w:rPr>
          <w:b/>
          <w:bCs/>
          <w:color w:val="000000" w:themeColor="text1"/>
        </w:rPr>
        <w:t>LIMITATIONS AND RECOMMENDATION</w:t>
      </w:r>
    </w:p>
    <w:p w14:paraId="01828556" w14:textId="77777777" w:rsidR="00473E6D" w:rsidRPr="006B0749" w:rsidRDefault="00473E6D" w:rsidP="00473E6D">
      <w:pPr>
        <w:pStyle w:val="BodyText"/>
        <w:tabs>
          <w:tab w:val="left" w:pos="2988"/>
        </w:tabs>
        <w:spacing w:line="240" w:lineRule="auto"/>
        <w:ind w:firstLine="0"/>
        <w:jc w:val="both"/>
        <w:rPr>
          <w:bCs/>
          <w:color w:val="000000" w:themeColor="text1"/>
        </w:rPr>
      </w:pPr>
    </w:p>
    <w:p w14:paraId="2489E7AF" w14:textId="61042705" w:rsidR="00835412" w:rsidRPr="006B0749" w:rsidRDefault="00473E6D" w:rsidP="00835412">
      <w:pPr>
        <w:pStyle w:val="BodyText"/>
        <w:tabs>
          <w:tab w:val="left" w:pos="2988"/>
        </w:tabs>
        <w:spacing w:line="240" w:lineRule="auto"/>
        <w:ind w:firstLine="0"/>
        <w:jc w:val="both"/>
        <w:rPr>
          <w:bCs/>
          <w:color w:val="000000" w:themeColor="text1"/>
        </w:rPr>
      </w:pPr>
      <w:r w:rsidRPr="006B0749">
        <w:rPr>
          <w:bCs/>
          <w:color w:val="000000" w:themeColor="text1"/>
        </w:rPr>
        <w:t xml:space="preserve">The relatively small sample size of 63 participants from a single university may limit how broadly the findings can be applied to other contexts or large populations. Second, the cross-sectional design offers only a snapshot of vocabulary knowledge and its impact on language skills at one point in time, highlighting the need for longitudinal studies to track how vocabulary knowledge and language skills develop over time. Additionally, the vocabulary assessments used in this study may not fully capture all aspects of vocabulary knowledge, pointing to the need for future studies to use a wider range of assessments for a more comprehensive understanding of vocabulary proficiency. These limitations </w:t>
      </w:r>
      <w:proofErr w:type="spellStart"/>
      <w:r w:rsidRPr="006B0749">
        <w:rPr>
          <w:bCs/>
          <w:color w:val="000000" w:themeColor="text1"/>
        </w:rPr>
        <w:t>emphasise</w:t>
      </w:r>
      <w:proofErr w:type="spellEnd"/>
      <w:r w:rsidRPr="006B0749">
        <w:rPr>
          <w:bCs/>
          <w:color w:val="000000" w:themeColor="text1"/>
        </w:rPr>
        <w:t xml:space="preserve"> the </w:t>
      </w:r>
      <w:r w:rsidRPr="006B0749">
        <w:rPr>
          <w:bCs/>
          <w:color w:val="000000" w:themeColor="text1"/>
        </w:rPr>
        <w:lastRenderedPageBreak/>
        <w:t xml:space="preserve">importance of further research to validate the findings and deepen our understanding of vocabulary development in varied educational contexts. </w:t>
      </w:r>
    </w:p>
    <w:p w14:paraId="5989F233" w14:textId="77777777" w:rsidR="00835412" w:rsidRPr="006B0749" w:rsidRDefault="00835412" w:rsidP="00835412">
      <w:pPr>
        <w:pStyle w:val="BodyText"/>
        <w:tabs>
          <w:tab w:val="left" w:pos="2988"/>
        </w:tabs>
        <w:spacing w:line="240" w:lineRule="auto"/>
        <w:ind w:firstLine="0"/>
        <w:jc w:val="both"/>
        <w:rPr>
          <w:bCs/>
          <w:color w:val="000000" w:themeColor="text1"/>
        </w:rPr>
      </w:pPr>
    </w:p>
    <w:p w14:paraId="1C1D6F43" w14:textId="77777777" w:rsidR="00835412" w:rsidRPr="006B0749" w:rsidRDefault="00835412" w:rsidP="00835412">
      <w:pPr>
        <w:pStyle w:val="BodyText"/>
        <w:tabs>
          <w:tab w:val="left" w:pos="2988"/>
        </w:tabs>
        <w:spacing w:line="240" w:lineRule="auto"/>
        <w:ind w:firstLine="0"/>
        <w:jc w:val="both"/>
        <w:rPr>
          <w:bCs/>
          <w:color w:val="000000" w:themeColor="text1"/>
        </w:rPr>
      </w:pPr>
    </w:p>
    <w:p w14:paraId="304223EC" w14:textId="4FDEA77F" w:rsidR="00835412" w:rsidRPr="006B0749" w:rsidRDefault="00835412" w:rsidP="00835412">
      <w:pPr>
        <w:pStyle w:val="BodyText"/>
        <w:tabs>
          <w:tab w:val="left" w:pos="2988"/>
        </w:tabs>
        <w:spacing w:line="240" w:lineRule="auto"/>
        <w:ind w:firstLine="0"/>
        <w:jc w:val="center"/>
        <w:rPr>
          <w:b/>
          <w:color w:val="000000" w:themeColor="text1"/>
        </w:rPr>
      </w:pPr>
      <w:r w:rsidRPr="006B0749">
        <w:rPr>
          <w:b/>
          <w:color w:val="000000" w:themeColor="text1"/>
        </w:rPr>
        <w:t>ACKNOWLEDGEMENTS</w:t>
      </w:r>
    </w:p>
    <w:p w14:paraId="7468F29E" w14:textId="77777777" w:rsidR="00835412" w:rsidRPr="006B0749" w:rsidRDefault="00835412" w:rsidP="00835412">
      <w:pPr>
        <w:pStyle w:val="BodyText"/>
        <w:spacing w:line="240" w:lineRule="auto"/>
        <w:ind w:right="103" w:firstLine="0"/>
        <w:contextualSpacing/>
        <w:jc w:val="both"/>
        <w:rPr>
          <w:color w:val="000000" w:themeColor="text1"/>
        </w:rPr>
      </w:pPr>
    </w:p>
    <w:p w14:paraId="51A0E54F" w14:textId="3B09028E" w:rsidR="00835412" w:rsidRPr="006B0749" w:rsidRDefault="00835412" w:rsidP="00835412">
      <w:pPr>
        <w:pStyle w:val="BodyText"/>
        <w:tabs>
          <w:tab w:val="left" w:pos="2988"/>
        </w:tabs>
        <w:spacing w:line="240" w:lineRule="auto"/>
        <w:ind w:firstLine="0"/>
        <w:jc w:val="both"/>
        <w:rPr>
          <w:bCs/>
          <w:color w:val="000000" w:themeColor="text1"/>
        </w:rPr>
      </w:pPr>
      <w:r w:rsidRPr="006B0749">
        <w:rPr>
          <w:color w:val="000000" w:themeColor="text1"/>
        </w:rPr>
        <w:t xml:space="preserve">This research project was financially supported by the Faculty of Humanities and Social Sciences, </w:t>
      </w:r>
      <w:proofErr w:type="spellStart"/>
      <w:r w:rsidRPr="006B0749">
        <w:rPr>
          <w:color w:val="000000" w:themeColor="text1"/>
        </w:rPr>
        <w:t>Mahasarakham</w:t>
      </w:r>
      <w:proofErr w:type="spellEnd"/>
      <w:r w:rsidRPr="006B0749">
        <w:rPr>
          <w:color w:val="000000" w:themeColor="text1"/>
        </w:rPr>
        <w:t xml:space="preserve"> </w:t>
      </w:r>
      <w:proofErr w:type="spellStart"/>
      <w:r w:rsidRPr="006B0749">
        <w:rPr>
          <w:color w:val="000000" w:themeColor="text1"/>
        </w:rPr>
        <w:t>Univesrity</w:t>
      </w:r>
      <w:proofErr w:type="spellEnd"/>
      <w:r w:rsidRPr="006B0749">
        <w:rPr>
          <w:color w:val="000000" w:themeColor="text1"/>
        </w:rPr>
        <w:t>, Thailand.</w:t>
      </w:r>
    </w:p>
    <w:p w14:paraId="445E9260" w14:textId="77777777" w:rsidR="00BD70DA" w:rsidRPr="006B0749" w:rsidRDefault="00BD70DA" w:rsidP="00DF3C82">
      <w:pPr>
        <w:pStyle w:val="BodyText"/>
        <w:tabs>
          <w:tab w:val="left" w:pos="2988"/>
        </w:tabs>
        <w:spacing w:line="240" w:lineRule="auto"/>
        <w:ind w:firstLine="0"/>
        <w:jc w:val="both"/>
        <w:rPr>
          <w:bCs/>
          <w:color w:val="000000" w:themeColor="text1"/>
        </w:rPr>
      </w:pPr>
    </w:p>
    <w:p w14:paraId="0CE4855C" w14:textId="77777777" w:rsidR="00BD70DA" w:rsidRPr="006B0749" w:rsidRDefault="00BD70DA" w:rsidP="00DF3C82">
      <w:pPr>
        <w:pStyle w:val="BodyText"/>
        <w:tabs>
          <w:tab w:val="left" w:pos="2988"/>
        </w:tabs>
        <w:spacing w:line="240" w:lineRule="auto"/>
        <w:ind w:firstLine="0"/>
        <w:jc w:val="both"/>
        <w:rPr>
          <w:bCs/>
          <w:color w:val="000000" w:themeColor="text1"/>
        </w:rPr>
      </w:pPr>
    </w:p>
    <w:p w14:paraId="35DCDD09" w14:textId="7518681A" w:rsidR="00BD70DA" w:rsidRPr="006B0749" w:rsidRDefault="00BD70DA" w:rsidP="00BD70DA">
      <w:pPr>
        <w:pStyle w:val="BodyText"/>
        <w:tabs>
          <w:tab w:val="left" w:pos="2988"/>
        </w:tabs>
        <w:spacing w:line="240" w:lineRule="auto"/>
        <w:ind w:firstLine="0"/>
        <w:jc w:val="center"/>
        <w:rPr>
          <w:b/>
          <w:color w:val="000000" w:themeColor="text1"/>
        </w:rPr>
      </w:pPr>
      <w:r w:rsidRPr="006B0749">
        <w:rPr>
          <w:b/>
          <w:color w:val="000000" w:themeColor="text1"/>
        </w:rPr>
        <w:t>REFERENCES</w:t>
      </w:r>
    </w:p>
    <w:p w14:paraId="3F04388F" w14:textId="77777777" w:rsidR="00CC5754" w:rsidRPr="006B0749" w:rsidRDefault="00CC5754" w:rsidP="00CC5754">
      <w:pPr>
        <w:pStyle w:val="BodyText"/>
        <w:spacing w:line="240" w:lineRule="auto"/>
        <w:ind w:right="103" w:firstLine="0"/>
        <w:contextualSpacing/>
        <w:jc w:val="both"/>
        <w:rPr>
          <w:color w:val="000000" w:themeColor="text1"/>
        </w:rPr>
      </w:pPr>
    </w:p>
    <w:p w14:paraId="360A7DB1" w14:textId="77777777" w:rsidR="001B7AD5" w:rsidRPr="006B0749" w:rsidRDefault="001B7AD5" w:rsidP="008645BE">
      <w:pPr>
        <w:ind w:left="709" w:hanging="709"/>
        <w:rPr>
          <w:color w:val="000000" w:themeColor="text1"/>
        </w:rPr>
      </w:pPr>
      <w:proofErr w:type="spellStart"/>
      <w:r w:rsidRPr="006B0749">
        <w:rPr>
          <w:color w:val="000000" w:themeColor="text1"/>
        </w:rPr>
        <w:t>Alavi</w:t>
      </w:r>
      <w:proofErr w:type="spellEnd"/>
      <w:r w:rsidRPr="006B0749">
        <w:rPr>
          <w:color w:val="000000" w:themeColor="text1"/>
        </w:rPr>
        <w:t xml:space="preserve">, S. M., &amp; </w:t>
      </w:r>
      <w:proofErr w:type="spellStart"/>
      <w:r w:rsidRPr="006B0749">
        <w:rPr>
          <w:color w:val="000000" w:themeColor="text1"/>
        </w:rPr>
        <w:t>Akbarian</w:t>
      </w:r>
      <w:proofErr w:type="spellEnd"/>
      <w:r w:rsidRPr="006B0749">
        <w:rPr>
          <w:color w:val="000000" w:themeColor="text1"/>
        </w:rPr>
        <w:t xml:space="preserve">, I. (2012). The role of vocabulary size in predicting performance on TOEFL reading item types. </w:t>
      </w:r>
      <w:r w:rsidRPr="006B0749">
        <w:rPr>
          <w:i/>
          <w:iCs/>
          <w:color w:val="000000" w:themeColor="text1"/>
        </w:rPr>
        <w:t>System</w:t>
      </w:r>
      <w:r w:rsidRPr="006B0749">
        <w:rPr>
          <w:color w:val="000000" w:themeColor="text1"/>
        </w:rPr>
        <w:t xml:space="preserve">, </w:t>
      </w:r>
      <w:r w:rsidRPr="006B0749">
        <w:rPr>
          <w:i/>
          <w:iCs/>
          <w:color w:val="000000" w:themeColor="text1"/>
        </w:rPr>
        <w:t>40</w:t>
      </w:r>
      <w:r w:rsidRPr="006B0749">
        <w:rPr>
          <w:color w:val="000000" w:themeColor="text1"/>
        </w:rPr>
        <w:t>(3), 376-385. https://doi.org/10.1016/j.system.2012.07.002</w:t>
      </w:r>
    </w:p>
    <w:p w14:paraId="4020125F" w14:textId="59421A0F" w:rsidR="008645BE" w:rsidRPr="006B0749" w:rsidRDefault="008645BE" w:rsidP="008645BE">
      <w:pPr>
        <w:snapToGrid w:val="0"/>
        <w:ind w:left="708" w:hangingChars="295" w:hanging="708"/>
        <w:rPr>
          <w:color w:val="000000" w:themeColor="text1"/>
        </w:rPr>
      </w:pPr>
      <w:r w:rsidRPr="006B0749">
        <w:rPr>
          <w:color w:val="000000" w:themeColor="text1"/>
        </w:rPr>
        <w:t xml:space="preserve">Anderson, R.C., &amp; Freebody, P. (1981). Vocabulary knowledge. In J. Guthrie (Ed.), </w:t>
      </w:r>
      <w:r w:rsidRPr="006B0749">
        <w:rPr>
          <w:i/>
          <w:iCs/>
          <w:color w:val="000000" w:themeColor="text1"/>
        </w:rPr>
        <w:t>Comprehension and teaching: Research reviews</w:t>
      </w:r>
      <w:r w:rsidRPr="006B0749">
        <w:rPr>
          <w:color w:val="000000" w:themeColor="text1"/>
        </w:rPr>
        <w:t xml:space="preserve"> (pp.77-117). International Reading Association.</w:t>
      </w:r>
    </w:p>
    <w:p w14:paraId="7CF9146F" w14:textId="77777777" w:rsidR="00A94FB6" w:rsidRPr="006B0749" w:rsidRDefault="00A94FB6" w:rsidP="00A94FB6">
      <w:pPr>
        <w:ind w:left="709" w:hanging="709"/>
        <w:rPr>
          <w:color w:val="000000" w:themeColor="text1"/>
        </w:rPr>
      </w:pPr>
      <w:r w:rsidRPr="006B0749">
        <w:rPr>
          <w:color w:val="000000" w:themeColor="text1"/>
        </w:rPr>
        <w:t xml:space="preserve">Cheng, J., &amp; Matthews, J. (2018). The relationship between three measures of L2 vocabulary knowledge and L2 listening and reading. </w:t>
      </w:r>
      <w:r w:rsidRPr="006B0749">
        <w:rPr>
          <w:i/>
          <w:iCs/>
          <w:color w:val="000000" w:themeColor="text1"/>
        </w:rPr>
        <w:t>Language Testing</w:t>
      </w:r>
      <w:r w:rsidRPr="006B0749">
        <w:rPr>
          <w:color w:val="000000" w:themeColor="text1"/>
        </w:rPr>
        <w:t xml:space="preserve">, </w:t>
      </w:r>
      <w:r w:rsidRPr="006B0749">
        <w:rPr>
          <w:i/>
          <w:iCs/>
          <w:color w:val="000000" w:themeColor="text1"/>
        </w:rPr>
        <w:t>35</w:t>
      </w:r>
      <w:r w:rsidRPr="006B0749">
        <w:rPr>
          <w:color w:val="000000" w:themeColor="text1"/>
        </w:rPr>
        <w:t xml:space="preserve">(1), 3-25. </w:t>
      </w:r>
      <w:hyperlink r:id="rId8" w:history="1">
        <w:r w:rsidRPr="006B0749">
          <w:rPr>
            <w:rStyle w:val="Hyperlink"/>
            <w:color w:val="000000" w:themeColor="text1"/>
            <w:u w:val="none"/>
          </w:rPr>
          <w:t>https://doi.org/10.1177/0265532216676851</w:t>
        </w:r>
      </w:hyperlink>
    </w:p>
    <w:p w14:paraId="3DEFC063" w14:textId="77777777" w:rsidR="00A94FB6" w:rsidRPr="006B0749" w:rsidRDefault="00A94FB6" w:rsidP="00A94FB6">
      <w:pPr>
        <w:ind w:left="709" w:hanging="709"/>
        <w:rPr>
          <w:color w:val="000000" w:themeColor="text1"/>
        </w:rPr>
      </w:pPr>
      <w:proofErr w:type="spellStart"/>
      <w:r w:rsidRPr="006B0749">
        <w:rPr>
          <w:bCs/>
          <w:color w:val="000000" w:themeColor="text1"/>
        </w:rPr>
        <w:t>Dabbagh</w:t>
      </w:r>
      <w:proofErr w:type="spellEnd"/>
      <w:r w:rsidRPr="006B0749">
        <w:rPr>
          <w:bCs/>
          <w:color w:val="000000" w:themeColor="text1"/>
        </w:rPr>
        <w:t xml:space="preserve">, A. &amp; </w:t>
      </w:r>
      <w:proofErr w:type="spellStart"/>
      <w:r w:rsidRPr="006B0749">
        <w:rPr>
          <w:bCs/>
          <w:color w:val="000000" w:themeColor="text1"/>
        </w:rPr>
        <w:t>Janebi</w:t>
      </w:r>
      <w:proofErr w:type="spellEnd"/>
      <w:r w:rsidRPr="006B0749">
        <w:rPr>
          <w:bCs/>
          <w:color w:val="000000" w:themeColor="text1"/>
        </w:rPr>
        <w:t xml:space="preserve"> </w:t>
      </w:r>
      <w:proofErr w:type="spellStart"/>
      <w:r w:rsidRPr="006B0749">
        <w:rPr>
          <w:bCs/>
          <w:color w:val="000000" w:themeColor="text1"/>
        </w:rPr>
        <w:t>Enayat</w:t>
      </w:r>
      <w:proofErr w:type="spellEnd"/>
      <w:r w:rsidRPr="006B0749">
        <w:rPr>
          <w:bCs/>
          <w:color w:val="000000" w:themeColor="text1"/>
        </w:rPr>
        <w:t xml:space="preserve">, M. (2019). The role of vocabulary breadth and depth in predicting second language descriptive writing performance. </w:t>
      </w:r>
      <w:r w:rsidRPr="006B0749">
        <w:rPr>
          <w:bCs/>
          <w:i/>
          <w:iCs/>
          <w:color w:val="000000" w:themeColor="text1"/>
        </w:rPr>
        <w:t>The Language Learning Journal</w:t>
      </w:r>
      <w:r w:rsidRPr="006B0749">
        <w:rPr>
          <w:bCs/>
          <w:color w:val="000000" w:themeColor="text1"/>
        </w:rPr>
        <w:t xml:space="preserve">, </w:t>
      </w:r>
      <w:r w:rsidRPr="006B0749">
        <w:rPr>
          <w:bCs/>
          <w:i/>
          <w:iCs/>
          <w:color w:val="000000" w:themeColor="text1"/>
        </w:rPr>
        <w:t>47</w:t>
      </w:r>
      <w:r w:rsidRPr="006B0749">
        <w:rPr>
          <w:bCs/>
          <w:color w:val="000000" w:themeColor="text1"/>
        </w:rPr>
        <w:t xml:space="preserve">(5), 575-590. </w:t>
      </w:r>
      <w:r w:rsidRPr="006B0749">
        <w:rPr>
          <w:color w:val="000000" w:themeColor="text1"/>
        </w:rPr>
        <w:t>https://doi.org/10.1080/09571736.2017.1335765</w:t>
      </w:r>
    </w:p>
    <w:p w14:paraId="72C60184" w14:textId="77777777" w:rsidR="00A94FB6" w:rsidRPr="006B0749" w:rsidRDefault="00A94FB6" w:rsidP="00A94FB6">
      <w:pPr>
        <w:ind w:left="709" w:hanging="709"/>
        <w:rPr>
          <w:color w:val="000000" w:themeColor="text1"/>
        </w:rPr>
      </w:pPr>
      <w:proofErr w:type="spellStart"/>
      <w:r w:rsidRPr="006B0749">
        <w:rPr>
          <w:color w:val="000000" w:themeColor="text1"/>
        </w:rPr>
        <w:t>Derakhshan</w:t>
      </w:r>
      <w:proofErr w:type="spellEnd"/>
      <w:r w:rsidRPr="006B0749">
        <w:rPr>
          <w:color w:val="000000" w:themeColor="text1"/>
        </w:rPr>
        <w:t xml:space="preserve">, A., &amp; </w:t>
      </w:r>
      <w:proofErr w:type="spellStart"/>
      <w:r w:rsidRPr="006B0749">
        <w:rPr>
          <w:color w:val="000000" w:themeColor="text1"/>
        </w:rPr>
        <w:t>Janebi</w:t>
      </w:r>
      <w:proofErr w:type="spellEnd"/>
      <w:r w:rsidRPr="006B0749">
        <w:rPr>
          <w:color w:val="000000" w:themeColor="text1"/>
        </w:rPr>
        <w:t xml:space="preserve"> </w:t>
      </w:r>
      <w:proofErr w:type="spellStart"/>
      <w:r w:rsidRPr="006B0749">
        <w:rPr>
          <w:color w:val="000000" w:themeColor="text1"/>
        </w:rPr>
        <w:t>Enayat</w:t>
      </w:r>
      <w:proofErr w:type="spellEnd"/>
      <w:r w:rsidRPr="006B0749">
        <w:rPr>
          <w:color w:val="000000" w:themeColor="text1"/>
        </w:rPr>
        <w:t xml:space="preserve">, M. (2020). High- and mid-frequency vocabulary size as predictors of Iranian university EFL students’ speaking performance. </w:t>
      </w:r>
      <w:r w:rsidRPr="006B0749">
        <w:rPr>
          <w:i/>
          <w:iCs/>
          <w:color w:val="000000" w:themeColor="text1"/>
        </w:rPr>
        <w:t>Iranian Journal of English for Academic Purposes</w:t>
      </w:r>
      <w:r w:rsidRPr="006B0749">
        <w:rPr>
          <w:color w:val="000000" w:themeColor="text1"/>
        </w:rPr>
        <w:t xml:space="preserve">, </w:t>
      </w:r>
      <w:r w:rsidRPr="006B0749">
        <w:rPr>
          <w:i/>
          <w:iCs/>
          <w:color w:val="000000" w:themeColor="text1"/>
        </w:rPr>
        <w:t>9</w:t>
      </w:r>
      <w:r w:rsidRPr="006B0749">
        <w:rPr>
          <w:color w:val="000000" w:themeColor="text1"/>
        </w:rPr>
        <w:t>(3), 1-13.</w:t>
      </w:r>
    </w:p>
    <w:p w14:paraId="09C12BD1" w14:textId="7DD79BF0" w:rsidR="00325278" w:rsidRPr="006B0749" w:rsidRDefault="00325278" w:rsidP="00117AAA">
      <w:pPr>
        <w:pStyle w:val="BodyText"/>
        <w:spacing w:line="240" w:lineRule="auto"/>
        <w:ind w:left="709" w:right="103" w:hanging="709"/>
        <w:contextualSpacing/>
        <w:rPr>
          <w:bCs/>
          <w:color w:val="000000" w:themeColor="text1"/>
        </w:rPr>
      </w:pPr>
      <w:r w:rsidRPr="006B0749">
        <w:rPr>
          <w:bCs/>
          <w:color w:val="000000" w:themeColor="text1"/>
        </w:rPr>
        <w:t>González-Fe</w:t>
      </w:r>
      <w:r w:rsidR="00F82A9F" w:rsidRPr="006B0749">
        <w:rPr>
          <w:bCs/>
          <w:color w:val="000000" w:themeColor="text1"/>
        </w:rPr>
        <w:t>rnández, B., &amp; Schmitt, N. (2020</w:t>
      </w:r>
      <w:r w:rsidRPr="006B0749">
        <w:rPr>
          <w:bCs/>
          <w:color w:val="000000" w:themeColor="text1"/>
        </w:rPr>
        <w:t xml:space="preserve">). Word knowledge: Exploring the relationships and order of acquisition of vocabulary knowledge components. </w:t>
      </w:r>
      <w:r w:rsidRPr="006B0749">
        <w:rPr>
          <w:bCs/>
          <w:i/>
          <w:iCs/>
          <w:color w:val="000000" w:themeColor="text1"/>
        </w:rPr>
        <w:t>Applied Linguistics, 41</w:t>
      </w:r>
      <w:r w:rsidRPr="006B0749">
        <w:rPr>
          <w:bCs/>
          <w:color w:val="000000" w:themeColor="text1"/>
        </w:rPr>
        <w:t>(4), 481-505. https://doi.org/10.1093/applin/amy057</w:t>
      </w:r>
    </w:p>
    <w:p w14:paraId="35271A24" w14:textId="77777777" w:rsidR="00A94FB6" w:rsidRPr="006B0749" w:rsidRDefault="00A94FB6" w:rsidP="00A94FB6">
      <w:pPr>
        <w:ind w:left="709" w:hanging="709"/>
        <w:rPr>
          <w:color w:val="000000" w:themeColor="text1"/>
        </w:rPr>
      </w:pPr>
      <w:r w:rsidRPr="006B0749">
        <w:rPr>
          <w:color w:val="000000" w:themeColor="text1"/>
          <w:shd w:val="clear" w:color="auto" w:fill="FFFFFF"/>
        </w:rPr>
        <w:t>Ha, H. T. (2021). Exploring the relationships between various dimensions of receptive vocabulary knowledge and L2 listening and reading comprehension. </w:t>
      </w:r>
      <w:r w:rsidRPr="006B0749">
        <w:rPr>
          <w:i/>
          <w:iCs/>
          <w:color w:val="000000" w:themeColor="text1"/>
          <w:shd w:val="clear" w:color="auto" w:fill="FFFFFF"/>
        </w:rPr>
        <w:t>Language Testing in Asia</w:t>
      </w:r>
      <w:r w:rsidRPr="006B0749">
        <w:rPr>
          <w:color w:val="000000" w:themeColor="text1"/>
          <w:shd w:val="clear" w:color="auto" w:fill="FFFFFF"/>
        </w:rPr>
        <w:t>, </w:t>
      </w:r>
      <w:r w:rsidRPr="006B0749">
        <w:rPr>
          <w:i/>
          <w:iCs/>
          <w:color w:val="000000" w:themeColor="text1"/>
          <w:shd w:val="clear" w:color="auto" w:fill="FFFFFF"/>
        </w:rPr>
        <w:t>11</w:t>
      </w:r>
      <w:r w:rsidRPr="006B0749">
        <w:rPr>
          <w:color w:val="000000" w:themeColor="text1"/>
          <w:shd w:val="clear" w:color="auto" w:fill="FFFFFF"/>
        </w:rPr>
        <w:t xml:space="preserve">(1), 1-20. </w:t>
      </w:r>
      <w:r w:rsidRPr="006B0749">
        <w:rPr>
          <w:color w:val="000000" w:themeColor="text1"/>
        </w:rPr>
        <w:t>https://doi.org/10.1186/s40468-021-00131-8</w:t>
      </w:r>
    </w:p>
    <w:p w14:paraId="7E60FF53" w14:textId="77777777" w:rsidR="00325278" w:rsidRPr="006B0749" w:rsidRDefault="00325278" w:rsidP="00117AAA">
      <w:pPr>
        <w:pStyle w:val="BodyText"/>
        <w:spacing w:line="240" w:lineRule="auto"/>
        <w:ind w:left="709" w:right="103" w:hanging="709"/>
        <w:contextualSpacing/>
        <w:rPr>
          <w:bCs/>
          <w:color w:val="000000" w:themeColor="text1"/>
        </w:rPr>
      </w:pPr>
      <w:r w:rsidRPr="006B0749">
        <w:rPr>
          <w:bCs/>
          <w:color w:val="000000" w:themeColor="text1"/>
        </w:rPr>
        <w:t xml:space="preserve">Henriksen, B. (1999). Three dimensions of vocabulary development. </w:t>
      </w:r>
      <w:r w:rsidRPr="006B0749">
        <w:rPr>
          <w:bCs/>
          <w:i/>
          <w:iCs/>
          <w:color w:val="000000" w:themeColor="text1"/>
        </w:rPr>
        <w:t>Studies in Second Language Acquisition, 21</w:t>
      </w:r>
      <w:r w:rsidRPr="006B0749">
        <w:rPr>
          <w:bCs/>
          <w:color w:val="000000" w:themeColor="text1"/>
        </w:rPr>
        <w:t>(2), 303-317. https://doi.org/10.1017/S0272263199002089</w:t>
      </w:r>
    </w:p>
    <w:p w14:paraId="5F8EB8C2" w14:textId="77777777" w:rsidR="00A94FB6" w:rsidRPr="006B0749" w:rsidRDefault="00A94FB6" w:rsidP="00A94FB6">
      <w:pPr>
        <w:ind w:left="709" w:hanging="709"/>
        <w:rPr>
          <w:color w:val="000000" w:themeColor="text1"/>
          <w:shd w:val="clear" w:color="auto" w:fill="FFFFFF"/>
        </w:rPr>
      </w:pPr>
      <w:proofErr w:type="spellStart"/>
      <w:r w:rsidRPr="006B0749">
        <w:rPr>
          <w:color w:val="000000" w:themeColor="text1"/>
          <w:shd w:val="clear" w:color="auto" w:fill="FFFFFF"/>
        </w:rPr>
        <w:t>Janebi</w:t>
      </w:r>
      <w:proofErr w:type="spellEnd"/>
      <w:r w:rsidRPr="006B0749">
        <w:rPr>
          <w:color w:val="000000" w:themeColor="text1"/>
          <w:shd w:val="clear" w:color="auto" w:fill="FFFFFF"/>
        </w:rPr>
        <w:t xml:space="preserve"> </w:t>
      </w:r>
      <w:proofErr w:type="spellStart"/>
      <w:r w:rsidRPr="006B0749">
        <w:rPr>
          <w:color w:val="000000" w:themeColor="text1"/>
          <w:shd w:val="clear" w:color="auto" w:fill="FFFFFF"/>
        </w:rPr>
        <w:t>Enayat</w:t>
      </w:r>
      <w:proofErr w:type="spellEnd"/>
      <w:r w:rsidRPr="006B0749">
        <w:rPr>
          <w:color w:val="000000" w:themeColor="text1"/>
          <w:shd w:val="clear" w:color="auto" w:fill="FFFFFF"/>
        </w:rPr>
        <w:t xml:space="preserve">, M., &amp; </w:t>
      </w:r>
      <w:proofErr w:type="spellStart"/>
      <w:r w:rsidRPr="006B0749">
        <w:rPr>
          <w:color w:val="000000" w:themeColor="text1"/>
          <w:shd w:val="clear" w:color="auto" w:fill="FFFFFF"/>
        </w:rPr>
        <w:t>Derakhshan</w:t>
      </w:r>
      <w:proofErr w:type="spellEnd"/>
      <w:r w:rsidRPr="006B0749">
        <w:rPr>
          <w:color w:val="000000" w:themeColor="text1"/>
          <w:shd w:val="clear" w:color="auto" w:fill="FFFFFF"/>
        </w:rPr>
        <w:t>, A. (2021). Vocabulary size and depth as predictors of second language speaking ability. </w:t>
      </w:r>
      <w:r w:rsidRPr="006B0749">
        <w:rPr>
          <w:i/>
          <w:iCs/>
          <w:color w:val="000000" w:themeColor="text1"/>
          <w:shd w:val="clear" w:color="auto" w:fill="FFFFFF"/>
        </w:rPr>
        <w:t>System</w:t>
      </w:r>
      <w:r w:rsidRPr="006B0749">
        <w:rPr>
          <w:color w:val="000000" w:themeColor="text1"/>
          <w:shd w:val="clear" w:color="auto" w:fill="FFFFFF"/>
        </w:rPr>
        <w:t>, </w:t>
      </w:r>
      <w:r w:rsidRPr="006B0749">
        <w:rPr>
          <w:i/>
          <w:iCs/>
          <w:color w:val="000000" w:themeColor="text1"/>
          <w:shd w:val="clear" w:color="auto" w:fill="FFFFFF"/>
        </w:rPr>
        <w:t>99</w:t>
      </w:r>
      <w:r w:rsidRPr="006B0749">
        <w:rPr>
          <w:color w:val="000000" w:themeColor="text1"/>
          <w:shd w:val="clear" w:color="auto" w:fill="FFFFFF"/>
        </w:rPr>
        <w:t>, 102521. https://doi.org/10.1016/j.system.2021.102521</w:t>
      </w:r>
    </w:p>
    <w:p w14:paraId="22F97B1D" w14:textId="77777777" w:rsidR="009A1F21" w:rsidRPr="006B0749" w:rsidRDefault="009A1F21" w:rsidP="009A1F21">
      <w:pPr>
        <w:ind w:left="709" w:hanging="709"/>
        <w:rPr>
          <w:color w:val="000000" w:themeColor="text1"/>
        </w:rPr>
      </w:pPr>
      <w:r w:rsidRPr="006B0749">
        <w:rPr>
          <w:color w:val="000000" w:themeColor="text1"/>
        </w:rPr>
        <w:t xml:space="preserve">Laufer, B. (1998). The development of passive and active vocabulary in a second language: same or different? </w:t>
      </w:r>
      <w:r w:rsidRPr="006B0749">
        <w:rPr>
          <w:i/>
          <w:color w:val="000000" w:themeColor="text1"/>
        </w:rPr>
        <w:t>Applied Linguistics, 19</w:t>
      </w:r>
      <w:r w:rsidRPr="006B0749">
        <w:rPr>
          <w:color w:val="000000" w:themeColor="text1"/>
        </w:rPr>
        <w:t xml:space="preserve">(2), 255-271. </w:t>
      </w:r>
      <w:hyperlink r:id="rId9" w:history="1">
        <w:r w:rsidRPr="006B0749">
          <w:rPr>
            <w:rStyle w:val="Hyperlink"/>
            <w:color w:val="000000" w:themeColor="text1"/>
            <w:u w:val="none"/>
            <w:bdr w:val="none" w:sz="0" w:space="0" w:color="auto" w:frame="1"/>
            <w:shd w:val="clear" w:color="auto" w:fill="FFFFFF"/>
          </w:rPr>
          <w:t>https://doi.org/10.1093/applin/19.2.255</w:t>
        </w:r>
      </w:hyperlink>
    </w:p>
    <w:p w14:paraId="5461D2C7" w14:textId="77777777" w:rsidR="00AB1373" w:rsidRPr="006B0749" w:rsidRDefault="00AB1373" w:rsidP="00AB1373">
      <w:pPr>
        <w:ind w:left="709" w:hanging="709"/>
        <w:rPr>
          <w:color w:val="000000" w:themeColor="text1"/>
        </w:rPr>
      </w:pPr>
      <w:r w:rsidRPr="006B0749">
        <w:rPr>
          <w:color w:val="000000" w:themeColor="text1"/>
          <w:shd w:val="clear" w:color="auto" w:fill="FFFFFF"/>
        </w:rPr>
        <w:t xml:space="preserve">Laufer, B. (2024). Understanding L2-derived words in context: Is complete receptive morphological knowledge </w:t>
      </w:r>
      <w:proofErr w:type="gramStart"/>
      <w:r w:rsidRPr="006B0749">
        <w:rPr>
          <w:color w:val="000000" w:themeColor="text1"/>
          <w:shd w:val="clear" w:color="auto" w:fill="FFFFFF"/>
        </w:rPr>
        <w:t>necessary?.</w:t>
      </w:r>
      <w:proofErr w:type="gramEnd"/>
      <w:r w:rsidRPr="006B0749">
        <w:rPr>
          <w:color w:val="000000" w:themeColor="text1"/>
          <w:shd w:val="clear" w:color="auto" w:fill="FFFFFF"/>
        </w:rPr>
        <w:t> </w:t>
      </w:r>
      <w:r w:rsidRPr="006B0749">
        <w:rPr>
          <w:i/>
          <w:iCs/>
          <w:color w:val="000000" w:themeColor="text1"/>
          <w:shd w:val="clear" w:color="auto" w:fill="FFFFFF"/>
        </w:rPr>
        <w:t>Studies in Second Language Acquisition</w:t>
      </w:r>
      <w:r w:rsidRPr="006B0749">
        <w:rPr>
          <w:color w:val="000000" w:themeColor="text1"/>
          <w:shd w:val="clear" w:color="auto" w:fill="FFFFFF"/>
        </w:rPr>
        <w:t>, </w:t>
      </w:r>
      <w:r w:rsidRPr="006B0749">
        <w:rPr>
          <w:i/>
          <w:iCs/>
          <w:color w:val="000000" w:themeColor="text1"/>
          <w:shd w:val="clear" w:color="auto" w:fill="FFFFFF"/>
        </w:rPr>
        <w:t>46</w:t>
      </w:r>
      <w:r w:rsidRPr="006B0749">
        <w:rPr>
          <w:color w:val="000000" w:themeColor="text1"/>
          <w:shd w:val="clear" w:color="auto" w:fill="FFFFFF"/>
        </w:rPr>
        <w:t xml:space="preserve">(1), 200-213. </w:t>
      </w:r>
      <w:r w:rsidRPr="006B0749">
        <w:rPr>
          <w:color w:val="000000" w:themeColor="text1"/>
        </w:rPr>
        <w:t>https://doi.org/10.1017/S0272263123000219</w:t>
      </w:r>
    </w:p>
    <w:p w14:paraId="496A0137" w14:textId="77777777" w:rsidR="00325278" w:rsidRPr="006B0749" w:rsidRDefault="00325278" w:rsidP="00AB1373">
      <w:pPr>
        <w:pStyle w:val="BodyText"/>
        <w:spacing w:line="240" w:lineRule="auto"/>
        <w:ind w:left="709" w:right="103" w:hanging="709"/>
        <w:contextualSpacing/>
        <w:rPr>
          <w:bCs/>
          <w:color w:val="000000" w:themeColor="text1"/>
        </w:rPr>
      </w:pPr>
      <w:r w:rsidRPr="006B0749">
        <w:rPr>
          <w:bCs/>
          <w:color w:val="000000" w:themeColor="text1"/>
        </w:rPr>
        <w:t xml:space="preserve">Laufer, B., &amp; Goldstein, Z. (2004). Testing vocabulary knowledge: Size, strength, and computer adaptiveness. </w:t>
      </w:r>
      <w:r w:rsidRPr="006B0749">
        <w:rPr>
          <w:bCs/>
          <w:i/>
          <w:iCs/>
          <w:color w:val="000000" w:themeColor="text1"/>
        </w:rPr>
        <w:t>Language Learning, 54</w:t>
      </w:r>
      <w:r w:rsidRPr="006B0749">
        <w:rPr>
          <w:bCs/>
          <w:color w:val="000000" w:themeColor="text1"/>
        </w:rPr>
        <w:t>(3), 399-436. https://doi.org/10.1111/j.0023-8333.2004.00260.x</w:t>
      </w:r>
    </w:p>
    <w:p w14:paraId="68BE8840" w14:textId="77777777" w:rsidR="009A1F21" w:rsidRPr="006B0749" w:rsidRDefault="009A1F21" w:rsidP="009A1F21">
      <w:pPr>
        <w:ind w:left="709" w:hanging="709"/>
        <w:rPr>
          <w:color w:val="000000" w:themeColor="text1"/>
        </w:rPr>
      </w:pPr>
      <w:r w:rsidRPr="006B0749">
        <w:rPr>
          <w:color w:val="000000" w:themeColor="text1"/>
          <w:shd w:val="clear" w:color="auto" w:fill="FFFFFF"/>
        </w:rPr>
        <w:t>Laufer, B., &amp; Nation, P. (1995). Vocabulary size and use: Lexical richness in L2 written production. </w:t>
      </w:r>
      <w:r w:rsidRPr="006B0749">
        <w:rPr>
          <w:i/>
          <w:iCs/>
          <w:color w:val="000000" w:themeColor="text1"/>
          <w:shd w:val="clear" w:color="auto" w:fill="FFFFFF"/>
        </w:rPr>
        <w:t>Applied linguistics</w:t>
      </w:r>
      <w:r w:rsidRPr="006B0749">
        <w:rPr>
          <w:color w:val="000000" w:themeColor="text1"/>
          <w:shd w:val="clear" w:color="auto" w:fill="FFFFFF"/>
        </w:rPr>
        <w:t>, </w:t>
      </w:r>
      <w:r w:rsidRPr="006B0749">
        <w:rPr>
          <w:i/>
          <w:iCs/>
          <w:color w:val="000000" w:themeColor="text1"/>
          <w:shd w:val="clear" w:color="auto" w:fill="FFFFFF"/>
        </w:rPr>
        <w:t>16</w:t>
      </w:r>
      <w:r w:rsidRPr="006B0749">
        <w:rPr>
          <w:color w:val="000000" w:themeColor="text1"/>
          <w:shd w:val="clear" w:color="auto" w:fill="FFFFFF"/>
        </w:rPr>
        <w:t xml:space="preserve">(3), 307-322. </w:t>
      </w:r>
      <w:hyperlink r:id="rId10" w:history="1">
        <w:r w:rsidRPr="006B0749">
          <w:rPr>
            <w:rStyle w:val="Hyperlink"/>
            <w:color w:val="000000" w:themeColor="text1"/>
            <w:u w:val="none"/>
            <w:bdr w:val="none" w:sz="0" w:space="0" w:color="auto" w:frame="1"/>
            <w:shd w:val="clear" w:color="auto" w:fill="FFFFFF"/>
          </w:rPr>
          <w:t>https://doi.org/10.1093/applin/16.3.307</w:t>
        </w:r>
      </w:hyperlink>
    </w:p>
    <w:p w14:paraId="189A6E53" w14:textId="77777777" w:rsidR="001B7AD5" w:rsidRPr="006B0749" w:rsidRDefault="001B7AD5" w:rsidP="001B7AD5">
      <w:pPr>
        <w:snapToGrid w:val="0"/>
        <w:ind w:left="708" w:hangingChars="295" w:hanging="708"/>
        <w:rPr>
          <w:color w:val="000000" w:themeColor="text1"/>
        </w:rPr>
      </w:pPr>
      <w:proofErr w:type="spellStart"/>
      <w:r w:rsidRPr="006B0749">
        <w:rPr>
          <w:rFonts w:hint="eastAsia"/>
          <w:color w:val="000000" w:themeColor="text1"/>
        </w:rPr>
        <w:lastRenderedPageBreak/>
        <w:t>Llach</w:t>
      </w:r>
      <w:proofErr w:type="spellEnd"/>
      <w:r w:rsidRPr="006B0749">
        <w:rPr>
          <w:rFonts w:hint="eastAsia"/>
          <w:color w:val="000000" w:themeColor="text1"/>
        </w:rPr>
        <w:t xml:space="preserve">, M.P.A. (2011). </w:t>
      </w:r>
      <w:r w:rsidRPr="006B0749">
        <w:rPr>
          <w:rFonts w:hint="eastAsia"/>
          <w:i/>
          <w:iCs/>
          <w:color w:val="000000" w:themeColor="text1"/>
        </w:rPr>
        <w:t>Lexical errors and accuracy in foreign language writing.</w:t>
      </w:r>
      <w:r w:rsidRPr="006B0749">
        <w:rPr>
          <w:rFonts w:hint="eastAsia"/>
          <w:color w:val="000000" w:themeColor="text1"/>
        </w:rPr>
        <w:t xml:space="preserve"> </w:t>
      </w:r>
      <w:r w:rsidRPr="006B0749">
        <w:rPr>
          <w:rFonts w:hint="eastAsia"/>
          <w:i/>
          <w:iCs/>
          <w:color w:val="000000" w:themeColor="text1"/>
        </w:rPr>
        <w:t>Second Language Acquisition.</w:t>
      </w:r>
      <w:r w:rsidRPr="006B0749">
        <w:rPr>
          <w:rFonts w:hint="eastAsia"/>
          <w:color w:val="000000" w:themeColor="text1"/>
        </w:rPr>
        <w:t xml:space="preserve"> Multilingual Matters.</w:t>
      </w:r>
    </w:p>
    <w:p w14:paraId="513A4275" w14:textId="77777777" w:rsidR="00485F5B" w:rsidRPr="006B0749" w:rsidRDefault="00485F5B" w:rsidP="00485F5B">
      <w:pPr>
        <w:ind w:left="709" w:hanging="709"/>
        <w:rPr>
          <w:color w:val="000000" w:themeColor="text1"/>
        </w:rPr>
      </w:pPr>
      <w:r w:rsidRPr="006B0749">
        <w:rPr>
          <w:color w:val="000000" w:themeColor="text1"/>
        </w:rPr>
        <w:t xml:space="preserve">Matthews, J., &amp; Cheng, J. (2015). Recognition of high frequency words from speech as a predictor of L2 listening comprehension. </w:t>
      </w:r>
      <w:r w:rsidRPr="006B0749">
        <w:rPr>
          <w:i/>
          <w:iCs/>
          <w:color w:val="000000" w:themeColor="text1"/>
        </w:rPr>
        <w:t>System</w:t>
      </w:r>
      <w:r w:rsidRPr="006B0749">
        <w:rPr>
          <w:color w:val="000000" w:themeColor="text1"/>
        </w:rPr>
        <w:t xml:space="preserve">, </w:t>
      </w:r>
      <w:r w:rsidRPr="006B0749">
        <w:rPr>
          <w:i/>
          <w:iCs/>
          <w:color w:val="000000" w:themeColor="text1"/>
        </w:rPr>
        <w:t>52</w:t>
      </w:r>
      <w:r w:rsidRPr="006B0749">
        <w:rPr>
          <w:color w:val="000000" w:themeColor="text1"/>
        </w:rPr>
        <w:t xml:space="preserve">, 1–13 https://doi.org/10.1016/j.system.2015.04.015. </w:t>
      </w:r>
    </w:p>
    <w:p w14:paraId="5AF1E5B1" w14:textId="77777777" w:rsidR="001B7AD5" w:rsidRPr="006B0749" w:rsidRDefault="001B7AD5" w:rsidP="001B7AD5">
      <w:pPr>
        <w:ind w:left="709" w:hanging="709"/>
        <w:rPr>
          <w:color w:val="000000" w:themeColor="text1"/>
        </w:rPr>
      </w:pPr>
      <w:r w:rsidRPr="006B0749">
        <w:rPr>
          <w:color w:val="000000" w:themeColor="text1"/>
        </w:rPr>
        <w:t xml:space="preserve">Milton, J. (2013). Measuring the contribution of vocabulary knowledge to proficiency in the four skills. In C. </w:t>
      </w:r>
      <w:proofErr w:type="spellStart"/>
      <w:r w:rsidRPr="006B0749">
        <w:rPr>
          <w:color w:val="000000" w:themeColor="text1"/>
        </w:rPr>
        <w:t>Bardel</w:t>
      </w:r>
      <w:proofErr w:type="spellEnd"/>
      <w:r w:rsidRPr="006B0749">
        <w:rPr>
          <w:color w:val="000000" w:themeColor="text1"/>
        </w:rPr>
        <w:t xml:space="preserve">, C. Lindquist, &amp; B. Laufer (Eds.), </w:t>
      </w:r>
      <w:r w:rsidRPr="006B0749">
        <w:rPr>
          <w:i/>
          <w:iCs/>
          <w:color w:val="000000" w:themeColor="text1"/>
        </w:rPr>
        <w:t>L2 vocabulary acquisition, knowledge and use</w:t>
      </w:r>
      <w:r w:rsidRPr="006B0749">
        <w:rPr>
          <w:color w:val="000000" w:themeColor="text1"/>
        </w:rPr>
        <w:t xml:space="preserve">: </w:t>
      </w:r>
      <w:r w:rsidRPr="006B0749">
        <w:rPr>
          <w:i/>
          <w:iCs/>
          <w:color w:val="000000" w:themeColor="text1"/>
        </w:rPr>
        <w:t>New perspectives on assessment and corpus analysis</w:t>
      </w:r>
      <w:r w:rsidRPr="006B0749">
        <w:rPr>
          <w:color w:val="000000" w:themeColor="text1"/>
        </w:rPr>
        <w:t xml:space="preserve"> (pp. 57-78). EUROSLA Monographs. </w:t>
      </w:r>
    </w:p>
    <w:p w14:paraId="7F0E2EB6" w14:textId="77777777" w:rsidR="009A1F21" w:rsidRPr="006B0749" w:rsidRDefault="009A1F21" w:rsidP="00301E2B">
      <w:pPr>
        <w:snapToGrid w:val="0"/>
        <w:ind w:left="480" w:hangingChars="200" w:hanging="480"/>
        <w:rPr>
          <w:color w:val="000000" w:themeColor="text1"/>
        </w:rPr>
      </w:pPr>
      <w:r w:rsidRPr="006B0749">
        <w:rPr>
          <w:color w:val="000000" w:themeColor="text1"/>
        </w:rPr>
        <w:t xml:space="preserve">Nation, I. S. P. (2012). The BNC/COCA word family lists. http://www.victoria.ac.nz </w:t>
      </w:r>
    </w:p>
    <w:p w14:paraId="621F9C36" w14:textId="77777777" w:rsidR="00301E2B" w:rsidRPr="006B0749" w:rsidRDefault="00301E2B" w:rsidP="00301E2B">
      <w:pPr>
        <w:ind w:left="709" w:hanging="709"/>
        <w:rPr>
          <w:color w:val="000000" w:themeColor="text1"/>
        </w:rPr>
      </w:pPr>
      <w:r w:rsidRPr="006B0749">
        <w:rPr>
          <w:color w:val="000000" w:themeColor="text1"/>
          <w:shd w:val="clear" w:color="auto" w:fill="FFFFFF"/>
        </w:rPr>
        <w:t>Nation, P. (2021). Thoughts on word families. </w:t>
      </w:r>
      <w:r w:rsidRPr="006B0749">
        <w:rPr>
          <w:i/>
          <w:iCs/>
          <w:color w:val="000000" w:themeColor="text1"/>
          <w:shd w:val="clear" w:color="auto" w:fill="FFFFFF"/>
        </w:rPr>
        <w:t>Studies in Second Language Acquisition</w:t>
      </w:r>
      <w:r w:rsidRPr="006B0749">
        <w:rPr>
          <w:color w:val="000000" w:themeColor="text1"/>
          <w:shd w:val="clear" w:color="auto" w:fill="FFFFFF"/>
        </w:rPr>
        <w:t>, </w:t>
      </w:r>
      <w:r w:rsidRPr="006B0749">
        <w:rPr>
          <w:i/>
          <w:iCs/>
          <w:color w:val="000000" w:themeColor="text1"/>
          <w:shd w:val="clear" w:color="auto" w:fill="FFFFFF"/>
        </w:rPr>
        <w:t>43</w:t>
      </w:r>
      <w:r w:rsidRPr="006B0749">
        <w:rPr>
          <w:color w:val="000000" w:themeColor="text1"/>
          <w:shd w:val="clear" w:color="auto" w:fill="FFFFFF"/>
        </w:rPr>
        <w:t xml:space="preserve">(5), 969-972. </w:t>
      </w:r>
      <w:r w:rsidRPr="006B0749">
        <w:rPr>
          <w:color w:val="000000" w:themeColor="text1"/>
        </w:rPr>
        <w:t>https://doi.org/10.1017/S027226312100067X</w:t>
      </w:r>
    </w:p>
    <w:p w14:paraId="0488C9D2" w14:textId="522A5505" w:rsidR="00325278" w:rsidRPr="006B0749" w:rsidRDefault="005713F4" w:rsidP="00301E2B">
      <w:pPr>
        <w:pStyle w:val="BodyText"/>
        <w:spacing w:line="240" w:lineRule="auto"/>
        <w:ind w:left="709" w:right="103" w:hanging="709"/>
        <w:contextualSpacing/>
        <w:rPr>
          <w:bCs/>
          <w:color w:val="000000" w:themeColor="text1"/>
        </w:rPr>
      </w:pPr>
      <w:r w:rsidRPr="006B0749">
        <w:rPr>
          <w:bCs/>
          <w:color w:val="000000" w:themeColor="text1"/>
        </w:rPr>
        <w:t>Nation, I. S. P. (2022</w:t>
      </w:r>
      <w:r w:rsidR="00325278" w:rsidRPr="006B0749">
        <w:rPr>
          <w:bCs/>
          <w:color w:val="000000" w:themeColor="text1"/>
        </w:rPr>
        <w:t xml:space="preserve">). </w:t>
      </w:r>
      <w:r w:rsidR="00325278" w:rsidRPr="006B0749">
        <w:rPr>
          <w:bCs/>
          <w:i/>
          <w:iCs/>
          <w:color w:val="000000" w:themeColor="text1"/>
        </w:rPr>
        <w:t>Learning vocabulary in another language</w:t>
      </w:r>
      <w:r w:rsidRPr="006B0749">
        <w:rPr>
          <w:bCs/>
          <w:color w:val="000000" w:themeColor="text1"/>
        </w:rPr>
        <w:t xml:space="preserve"> (3</w:t>
      </w:r>
      <w:r w:rsidRPr="006B0749">
        <w:rPr>
          <w:bCs/>
          <w:color w:val="000000" w:themeColor="text1"/>
          <w:vertAlign w:val="superscript"/>
        </w:rPr>
        <w:t>rd</w:t>
      </w:r>
      <w:r w:rsidRPr="006B0749">
        <w:rPr>
          <w:bCs/>
          <w:color w:val="000000" w:themeColor="text1"/>
        </w:rPr>
        <w:t xml:space="preserve"> </w:t>
      </w:r>
      <w:r w:rsidR="00325278" w:rsidRPr="006B0749">
        <w:rPr>
          <w:bCs/>
          <w:color w:val="000000" w:themeColor="text1"/>
        </w:rPr>
        <w:t>ed.). Cambridge: Cambridge University Press. https://doi.org/10.1017/CBO9781139524759</w:t>
      </w:r>
    </w:p>
    <w:p w14:paraId="3E709CF9" w14:textId="77777777" w:rsidR="00301E2B" w:rsidRPr="006B0749" w:rsidRDefault="00301E2B" w:rsidP="00301E2B">
      <w:pPr>
        <w:snapToGrid w:val="0"/>
        <w:ind w:left="708" w:hangingChars="295" w:hanging="708"/>
        <w:rPr>
          <w:color w:val="000000" w:themeColor="text1"/>
        </w:rPr>
      </w:pPr>
      <w:proofErr w:type="spellStart"/>
      <w:r w:rsidRPr="006B0749">
        <w:rPr>
          <w:color w:val="000000" w:themeColor="text1"/>
        </w:rPr>
        <w:t>Nontasee</w:t>
      </w:r>
      <w:proofErr w:type="spellEnd"/>
      <w:r w:rsidRPr="006B0749">
        <w:rPr>
          <w:color w:val="000000" w:themeColor="text1"/>
        </w:rPr>
        <w:t xml:space="preserve">, W., Sukying, A. (2023). Multiple aspects of word knowledge in Thai EFL students: The hierarchical acquisition and relationships. </w:t>
      </w:r>
      <w:r w:rsidRPr="006B0749">
        <w:rPr>
          <w:i/>
          <w:iCs/>
          <w:color w:val="000000" w:themeColor="text1"/>
        </w:rPr>
        <w:t>GEMA Online Journal of Language Studies</w:t>
      </w:r>
      <w:r w:rsidRPr="006B0749">
        <w:rPr>
          <w:color w:val="000000" w:themeColor="text1"/>
        </w:rPr>
        <w:t xml:space="preserve">, </w:t>
      </w:r>
      <w:r w:rsidRPr="006B0749">
        <w:rPr>
          <w:i/>
          <w:iCs/>
          <w:color w:val="000000" w:themeColor="text1"/>
        </w:rPr>
        <w:t>23</w:t>
      </w:r>
      <w:r w:rsidRPr="006B0749">
        <w:rPr>
          <w:color w:val="000000" w:themeColor="text1"/>
        </w:rPr>
        <w:t xml:space="preserve">(1), pp. 17-39. </w:t>
      </w:r>
      <w:hyperlink r:id="rId11" w:history="1">
        <w:r w:rsidRPr="006B0749">
          <w:rPr>
            <w:rStyle w:val="Hyperlink"/>
            <w:color w:val="000000" w:themeColor="text1"/>
            <w:u w:val="none"/>
          </w:rPr>
          <w:t>http://doi.org/10.17576/gema-2023-2301-02</w:t>
        </w:r>
      </w:hyperlink>
      <w:r w:rsidRPr="006B0749">
        <w:rPr>
          <w:color w:val="000000" w:themeColor="text1"/>
        </w:rPr>
        <w:t xml:space="preserve"> </w:t>
      </w:r>
    </w:p>
    <w:p w14:paraId="3C51FCB0" w14:textId="77777777" w:rsidR="0017728C" w:rsidRPr="006B0749" w:rsidRDefault="0017728C" w:rsidP="005521A6">
      <w:pPr>
        <w:snapToGrid w:val="0"/>
        <w:ind w:left="708" w:hangingChars="295" w:hanging="708"/>
        <w:rPr>
          <w:color w:val="000000" w:themeColor="text1"/>
        </w:rPr>
      </w:pPr>
      <w:r w:rsidRPr="006B0749">
        <w:rPr>
          <w:rFonts w:hint="eastAsia"/>
          <w:color w:val="000000" w:themeColor="text1"/>
        </w:rPr>
        <w:t xml:space="preserve">Qian, D. D., &amp; Lin, L. H. F. (2020). The relationship between vocabulary knowledge and language proficiency. In S. Webb (Ed.), </w:t>
      </w:r>
      <w:r w:rsidRPr="006B0749">
        <w:rPr>
          <w:rFonts w:hint="eastAsia"/>
          <w:i/>
          <w:iCs/>
          <w:color w:val="000000" w:themeColor="text1"/>
        </w:rPr>
        <w:t xml:space="preserve">The Routledge </w:t>
      </w:r>
      <w:r w:rsidRPr="006B0749">
        <w:rPr>
          <w:i/>
          <w:iCs/>
          <w:color w:val="000000" w:themeColor="text1"/>
        </w:rPr>
        <w:t>Handbook</w:t>
      </w:r>
      <w:r w:rsidRPr="006B0749">
        <w:rPr>
          <w:rFonts w:hint="eastAsia"/>
          <w:i/>
          <w:iCs/>
          <w:color w:val="000000" w:themeColor="text1"/>
        </w:rPr>
        <w:t xml:space="preserve"> of </w:t>
      </w:r>
      <w:r w:rsidRPr="006B0749">
        <w:rPr>
          <w:i/>
          <w:iCs/>
          <w:color w:val="000000" w:themeColor="text1"/>
        </w:rPr>
        <w:t>V</w:t>
      </w:r>
      <w:r w:rsidRPr="006B0749">
        <w:rPr>
          <w:rFonts w:hint="eastAsia"/>
          <w:i/>
          <w:iCs/>
          <w:color w:val="000000" w:themeColor="text1"/>
        </w:rPr>
        <w:t xml:space="preserve">ocabulary </w:t>
      </w:r>
      <w:r w:rsidRPr="006B0749">
        <w:rPr>
          <w:i/>
          <w:iCs/>
          <w:color w:val="000000" w:themeColor="text1"/>
        </w:rPr>
        <w:t>S</w:t>
      </w:r>
      <w:r w:rsidRPr="006B0749">
        <w:rPr>
          <w:rFonts w:hint="eastAsia"/>
          <w:i/>
          <w:iCs/>
          <w:color w:val="000000" w:themeColor="text1"/>
        </w:rPr>
        <w:t>tudies,</w:t>
      </w:r>
      <w:r w:rsidRPr="006B0749">
        <w:rPr>
          <w:rFonts w:hint="eastAsia"/>
          <w:color w:val="000000" w:themeColor="text1"/>
        </w:rPr>
        <w:t xml:space="preserve"> (pp. 66-80). Routledge.</w:t>
      </w:r>
    </w:p>
    <w:p w14:paraId="4B9E3B6D" w14:textId="77777777" w:rsidR="009A1F21" w:rsidRPr="006B0749" w:rsidRDefault="009A1F21" w:rsidP="009A1F21">
      <w:pPr>
        <w:pStyle w:val="BodyText"/>
        <w:spacing w:line="240" w:lineRule="auto"/>
        <w:ind w:left="709" w:right="103" w:hanging="709"/>
        <w:contextualSpacing/>
        <w:rPr>
          <w:color w:val="000000" w:themeColor="text1"/>
        </w:rPr>
      </w:pPr>
      <w:r w:rsidRPr="006B0749">
        <w:rPr>
          <w:bCs/>
          <w:color w:val="000000" w:themeColor="text1"/>
        </w:rPr>
        <w:t xml:space="preserve">Read, J. (1993). The development of a new measure of L2 vocabulary knowledge. </w:t>
      </w:r>
      <w:r w:rsidRPr="006B0749">
        <w:rPr>
          <w:bCs/>
          <w:i/>
          <w:iCs/>
          <w:color w:val="000000" w:themeColor="text1"/>
        </w:rPr>
        <w:t>Language Testing</w:t>
      </w:r>
      <w:r w:rsidRPr="006B0749">
        <w:rPr>
          <w:bCs/>
          <w:color w:val="000000" w:themeColor="text1"/>
        </w:rPr>
        <w:t xml:space="preserve">, </w:t>
      </w:r>
      <w:r w:rsidRPr="006B0749">
        <w:rPr>
          <w:bCs/>
          <w:i/>
          <w:iCs/>
          <w:color w:val="000000" w:themeColor="text1"/>
        </w:rPr>
        <w:t>10</w:t>
      </w:r>
      <w:r w:rsidRPr="006B0749">
        <w:rPr>
          <w:bCs/>
          <w:color w:val="000000" w:themeColor="text1"/>
        </w:rPr>
        <w:t xml:space="preserve">(3), 355-371. </w:t>
      </w:r>
      <w:hyperlink r:id="rId12" w:history="1">
        <w:r w:rsidRPr="006B0749">
          <w:rPr>
            <w:color w:val="000000" w:themeColor="text1"/>
            <w:shd w:val="clear" w:color="auto" w:fill="FFFFFF"/>
          </w:rPr>
          <w:t>https://doi.org/10.1177/026553229301000308</w:t>
        </w:r>
      </w:hyperlink>
    </w:p>
    <w:p w14:paraId="242167DD" w14:textId="5D970C56" w:rsidR="00325278" w:rsidRPr="006B0749" w:rsidRDefault="00325278" w:rsidP="009A1F21">
      <w:pPr>
        <w:pStyle w:val="BodyText"/>
        <w:spacing w:line="240" w:lineRule="auto"/>
        <w:ind w:left="709" w:right="103" w:hanging="709"/>
        <w:contextualSpacing/>
        <w:rPr>
          <w:bCs/>
          <w:color w:val="000000" w:themeColor="text1"/>
        </w:rPr>
      </w:pPr>
      <w:r w:rsidRPr="006B0749">
        <w:rPr>
          <w:bCs/>
          <w:color w:val="000000" w:themeColor="text1"/>
        </w:rPr>
        <w:t xml:space="preserve">Read, J. (2000). </w:t>
      </w:r>
      <w:r w:rsidRPr="006B0749">
        <w:rPr>
          <w:bCs/>
          <w:i/>
          <w:iCs/>
          <w:color w:val="000000" w:themeColor="text1"/>
        </w:rPr>
        <w:t xml:space="preserve">Assessing vocabulary. </w:t>
      </w:r>
      <w:r w:rsidRPr="006B0749">
        <w:rPr>
          <w:bCs/>
          <w:color w:val="000000" w:themeColor="text1"/>
        </w:rPr>
        <w:t>Cambridge University Press. https://doi.org/10.1017/CBO9780511732942</w:t>
      </w:r>
    </w:p>
    <w:p w14:paraId="5D1E84C9" w14:textId="1DFF1360" w:rsidR="0098303C" w:rsidRPr="006B0749" w:rsidRDefault="0098303C" w:rsidP="0098303C">
      <w:pPr>
        <w:snapToGrid w:val="0"/>
        <w:ind w:left="708" w:hangingChars="295" w:hanging="708"/>
        <w:rPr>
          <w:color w:val="000000" w:themeColor="text1"/>
        </w:rPr>
      </w:pPr>
      <w:r w:rsidRPr="006B0749">
        <w:rPr>
          <w:color w:val="000000" w:themeColor="text1"/>
        </w:rPr>
        <w:t>Read</w:t>
      </w:r>
      <w:r w:rsidR="00301E2B" w:rsidRPr="006B0749">
        <w:rPr>
          <w:rFonts w:hint="eastAsia"/>
          <w:color w:val="000000" w:themeColor="text1"/>
        </w:rPr>
        <w:t xml:space="preserve">, </w:t>
      </w:r>
      <w:r w:rsidR="00301E2B" w:rsidRPr="006B0749">
        <w:rPr>
          <w:color w:val="000000" w:themeColor="text1"/>
        </w:rPr>
        <w:t>J</w:t>
      </w:r>
      <w:r w:rsidRPr="006B0749">
        <w:rPr>
          <w:rFonts w:hint="eastAsia"/>
          <w:color w:val="000000" w:themeColor="text1"/>
        </w:rPr>
        <w:t xml:space="preserve">. (2020). </w:t>
      </w:r>
      <w:r w:rsidRPr="006B0749">
        <w:rPr>
          <w:color w:val="000000" w:themeColor="text1"/>
        </w:rPr>
        <w:t>Key issues in measuring vocabulary knowledge</w:t>
      </w:r>
      <w:r w:rsidRPr="006B0749">
        <w:rPr>
          <w:rFonts w:hint="eastAsia"/>
          <w:color w:val="000000" w:themeColor="text1"/>
        </w:rPr>
        <w:t xml:space="preserve">. In S. Webb (Ed.), </w:t>
      </w:r>
      <w:r w:rsidRPr="006B0749">
        <w:rPr>
          <w:rFonts w:hint="eastAsia"/>
          <w:i/>
          <w:iCs/>
          <w:color w:val="000000" w:themeColor="text1"/>
        </w:rPr>
        <w:t xml:space="preserve">The Routledge </w:t>
      </w:r>
      <w:r w:rsidRPr="006B0749">
        <w:rPr>
          <w:i/>
          <w:iCs/>
          <w:color w:val="000000" w:themeColor="text1"/>
        </w:rPr>
        <w:t>Handbook</w:t>
      </w:r>
      <w:r w:rsidRPr="006B0749">
        <w:rPr>
          <w:rFonts w:hint="eastAsia"/>
          <w:i/>
          <w:iCs/>
          <w:color w:val="000000" w:themeColor="text1"/>
        </w:rPr>
        <w:t xml:space="preserve"> of </w:t>
      </w:r>
      <w:r w:rsidRPr="006B0749">
        <w:rPr>
          <w:i/>
          <w:iCs/>
          <w:color w:val="000000" w:themeColor="text1"/>
        </w:rPr>
        <w:t>V</w:t>
      </w:r>
      <w:r w:rsidRPr="006B0749">
        <w:rPr>
          <w:rFonts w:hint="eastAsia"/>
          <w:i/>
          <w:iCs/>
          <w:color w:val="000000" w:themeColor="text1"/>
        </w:rPr>
        <w:t xml:space="preserve">ocabulary </w:t>
      </w:r>
      <w:r w:rsidRPr="006B0749">
        <w:rPr>
          <w:i/>
          <w:iCs/>
          <w:color w:val="000000" w:themeColor="text1"/>
        </w:rPr>
        <w:t>S</w:t>
      </w:r>
      <w:r w:rsidRPr="006B0749">
        <w:rPr>
          <w:rFonts w:hint="eastAsia"/>
          <w:i/>
          <w:iCs/>
          <w:color w:val="000000" w:themeColor="text1"/>
        </w:rPr>
        <w:t>tudies,</w:t>
      </w:r>
      <w:r w:rsidRPr="006B0749">
        <w:rPr>
          <w:rFonts w:hint="eastAsia"/>
          <w:color w:val="000000" w:themeColor="text1"/>
        </w:rPr>
        <w:t xml:space="preserve"> (pp. </w:t>
      </w:r>
      <w:r w:rsidR="009A7344" w:rsidRPr="006B0749">
        <w:rPr>
          <w:color w:val="000000" w:themeColor="text1"/>
        </w:rPr>
        <w:t>545</w:t>
      </w:r>
      <w:r w:rsidR="009A7344" w:rsidRPr="006B0749">
        <w:rPr>
          <w:rFonts w:hint="eastAsia"/>
          <w:color w:val="000000" w:themeColor="text1"/>
        </w:rPr>
        <w:t>-</w:t>
      </w:r>
      <w:r w:rsidR="009A7344" w:rsidRPr="006B0749">
        <w:rPr>
          <w:color w:val="000000" w:themeColor="text1"/>
        </w:rPr>
        <w:t>56</w:t>
      </w:r>
      <w:r w:rsidRPr="006B0749">
        <w:rPr>
          <w:rFonts w:hint="eastAsia"/>
          <w:color w:val="000000" w:themeColor="text1"/>
        </w:rPr>
        <w:t>0). Routledge.</w:t>
      </w:r>
    </w:p>
    <w:p w14:paraId="5738DF50" w14:textId="77777777" w:rsidR="009A1F21" w:rsidRPr="006B0749" w:rsidRDefault="009A1F21" w:rsidP="009A1F21">
      <w:pPr>
        <w:pStyle w:val="iThesisStyleNormal"/>
        <w:ind w:left="709" w:hanging="709"/>
        <w:rPr>
          <w:rFonts w:cs="Times New Roman"/>
          <w:color w:val="000000" w:themeColor="text1"/>
          <w:szCs w:val="24"/>
          <w:shd w:val="clear" w:color="auto" w:fill="FFFFFF"/>
        </w:rPr>
      </w:pPr>
      <w:proofErr w:type="spellStart"/>
      <w:r w:rsidRPr="006B0749">
        <w:rPr>
          <w:rFonts w:cs="Times New Roman"/>
          <w:color w:val="000000" w:themeColor="text1"/>
          <w:szCs w:val="24"/>
          <w:shd w:val="clear" w:color="auto" w:fill="FFFFFF"/>
        </w:rPr>
        <w:t>Sasao</w:t>
      </w:r>
      <w:proofErr w:type="spellEnd"/>
      <w:r w:rsidRPr="006B0749">
        <w:rPr>
          <w:rFonts w:cs="Times New Roman"/>
          <w:color w:val="000000" w:themeColor="text1"/>
          <w:szCs w:val="24"/>
          <w:shd w:val="clear" w:color="auto" w:fill="FFFFFF"/>
        </w:rPr>
        <w:t xml:space="preserve">, Y., &amp; Webb, S. (2017). The Word Part Levels Test. </w:t>
      </w:r>
      <w:r w:rsidRPr="006B0749">
        <w:rPr>
          <w:rFonts w:cs="Times New Roman"/>
          <w:i/>
          <w:iCs/>
          <w:color w:val="000000" w:themeColor="text1"/>
          <w:szCs w:val="24"/>
          <w:shd w:val="clear" w:color="auto" w:fill="FFFFFF"/>
        </w:rPr>
        <w:t>Language Teaching</w:t>
      </w:r>
      <w:r w:rsidRPr="006B0749">
        <w:rPr>
          <w:rFonts w:cs="Times New Roman"/>
          <w:i/>
          <w:iCs/>
          <w:color w:val="000000" w:themeColor="text1"/>
          <w:szCs w:val="24"/>
        </w:rPr>
        <w:t xml:space="preserve"> </w:t>
      </w:r>
      <w:r w:rsidRPr="006B0749">
        <w:rPr>
          <w:rFonts w:cs="Times New Roman"/>
          <w:i/>
          <w:iCs/>
          <w:color w:val="000000" w:themeColor="text1"/>
          <w:szCs w:val="24"/>
          <w:shd w:val="clear" w:color="auto" w:fill="FFFFFF"/>
        </w:rPr>
        <w:t>Research, 21</w:t>
      </w:r>
      <w:r w:rsidRPr="006B0749">
        <w:rPr>
          <w:rFonts w:cs="Times New Roman"/>
          <w:color w:val="000000" w:themeColor="text1"/>
          <w:szCs w:val="24"/>
          <w:shd w:val="clear" w:color="auto" w:fill="FFFFFF"/>
        </w:rPr>
        <w:t xml:space="preserve">(1), 12-30. </w:t>
      </w:r>
      <w:hyperlink r:id="rId13" w:history="1">
        <w:r w:rsidRPr="006B0749">
          <w:rPr>
            <w:rStyle w:val="Hyperlink"/>
            <w:rFonts w:cs="Times New Roman"/>
            <w:color w:val="000000" w:themeColor="text1"/>
            <w:szCs w:val="24"/>
            <w:u w:val="none"/>
            <w:shd w:val="clear" w:color="auto" w:fill="FFFFFF"/>
          </w:rPr>
          <w:t>https://doi.org/10.1177/1362168815586083</w:t>
        </w:r>
      </w:hyperlink>
    </w:p>
    <w:p w14:paraId="46CA38ED" w14:textId="77777777" w:rsidR="00325278" w:rsidRPr="006B0749" w:rsidRDefault="00325278" w:rsidP="00117AAA">
      <w:pPr>
        <w:pStyle w:val="BodyText"/>
        <w:spacing w:line="240" w:lineRule="auto"/>
        <w:ind w:left="709" w:right="103" w:hanging="709"/>
        <w:contextualSpacing/>
        <w:rPr>
          <w:bCs/>
          <w:color w:val="000000" w:themeColor="text1"/>
        </w:rPr>
      </w:pPr>
      <w:r w:rsidRPr="006B0749">
        <w:rPr>
          <w:bCs/>
          <w:color w:val="000000" w:themeColor="text1"/>
        </w:rPr>
        <w:t xml:space="preserve">Schmitt, N. (2008). Review article: Instructed second language vocabulary learning. </w:t>
      </w:r>
      <w:r w:rsidRPr="006B0749">
        <w:rPr>
          <w:bCs/>
          <w:i/>
          <w:iCs/>
          <w:color w:val="000000" w:themeColor="text1"/>
        </w:rPr>
        <w:t>Language Teaching Research, 12</w:t>
      </w:r>
      <w:r w:rsidRPr="006B0749">
        <w:rPr>
          <w:bCs/>
          <w:color w:val="000000" w:themeColor="text1"/>
        </w:rPr>
        <w:t>(3), 329-363. https://doi.org/10.1177/1362168808089921</w:t>
      </w:r>
    </w:p>
    <w:p w14:paraId="56F6B004" w14:textId="77777777" w:rsidR="00325278" w:rsidRPr="006B0749" w:rsidRDefault="00325278" w:rsidP="00117AAA">
      <w:pPr>
        <w:pStyle w:val="BodyText"/>
        <w:spacing w:line="240" w:lineRule="auto"/>
        <w:ind w:left="709" w:right="103" w:hanging="709"/>
        <w:contextualSpacing/>
        <w:rPr>
          <w:bCs/>
          <w:color w:val="000000" w:themeColor="text1"/>
        </w:rPr>
      </w:pPr>
      <w:r w:rsidRPr="006B0749">
        <w:rPr>
          <w:bCs/>
          <w:color w:val="000000" w:themeColor="text1"/>
        </w:rPr>
        <w:t xml:space="preserve">Schmitt, N. (2010). </w:t>
      </w:r>
      <w:r w:rsidRPr="006B0749">
        <w:rPr>
          <w:bCs/>
          <w:i/>
          <w:iCs/>
          <w:color w:val="000000" w:themeColor="text1"/>
        </w:rPr>
        <w:t xml:space="preserve">Researching vocabulary: A vocabulary research manual. </w:t>
      </w:r>
      <w:r w:rsidRPr="006B0749">
        <w:rPr>
          <w:bCs/>
          <w:color w:val="000000" w:themeColor="text1"/>
        </w:rPr>
        <w:t>New York:</w:t>
      </w:r>
      <w:r w:rsidRPr="006B0749">
        <w:rPr>
          <w:bCs/>
          <w:i/>
          <w:iCs/>
          <w:color w:val="000000" w:themeColor="text1"/>
        </w:rPr>
        <w:t xml:space="preserve"> </w:t>
      </w:r>
      <w:r w:rsidRPr="006B0749">
        <w:rPr>
          <w:bCs/>
          <w:color w:val="000000" w:themeColor="text1"/>
        </w:rPr>
        <w:t>Palgrave Macmillan. http://dx.doi.org/10.1057/9780230293977</w:t>
      </w:r>
    </w:p>
    <w:p w14:paraId="50CB7413" w14:textId="77777777" w:rsidR="00325278" w:rsidRPr="006B0749" w:rsidRDefault="00325278" w:rsidP="00117AAA">
      <w:pPr>
        <w:pStyle w:val="BodyText"/>
        <w:spacing w:line="240" w:lineRule="auto"/>
        <w:ind w:left="709" w:right="103" w:hanging="709"/>
        <w:contextualSpacing/>
        <w:rPr>
          <w:bCs/>
          <w:color w:val="000000" w:themeColor="text1"/>
        </w:rPr>
      </w:pPr>
      <w:r w:rsidRPr="006B0749">
        <w:rPr>
          <w:bCs/>
          <w:color w:val="000000" w:themeColor="text1"/>
        </w:rPr>
        <w:t xml:space="preserve">Schmitt, N. (2014). Size and depth of vocabulary </w:t>
      </w:r>
      <w:proofErr w:type="gramStart"/>
      <w:r w:rsidRPr="006B0749">
        <w:rPr>
          <w:bCs/>
          <w:color w:val="000000" w:themeColor="text1"/>
        </w:rPr>
        <w:t>knowledge?:</w:t>
      </w:r>
      <w:proofErr w:type="gramEnd"/>
      <w:r w:rsidRPr="006B0749">
        <w:rPr>
          <w:bCs/>
          <w:color w:val="000000" w:themeColor="text1"/>
        </w:rPr>
        <w:t xml:space="preserve"> What the research shows. </w:t>
      </w:r>
      <w:r w:rsidRPr="006B0749">
        <w:rPr>
          <w:bCs/>
          <w:i/>
          <w:iCs/>
          <w:color w:val="000000" w:themeColor="text1"/>
        </w:rPr>
        <w:t>Language Learning, 64</w:t>
      </w:r>
      <w:r w:rsidRPr="006B0749">
        <w:rPr>
          <w:bCs/>
          <w:color w:val="000000" w:themeColor="text1"/>
        </w:rPr>
        <w:t>(4), 913-951. http://dx.doi.org/10.1111/lang.12077</w:t>
      </w:r>
    </w:p>
    <w:p w14:paraId="2DC44FB6" w14:textId="6011A9DB" w:rsidR="00B3727E" w:rsidRPr="006B0749" w:rsidRDefault="00B3727E" w:rsidP="00B3727E">
      <w:pPr>
        <w:ind w:left="709" w:hanging="709"/>
        <w:rPr>
          <w:color w:val="000000" w:themeColor="text1"/>
        </w:rPr>
      </w:pPr>
      <w:r w:rsidRPr="006B0749">
        <w:rPr>
          <w:color w:val="000000" w:themeColor="text1"/>
          <w:shd w:val="clear" w:color="auto" w:fill="FFFFFF"/>
        </w:rPr>
        <w:t>Schmitt, N., &amp; Schmitt, D. (2020). </w:t>
      </w:r>
      <w:r w:rsidRPr="006B0749">
        <w:rPr>
          <w:i/>
          <w:iCs/>
          <w:color w:val="000000" w:themeColor="text1"/>
          <w:shd w:val="clear" w:color="auto" w:fill="FFFFFF"/>
        </w:rPr>
        <w:t>Vocabulary in language teaching</w:t>
      </w:r>
      <w:r w:rsidRPr="006B0749">
        <w:rPr>
          <w:color w:val="000000" w:themeColor="text1"/>
          <w:shd w:val="clear" w:color="auto" w:fill="FFFFFF"/>
        </w:rPr>
        <w:t>. Cambridge university press.</w:t>
      </w:r>
    </w:p>
    <w:p w14:paraId="7558B99C" w14:textId="77777777" w:rsidR="005521A6" w:rsidRPr="006B0749" w:rsidRDefault="005521A6" w:rsidP="009A1F21">
      <w:pPr>
        <w:snapToGrid w:val="0"/>
        <w:ind w:left="708" w:hangingChars="295" w:hanging="708"/>
        <w:rPr>
          <w:color w:val="000000" w:themeColor="text1"/>
        </w:rPr>
      </w:pPr>
      <w:proofErr w:type="spellStart"/>
      <w:r w:rsidRPr="006B0749">
        <w:rPr>
          <w:color w:val="000000" w:themeColor="text1"/>
        </w:rPr>
        <w:t>Stæhr</w:t>
      </w:r>
      <w:proofErr w:type="spellEnd"/>
      <w:r w:rsidRPr="006B0749">
        <w:rPr>
          <w:color w:val="000000" w:themeColor="text1"/>
        </w:rPr>
        <w:t xml:space="preserve">, L. S. (2008). Vocabulary size and the skills of listening, reading and writing. </w:t>
      </w:r>
      <w:r w:rsidRPr="006B0749">
        <w:rPr>
          <w:i/>
          <w:iCs/>
          <w:color w:val="000000" w:themeColor="text1"/>
        </w:rPr>
        <w:t>Language Learning Journal, 36</w:t>
      </w:r>
      <w:r w:rsidRPr="006B0749">
        <w:rPr>
          <w:color w:val="000000" w:themeColor="text1"/>
        </w:rPr>
        <w:t>(2), 139-152.</w:t>
      </w:r>
      <w:r w:rsidRPr="006B0749">
        <w:rPr>
          <w:rFonts w:hint="eastAsia"/>
          <w:color w:val="000000" w:themeColor="text1"/>
        </w:rPr>
        <w:t xml:space="preserve"> https://doi.org/10.1080/09571730802389975</w:t>
      </w:r>
    </w:p>
    <w:p w14:paraId="536D9D77" w14:textId="77777777" w:rsidR="009A1F21" w:rsidRPr="006B0749" w:rsidRDefault="009A1F21" w:rsidP="00F82A9F">
      <w:pPr>
        <w:pStyle w:val="BodyText"/>
        <w:spacing w:line="240" w:lineRule="auto"/>
        <w:ind w:left="709" w:right="103" w:hanging="709"/>
        <w:contextualSpacing/>
        <w:rPr>
          <w:bCs/>
          <w:color w:val="000000" w:themeColor="text1"/>
        </w:rPr>
      </w:pPr>
      <w:r w:rsidRPr="006B0749">
        <w:rPr>
          <w:bCs/>
          <w:color w:val="000000" w:themeColor="text1"/>
        </w:rPr>
        <w:t xml:space="preserve">Sukying, A. (2018). Investigating receptive and productive affix knowledge in EFL learners. In D. Hirsh (Ed.), </w:t>
      </w:r>
      <w:r w:rsidRPr="006B0749">
        <w:rPr>
          <w:bCs/>
          <w:i/>
          <w:iCs/>
          <w:color w:val="000000" w:themeColor="text1"/>
        </w:rPr>
        <w:t>Explorations in second language vocabulary research</w:t>
      </w:r>
      <w:r w:rsidRPr="006B0749">
        <w:rPr>
          <w:bCs/>
          <w:color w:val="000000" w:themeColor="text1"/>
        </w:rPr>
        <w:t xml:space="preserve"> (pp. 183-218). Peter Lang.</w:t>
      </w:r>
    </w:p>
    <w:p w14:paraId="75EDBFD1" w14:textId="77777777" w:rsidR="00F82A9F" w:rsidRPr="006B0749" w:rsidRDefault="00F82A9F" w:rsidP="00F82A9F">
      <w:pPr>
        <w:pStyle w:val="BodyText"/>
        <w:spacing w:line="240" w:lineRule="auto"/>
        <w:ind w:left="709" w:right="103" w:hanging="709"/>
        <w:contextualSpacing/>
        <w:rPr>
          <w:bCs/>
          <w:color w:val="000000" w:themeColor="text1"/>
        </w:rPr>
      </w:pPr>
      <w:r w:rsidRPr="006B0749">
        <w:rPr>
          <w:bCs/>
          <w:color w:val="000000" w:themeColor="text1"/>
        </w:rPr>
        <w:t xml:space="preserve">Sukying, A. (2022). A taxonomy of English affix acquisition in EFL learners. In D. Hirsh (Ed.), </w:t>
      </w:r>
      <w:r w:rsidRPr="006B0749">
        <w:rPr>
          <w:bCs/>
          <w:i/>
          <w:iCs/>
          <w:color w:val="000000" w:themeColor="text1"/>
        </w:rPr>
        <w:t>Research perspectives in language and education</w:t>
      </w:r>
      <w:r w:rsidRPr="006B0749">
        <w:rPr>
          <w:bCs/>
          <w:color w:val="000000" w:themeColor="text1"/>
        </w:rPr>
        <w:t xml:space="preserve"> (pp. 49-82). Peter Lang. </w:t>
      </w:r>
      <w:hyperlink r:id="rId14" w:history="1">
        <w:r w:rsidRPr="006B0749">
          <w:rPr>
            <w:rStyle w:val="Hyperlink"/>
            <w:bCs/>
            <w:color w:val="000000" w:themeColor="text1"/>
            <w:u w:val="none"/>
          </w:rPr>
          <w:t>https://doi.org/10.3726/b19346</w:t>
        </w:r>
      </w:hyperlink>
    </w:p>
    <w:p w14:paraId="2E456819" w14:textId="7EC71BCC" w:rsidR="005521A6" w:rsidRPr="006B0749" w:rsidRDefault="005521A6" w:rsidP="00F82A9F">
      <w:pPr>
        <w:snapToGrid w:val="0"/>
        <w:ind w:left="708" w:hangingChars="295" w:hanging="708"/>
        <w:rPr>
          <w:color w:val="000000" w:themeColor="text1"/>
        </w:rPr>
      </w:pPr>
      <w:r w:rsidRPr="006B0749">
        <w:rPr>
          <w:color w:val="000000" w:themeColor="text1"/>
        </w:rPr>
        <w:t>Sukying, A. (202</w:t>
      </w:r>
      <w:r w:rsidRPr="006B0749">
        <w:rPr>
          <w:rFonts w:hint="eastAsia"/>
          <w:color w:val="000000" w:themeColor="text1"/>
        </w:rPr>
        <w:t>3</w:t>
      </w:r>
      <w:r w:rsidRPr="006B0749">
        <w:rPr>
          <w:color w:val="000000" w:themeColor="text1"/>
        </w:rPr>
        <w:t xml:space="preserve">). </w:t>
      </w:r>
      <w:r w:rsidRPr="006B0749">
        <w:rPr>
          <w:rFonts w:hint="eastAsia"/>
          <w:color w:val="000000" w:themeColor="text1"/>
        </w:rPr>
        <w:t>The Role of Vocabulary Size and Depth in Predicting Postgraduate Students</w:t>
      </w:r>
      <w:r w:rsidRPr="006B0749">
        <w:rPr>
          <w:color w:val="000000" w:themeColor="text1"/>
        </w:rPr>
        <w:t>’</w:t>
      </w:r>
      <w:r w:rsidRPr="006B0749">
        <w:rPr>
          <w:rFonts w:hint="eastAsia"/>
          <w:color w:val="000000" w:themeColor="text1"/>
        </w:rPr>
        <w:t xml:space="preserve"> Second Language Writing Performance. </w:t>
      </w:r>
      <w:r w:rsidRPr="006B0749">
        <w:rPr>
          <w:rFonts w:hint="eastAsia"/>
          <w:i/>
          <w:iCs/>
          <w:color w:val="000000" w:themeColor="text1"/>
        </w:rPr>
        <w:t>LEARN Journal:</w:t>
      </w:r>
      <w:r w:rsidRPr="006B0749">
        <w:rPr>
          <w:i/>
          <w:iCs/>
          <w:color w:val="000000" w:themeColor="text1"/>
        </w:rPr>
        <w:t xml:space="preserve"> </w:t>
      </w:r>
      <w:r w:rsidRPr="006B0749">
        <w:rPr>
          <w:rFonts w:hint="eastAsia"/>
          <w:i/>
          <w:iCs/>
          <w:color w:val="000000" w:themeColor="text1"/>
        </w:rPr>
        <w:t>Language Education and Acquisition Research Network, 16</w:t>
      </w:r>
      <w:r w:rsidR="00C82553" w:rsidRPr="006B0749">
        <w:rPr>
          <w:rFonts w:hint="eastAsia"/>
          <w:color w:val="000000" w:themeColor="text1"/>
        </w:rPr>
        <w:t>(1), 575-603.</w:t>
      </w:r>
      <w:r w:rsidRPr="006B0749">
        <w:rPr>
          <w:rFonts w:hint="eastAsia"/>
          <w:color w:val="000000" w:themeColor="text1"/>
        </w:rPr>
        <w:t xml:space="preserve"> https://so04.tci-thaijo.org/index.php/LEARN/article/view/263457 </w:t>
      </w:r>
    </w:p>
    <w:p w14:paraId="71EC3776" w14:textId="193E7982" w:rsidR="00481A41" w:rsidRPr="006B0749" w:rsidRDefault="00481A41" w:rsidP="00481A41">
      <w:pPr>
        <w:pStyle w:val="BodyText"/>
        <w:spacing w:line="240" w:lineRule="auto"/>
        <w:ind w:left="709" w:right="103" w:hanging="709"/>
        <w:contextualSpacing/>
        <w:rPr>
          <w:bCs/>
          <w:color w:val="000000" w:themeColor="text1"/>
        </w:rPr>
      </w:pPr>
      <w:r w:rsidRPr="006B0749">
        <w:rPr>
          <w:bCs/>
          <w:color w:val="000000" w:themeColor="text1"/>
        </w:rPr>
        <w:lastRenderedPageBreak/>
        <w:t xml:space="preserve">Suzuki, S., &amp; </w:t>
      </w:r>
      <w:proofErr w:type="spellStart"/>
      <w:r w:rsidRPr="006B0749">
        <w:rPr>
          <w:bCs/>
          <w:color w:val="000000" w:themeColor="text1"/>
        </w:rPr>
        <w:t>Kormos</w:t>
      </w:r>
      <w:proofErr w:type="spellEnd"/>
      <w:r w:rsidRPr="006B0749">
        <w:rPr>
          <w:bCs/>
          <w:color w:val="000000" w:themeColor="text1"/>
        </w:rPr>
        <w:t xml:space="preserve">, J. (2024). The moderating role of L2 proficiency in the predictive power of L1 fluency on L2 utterance fluency. </w:t>
      </w:r>
      <w:r w:rsidRPr="006B0749">
        <w:rPr>
          <w:bCs/>
          <w:i/>
          <w:iCs/>
          <w:color w:val="000000" w:themeColor="text1"/>
        </w:rPr>
        <w:t>Language Testing</w:t>
      </w:r>
      <w:r w:rsidRPr="006B0749">
        <w:rPr>
          <w:bCs/>
          <w:color w:val="000000" w:themeColor="text1"/>
        </w:rPr>
        <w:t xml:space="preserve">, </w:t>
      </w:r>
      <w:r w:rsidRPr="006B0749">
        <w:rPr>
          <w:color w:val="000000" w:themeColor="text1"/>
          <w:shd w:val="clear" w:color="auto" w:fill="FFFFFF"/>
        </w:rPr>
        <w:t>02655322241241851</w:t>
      </w:r>
    </w:p>
    <w:p w14:paraId="66CD2EB7" w14:textId="77777777" w:rsidR="00B83731" w:rsidRPr="006B0749" w:rsidRDefault="00B83731" w:rsidP="00B83731">
      <w:pPr>
        <w:ind w:left="709" w:hanging="709"/>
        <w:rPr>
          <w:color w:val="000000" w:themeColor="text1"/>
        </w:rPr>
      </w:pPr>
      <w:proofErr w:type="spellStart"/>
      <w:r w:rsidRPr="006B0749">
        <w:rPr>
          <w:color w:val="000000" w:themeColor="text1"/>
        </w:rPr>
        <w:t>Uchihara</w:t>
      </w:r>
      <w:proofErr w:type="spellEnd"/>
      <w:r w:rsidRPr="006B0749">
        <w:rPr>
          <w:color w:val="000000" w:themeColor="text1"/>
        </w:rPr>
        <w:t xml:space="preserve">, T., &amp; </w:t>
      </w:r>
      <w:proofErr w:type="spellStart"/>
      <w:r w:rsidRPr="006B0749">
        <w:rPr>
          <w:color w:val="000000" w:themeColor="text1"/>
        </w:rPr>
        <w:t>Clenton</w:t>
      </w:r>
      <w:proofErr w:type="spellEnd"/>
      <w:r w:rsidRPr="006B0749">
        <w:rPr>
          <w:color w:val="000000" w:themeColor="text1"/>
        </w:rPr>
        <w:t xml:space="preserve">, J. (2020). Investigating the role of vocabulary size in second language speaking ability. </w:t>
      </w:r>
      <w:r w:rsidRPr="006B0749">
        <w:rPr>
          <w:i/>
          <w:iCs/>
          <w:color w:val="000000" w:themeColor="text1"/>
        </w:rPr>
        <w:t>Language Teaching Research</w:t>
      </w:r>
      <w:r w:rsidRPr="006B0749">
        <w:rPr>
          <w:color w:val="000000" w:themeColor="text1"/>
        </w:rPr>
        <w:t xml:space="preserve">, </w:t>
      </w:r>
      <w:r w:rsidRPr="006B0749">
        <w:rPr>
          <w:i/>
          <w:iCs/>
          <w:color w:val="000000" w:themeColor="text1"/>
        </w:rPr>
        <w:t>24</w:t>
      </w:r>
      <w:r w:rsidRPr="006B0749">
        <w:rPr>
          <w:color w:val="000000" w:themeColor="text1"/>
        </w:rPr>
        <w:t>(4), 540-556. https://doi.org/10.1177/1362168818799371</w:t>
      </w:r>
    </w:p>
    <w:p w14:paraId="167BAE34" w14:textId="77777777" w:rsidR="00B83731" w:rsidRPr="006B0749" w:rsidRDefault="00B83731" w:rsidP="00B83731">
      <w:pPr>
        <w:ind w:left="709" w:hanging="709"/>
        <w:rPr>
          <w:color w:val="000000" w:themeColor="text1"/>
        </w:rPr>
      </w:pPr>
      <w:proofErr w:type="spellStart"/>
      <w:r w:rsidRPr="006B0749">
        <w:rPr>
          <w:color w:val="000000" w:themeColor="text1"/>
        </w:rPr>
        <w:t>Uchihara</w:t>
      </w:r>
      <w:proofErr w:type="spellEnd"/>
      <w:r w:rsidRPr="006B0749">
        <w:rPr>
          <w:color w:val="000000" w:themeColor="text1"/>
        </w:rPr>
        <w:t xml:space="preserve">, T., &amp; Saito, K. (2019). Exploring the relationship between productive vocabulary knowledge and second language oral ability. </w:t>
      </w:r>
      <w:r w:rsidRPr="006B0749">
        <w:rPr>
          <w:i/>
          <w:iCs/>
          <w:color w:val="000000" w:themeColor="text1"/>
        </w:rPr>
        <w:t>Language Learning Journal</w:t>
      </w:r>
      <w:r w:rsidRPr="006B0749">
        <w:rPr>
          <w:color w:val="000000" w:themeColor="text1"/>
        </w:rPr>
        <w:t xml:space="preserve">, </w:t>
      </w:r>
      <w:r w:rsidRPr="006B0749">
        <w:rPr>
          <w:i/>
          <w:iCs/>
          <w:color w:val="000000" w:themeColor="text1"/>
        </w:rPr>
        <w:t>47</w:t>
      </w:r>
      <w:r w:rsidRPr="006B0749">
        <w:rPr>
          <w:color w:val="000000" w:themeColor="text1"/>
        </w:rPr>
        <w:t>(1), 64-75. https://doi.org/10.1080/09571736.2016.1191527</w:t>
      </w:r>
    </w:p>
    <w:p w14:paraId="342E42CA" w14:textId="77777777" w:rsidR="00325278" w:rsidRPr="006B0749" w:rsidRDefault="00325278" w:rsidP="00105D4F">
      <w:pPr>
        <w:pStyle w:val="BodyText"/>
        <w:spacing w:line="240" w:lineRule="auto"/>
        <w:ind w:left="709" w:right="103" w:hanging="709"/>
        <w:contextualSpacing/>
        <w:rPr>
          <w:bCs/>
          <w:color w:val="000000" w:themeColor="text1"/>
        </w:rPr>
      </w:pPr>
      <w:r w:rsidRPr="006B0749">
        <w:rPr>
          <w:bCs/>
          <w:color w:val="000000" w:themeColor="text1"/>
        </w:rPr>
        <w:t xml:space="preserve">Webb, S. (2020). </w:t>
      </w:r>
      <w:r w:rsidRPr="006B0749">
        <w:rPr>
          <w:bCs/>
          <w:i/>
          <w:iCs/>
          <w:color w:val="000000" w:themeColor="text1"/>
        </w:rPr>
        <w:t xml:space="preserve">The </w:t>
      </w:r>
      <w:proofErr w:type="spellStart"/>
      <w:r w:rsidRPr="006B0749">
        <w:rPr>
          <w:bCs/>
          <w:i/>
          <w:iCs/>
          <w:color w:val="000000" w:themeColor="text1"/>
        </w:rPr>
        <w:t>routledge</w:t>
      </w:r>
      <w:proofErr w:type="spellEnd"/>
      <w:r w:rsidRPr="006B0749">
        <w:rPr>
          <w:bCs/>
          <w:i/>
          <w:iCs/>
          <w:color w:val="000000" w:themeColor="text1"/>
        </w:rPr>
        <w:t xml:space="preserve"> handbook of vocabulary studies.</w:t>
      </w:r>
      <w:r w:rsidRPr="006B0749">
        <w:rPr>
          <w:bCs/>
          <w:color w:val="000000" w:themeColor="text1"/>
        </w:rPr>
        <w:t xml:space="preserve"> Routledge.</w:t>
      </w:r>
    </w:p>
    <w:p w14:paraId="40BE2B5E" w14:textId="7F927C4B" w:rsidR="00105D4F" w:rsidRPr="006B0749" w:rsidRDefault="00105D4F" w:rsidP="00105D4F">
      <w:pPr>
        <w:rPr>
          <w:color w:val="000000" w:themeColor="text1"/>
        </w:rPr>
      </w:pPr>
      <w:r w:rsidRPr="006B0749">
        <w:rPr>
          <w:color w:val="000000" w:themeColor="text1"/>
          <w:shd w:val="clear" w:color="auto" w:fill="FFFFFF"/>
        </w:rPr>
        <w:t>Webb, S., &amp; Nation, P. (2017). </w:t>
      </w:r>
      <w:r w:rsidRPr="006B0749">
        <w:rPr>
          <w:i/>
          <w:iCs/>
          <w:color w:val="000000" w:themeColor="text1"/>
          <w:shd w:val="clear" w:color="auto" w:fill="FFFFFF"/>
        </w:rPr>
        <w:t>How vocabulary is learned</w:t>
      </w:r>
      <w:r w:rsidRPr="006B0749">
        <w:rPr>
          <w:color w:val="000000" w:themeColor="text1"/>
          <w:shd w:val="clear" w:color="auto" w:fill="FFFFFF"/>
        </w:rPr>
        <w:t>. Oxford University Press.</w:t>
      </w:r>
    </w:p>
    <w:p w14:paraId="5FE9A6BB" w14:textId="77777777" w:rsidR="000370D9" w:rsidRPr="006B0749" w:rsidRDefault="000370D9" w:rsidP="00105D4F">
      <w:pPr>
        <w:ind w:left="709" w:hanging="709"/>
        <w:rPr>
          <w:color w:val="000000" w:themeColor="text1"/>
        </w:rPr>
      </w:pPr>
      <w:r w:rsidRPr="006B0749">
        <w:rPr>
          <w:color w:val="000000" w:themeColor="text1"/>
          <w:shd w:val="clear" w:color="auto" w:fill="FFFFFF"/>
        </w:rPr>
        <w:t xml:space="preserve">Webb, S., </w:t>
      </w:r>
      <w:proofErr w:type="spellStart"/>
      <w:r w:rsidRPr="006B0749">
        <w:rPr>
          <w:color w:val="000000" w:themeColor="text1"/>
          <w:shd w:val="clear" w:color="auto" w:fill="FFFFFF"/>
        </w:rPr>
        <w:t>Sasao</w:t>
      </w:r>
      <w:proofErr w:type="spellEnd"/>
      <w:r w:rsidRPr="006B0749">
        <w:rPr>
          <w:color w:val="000000" w:themeColor="text1"/>
          <w:shd w:val="clear" w:color="auto" w:fill="FFFFFF"/>
        </w:rPr>
        <w:t>, Y., &amp; Ballance, O. (2017). The updated Vocabulary Levels Test: Developing and validating two new forms of the VLT. </w:t>
      </w:r>
      <w:r w:rsidRPr="006B0749">
        <w:rPr>
          <w:i/>
          <w:iCs/>
          <w:color w:val="000000" w:themeColor="text1"/>
          <w:shd w:val="clear" w:color="auto" w:fill="FFFFFF"/>
        </w:rPr>
        <w:t>ITL-International Journal of Applied Linguistics</w:t>
      </w:r>
      <w:r w:rsidRPr="006B0749">
        <w:rPr>
          <w:color w:val="000000" w:themeColor="text1"/>
          <w:shd w:val="clear" w:color="auto" w:fill="FFFFFF"/>
        </w:rPr>
        <w:t>, </w:t>
      </w:r>
      <w:r w:rsidRPr="006B0749">
        <w:rPr>
          <w:i/>
          <w:iCs/>
          <w:color w:val="000000" w:themeColor="text1"/>
          <w:shd w:val="clear" w:color="auto" w:fill="FFFFFF"/>
        </w:rPr>
        <w:t>168</w:t>
      </w:r>
      <w:r w:rsidRPr="006B0749">
        <w:rPr>
          <w:color w:val="000000" w:themeColor="text1"/>
          <w:shd w:val="clear" w:color="auto" w:fill="FFFFFF"/>
        </w:rPr>
        <w:t xml:space="preserve">(1), 33-69. https://doi.org/10.1075/itl.168.1.02web </w:t>
      </w:r>
    </w:p>
    <w:p w14:paraId="315DBB13" w14:textId="2D4D1705" w:rsidR="00A94FB6" w:rsidRPr="006B0749" w:rsidRDefault="00A94FB6" w:rsidP="000370D9">
      <w:pPr>
        <w:pStyle w:val="BodyText"/>
        <w:spacing w:line="240" w:lineRule="auto"/>
        <w:ind w:left="709" w:right="103" w:hanging="709"/>
        <w:contextualSpacing/>
        <w:rPr>
          <w:bCs/>
          <w:color w:val="000000" w:themeColor="text1"/>
        </w:rPr>
      </w:pPr>
      <w:r w:rsidRPr="006B0749">
        <w:rPr>
          <w:bCs/>
          <w:color w:val="000000" w:themeColor="text1"/>
        </w:rPr>
        <w:t>Wilkins, D. (1972. Linguistics in language teaching. London: Arnold.</w:t>
      </w:r>
    </w:p>
    <w:p w14:paraId="5BE03624" w14:textId="1BD59D37" w:rsidR="009A7344" w:rsidRPr="006B0749" w:rsidRDefault="009A7344" w:rsidP="009A7344">
      <w:pPr>
        <w:snapToGrid w:val="0"/>
        <w:ind w:left="708" w:hangingChars="295" w:hanging="708"/>
        <w:rPr>
          <w:color w:val="000000" w:themeColor="text1"/>
        </w:rPr>
      </w:pPr>
      <w:r w:rsidRPr="006B0749">
        <w:rPr>
          <w:color w:val="000000" w:themeColor="text1"/>
        </w:rPr>
        <w:t>Yanagisawa, A.</w:t>
      </w:r>
      <w:r w:rsidRPr="006B0749">
        <w:rPr>
          <w:rFonts w:hint="eastAsia"/>
          <w:color w:val="000000" w:themeColor="text1"/>
        </w:rPr>
        <w:t>,</w:t>
      </w:r>
      <w:r w:rsidRPr="006B0749">
        <w:rPr>
          <w:color w:val="000000" w:themeColor="text1"/>
        </w:rPr>
        <w:t xml:space="preserve"> &amp; Webb, S</w:t>
      </w:r>
      <w:r w:rsidRPr="006B0749">
        <w:rPr>
          <w:rFonts w:hint="eastAsia"/>
          <w:color w:val="000000" w:themeColor="text1"/>
        </w:rPr>
        <w:t>. (2020). Measuring</w:t>
      </w:r>
      <w:r w:rsidR="00C01EE9" w:rsidRPr="006B0749">
        <w:rPr>
          <w:rFonts w:hint="eastAsia"/>
          <w:color w:val="000000" w:themeColor="text1"/>
        </w:rPr>
        <w:t xml:space="preserve"> depth of vocabulary knowledge</w:t>
      </w:r>
      <w:r w:rsidRPr="006B0749">
        <w:rPr>
          <w:rFonts w:hint="eastAsia"/>
          <w:color w:val="000000" w:themeColor="text1"/>
        </w:rPr>
        <w:t xml:space="preserve">. In S. Webb (Ed.), </w:t>
      </w:r>
      <w:r w:rsidRPr="006B0749">
        <w:rPr>
          <w:rFonts w:hint="eastAsia"/>
          <w:i/>
          <w:iCs/>
          <w:color w:val="000000" w:themeColor="text1"/>
        </w:rPr>
        <w:t xml:space="preserve">The Routledge </w:t>
      </w:r>
      <w:r w:rsidRPr="006B0749">
        <w:rPr>
          <w:i/>
          <w:iCs/>
          <w:color w:val="000000" w:themeColor="text1"/>
        </w:rPr>
        <w:t>Handbook</w:t>
      </w:r>
      <w:r w:rsidRPr="006B0749">
        <w:rPr>
          <w:rFonts w:hint="eastAsia"/>
          <w:i/>
          <w:iCs/>
          <w:color w:val="000000" w:themeColor="text1"/>
        </w:rPr>
        <w:t xml:space="preserve"> of </w:t>
      </w:r>
      <w:r w:rsidRPr="006B0749">
        <w:rPr>
          <w:i/>
          <w:iCs/>
          <w:color w:val="000000" w:themeColor="text1"/>
        </w:rPr>
        <w:t>V</w:t>
      </w:r>
      <w:r w:rsidRPr="006B0749">
        <w:rPr>
          <w:rFonts w:hint="eastAsia"/>
          <w:i/>
          <w:iCs/>
          <w:color w:val="000000" w:themeColor="text1"/>
        </w:rPr>
        <w:t xml:space="preserve">ocabulary </w:t>
      </w:r>
      <w:r w:rsidRPr="006B0749">
        <w:rPr>
          <w:i/>
          <w:iCs/>
          <w:color w:val="000000" w:themeColor="text1"/>
        </w:rPr>
        <w:t>S</w:t>
      </w:r>
      <w:r w:rsidRPr="006B0749">
        <w:rPr>
          <w:rFonts w:hint="eastAsia"/>
          <w:i/>
          <w:iCs/>
          <w:color w:val="000000" w:themeColor="text1"/>
        </w:rPr>
        <w:t>tudies,</w:t>
      </w:r>
      <w:r w:rsidRPr="006B0749">
        <w:rPr>
          <w:rFonts w:hint="eastAsia"/>
          <w:color w:val="000000" w:themeColor="text1"/>
        </w:rPr>
        <w:t xml:space="preserve"> (pp. </w:t>
      </w:r>
      <w:r w:rsidR="00C01EE9" w:rsidRPr="006B0749">
        <w:rPr>
          <w:color w:val="000000" w:themeColor="text1"/>
        </w:rPr>
        <w:t>371</w:t>
      </w:r>
      <w:r w:rsidRPr="006B0749">
        <w:rPr>
          <w:rFonts w:hint="eastAsia"/>
          <w:color w:val="000000" w:themeColor="text1"/>
        </w:rPr>
        <w:t>-</w:t>
      </w:r>
      <w:r w:rsidR="00C01EE9" w:rsidRPr="006B0749">
        <w:rPr>
          <w:color w:val="000000" w:themeColor="text1"/>
        </w:rPr>
        <w:t>3</w:t>
      </w:r>
      <w:r w:rsidR="00C01EE9" w:rsidRPr="006B0749">
        <w:rPr>
          <w:rFonts w:hint="eastAsia"/>
          <w:color w:val="000000" w:themeColor="text1"/>
        </w:rPr>
        <w:t>8</w:t>
      </w:r>
      <w:r w:rsidR="00C01EE9" w:rsidRPr="006B0749">
        <w:rPr>
          <w:color w:val="000000" w:themeColor="text1"/>
        </w:rPr>
        <w:t>6</w:t>
      </w:r>
      <w:r w:rsidRPr="006B0749">
        <w:rPr>
          <w:rFonts w:hint="eastAsia"/>
          <w:color w:val="000000" w:themeColor="text1"/>
        </w:rPr>
        <w:t>). Routledge.</w:t>
      </w:r>
    </w:p>
    <w:p w14:paraId="5D399E93" w14:textId="77777777" w:rsidR="00325278" w:rsidRPr="006B0749" w:rsidRDefault="00325278" w:rsidP="00CC5754">
      <w:pPr>
        <w:pStyle w:val="BodyText"/>
        <w:spacing w:line="240" w:lineRule="auto"/>
        <w:ind w:left="709" w:right="103" w:hanging="709"/>
        <w:contextualSpacing/>
        <w:jc w:val="both"/>
        <w:rPr>
          <w:bCs/>
          <w:color w:val="000000" w:themeColor="text1"/>
        </w:rPr>
      </w:pPr>
    </w:p>
    <w:p w14:paraId="148D2A3D" w14:textId="77777777" w:rsidR="00D82358" w:rsidRPr="006B0749" w:rsidRDefault="00D82358" w:rsidP="00D82358">
      <w:pPr>
        <w:pStyle w:val="BodyText"/>
        <w:tabs>
          <w:tab w:val="left" w:pos="2988"/>
        </w:tabs>
        <w:spacing w:line="240" w:lineRule="auto"/>
        <w:ind w:firstLine="0"/>
        <w:jc w:val="both"/>
        <w:rPr>
          <w:bCs/>
          <w:color w:val="000000" w:themeColor="text1"/>
        </w:rPr>
      </w:pPr>
    </w:p>
    <w:p w14:paraId="069A34C4" w14:textId="04917AEC" w:rsidR="00D82358" w:rsidRPr="006B0749" w:rsidRDefault="00D82358" w:rsidP="00D82358">
      <w:pPr>
        <w:pStyle w:val="BodyText"/>
        <w:tabs>
          <w:tab w:val="left" w:pos="2988"/>
        </w:tabs>
        <w:spacing w:line="240" w:lineRule="auto"/>
        <w:ind w:firstLine="0"/>
        <w:jc w:val="center"/>
        <w:rPr>
          <w:b/>
          <w:bCs/>
          <w:color w:val="000000" w:themeColor="text1"/>
        </w:rPr>
      </w:pPr>
      <w:r w:rsidRPr="006B0749">
        <w:rPr>
          <w:b/>
          <w:bCs/>
          <w:color w:val="000000" w:themeColor="text1"/>
        </w:rPr>
        <w:t>ABOUT THE AUTHOR</w:t>
      </w:r>
    </w:p>
    <w:p w14:paraId="64E6E512" w14:textId="77777777" w:rsidR="00D82358" w:rsidRPr="006B0749" w:rsidRDefault="00D82358" w:rsidP="00D82358">
      <w:pPr>
        <w:pStyle w:val="BodyText"/>
        <w:tabs>
          <w:tab w:val="left" w:pos="2988"/>
        </w:tabs>
        <w:spacing w:line="240" w:lineRule="auto"/>
        <w:ind w:firstLine="0"/>
        <w:jc w:val="both"/>
        <w:rPr>
          <w:bCs/>
          <w:color w:val="000000" w:themeColor="text1"/>
        </w:rPr>
      </w:pPr>
    </w:p>
    <w:p w14:paraId="273F5089" w14:textId="273718F4" w:rsidR="00835412" w:rsidRPr="006B0749" w:rsidRDefault="00835412" w:rsidP="00835412">
      <w:pPr>
        <w:jc w:val="both"/>
        <w:rPr>
          <w:color w:val="000000" w:themeColor="text1"/>
        </w:rPr>
      </w:pPr>
      <w:r w:rsidRPr="006B0749">
        <w:rPr>
          <w:b/>
          <w:bCs/>
          <w:color w:val="000000" w:themeColor="text1"/>
        </w:rPr>
        <w:t>Apisak Sukying</w:t>
      </w:r>
      <w:r w:rsidRPr="006B0749">
        <w:rPr>
          <w:color w:val="000000" w:themeColor="text1"/>
        </w:rPr>
        <w:t xml:space="preserve"> (PhD), assistant professor of TESOL, is the Director of PhD in ELT </w:t>
      </w:r>
      <w:proofErr w:type="spellStart"/>
      <w:r w:rsidRPr="006B0749">
        <w:rPr>
          <w:color w:val="000000" w:themeColor="text1"/>
        </w:rPr>
        <w:t>Programme</w:t>
      </w:r>
      <w:proofErr w:type="spellEnd"/>
      <w:r w:rsidRPr="006B0749">
        <w:rPr>
          <w:color w:val="000000" w:themeColor="text1"/>
        </w:rPr>
        <w:t xml:space="preserve"> at</w:t>
      </w:r>
      <w:r w:rsidRPr="006B0749">
        <w:rPr>
          <w:color w:val="000000" w:themeColor="text1"/>
          <w:cs/>
        </w:rPr>
        <w:t xml:space="preserve"> </w:t>
      </w:r>
      <w:proofErr w:type="spellStart"/>
      <w:r w:rsidRPr="006B0749">
        <w:rPr>
          <w:color w:val="000000" w:themeColor="text1"/>
        </w:rPr>
        <w:t>Mahasarakham</w:t>
      </w:r>
      <w:proofErr w:type="spellEnd"/>
      <w:r w:rsidRPr="006B0749">
        <w:rPr>
          <w:color w:val="000000" w:themeColor="text1"/>
        </w:rPr>
        <w:t xml:space="preserve"> University, Thailand. Apisak completed his PhD in TESOL from the University of Sydney, Australia. His research interests are L2 vocabulary acquisition and assessment, academic writing, SLA, Text analysis, ESP and language learner strategies. His email is </w:t>
      </w:r>
      <w:hyperlink r:id="rId15" w:history="1">
        <w:r w:rsidRPr="006B0749">
          <w:rPr>
            <w:rStyle w:val="Hyperlink"/>
            <w:color w:val="000000" w:themeColor="text1"/>
          </w:rPr>
          <w:t>apisak.s@msu.ac.th</w:t>
        </w:r>
      </w:hyperlink>
      <w:r w:rsidRPr="006B0749">
        <w:rPr>
          <w:color w:val="000000" w:themeColor="text1"/>
        </w:rPr>
        <w:t xml:space="preserve">  </w:t>
      </w:r>
    </w:p>
    <w:p w14:paraId="5D662739" w14:textId="0BA07F46" w:rsidR="00D82358" w:rsidRPr="006B0749" w:rsidRDefault="00D82358" w:rsidP="00835412">
      <w:pPr>
        <w:pStyle w:val="BodyText"/>
        <w:spacing w:line="240" w:lineRule="auto"/>
        <w:ind w:left="709" w:right="103" w:hanging="709"/>
        <w:contextualSpacing/>
        <w:jc w:val="both"/>
        <w:rPr>
          <w:bCs/>
          <w:color w:val="000000" w:themeColor="text1"/>
        </w:rPr>
      </w:pPr>
    </w:p>
    <w:sectPr w:rsidR="00D82358" w:rsidRPr="006B0749" w:rsidSect="000A212A">
      <w:headerReference w:type="even" r:id="rId16"/>
      <w:headerReference w:type="default" r:id="rId17"/>
      <w:footerReference w:type="default" r:id="rId18"/>
      <w:headerReference w:type="first" r:id="rId19"/>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9E84A6" w14:textId="77777777" w:rsidR="0041256C" w:rsidRDefault="0041256C">
      <w:r>
        <w:separator/>
      </w:r>
    </w:p>
  </w:endnote>
  <w:endnote w:type="continuationSeparator" w:id="0">
    <w:p w14:paraId="0B5DA6D5" w14:textId="77777777" w:rsidR="0041256C" w:rsidRDefault="00412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00"/>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632B9" w14:textId="77777777" w:rsidR="009A7344" w:rsidRDefault="009A7344">
    <w:pPr>
      <w:pStyle w:val="Footer"/>
      <w:jc w:val="right"/>
    </w:pPr>
    <w:r>
      <w:fldChar w:fldCharType="begin"/>
    </w:r>
    <w:r>
      <w:instrText xml:space="preserve"> PAGE   \* MERGEFORMAT </w:instrText>
    </w:r>
    <w:r>
      <w:fldChar w:fldCharType="separate"/>
    </w:r>
    <w:r>
      <w:rPr>
        <w:noProof/>
      </w:rPr>
      <w:t>1</w:t>
    </w:r>
    <w:r>
      <w:rPr>
        <w:noProof/>
      </w:rPr>
      <w:fldChar w:fldCharType="end"/>
    </w:r>
  </w:p>
  <w:p w14:paraId="35E4DB3E" w14:textId="77777777" w:rsidR="009A7344" w:rsidRDefault="009A73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B3D8A0" w14:textId="77777777" w:rsidR="0041256C" w:rsidRDefault="0041256C">
      <w:r>
        <w:separator/>
      </w:r>
    </w:p>
  </w:footnote>
  <w:footnote w:type="continuationSeparator" w:id="0">
    <w:p w14:paraId="7834CA0C" w14:textId="77777777" w:rsidR="0041256C" w:rsidRDefault="0041256C">
      <w:r>
        <w:continuationSeparator/>
      </w:r>
    </w:p>
  </w:footnote>
  <w:footnote w:id="1">
    <w:p w14:paraId="094EF0FF" w14:textId="1B67445B" w:rsidR="00D82358" w:rsidRDefault="00D82358">
      <w:pPr>
        <w:pStyle w:val="FootnoteText"/>
      </w:pPr>
      <w:r w:rsidRPr="00D82358">
        <w:rPr>
          <w:rStyle w:val="FootnoteReference"/>
        </w:rPr>
        <w:sym w:font="Symbol" w:char="F02A"/>
      </w:r>
      <w:r>
        <w:t xml:space="preserve"> Corre</w:t>
      </w:r>
      <w:r w:rsidR="00444E08">
        <w:t>sponding author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57F51" w14:textId="77777777" w:rsidR="009A7344" w:rsidRDefault="0041256C">
    <w:pPr>
      <w:pStyle w:val="Header"/>
    </w:pPr>
    <w:r>
      <w:rPr>
        <w:noProof/>
      </w:rPr>
      <w:pict w14:anchorId="20A8AB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52954" o:spid="_x0000_s2051" type="#_x0000_t136" alt="" style="position:absolute;margin-left:0;margin-top:0;width:380.7pt;height:228.4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76F91" w14:textId="77777777" w:rsidR="009A7344" w:rsidRPr="00BC2589" w:rsidRDefault="009A7344" w:rsidP="00937816">
    <w:pPr>
      <w:pStyle w:val="Header"/>
      <w:tabs>
        <w:tab w:val="left" w:pos="720"/>
      </w:tabs>
      <w:jc w:val="both"/>
      <w:rPr>
        <w:i/>
      </w:rPr>
    </w:pPr>
    <w:r w:rsidRPr="00BC2589">
      <w:rPr>
        <w:i/>
      </w:rPr>
      <w:t>GEMA Online</w:t>
    </w:r>
    <w:r>
      <w:rPr>
        <w:i/>
        <w:vertAlign w:val="superscript"/>
      </w:rPr>
      <w:t>®</w:t>
    </w:r>
    <w:r w:rsidRPr="00BC2589">
      <w:rPr>
        <w:i/>
      </w:rPr>
      <w:t xml:space="preserve"> Journal of Language Studies</w:t>
    </w:r>
  </w:p>
  <w:p w14:paraId="75DFE56A" w14:textId="77777777" w:rsidR="009A7344" w:rsidRPr="00294C7B" w:rsidRDefault="009A7344" w:rsidP="00937816">
    <w:pPr>
      <w:pStyle w:val="Header"/>
      <w:tabs>
        <w:tab w:val="left" w:pos="720"/>
      </w:tabs>
      <w:jc w:val="both"/>
      <w:rPr>
        <w:i/>
      </w:rPr>
    </w:pPr>
    <w:r>
      <w:rPr>
        <w:i/>
      </w:rPr>
      <w:t>Volume x (x) xx</w:t>
    </w:r>
    <w:r w:rsidR="0041256C">
      <w:rPr>
        <w:noProof/>
      </w:rPr>
      <w:pict w14:anchorId="6B83C7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52955" o:spid="_x0000_s2050" type="#_x0000_t136" alt="" style="position:absolute;left:0;text-align:left;margin-left:0;margin-top:0;width:380.7pt;height:228.4pt;rotation:315;z-index:-25165414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148F9" w14:textId="77777777" w:rsidR="009A7344" w:rsidRDefault="0041256C">
    <w:pPr>
      <w:pStyle w:val="Header"/>
    </w:pPr>
    <w:r>
      <w:rPr>
        <w:noProof/>
      </w:rPr>
      <w:pict w14:anchorId="0845DB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52953" o:spid="_x0000_s2049" type="#_x0000_t136" alt="" style="position:absolute;margin-left:0;margin-top:0;width:380.7pt;height:228.4pt;rotation:315;z-index:-25165619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049B6"/>
    <w:multiLevelType w:val="multilevel"/>
    <w:tmpl w:val="128E1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6E2F3C"/>
    <w:multiLevelType w:val="hybridMultilevel"/>
    <w:tmpl w:val="15EC78C0"/>
    <w:lvl w:ilvl="0" w:tplc="D718683C">
      <w:start w:val="1"/>
      <w:numFmt w:val="decimal"/>
      <w:lvlText w:val="%1."/>
      <w:lvlJc w:val="center"/>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0BF78E0"/>
    <w:multiLevelType w:val="hybridMultilevel"/>
    <w:tmpl w:val="FC2CD79C"/>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Wingdings"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Wingdings"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Wingdings" w:hint="default"/>
      </w:rPr>
    </w:lvl>
    <w:lvl w:ilvl="8" w:tplc="44090005" w:tentative="1">
      <w:start w:val="1"/>
      <w:numFmt w:val="bullet"/>
      <w:lvlText w:val=""/>
      <w:lvlJc w:val="left"/>
      <w:pPr>
        <w:ind w:left="7200" w:hanging="360"/>
      </w:pPr>
      <w:rPr>
        <w:rFonts w:ascii="Wingdings" w:hAnsi="Wingdings" w:hint="default"/>
      </w:rPr>
    </w:lvl>
  </w:abstractNum>
  <w:abstractNum w:abstractNumId="3" w15:restartNumberingAfterBreak="0">
    <w:nsid w:val="5E386197"/>
    <w:multiLevelType w:val="multilevel"/>
    <w:tmpl w:val="5524B8D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C85559D"/>
    <w:multiLevelType w:val="hybridMultilevel"/>
    <w:tmpl w:val="A15E3B84"/>
    <w:lvl w:ilvl="0" w:tplc="93FCC6A4">
      <w:start w:val="1"/>
      <w:numFmt w:val="upp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embedSystemFonts/>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DQzMDQ1NzUyNDUzMbRQ0lEKTi0uzszPAykwNK8FAAyyLVotAAAA"/>
  </w:docVars>
  <w:rsids>
    <w:rsidRoot w:val="007C0CE0"/>
    <w:rsid w:val="00012C66"/>
    <w:rsid w:val="000173E9"/>
    <w:rsid w:val="00017961"/>
    <w:rsid w:val="00017B70"/>
    <w:rsid w:val="000202FF"/>
    <w:rsid w:val="00021D5A"/>
    <w:rsid w:val="00032C12"/>
    <w:rsid w:val="000370D9"/>
    <w:rsid w:val="000415F4"/>
    <w:rsid w:val="00060D9E"/>
    <w:rsid w:val="00066B5D"/>
    <w:rsid w:val="00074365"/>
    <w:rsid w:val="00084431"/>
    <w:rsid w:val="00091408"/>
    <w:rsid w:val="00093406"/>
    <w:rsid w:val="000959C2"/>
    <w:rsid w:val="00095D23"/>
    <w:rsid w:val="0009785A"/>
    <w:rsid w:val="000A212A"/>
    <w:rsid w:val="000D70FF"/>
    <w:rsid w:val="0010597A"/>
    <w:rsid w:val="00105D4F"/>
    <w:rsid w:val="00117AAA"/>
    <w:rsid w:val="0012702D"/>
    <w:rsid w:val="00130844"/>
    <w:rsid w:val="00131496"/>
    <w:rsid w:val="00141049"/>
    <w:rsid w:val="00145678"/>
    <w:rsid w:val="001471D2"/>
    <w:rsid w:val="001575C5"/>
    <w:rsid w:val="0016072F"/>
    <w:rsid w:val="00166510"/>
    <w:rsid w:val="0017404F"/>
    <w:rsid w:val="0017728C"/>
    <w:rsid w:val="00190303"/>
    <w:rsid w:val="001A1C95"/>
    <w:rsid w:val="001B7AD5"/>
    <w:rsid w:val="001C218A"/>
    <w:rsid w:val="001C26C0"/>
    <w:rsid w:val="001F1121"/>
    <w:rsid w:val="001F77D1"/>
    <w:rsid w:val="002039B8"/>
    <w:rsid w:val="0021135D"/>
    <w:rsid w:val="002158FD"/>
    <w:rsid w:val="00227589"/>
    <w:rsid w:val="00233DA2"/>
    <w:rsid w:val="00235E73"/>
    <w:rsid w:val="00251912"/>
    <w:rsid w:val="002566AD"/>
    <w:rsid w:val="002718FD"/>
    <w:rsid w:val="002778E0"/>
    <w:rsid w:val="002809A8"/>
    <w:rsid w:val="002A111F"/>
    <w:rsid w:val="002A2E64"/>
    <w:rsid w:val="002B0010"/>
    <w:rsid w:val="002B028C"/>
    <w:rsid w:val="002D34D8"/>
    <w:rsid w:val="002D400E"/>
    <w:rsid w:val="002D7648"/>
    <w:rsid w:val="00301E2B"/>
    <w:rsid w:val="0030449A"/>
    <w:rsid w:val="00313B5D"/>
    <w:rsid w:val="00315738"/>
    <w:rsid w:val="00317E22"/>
    <w:rsid w:val="003207BC"/>
    <w:rsid w:val="00325278"/>
    <w:rsid w:val="0033184B"/>
    <w:rsid w:val="0033341E"/>
    <w:rsid w:val="00354CA9"/>
    <w:rsid w:val="00354E55"/>
    <w:rsid w:val="0035699F"/>
    <w:rsid w:val="00356C1A"/>
    <w:rsid w:val="0038584B"/>
    <w:rsid w:val="00395456"/>
    <w:rsid w:val="00396C4B"/>
    <w:rsid w:val="003A1626"/>
    <w:rsid w:val="003E4A0A"/>
    <w:rsid w:val="003F6AB5"/>
    <w:rsid w:val="004110EF"/>
    <w:rsid w:val="0041256C"/>
    <w:rsid w:val="00417CDE"/>
    <w:rsid w:val="00420A44"/>
    <w:rsid w:val="00436A8F"/>
    <w:rsid w:val="00444E08"/>
    <w:rsid w:val="00464C71"/>
    <w:rsid w:val="00473CD4"/>
    <w:rsid w:val="00473E6D"/>
    <w:rsid w:val="00481A41"/>
    <w:rsid w:val="004820C1"/>
    <w:rsid w:val="00482A18"/>
    <w:rsid w:val="00485F5B"/>
    <w:rsid w:val="004A682B"/>
    <w:rsid w:val="004B31DD"/>
    <w:rsid w:val="004B322E"/>
    <w:rsid w:val="004B75CB"/>
    <w:rsid w:val="004C1135"/>
    <w:rsid w:val="004C5768"/>
    <w:rsid w:val="004C5807"/>
    <w:rsid w:val="004E0A61"/>
    <w:rsid w:val="004E28B6"/>
    <w:rsid w:val="00510F19"/>
    <w:rsid w:val="00535B62"/>
    <w:rsid w:val="00536033"/>
    <w:rsid w:val="005467FF"/>
    <w:rsid w:val="005521A6"/>
    <w:rsid w:val="005606B6"/>
    <w:rsid w:val="005713F4"/>
    <w:rsid w:val="005861E4"/>
    <w:rsid w:val="00595347"/>
    <w:rsid w:val="00597C0B"/>
    <w:rsid w:val="005A35AF"/>
    <w:rsid w:val="005B557B"/>
    <w:rsid w:val="005B6330"/>
    <w:rsid w:val="005C3137"/>
    <w:rsid w:val="005D1520"/>
    <w:rsid w:val="005F0989"/>
    <w:rsid w:val="005F1155"/>
    <w:rsid w:val="00601FE7"/>
    <w:rsid w:val="0062214D"/>
    <w:rsid w:val="006226BE"/>
    <w:rsid w:val="00627133"/>
    <w:rsid w:val="006301AE"/>
    <w:rsid w:val="00632E00"/>
    <w:rsid w:val="00644109"/>
    <w:rsid w:val="00646E3F"/>
    <w:rsid w:val="00652A40"/>
    <w:rsid w:val="00667195"/>
    <w:rsid w:val="006706DF"/>
    <w:rsid w:val="00681CDE"/>
    <w:rsid w:val="00694C81"/>
    <w:rsid w:val="006A3587"/>
    <w:rsid w:val="006A7068"/>
    <w:rsid w:val="006B0749"/>
    <w:rsid w:val="006B17CA"/>
    <w:rsid w:val="006B55B2"/>
    <w:rsid w:val="006C3486"/>
    <w:rsid w:val="006C566D"/>
    <w:rsid w:val="006C5CC9"/>
    <w:rsid w:val="006E0599"/>
    <w:rsid w:val="006E6AE9"/>
    <w:rsid w:val="006F521F"/>
    <w:rsid w:val="00705678"/>
    <w:rsid w:val="00716A98"/>
    <w:rsid w:val="00730B56"/>
    <w:rsid w:val="00740558"/>
    <w:rsid w:val="00746D3C"/>
    <w:rsid w:val="00753628"/>
    <w:rsid w:val="00757789"/>
    <w:rsid w:val="00781933"/>
    <w:rsid w:val="007C0CE0"/>
    <w:rsid w:val="007C0E7F"/>
    <w:rsid w:val="007C3F96"/>
    <w:rsid w:val="007D11E2"/>
    <w:rsid w:val="007F5138"/>
    <w:rsid w:val="0081139A"/>
    <w:rsid w:val="00822A27"/>
    <w:rsid w:val="008235BE"/>
    <w:rsid w:val="00835412"/>
    <w:rsid w:val="00851424"/>
    <w:rsid w:val="008533D2"/>
    <w:rsid w:val="008558CD"/>
    <w:rsid w:val="00855A57"/>
    <w:rsid w:val="00855DFE"/>
    <w:rsid w:val="008645BE"/>
    <w:rsid w:val="00887FB9"/>
    <w:rsid w:val="00892F84"/>
    <w:rsid w:val="008C0F10"/>
    <w:rsid w:val="008D7BE2"/>
    <w:rsid w:val="008E203B"/>
    <w:rsid w:val="008E4170"/>
    <w:rsid w:val="008F3560"/>
    <w:rsid w:val="009061DD"/>
    <w:rsid w:val="00934A9B"/>
    <w:rsid w:val="00937816"/>
    <w:rsid w:val="00957CF5"/>
    <w:rsid w:val="00961D52"/>
    <w:rsid w:val="00962228"/>
    <w:rsid w:val="00975874"/>
    <w:rsid w:val="00980F88"/>
    <w:rsid w:val="0098303C"/>
    <w:rsid w:val="00985FE8"/>
    <w:rsid w:val="00986A85"/>
    <w:rsid w:val="0099299A"/>
    <w:rsid w:val="009A1BA2"/>
    <w:rsid w:val="009A1F21"/>
    <w:rsid w:val="009A5548"/>
    <w:rsid w:val="009A7344"/>
    <w:rsid w:val="009D2927"/>
    <w:rsid w:val="009E29AD"/>
    <w:rsid w:val="009F1A35"/>
    <w:rsid w:val="00A02E58"/>
    <w:rsid w:val="00A0728F"/>
    <w:rsid w:val="00A10CBB"/>
    <w:rsid w:val="00A126C6"/>
    <w:rsid w:val="00A154A7"/>
    <w:rsid w:val="00A15EC7"/>
    <w:rsid w:val="00A17AB0"/>
    <w:rsid w:val="00A21013"/>
    <w:rsid w:val="00A21248"/>
    <w:rsid w:val="00A311B7"/>
    <w:rsid w:val="00A33DDD"/>
    <w:rsid w:val="00A361D7"/>
    <w:rsid w:val="00A455FA"/>
    <w:rsid w:val="00A45DEB"/>
    <w:rsid w:val="00A47523"/>
    <w:rsid w:val="00A475C3"/>
    <w:rsid w:val="00A4795E"/>
    <w:rsid w:val="00A51F61"/>
    <w:rsid w:val="00A560B4"/>
    <w:rsid w:val="00A61B64"/>
    <w:rsid w:val="00A623E0"/>
    <w:rsid w:val="00A740B9"/>
    <w:rsid w:val="00A77BA2"/>
    <w:rsid w:val="00A874AF"/>
    <w:rsid w:val="00A90FF4"/>
    <w:rsid w:val="00A939A6"/>
    <w:rsid w:val="00A94B03"/>
    <w:rsid w:val="00A94FB6"/>
    <w:rsid w:val="00AA6D77"/>
    <w:rsid w:val="00AB1373"/>
    <w:rsid w:val="00AB4AD0"/>
    <w:rsid w:val="00AB69BF"/>
    <w:rsid w:val="00AC23D3"/>
    <w:rsid w:val="00AE2B12"/>
    <w:rsid w:val="00AF436E"/>
    <w:rsid w:val="00B039E7"/>
    <w:rsid w:val="00B10439"/>
    <w:rsid w:val="00B10A31"/>
    <w:rsid w:val="00B313A8"/>
    <w:rsid w:val="00B3375B"/>
    <w:rsid w:val="00B3727E"/>
    <w:rsid w:val="00B42791"/>
    <w:rsid w:val="00B53A82"/>
    <w:rsid w:val="00B54DE0"/>
    <w:rsid w:val="00B57366"/>
    <w:rsid w:val="00B57568"/>
    <w:rsid w:val="00B6184A"/>
    <w:rsid w:val="00B61D8D"/>
    <w:rsid w:val="00B71D06"/>
    <w:rsid w:val="00B83731"/>
    <w:rsid w:val="00BA2026"/>
    <w:rsid w:val="00BB19D5"/>
    <w:rsid w:val="00BC4883"/>
    <w:rsid w:val="00BD70DA"/>
    <w:rsid w:val="00BE0172"/>
    <w:rsid w:val="00BE72E8"/>
    <w:rsid w:val="00BF0BE5"/>
    <w:rsid w:val="00C01DBE"/>
    <w:rsid w:val="00C01EE9"/>
    <w:rsid w:val="00C15671"/>
    <w:rsid w:val="00C27BAA"/>
    <w:rsid w:val="00C27FFE"/>
    <w:rsid w:val="00C33C91"/>
    <w:rsid w:val="00C43FD7"/>
    <w:rsid w:val="00C46A41"/>
    <w:rsid w:val="00C5232E"/>
    <w:rsid w:val="00C70E46"/>
    <w:rsid w:val="00C82553"/>
    <w:rsid w:val="00C8730F"/>
    <w:rsid w:val="00CB5771"/>
    <w:rsid w:val="00CB6CBE"/>
    <w:rsid w:val="00CC0751"/>
    <w:rsid w:val="00CC5754"/>
    <w:rsid w:val="00CC59C3"/>
    <w:rsid w:val="00CE280F"/>
    <w:rsid w:val="00CE4206"/>
    <w:rsid w:val="00CE56F6"/>
    <w:rsid w:val="00CE5A58"/>
    <w:rsid w:val="00CE73FF"/>
    <w:rsid w:val="00CF1054"/>
    <w:rsid w:val="00CF482D"/>
    <w:rsid w:val="00D0018F"/>
    <w:rsid w:val="00D02393"/>
    <w:rsid w:val="00D057F3"/>
    <w:rsid w:val="00D11A00"/>
    <w:rsid w:val="00D273A4"/>
    <w:rsid w:val="00D27751"/>
    <w:rsid w:val="00D40C81"/>
    <w:rsid w:val="00D44C60"/>
    <w:rsid w:val="00D525D8"/>
    <w:rsid w:val="00D53B4F"/>
    <w:rsid w:val="00D60345"/>
    <w:rsid w:val="00D668FC"/>
    <w:rsid w:val="00D67016"/>
    <w:rsid w:val="00D752F3"/>
    <w:rsid w:val="00D76FCD"/>
    <w:rsid w:val="00D82072"/>
    <w:rsid w:val="00D82358"/>
    <w:rsid w:val="00D92CE5"/>
    <w:rsid w:val="00D9547C"/>
    <w:rsid w:val="00DD1E0F"/>
    <w:rsid w:val="00DD3AA6"/>
    <w:rsid w:val="00DD4F01"/>
    <w:rsid w:val="00DE3638"/>
    <w:rsid w:val="00DF3C82"/>
    <w:rsid w:val="00E05141"/>
    <w:rsid w:val="00E056A3"/>
    <w:rsid w:val="00E05A3C"/>
    <w:rsid w:val="00E05FEC"/>
    <w:rsid w:val="00E16743"/>
    <w:rsid w:val="00E254BD"/>
    <w:rsid w:val="00E31D98"/>
    <w:rsid w:val="00E607E6"/>
    <w:rsid w:val="00E631AC"/>
    <w:rsid w:val="00E639EA"/>
    <w:rsid w:val="00E81FBF"/>
    <w:rsid w:val="00E83F1A"/>
    <w:rsid w:val="00E8519F"/>
    <w:rsid w:val="00E930F6"/>
    <w:rsid w:val="00EB205B"/>
    <w:rsid w:val="00EB4655"/>
    <w:rsid w:val="00EC160E"/>
    <w:rsid w:val="00EF1BEF"/>
    <w:rsid w:val="00F13D06"/>
    <w:rsid w:val="00F40219"/>
    <w:rsid w:val="00F41C81"/>
    <w:rsid w:val="00F56B80"/>
    <w:rsid w:val="00F7434A"/>
    <w:rsid w:val="00F7752A"/>
    <w:rsid w:val="00F813A2"/>
    <w:rsid w:val="00F82A9F"/>
    <w:rsid w:val="00F84C0A"/>
    <w:rsid w:val="00F87E55"/>
    <w:rsid w:val="00FC508E"/>
    <w:rsid w:val="00FD2D64"/>
    <w:rsid w:val="00FD7AB9"/>
    <w:rsid w:val="00FE2452"/>
    <w:rsid w:val="00FE78FC"/>
    <w:rsid w:val="00FF02D2"/>
    <w:rsid w:val="00FF3682"/>
  </w:rsids>
  <m:mathPr>
    <m:mathFont m:val="Cambria Math"/>
    <m:brkBin m:val="before"/>
    <m:brkBinSub m:val="--"/>
    <m:smallFrac m:val="0"/>
    <m:dispDef m:val="0"/>
    <m:lMargin m:val="0"/>
    <m:rMargin m:val="0"/>
    <m:defJc m:val="centerGroup"/>
    <m:wrapRight/>
    <m:intLim m:val="subSup"/>
    <m:naryLim m:val="subSup"/>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oNotEmbedSmartTags/>
  <w:decimalSymbol w:val="."/>
  <w:listSeparator w:val=","/>
  <w14:docId w14:val="051615AE"/>
  <w15:docId w15:val="{35924D81-A16C-0341-B0CA-AF5896657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7B70"/>
    <w:pPr>
      <w:spacing w:after="0"/>
    </w:pPr>
    <w:rPr>
      <w:rFonts w:ascii="Times New Roman" w:eastAsia="Times New Roman" w:hAnsi="Times New Roman" w:cs="Times New Roman"/>
      <w:sz w:val="24"/>
      <w:szCs w:val="24"/>
      <w:lang w:bidi="th-TH"/>
    </w:rPr>
  </w:style>
  <w:style w:type="paragraph" w:styleId="Heading1">
    <w:name w:val="heading 1"/>
    <w:basedOn w:val="Normal"/>
    <w:link w:val="Heading1Char"/>
    <w:uiPriority w:val="9"/>
    <w:qFormat/>
    <w:rsid w:val="004B322E"/>
    <w:pPr>
      <w:widowControl w:val="0"/>
      <w:autoSpaceDE w:val="0"/>
      <w:autoSpaceDN w:val="0"/>
      <w:ind w:left="101"/>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0CE0"/>
    <w:pPr>
      <w:spacing w:after="0"/>
    </w:pPr>
    <w:rPr>
      <w:rFonts w:ascii="Calibri" w:eastAsia="Calibri" w:hAnsi="Calibri" w:cs="Times New Roman"/>
      <w:sz w:val="22"/>
      <w:szCs w:val="22"/>
    </w:rPr>
  </w:style>
  <w:style w:type="table" w:styleId="TableGrid">
    <w:name w:val="Table Grid"/>
    <w:basedOn w:val="TableNormal"/>
    <w:uiPriority w:val="39"/>
    <w:qFormat/>
    <w:rsid w:val="007C0CE0"/>
    <w:pPr>
      <w:spacing w:after="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0CE0"/>
    <w:rPr>
      <w:rFonts w:ascii="Tahoma" w:hAnsi="Tahoma"/>
      <w:sz w:val="16"/>
      <w:szCs w:val="16"/>
    </w:rPr>
  </w:style>
  <w:style w:type="character" w:customStyle="1" w:styleId="BalloonTextChar">
    <w:name w:val="Balloon Text Char"/>
    <w:basedOn w:val="DefaultParagraphFont"/>
    <w:link w:val="BalloonText"/>
    <w:uiPriority w:val="99"/>
    <w:semiHidden/>
    <w:rsid w:val="007C0CE0"/>
    <w:rPr>
      <w:rFonts w:ascii="Tahoma" w:eastAsia="Calibri" w:hAnsi="Tahoma" w:cs="Times New Roman"/>
      <w:sz w:val="16"/>
      <w:szCs w:val="16"/>
    </w:rPr>
  </w:style>
  <w:style w:type="paragraph" w:styleId="Header">
    <w:name w:val="header"/>
    <w:basedOn w:val="Normal"/>
    <w:link w:val="HeaderChar"/>
    <w:uiPriority w:val="99"/>
    <w:unhideWhenUsed/>
    <w:rsid w:val="007C0CE0"/>
    <w:pPr>
      <w:tabs>
        <w:tab w:val="center" w:pos="4680"/>
        <w:tab w:val="right" w:pos="9360"/>
      </w:tabs>
    </w:pPr>
  </w:style>
  <w:style w:type="character" w:customStyle="1" w:styleId="HeaderChar">
    <w:name w:val="Header Char"/>
    <w:basedOn w:val="DefaultParagraphFont"/>
    <w:link w:val="Header"/>
    <w:uiPriority w:val="99"/>
    <w:rsid w:val="007C0CE0"/>
    <w:rPr>
      <w:rFonts w:ascii="Calibri" w:eastAsia="Calibri" w:hAnsi="Calibri" w:cs="Times New Roman"/>
      <w:sz w:val="22"/>
      <w:szCs w:val="22"/>
    </w:rPr>
  </w:style>
  <w:style w:type="paragraph" w:styleId="Footer">
    <w:name w:val="footer"/>
    <w:basedOn w:val="Normal"/>
    <w:link w:val="FooterChar"/>
    <w:uiPriority w:val="99"/>
    <w:unhideWhenUsed/>
    <w:rsid w:val="007C0CE0"/>
    <w:pPr>
      <w:tabs>
        <w:tab w:val="center" w:pos="4680"/>
        <w:tab w:val="right" w:pos="9360"/>
      </w:tabs>
    </w:pPr>
  </w:style>
  <w:style w:type="character" w:customStyle="1" w:styleId="FooterChar">
    <w:name w:val="Footer Char"/>
    <w:basedOn w:val="DefaultParagraphFont"/>
    <w:link w:val="Footer"/>
    <w:uiPriority w:val="99"/>
    <w:rsid w:val="007C0CE0"/>
    <w:rPr>
      <w:rFonts w:ascii="Calibri" w:eastAsia="Calibri" w:hAnsi="Calibri" w:cs="Times New Roman"/>
      <w:sz w:val="22"/>
      <w:szCs w:val="22"/>
    </w:rPr>
  </w:style>
  <w:style w:type="character" w:styleId="Hyperlink">
    <w:name w:val="Hyperlink"/>
    <w:uiPriority w:val="99"/>
    <w:unhideWhenUsed/>
    <w:qFormat/>
    <w:rsid w:val="007C0CE0"/>
    <w:rPr>
      <w:color w:val="0000FF"/>
      <w:u w:val="single"/>
    </w:rPr>
  </w:style>
  <w:style w:type="paragraph" w:styleId="BodyText">
    <w:name w:val="Body Text"/>
    <w:basedOn w:val="Normal"/>
    <w:link w:val="BodyTextChar"/>
    <w:rsid w:val="007C0CE0"/>
    <w:pPr>
      <w:tabs>
        <w:tab w:val="right" w:pos="8640"/>
      </w:tabs>
      <w:spacing w:line="480" w:lineRule="auto"/>
      <w:ind w:firstLine="720"/>
    </w:pPr>
  </w:style>
  <w:style w:type="character" w:customStyle="1" w:styleId="BodyTextChar">
    <w:name w:val="Body Text Char"/>
    <w:basedOn w:val="DefaultParagraphFont"/>
    <w:link w:val="BodyText"/>
    <w:rsid w:val="007C0CE0"/>
    <w:rPr>
      <w:rFonts w:ascii="Times New Roman" w:eastAsia="Times New Roman" w:hAnsi="Times New Roman" w:cs="Times New Roman"/>
      <w:sz w:val="24"/>
      <w:szCs w:val="24"/>
    </w:rPr>
  </w:style>
  <w:style w:type="paragraph" w:customStyle="1" w:styleId="Default">
    <w:name w:val="Default"/>
    <w:rsid w:val="007C0CE0"/>
    <w:pPr>
      <w:autoSpaceDE w:val="0"/>
      <w:autoSpaceDN w:val="0"/>
      <w:adjustRightInd w:val="0"/>
      <w:spacing w:after="0"/>
    </w:pPr>
    <w:rPr>
      <w:rFonts w:ascii="Times New Roman" w:eastAsia="Calibri" w:hAnsi="Times New Roman" w:cs="Times New Roman"/>
      <w:color w:val="000000"/>
      <w:sz w:val="24"/>
      <w:szCs w:val="24"/>
    </w:rPr>
  </w:style>
  <w:style w:type="paragraph" w:customStyle="1" w:styleId="Normal1">
    <w:name w:val="Normal1"/>
    <w:rsid w:val="007C0CE0"/>
    <w:pPr>
      <w:spacing w:after="0" w:line="276" w:lineRule="auto"/>
    </w:pPr>
    <w:rPr>
      <w:rFonts w:ascii="Arial" w:eastAsia="Arial" w:hAnsi="Arial" w:cs="Arial"/>
      <w:color w:val="000000"/>
      <w:sz w:val="22"/>
      <w:szCs w:val="22"/>
      <w:lang w:val="ru-RU" w:eastAsia="ru-RU"/>
    </w:rPr>
  </w:style>
  <w:style w:type="paragraph" w:styleId="NormalWeb">
    <w:name w:val="Normal (Web)"/>
    <w:basedOn w:val="Normal"/>
    <w:uiPriority w:val="99"/>
    <w:unhideWhenUsed/>
    <w:rsid w:val="004B322E"/>
    <w:pPr>
      <w:spacing w:before="100" w:beforeAutospacing="1" w:after="100" w:afterAutospacing="1"/>
    </w:pPr>
    <w:rPr>
      <w:rFonts w:eastAsiaTheme="minorEastAsia"/>
      <w:lang w:val="en-MY"/>
    </w:rPr>
  </w:style>
  <w:style w:type="character" w:customStyle="1" w:styleId="Heading1Char">
    <w:name w:val="Heading 1 Char"/>
    <w:basedOn w:val="DefaultParagraphFont"/>
    <w:link w:val="Heading1"/>
    <w:uiPriority w:val="9"/>
    <w:rsid w:val="004B322E"/>
    <w:rPr>
      <w:rFonts w:ascii="Times New Roman" w:eastAsia="Times New Roman" w:hAnsi="Times New Roman" w:cs="Times New Roman"/>
      <w:b/>
      <w:bCs/>
      <w:sz w:val="24"/>
      <w:szCs w:val="24"/>
    </w:rPr>
  </w:style>
  <w:style w:type="table" w:customStyle="1" w:styleId="TableGrid1">
    <w:name w:val="Table Grid1"/>
    <w:basedOn w:val="TableNormal"/>
    <w:next w:val="TableGrid"/>
    <w:uiPriority w:val="39"/>
    <w:rsid w:val="00DF3C82"/>
    <w:pPr>
      <w:spacing w:after="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F3C82"/>
    <w:pPr>
      <w:spacing w:after="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F3C82"/>
    <w:pPr>
      <w:spacing w:after="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C5754"/>
    <w:rPr>
      <w:color w:val="605E5C"/>
      <w:shd w:val="clear" w:color="auto" w:fill="E1DFDD"/>
    </w:rPr>
  </w:style>
  <w:style w:type="character" w:styleId="CommentReference">
    <w:name w:val="annotation reference"/>
    <w:basedOn w:val="DefaultParagraphFont"/>
    <w:uiPriority w:val="99"/>
    <w:semiHidden/>
    <w:unhideWhenUsed/>
    <w:rsid w:val="005606B6"/>
    <w:rPr>
      <w:sz w:val="16"/>
      <w:szCs w:val="18"/>
    </w:rPr>
  </w:style>
  <w:style w:type="paragraph" w:styleId="CommentText">
    <w:name w:val="annotation text"/>
    <w:basedOn w:val="Normal"/>
    <w:link w:val="CommentTextChar"/>
    <w:uiPriority w:val="99"/>
    <w:semiHidden/>
    <w:unhideWhenUsed/>
    <w:rsid w:val="005606B6"/>
    <w:rPr>
      <w:sz w:val="20"/>
      <w:szCs w:val="20"/>
    </w:rPr>
  </w:style>
  <w:style w:type="character" w:customStyle="1" w:styleId="CommentTextChar">
    <w:name w:val="Comment Text Char"/>
    <w:basedOn w:val="DefaultParagraphFont"/>
    <w:link w:val="CommentText"/>
    <w:uiPriority w:val="99"/>
    <w:semiHidden/>
    <w:rsid w:val="005606B6"/>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5606B6"/>
    <w:rPr>
      <w:b/>
      <w:bCs/>
    </w:rPr>
  </w:style>
  <w:style w:type="character" w:customStyle="1" w:styleId="CommentSubjectChar">
    <w:name w:val="Comment Subject Char"/>
    <w:basedOn w:val="CommentTextChar"/>
    <w:link w:val="CommentSubject"/>
    <w:uiPriority w:val="99"/>
    <w:semiHidden/>
    <w:rsid w:val="005606B6"/>
    <w:rPr>
      <w:rFonts w:ascii="Calibri" w:eastAsia="Calibri" w:hAnsi="Calibri" w:cs="Times New Roman"/>
      <w:b/>
      <w:bCs/>
    </w:rPr>
  </w:style>
  <w:style w:type="character" w:customStyle="1" w:styleId="katex-mathml">
    <w:name w:val="katex-mathml"/>
    <w:basedOn w:val="DefaultParagraphFont"/>
    <w:rsid w:val="009E29AD"/>
  </w:style>
  <w:style w:type="paragraph" w:customStyle="1" w:styleId="iThesisStyleNormal">
    <w:name w:val="iThesis_Style_Normal"/>
    <w:link w:val="iThesisStyleNormalChar"/>
    <w:unhideWhenUsed/>
    <w:rsid w:val="009A1F21"/>
    <w:pPr>
      <w:spacing w:after="0"/>
    </w:pPr>
    <w:rPr>
      <w:rFonts w:ascii="Times New Roman" w:eastAsia="Calibri" w:hAnsi="Times New Roman" w:cs="Angsana New"/>
      <w:color w:val="000000"/>
      <w:sz w:val="24"/>
      <w:szCs w:val="32"/>
      <w:lang w:bidi="th-TH"/>
    </w:rPr>
  </w:style>
  <w:style w:type="character" w:customStyle="1" w:styleId="iThesisStyleNormalChar">
    <w:name w:val="iThesis_Style_Normal Char"/>
    <w:link w:val="iThesisStyleNormal"/>
    <w:rsid w:val="009A1F21"/>
    <w:rPr>
      <w:rFonts w:ascii="Times New Roman" w:eastAsia="Calibri" w:hAnsi="Times New Roman" w:cs="Angsana New"/>
      <w:color w:val="000000"/>
      <w:sz w:val="24"/>
      <w:szCs w:val="32"/>
      <w:lang w:bidi="th-TH"/>
    </w:rPr>
  </w:style>
  <w:style w:type="paragraph" w:styleId="FootnoteText">
    <w:name w:val="footnote text"/>
    <w:basedOn w:val="Normal"/>
    <w:link w:val="FootnoteTextChar"/>
    <w:uiPriority w:val="99"/>
    <w:semiHidden/>
    <w:unhideWhenUsed/>
    <w:rsid w:val="00D82358"/>
    <w:rPr>
      <w:rFonts w:cs="Angsana New"/>
      <w:sz w:val="20"/>
      <w:szCs w:val="25"/>
    </w:rPr>
  </w:style>
  <w:style w:type="character" w:customStyle="1" w:styleId="FootnoteTextChar">
    <w:name w:val="Footnote Text Char"/>
    <w:basedOn w:val="DefaultParagraphFont"/>
    <w:link w:val="FootnoteText"/>
    <w:uiPriority w:val="99"/>
    <w:semiHidden/>
    <w:rsid w:val="00D82358"/>
    <w:rPr>
      <w:rFonts w:ascii="Times New Roman" w:eastAsia="Times New Roman" w:hAnsi="Times New Roman" w:cs="Angsana New"/>
      <w:szCs w:val="25"/>
      <w:lang w:bidi="th-TH"/>
    </w:rPr>
  </w:style>
  <w:style w:type="character" w:styleId="FootnoteReference">
    <w:name w:val="footnote reference"/>
    <w:basedOn w:val="DefaultParagraphFont"/>
    <w:uiPriority w:val="99"/>
    <w:semiHidden/>
    <w:unhideWhenUsed/>
    <w:rsid w:val="00D8235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3325283">
      <w:bodyDiv w:val="1"/>
      <w:marLeft w:val="0"/>
      <w:marRight w:val="0"/>
      <w:marTop w:val="0"/>
      <w:marBottom w:val="0"/>
      <w:divBdr>
        <w:top w:val="none" w:sz="0" w:space="0" w:color="auto"/>
        <w:left w:val="none" w:sz="0" w:space="0" w:color="auto"/>
        <w:bottom w:val="none" w:sz="0" w:space="0" w:color="auto"/>
        <w:right w:val="none" w:sz="0" w:space="0" w:color="auto"/>
      </w:divBdr>
    </w:div>
    <w:div w:id="15254356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0265532216676851" TargetMode="External"/><Relationship Id="rId13" Type="http://schemas.openxmlformats.org/officeDocument/2006/relationships/hyperlink" Target="https://doi.org/10.1177/1362168815586083"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177/026553229301000308"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i.org/10.17576/gema-2023-2301-02" TargetMode="External"/><Relationship Id="rId5" Type="http://schemas.openxmlformats.org/officeDocument/2006/relationships/webSettings" Target="webSettings.xml"/><Relationship Id="rId15" Type="http://schemas.openxmlformats.org/officeDocument/2006/relationships/hyperlink" Target="mailto:apisak.s@msu.ac.th" TargetMode="External"/><Relationship Id="rId10" Type="http://schemas.openxmlformats.org/officeDocument/2006/relationships/hyperlink" Target="https://doi.org/10.1093/applin/16.3.307"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doi.org/10.1093/applin/19.2.255" TargetMode="External"/><Relationship Id="rId14" Type="http://schemas.openxmlformats.org/officeDocument/2006/relationships/hyperlink" Target="https://doi.org/10.3726/b193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014B574-E03B-FD45-B26B-864C97EDCB8B}">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94609F-49D4-2446-9503-F54F20CE1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8667</Words>
  <Characters>49402</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ukm</Company>
  <LinksUpToDate>false</LinksUpToDate>
  <CharactersWithSpaces>57954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insyirah mohdnor</dc:creator>
  <cp:keywords/>
  <cp:lastModifiedBy>Apisak Simon Sukying</cp:lastModifiedBy>
  <cp:revision>2</cp:revision>
  <cp:lastPrinted>2024-10-10T14:18:00Z</cp:lastPrinted>
  <dcterms:created xsi:type="dcterms:W3CDTF">2024-10-11T05:03:00Z</dcterms:created>
  <dcterms:modified xsi:type="dcterms:W3CDTF">2024-10-11T05:03:00Z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documentId_4192</vt:lpwstr>
  </property>
  <property fmtid="{D5CDD505-2E9C-101B-9397-08002B2CF9AE}" pid="3" name="grammarly_documentContext">
    <vt:lpwstr>{"goals":[],"domain":"general","emotions":[],"dialect":"australian"}</vt:lpwstr>
  </property>
</Properties>
</file>