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DF6" w:rsidRDefault="00015C30">
      <w:pPr>
        <w:spacing w:line="240" w:lineRule="auto"/>
      </w:pPr>
      <w:r>
        <w:rPr>
          <w:b/>
          <w:noProof/>
          <w:lang w:eastAsia="en-US"/>
        </w:rPr>
        <w:drawing>
          <wp:inline distT="0" distB="0" distL="114300" distR="114300">
            <wp:extent cx="5836257" cy="492981"/>
            <wp:effectExtent l="1905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cstate="print"/>
                    <a:srcRect/>
                    <a:stretch>
                      <a:fillRect/>
                    </a:stretch>
                  </pic:blipFill>
                  <pic:spPr>
                    <a:xfrm>
                      <a:off x="0" y="0"/>
                      <a:ext cx="5833641" cy="492760"/>
                    </a:xfrm>
                    <a:prstGeom prst="rect">
                      <a:avLst/>
                    </a:prstGeom>
                    <a:ln/>
                  </pic:spPr>
                </pic:pic>
              </a:graphicData>
            </a:graphic>
          </wp:inline>
        </w:drawing>
      </w:r>
    </w:p>
    <w:p w:rsidR="001E2966" w:rsidRPr="001E2966" w:rsidRDefault="001E2966" w:rsidP="001E2966">
      <w:pPr>
        <w:spacing w:line="240" w:lineRule="auto"/>
      </w:pPr>
    </w:p>
    <w:p w:rsidR="001E2966" w:rsidRPr="001E2966" w:rsidRDefault="001E2966" w:rsidP="001E2966">
      <w:pPr>
        <w:spacing w:line="240" w:lineRule="auto"/>
        <w:jc w:val="center"/>
        <w:rPr>
          <w:sz w:val="28"/>
          <w:szCs w:val="28"/>
        </w:rPr>
      </w:pPr>
      <w:r>
        <w:rPr>
          <w:b/>
          <w:sz w:val="28"/>
          <w:szCs w:val="28"/>
        </w:rPr>
        <w:t>Amalan B</w:t>
      </w:r>
      <w:r w:rsidRPr="001E2966">
        <w:rPr>
          <w:b/>
          <w:sz w:val="28"/>
          <w:szCs w:val="28"/>
        </w:rPr>
        <w:t>odong dan hak penentuan kendiri dalam kalangan komuniti Orang Asal di Kalinga, Filipina</w:t>
      </w:r>
    </w:p>
    <w:p w:rsidR="001E2966" w:rsidRPr="001E2966" w:rsidRDefault="001E2966" w:rsidP="001E2966">
      <w:pPr>
        <w:spacing w:line="240" w:lineRule="auto"/>
        <w:jc w:val="center"/>
        <w:rPr>
          <w:sz w:val="28"/>
          <w:szCs w:val="28"/>
        </w:rPr>
      </w:pPr>
    </w:p>
    <w:p w:rsidR="001E2966" w:rsidRPr="001E2966" w:rsidRDefault="001E2966" w:rsidP="001E2966">
      <w:pPr>
        <w:spacing w:line="240" w:lineRule="auto"/>
        <w:jc w:val="center"/>
        <w:rPr>
          <w:sz w:val="22"/>
          <w:szCs w:val="22"/>
        </w:rPr>
      </w:pPr>
      <w:r w:rsidRPr="001E2966">
        <w:rPr>
          <w:sz w:val="22"/>
          <w:szCs w:val="22"/>
        </w:rPr>
        <w:t>Muhamad Sayuti Hassan@Yahya</w:t>
      </w:r>
      <w:r w:rsidRPr="001E2966">
        <w:rPr>
          <w:sz w:val="22"/>
          <w:szCs w:val="22"/>
          <w:vertAlign w:val="superscript"/>
        </w:rPr>
        <w:t>1</w:t>
      </w:r>
      <w:r w:rsidRPr="001E2966">
        <w:rPr>
          <w:sz w:val="22"/>
          <w:szCs w:val="22"/>
        </w:rPr>
        <w:t>, Rohaida Nordin</w:t>
      </w:r>
      <w:r w:rsidRPr="001E2966">
        <w:rPr>
          <w:sz w:val="22"/>
          <w:szCs w:val="22"/>
          <w:vertAlign w:val="superscript"/>
        </w:rPr>
        <w:t>2</w:t>
      </w:r>
      <w:r w:rsidRPr="001E2966">
        <w:rPr>
          <w:sz w:val="22"/>
          <w:szCs w:val="22"/>
        </w:rPr>
        <w:t xml:space="preserve"> </w:t>
      </w:r>
    </w:p>
    <w:p w:rsidR="001E2966" w:rsidRPr="001E2966" w:rsidRDefault="001E2966" w:rsidP="001E2966">
      <w:pPr>
        <w:spacing w:line="240" w:lineRule="auto"/>
        <w:jc w:val="center"/>
        <w:rPr>
          <w:sz w:val="22"/>
          <w:szCs w:val="22"/>
        </w:rPr>
      </w:pPr>
    </w:p>
    <w:p w:rsidR="001E2966" w:rsidRPr="001E2966" w:rsidRDefault="001E2966" w:rsidP="001E2966">
      <w:pPr>
        <w:spacing w:line="240" w:lineRule="auto"/>
        <w:jc w:val="center"/>
        <w:rPr>
          <w:sz w:val="22"/>
          <w:szCs w:val="22"/>
        </w:rPr>
      </w:pPr>
      <w:r w:rsidRPr="001E2966">
        <w:rPr>
          <w:sz w:val="22"/>
          <w:szCs w:val="22"/>
          <w:vertAlign w:val="superscript"/>
        </w:rPr>
        <w:t>1</w:t>
      </w:r>
      <w:r w:rsidRPr="001E2966">
        <w:rPr>
          <w:sz w:val="22"/>
          <w:szCs w:val="22"/>
        </w:rPr>
        <w:t>Fakulti Sains Kemanusiaan, Universiti Pendidikan Sultan Idris</w:t>
      </w:r>
    </w:p>
    <w:p w:rsidR="001E2966" w:rsidRPr="001E2966" w:rsidRDefault="001E2966" w:rsidP="001E2966">
      <w:pPr>
        <w:spacing w:line="240" w:lineRule="auto"/>
        <w:jc w:val="center"/>
        <w:rPr>
          <w:sz w:val="22"/>
          <w:szCs w:val="22"/>
        </w:rPr>
      </w:pPr>
      <w:r w:rsidRPr="001E2966">
        <w:rPr>
          <w:sz w:val="22"/>
          <w:szCs w:val="22"/>
          <w:vertAlign w:val="superscript"/>
        </w:rPr>
        <w:t>2</w:t>
      </w:r>
      <w:r w:rsidRPr="001E2966">
        <w:rPr>
          <w:sz w:val="22"/>
          <w:szCs w:val="22"/>
        </w:rPr>
        <w:t>Fakulti Undang-undang, Universiti Kebangsaan Malaysia</w:t>
      </w:r>
    </w:p>
    <w:p w:rsidR="001E2966" w:rsidRPr="001E2966" w:rsidRDefault="001E2966" w:rsidP="001E2966">
      <w:pPr>
        <w:spacing w:line="240" w:lineRule="auto"/>
        <w:jc w:val="center"/>
        <w:rPr>
          <w:sz w:val="22"/>
          <w:szCs w:val="22"/>
        </w:rPr>
      </w:pPr>
    </w:p>
    <w:p w:rsidR="001E2966" w:rsidRPr="001E2966" w:rsidRDefault="001E2966" w:rsidP="001E2966">
      <w:pPr>
        <w:spacing w:line="240" w:lineRule="auto"/>
        <w:jc w:val="center"/>
        <w:rPr>
          <w:sz w:val="22"/>
          <w:szCs w:val="22"/>
        </w:rPr>
      </w:pPr>
      <w:r w:rsidRPr="001E2966">
        <w:rPr>
          <w:sz w:val="22"/>
          <w:szCs w:val="22"/>
        </w:rPr>
        <w:t xml:space="preserve">Correspondence: </w:t>
      </w:r>
      <w:r>
        <w:rPr>
          <w:sz w:val="22"/>
          <w:szCs w:val="22"/>
        </w:rPr>
        <w:t>Muhamad Sayuti Hassan@Yahya (emai</w:t>
      </w:r>
      <w:r w:rsidRPr="001E2966">
        <w:rPr>
          <w:sz w:val="22"/>
          <w:szCs w:val="22"/>
        </w:rPr>
        <w:t xml:space="preserve">l: </w:t>
      </w:r>
      <w:hyperlink r:id="rId7">
        <w:r w:rsidRPr="001E2966">
          <w:rPr>
            <w:sz w:val="22"/>
            <w:szCs w:val="22"/>
          </w:rPr>
          <w:t>sayuti@fsk.upsi.edu.my</w:t>
        </w:r>
      </w:hyperlink>
      <w:r w:rsidRPr="001E2966">
        <w:rPr>
          <w:sz w:val="22"/>
          <w:szCs w:val="22"/>
        </w:rPr>
        <w:t>)</w:t>
      </w:r>
    </w:p>
    <w:p w:rsidR="001E2966" w:rsidRPr="001E2966" w:rsidRDefault="001E2966" w:rsidP="001E2966">
      <w:pPr>
        <w:spacing w:line="240" w:lineRule="auto"/>
        <w:jc w:val="center"/>
        <w:rPr>
          <w:sz w:val="22"/>
          <w:szCs w:val="22"/>
        </w:rPr>
      </w:pPr>
    </w:p>
    <w:p w:rsidR="001E2966" w:rsidRPr="001E2966" w:rsidRDefault="001E2966" w:rsidP="001E2966">
      <w:pPr>
        <w:spacing w:line="240" w:lineRule="auto"/>
      </w:pPr>
    </w:p>
    <w:p w:rsidR="001E2966" w:rsidRPr="001E2966" w:rsidRDefault="001E2966" w:rsidP="001E2966">
      <w:pPr>
        <w:spacing w:line="240" w:lineRule="auto"/>
      </w:pPr>
      <w:r w:rsidRPr="001E2966">
        <w:rPr>
          <w:b/>
        </w:rPr>
        <w:t xml:space="preserve">Abstrak </w:t>
      </w:r>
    </w:p>
    <w:p w:rsidR="001E2966" w:rsidRPr="001E2966" w:rsidRDefault="001E2966" w:rsidP="001E2966">
      <w:pPr>
        <w:spacing w:line="240" w:lineRule="auto"/>
        <w:jc w:val="center"/>
      </w:pPr>
    </w:p>
    <w:p w:rsidR="001E2966" w:rsidRPr="001E2966" w:rsidRDefault="001E2966" w:rsidP="001E2966">
      <w:pPr>
        <w:spacing w:line="240" w:lineRule="auto"/>
      </w:pPr>
      <w:r w:rsidRPr="001E2966">
        <w:t>Pengiktirafan hak penentuan kendiri orang asal telah termaktub di bawah perkara 3, Deklarasi Pertubuhan Bangsa-bangsa Bersatu mengenai Hak Orang Asal (DHOA). Walau bagaimanapun, pengiktirafan dari segi amalan di peringkat domestik masih menjadi persoalan. Sehubungan itu, objektif utama artikel ini adalah untuk menganalisis pengiktirafan hak penentuan kendiri orang asal melalui amalan Bodong dalam kalangan orang asal (</w:t>
      </w:r>
      <w:r w:rsidRPr="001E2966">
        <w:rPr>
          <w:i/>
        </w:rPr>
        <w:t xml:space="preserve">Indigenous Cultural Communities </w:t>
      </w:r>
      <w:r w:rsidRPr="001E2966">
        <w:t>dan</w:t>
      </w:r>
      <w:r w:rsidRPr="001E2966">
        <w:rPr>
          <w:i/>
        </w:rPr>
        <w:t xml:space="preserve"> Indigenous Peoples</w:t>
      </w:r>
      <w:r w:rsidRPr="001E2966">
        <w:t xml:space="preserve">) (ICC/IP) Kalinga, di Filipina. Kajian ini menggunakan kaedah sosio-perundangan. Bagi mencapai objektif tersebut, data diperolehi melalui kajian lapangan dan kajian perpustakaan dengan menganalisis menggunakan pendekatan kualitatif. Kajian ini mendapati bahawa amalan Bodong merupakan salah satu simbol pengiktirafan hak penentuan kendiri dari segi amalan dalam kalangan ICC/IP. Pengiktirafan ini menunjukkan bahawa ICC/IP mempunyai autonomi terhadap kehidupan dan amalan tradisi mereka. Amalan ini boleh dianggap sebagai menifestasi pengiktirafan hak penentuan kendiri seperti yang dianjurkan oleh undang-undang antarabangsa. Artikel ini merumuskan bahawa pelaksanaan hak penentuan kendiri orang asal perlu diberi perhatian oleh semua negara agar selari dengan undang-undang antarabangsa. Semua pihak perlu memainkan peranan bagi memastikan pengiktarafan hak penentuan kendiri ini dapat dilaksanakan. Kesimpulannya, pengiktirafan amalan Bodong wajar dijadikan contoh agar pengiktirafan hak orang asal dapat diperkasakan secara menyeluruh, seterusnya dapat membantu kerajaan dan pemegang taruh untuk memenuhi obligasi undang-undang antarabangsa mereka terhadap orang asal. </w:t>
      </w:r>
    </w:p>
    <w:p w:rsidR="001E2966" w:rsidRPr="001E2966" w:rsidRDefault="001E2966" w:rsidP="001E2966">
      <w:pPr>
        <w:spacing w:line="240" w:lineRule="auto"/>
      </w:pPr>
    </w:p>
    <w:p w:rsidR="001E2966" w:rsidRPr="001E2966" w:rsidRDefault="001E2966" w:rsidP="001E2966">
      <w:pPr>
        <w:spacing w:line="240" w:lineRule="auto"/>
      </w:pPr>
      <w:r w:rsidRPr="001E2966">
        <w:rPr>
          <w:b/>
        </w:rPr>
        <w:t>Kata kunci</w:t>
      </w:r>
      <w:r w:rsidRPr="001E2966">
        <w:t xml:space="preserve">: </w:t>
      </w:r>
      <w:r w:rsidR="001E56FF">
        <w:t>bodong, DHOA</w:t>
      </w:r>
      <w:r w:rsidR="00C02859">
        <w:t xml:space="preserve">, hak penentuan kendiri, </w:t>
      </w:r>
      <w:r w:rsidRPr="001E2966">
        <w:t>orang asal, pengiktirafan, undang-undang antarabangsa</w:t>
      </w:r>
    </w:p>
    <w:p w:rsidR="001E2966" w:rsidRPr="001E2966" w:rsidRDefault="001E2966" w:rsidP="001E2966">
      <w:pPr>
        <w:spacing w:line="240" w:lineRule="auto"/>
      </w:pPr>
    </w:p>
    <w:p w:rsidR="001E2966" w:rsidRPr="001E2966" w:rsidRDefault="001E2966" w:rsidP="001E2966">
      <w:pPr>
        <w:spacing w:line="240" w:lineRule="auto"/>
      </w:pPr>
    </w:p>
    <w:p w:rsidR="001E2966" w:rsidRPr="001E2966" w:rsidRDefault="001E2966" w:rsidP="001E2966">
      <w:pPr>
        <w:spacing w:line="240" w:lineRule="auto"/>
        <w:jc w:val="center"/>
      </w:pPr>
      <w:r w:rsidRPr="001E2966">
        <w:rPr>
          <w:b/>
        </w:rPr>
        <w:t>Bodong practices and the right to self-determination of the Indigenous Cultural community in Kalinga, the Philippines</w:t>
      </w:r>
    </w:p>
    <w:p w:rsidR="001E2966" w:rsidRPr="001E2966" w:rsidRDefault="001E2966" w:rsidP="001E2966">
      <w:pPr>
        <w:spacing w:line="240" w:lineRule="auto"/>
      </w:pPr>
    </w:p>
    <w:p w:rsidR="001E2966" w:rsidRPr="001E2966" w:rsidRDefault="001E2966" w:rsidP="001E2966">
      <w:pPr>
        <w:spacing w:line="240" w:lineRule="auto"/>
      </w:pPr>
    </w:p>
    <w:p w:rsidR="001E2966" w:rsidRPr="001E2966" w:rsidRDefault="001E2966" w:rsidP="001E2966">
      <w:pPr>
        <w:spacing w:line="240" w:lineRule="auto"/>
      </w:pPr>
      <w:r w:rsidRPr="001E2966">
        <w:rPr>
          <w:b/>
        </w:rPr>
        <w:t xml:space="preserve">Abstract </w:t>
      </w:r>
    </w:p>
    <w:p w:rsidR="001E2966" w:rsidRPr="001E2966" w:rsidRDefault="001E2966" w:rsidP="001E2966">
      <w:pPr>
        <w:spacing w:line="240" w:lineRule="auto"/>
        <w:jc w:val="center"/>
      </w:pPr>
    </w:p>
    <w:p w:rsidR="001E2966" w:rsidRPr="001E2966" w:rsidRDefault="001E2966" w:rsidP="001E2966">
      <w:pPr>
        <w:spacing w:line="240" w:lineRule="auto"/>
      </w:pPr>
      <w:r w:rsidRPr="001E2966">
        <w:t xml:space="preserve">The recognition of the right to self-determination of indigenous peoples has been endorsed under article 3 of the United Nations Declaration on the Rights of Indigenous Peoples </w:t>
      </w:r>
      <w:r w:rsidRPr="001E2966">
        <w:lastRenderedPageBreak/>
        <w:t xml:space="preserve">(UNDRIP). However, the recognition in practice at the domestic level is still questionable. In this regard, the main objective of this article is to analyze the recognition of indigenous peoples’ right to self-determination through Bodong practices among the Indigenous Cultural Communities and Indigenous Peoples (ICC/IP) of Kalinga, in the Philippines. The study adopted socio-legal methodology. To achieve the objective, data were collected through field studies and library research and analyzed using qualitative approach. The practice of Bodong is marked as recognition of the rights to self-determination, in practice, of the ICC/IP. This recognition demonstrates that ICC/IP has an autonomy to pursue their traditional life and practices in line with international law. This article concludes that all States should ensure that the implementation of the rights to self-determination of the indigenous peoples is in line with international law. All parties need to play their roles in ensuring that the right to self-determination is implemented. In conclusion, the recognition of Bodong's practice should be followed in order to ensure recognition of the rights of indigenous peoples to self-determination is empowered as a whole, thus assisting the government and stakeholders in meeting their international law obligation towards indigenous peoples. </w:t>
      </w:r>
    </w:p>
    <w:p w:rsidR="001E2966" w:rsidRPr="001E2966" w:rsidRDefault="001E2966" w:rsidP="001E2966">
      <w:pPr>
        <w:spacing w:line="240" w:lineRule="auto"/>
      </w:pPr>
    </w:p>
    <w:p w:rsidR="001E2966" w:rsidRPr="001E2966" w:rsidRDefault="001E2966" w:rsidP="001E2966">
      <w:pPr>
        <w:spacing w:line="240" w:lineRule="auto"/>
      </w:pPr>
      <w:r w:rsidRPr="001E2966">
        <w:rPr>
          <w:b/>
        </w:rPr>
        <w:t>Keywords</w:t>
      </w:r>
      <w:r w:rsidRPr="001E2966">
        <w:t xml:space="preserve">: bodong, </w:t>
      </w:r>
      <w:r w:rsidR="00C02859" w:rsidRPr="001E2966">
        <w:t>indigenous people</w:t>
      </w:r>
      <w:r w:rsidR="00C02859">
        <w:t xml:space="preserve">, </w:t>
      </w:r>
      <w:r w:rsidR="00C02859" w:rsidRPr="001E2966">
        <w:t>international law</w:t>
      </w:r>
      <w:r w:rsidR="00C02859">
        <w:t xml:space="preserve">, </w:t>
      </w:r>
      <w:r w:rsidR="00C02859" w:rsidRPr="001E2966">
        <w:t>recognition</w:t>
      </w:r>
      <w:r w:rsidR="00C02859">
        <w:t>, self-determination, UNDRIP</w:t>
      </w:r>
    </w:p>
    <w:p w:rsidR="001E2966" w:rsidRDefault="001E2966">
      <w:pPr>
        <w:spacing w:line="240" w:lineRule="auto"/>
        <w:jc w:val="center"/>
        <w:rPr>
          <w:b/>
          <w:sz w:val="28"/>
          <w:szCs w:val="28"/>
        </w:rPr>
      </w:pPr>
    </w:p>
    <w:p w:rsidR="001E2966" w:rsidRDefault="001E2966">
      <w:pPr>
        <w:spacing w:line="240" w:lineRule="auto"/>
        <w:rPr>
          <w:b/>
          <w:sz w:val="28"/>
          <w:szCs w:val="28"/>
        </w:rPr>
      </w:pPr>
    </w:p>
    <w:p w:rsidR="00E27DF6" w:rsidRDefault="00015C30">
      <w:pPr>
        <w:spacing w:line="240" w:lineRule="auto"/>
      </w:pPr>
      <w:r>
        <w:rPr>
          <w:b/>
        </w:rPr>
        <w:t xml:space="preserve">Pengenalan </w:t>
      </w:r>
    </w:p>
    <w:p w:rsidR="00E27DF6" w:rsidRDefault="00E27DF6">
      <w:pPr>
        <w:spacing w:line="240" w:lineRule="auto"/>
      </w:pPr>
    </w:p>
    <w:p w:rsidR="001E2966" w:rsidRDefault="00015C30">
      <w:pPr>
        <w:widowControl w:val="0"/>
        <w:spacing w:line="240" w:lineRule="auto"/>
      </w:pPr>
      <w:r>
        <w:t xml:space="preserve">Tanggal 13 September 2007, Perhimpunan Agung Pertubuhan Bangsa-bangsa Bersatu telah menerima Deklarasi mengenai Hak Orang Asal (DHOA). Salah satu hak yang utama diiktiraf ialah hak penentuan kendiri. Pengiktirafan ini diperuntukan di bawah perkara 3 DHOA seperti berikut: </w:t>
      </w:r>
    </w:p>
    <w:p w:rsidR="001E2966" w:rsidRDefault="001E2966">
      <w:pPr>
        <w:widowControl w:val="0"/>
        <w:spacing w:line="240" w:lineRule="auto"/>
      </w:pPr>
    </w:p>
    <w:p w:rsidR="001E2966" w:rsidRDefault="00015C30" w:rsidP="001E2966">
      <w:pPr>
        <w:widowControl w:val="0"/>
        <w:spacing w:line="240" w:lineRule="auto"/>
        <w:ind w:left="709" w:right="798"/>
      </w:pPr>
      <w:r w:rsidRPr="001E2966">
        <w:rPr>
          <w:color w:val="000000"/>
        </w:rPr>
        <w:t>“</w:t>
      </w:r>
      <w:r w:rsidR="001E2966">
        <w:rPr>
          <w:color w:val="000000"/>
        </w:rPr>
        <w:t>…</w:t>
      </w:r>
      <w:r>
        <w:rPr>
          <w:i/>
          <w:color w:val="000000"/>
        </w:rPr>
        <w:t xml:space="preserve">Indigenous peoples have the right to self-determination. By virtue of that right they freely determine their political status and freely pursue their economic, </w:t>
      </w:r>
      <w:r w:rsidR="001E2966">
        <w:rPr>
          <w:i/>
          <w:color w:val="000000"/>
        </w:rPr>
        <w:t>social and cultural development</w:t>
      </w:r>
      <w:r w:rsidRPr="001E2966">
        <w:rPr>
          <w:color w:val="000000"/>
        </w:rPr>
        <w:t>”</w:t>
      </w:r>
      <w:r w:rsidR="001E2966">
        <w:rPr>
          <w:color w:val="000000"/>
        </w:rPr>
        <w:t>.</w:t>
      </w:r>
    </w:p>
    <w:p w:rsidR="001E2966" w:rsidRDefault="001E2966">
      <w:pPr>
        <w:widowControl w:val="0"/>
        <w:spacing w:line="240" w:lineRule="auto"/>
      </w:pPr>
    </w:p>
    <w:p w:rsidR="00E27DF6" w:rsidRDefault="00015C30" w:rsidP="001E2966">
      <w:pPr>
        <w:widowControl w:val="0"/>
        <w:spacing w:line="240" w:lineRule="auto"/>
        <w:ind w:firstLine="426"/>
      </w:pPr>
      <w:r>
        <w:t>Seperti yang ditekankan dalam penulisan lain, hak penentuan kendiri orang asal perlu diiktiraf kerana hak tersebut merupakan hak asas kepada kehidupan merek</w:t>
      </w:r>
      <w:r w:rsidR="001E2966">
        <w:t>a (Muhamad Sayuti Hassan, 2016;</w:t>
      </w:r>
      <w:r>
        <w:t xml:space="preserve"> E/CN.4/2000/84, para 43). Apatah lagi hak berkenaan merupakan salah satu cabang utama di bawah undang-undang ant</w:t>
      </w:r>
      <w:r w:rsidR="001E2966">
        <w:t>arabangsa</w:t>
      </w:r>
      <w:r>
        <w:t xml:space="preserve"> yang wajar diberi perhatian (Knop, 2004). Dalam konteks hari ini, pengiktirafan hak penentuan kendiri ini adalah sejajar dengan Matlamat 10, Matlamat Pembangunan Mampan (</w:t>
      </w:r>
      <w:r>
        <w:rPr>
          <w:i/>
        </w:rPr>
        <w:t>Sustainable Development Goals</w:t>
      </w:r>
      <w:r>
        <w:t xml:space="preserve">). Matlamat 10 menganjurkan kesamarataan tanpa membezakan etnik, jantina dan bangsa. </w:t>
      </w:r>
    </w:p>
    <w:p w:rsidR="00E27DF6" w:rsidRDefault="00015C30" w:rsidP="001E2966">
      <w:pPr>
        <w:spacing w:line="240" w:lineRule="auto"/>
        <w:ind w:firstLine="426"/>
      </w:pPr>
      <w:r>
        <w:t>Objektif utama artikel ini adalah untuk menganalisis pengiktirafan hak penentuan kendiri orang asal melalui amalan Bodong dalam kalangan orang asal Kalinga, di Filipina yang dirujuk sebagai</w:t>
      </w:r>
      <w:r>
        <w:rPr>
          <w:i/>
        </w:rPr>
        <w:t xml:space="preserve"> Indigenous Cultural Communities </w:t>
      </w:r>
      <w:r>
        <w:t>dan</w:t>
      </w:r>
      <w:r>
        <w:rPr>
          <w:i/>
        </w:rPr>
        <w:t xml:space="preserve"> Indigenous Peoples</w:t>
      </w:r>
      <w:r>
        <w:t xml:space="preserve"> (ICC/IP) di dalam undang-undang negara berkenaan. </w:t>
      </w:r>
    </w:p>
    <w:p w:rsidR="00E27DF6" w:rsidRDefault="00E27DF6">
      <w:pPr>
        <w:spacing w:line="240" w:lineRule="auto"/>
      </w:pPr>
    </w:p>
    <w:p w:rsidR="001E2966" w:rsidRDefault="001E2966">
      <w:pPr>
        <w:spacing w:line="240" w:lineRule="auto"/>
        <w:rPr>
          <w:b/>
        </w:rPr>
      </w:pPr>
    </w:p>
    <w:p w:rsidR="00B47076" w:rsidRDefault="00B47076" w:rsidP="00B47076">
      <w:pPr>
        <w:spacing w:line="240" w:lineRule="auto"/>
      </w:pPr>
      <w:r>
        <w:rPr>
          <w:b/>
        </w:rPr>
        <w:t>Pengiktirafan hak penentuan kendiri di bawah Undang-Undang Antarabangsa</w:t>
      </w:r>
    </w:p>
    <w:p w:rsidR="00B47076" w:rsidRDefault="00B47076" w:rsidP="00B47076">
      <w:pPr>
        <w:spacing w:line="240" w:lineRule="auto"/>
      </w:pPr>
    </w:p>
    <w:p w:rsidR="00B47076" w:rsidRDefault="00B47076" w:rsidP="00B47076">
      <w:pPr>
        <w:widowControl w:val="0"/>
        <w:spacing w:line="240" w:lineRule="auto"/>
      </w:pPr>
      <w:r>
        <w:t xml:space="preserve">Hak penentuan kendiri di bawah peruntukan perkara 3 adalah sama seperti apa yang terkandung dalam kedua-dua Waad Antarabangsa berkaitan Hak Sivil dan Politik (WAHSP), 1966 dan Waad Antarabangsa berkaitan Hak Sosial, Ekonomi dan Budaya (WAHSEB) melainkan DHOA ini adalah khusus untuk orang asal. </w:t>
      </w:r>
      <w:proofErr w:type="gramStart"/>
      <w:r>
        <w:t xml:space="preserve">Peruntukan hak penentuan kendiri </w:t>
      </w:r>
      <w:r>
        <w:lastRenderedPageBreak/>
        <w:t>orang asal merangkumi empat dimensi utama iaitu politik, pembangunan ekonomi, sosial dan kebudayaan.</w:t>
      </w:r>
      <w:proofErr w:type="gramEnd"/>
      <w:r>
        <w:t xml:space="preserve"> Daes (1996) menyifatkan dimensi-dimensi tersebut mempunyai perkaitan yang rapat dengan pengiktirafan hak ke atas kekayaan sumber alam dan semulajadi.</w:t>
      </w:r>
    </w:p>
    <w:p w:rsidR="00B47076" w:rsidRDefault="00B47076" w:rsidP="00B47076">
      <w:pPr>
        <w:spacing w:line="240" w:lineRule="auto"/>
        <w:ind w:firstLine="426"/>
      </w:pPr>
      <w:r>
        <w:t xml:space="preserve">Walau bagaimanapun, peruntukan perkara 4 DHOA menghadkan skop hak penentuan kendiri iaitu hanya melibatkan hak autonomi atau kerajaan sendiri. Peruntukan ini menghubungkan antara hak penentuan kendiri dengan hak orang asal terhadap autonomi dan pentadbiran sendiri. </w:t>
      </w:r>
      <w:proofErr w:type="gramStart"/>
      <w:r>
        <w:t>Ia</w:t>
      </w:r>
      <w:proofErr w:type="gramEnd"/>
      <w:r>
        <w:t xml:space="preserve"> boleh dilihat sebagai salah satu menifestasi kepada dimensi politik yang diperuntukkan di bawah perkara 3, DHOA.</w:t>
      </w:r>
      <w:r>
        <w:rPr>
          <w:b/>
        </w:rPr>
        <w:t xml:space="preserve"> </w:t>
      </w:r>
      <w:r>
        <w:t xml:space="preserve">Peruntukan perkara 4 ini juga mengiktiraf </w:t>
      </w:r>
      <w:proofErr w:type="gramStart"/>
      <w:r>
        <w:t>cara</w:t>
      </w:r>
      <w:proofErr w:type="gramEnd"/>
      <w:r>
        <w:t xml:space="preserve"> untuk menguruskan kewangan untuk tujuan pentadbiran sendiri kehidupan orang asal. Berhubung perkara 4 ini, Rohaida dan Witbrodt (2012) menyifatkan bahawa peruntukan tersebut sebagai menghadkan hak penentuan kendiri dan hanya terpakai dalam konteks dalaman sahaja berbanding hak penentuan kendiri semua orang yang merangkumi hak terhadap pemisahan. Di samping itu, perkara 46 mensyaratkan kepatuhan terhadap prinsip kedaulatan dan keutuhan wilayah di sesebuah negara. Syarat tersebut menggambarkan bahawa wujud ketidakseimbangan dalam pengiktirafan hak penentuan kendiri kepada semua orang yang termasuk hak untuk pemisahan. Tindakan ini adalah bertentangan dengan prinsip kesamarataan dan mendiskriminasi orang asal walau sekalipun dalam banyak keadaan orang asal tidak mengimpikan pemisahan seperti yang terdapat di bawah undang-undang antarabangsa (E/CN.4/Sub.2/1993/29, para 61).</w:t>
      </w:r>
    </w:p>
    <w:p w:rsidR="00B47076" w:rsidRDefault="00B47076" w:rsidP="00B47076">
      <w:pPr>
        <w:spacing w:line="240" w:lineRule="auto"/>
        <w:ind w:firstLine="426"/>
      </w:pPr>
      <w:r>
        <w:t xml:space="preserve">Selain itu, pengiktirafan autonomi orang asal juga boleh dirujuk melalui peruntukan perkara 5 DHOA yang meliputi dimensi politik. Peruntukan perkara 5 DHOA membenarkan orang asal untuk menguruskan dan memperkemaskan struktur politik mereka dan mempunyai hak untuk terlibat </w:t>
      </w:r>
      <w:proofErr w:type="gramStart"/>
      <w:r>
        <w:t>sama</w:t>
      </w:r>
      <w:proofErr w:type="gramEnd"/>
      <w:r>
        <w:t xml:space="preserve"> secara penuh dengan kerajaan dalam aspek politik. Penyertaan orang asal dalam pembuatan keputusan juga signifikan untuk perlaksanaan hak penentuan kendiri (Perkara 18 DHOA). Penyertaan ini perlu melibatkan perwakilan orang asal yang dipilih oleh masyarakat mereka sendiri dan orang asal berhak untuk menentukan tanggungjawab individu tertentu dalam masyarakat mereka seperti pemilihan ketua dan sebagainya (Perkara 35 DHOA), manakala kerajaan juga perlu memperakui hak orang asal untuk membangunkan institusi pembuatan keputusan mereka sendiri (Perkara 18 DHOA). </w:t>
      </w:r>
      <w:proofErr w:type="gramStart"/>
      <w:r>
        <w:t>Walaupun aspek urus tadbir diplomatik ini berada dibawah ruang lingkup politik, namun tetap berkait rapat dengan aspek ekonomi dan juga sosial (Perkara 20 DHOA).</w:t>
      </w:r>
      <w:proofErr w:type="gramEnd"/>
    </w:p>
    <w:p w:rsidR="00B47076" w:rsidRDefault="00B47076" w:rsidP="00B47076">
      <w:pPr>
        <w:widowControl w:val="0"/>
        <w:spacing w:line="240" w:lineRule="auto"/>
        <w:ind w:firstLine="426"/>
      </w:pPr>
      <w:r>
        <w:t xml:space="preserve">Selain DHOA, hak penentuan kendiri juga turut mendapat perhatian Mahkamah Keadilan Antarabangsa (MKA). Pada tahun 1996, MKA melalui kes </w:t>
      </w:r>
      <w:r>
        <w:rPr>
          <w:color w:val="000000"/>
        </w:rPr>
        <w:t xml:space="preserve">Portugal </w:t>
      </w:r>
      <w:r w:rsidRPr="00B47076">
        <w:t>v</w:t>
      </w:r>
      <w:r>
        <w:t>s</w:t>
      </w:r>
      <w:r w:rsidRPr="00B47076">
        <w:t>.</w:t>
      </w:r>
      <w:r>
        <w:rPr>
          <w:color w:val="000000"/>
        </w:rPr>
        <w:t xml:space="preserve"> Australia</w:t>
      </w:r>
      <w:r>
        <w:rPr>
          <w:i/>
          <w:color w:val="000000"/>
        </w:rPr>
        <w:t xml:space="preserve"> (East Timor Case), </w:t>
      </w:r>
      <w:r>
        <w:rPr>
          <w:color w:val="000000"/>
        </w:rPr>
        <w:t>ICJ Reports (1996) memutuskan bahawa hak penentuan kendiri adalah “</w:t>
      </w:r>
      <w:r>
        <w:rPr>
          <w:i/>
          <w:color w:val="000000"/>
        </w:rPr>
        <w:t>erga omnes</w:t>
      </w:r>
      <w:r>
        <w:rPr>
          <w:color w:val="000000"/>
        </w:rPr>
        <w:t>”. Status “</w:t>
      </w:r>
      <w:r>
        <w:rPr>
          <w:i/>
          <w:color w:val="000000"/>
        </w:rPr>
        <w:t>erga omnes</w:t>
      </w:r>
      <w:r>
        <w:rPr>
          <w:color w:val="000000"/>
        </w:rPr>
        <w:t xml:space="preserve">” </w:t>
      </w:r>
      <w:r>
        <w:t xml:space="preserve">merupakan satu doktrin undang-undang antarabangsa yang merujuk kepada hak dan obligasi yang terpakai kepada semua orang. Oleh yang demikian, hak penentuan kendiri patut diiktiraf kepada semua orang termasuklah orang asal. </w:t>
      </w:r>
    </w:p>
    <w:p w:rsidR="00B47076" w:rsidRDefault="00B47076" w:rsidP="00B47076">
      <w:pPr>
        <w:widowControl w:val="0"/>
        <w:spacing w:line="240" w:lineRule="auto"/>
        <w:ind w:firstLine="426"/>
      </w:pPr>
      <w:r>
        <w:rPr>
          <w:color w:val="000000"/>
        </w:rPr>
        <w:t>Beberapa pakar undang-undang antarabangsa seperti Anaya berpendapat bahawa hak penentuan kendiri telah menerima status “</w:t>
      </w:r>
      <w:r>
        <w:rPr>
          <w:i/>
          <w:color w:val="000000"/>
        </w:rPr>
        <w:t>jus cogen</w:t>
      </w:r>
      <w:r>
        <w:rPr>
          <w:color w:val="000000"/>
        </w:rPr>
        <w:t xml:space="preserve">” di bawah undang-undang antarabangsa </w:t>
      </w:r>
      <w:r>
        <w:t>(Hannum, 1990; Anaya, 2004). Sehubungan itu, implikasi status “</w:t>
      </w:r>
      <w:r>
        <w:rPr>
          <w:i/>
        </w:rPr>
        <w:t>jus cogen</w:t>
      </w:r>
      <w:r>
        <w:t>” telah diperuntukan di bawah perkara 53, Konvensyen Viena mengenai Undang-undang Triti, 1969 iaitu sebarang triti yang bercanggah dengan prinsip “</w:t>
      </w:r>
      <w:r>
        <w:rPr>
          <w:i/>
        </w:rPr>
        <w:t>jus cogen</w:t>
      </w:r>
      <w:r>
        <w:t>” dianggap sebagai tidak sah. Selain itu, Daes (2001) mentakrifkan hak penentuan kendiri orang asal sebagai kebebasan, integriti dan kehormatan terhadap orang asal atau dalam erti kata lain kebebasan untuk hidup mengikut adat dan kepercayaan serta dihormati oleh masyarakat majoriti. Oleh yang demikian, tidak dinafikan lagi bahawa hak penentuan kendiri merupakan konsep yang sudah lama diterima pakai di bawah undang-undang antarabangsa dan pemakaiannya dalam konteks orang asal adalah berasas.</w:t>
      </w:r>
    </w:p>
    <w:p w:rsidR="00B47076" w:rsidRDefault="00B47076" w:rsidP="00B47076">
      <w:pPr>
        <w:widowControl w:val="0"/>
        <w:spacing w:line="240" w:lineRule="auto"/>
        <w:ind w:firstLine="426"/>
      </w:pPr>
    </w:p>
    <w:p w:rsidR="00B47076" w:rsidRDefault="00B47076" w:rsidP="00B47076">
      <w:pPr>
        <w:spacing w:line="240" w:lineRule="auto"/>
        <w:ind w:firstLine="426"/>
      </w:pPr>
      <w:r>
        <w:lastRenderedPageBreak/>
        <w:t xml:space="preserve">Salah satu aspek pelaksanaan hak penentuan kendiri ialah melalui pemberian autonomi kepada orang asal. Terma autonomi berasal daripada dua kalimah Greek iaitu </w:t>
      </w:r>
      <w:r>
        <w:rPr>
          <w:i/>
        </w:rPr>
        <w:t>auto</w:t>
      </w:r>
      <w:r>
        <w:t xml:space="preserve"> bermaksud sendiri dan </w:t>
      </w:r>
      <w:r>
        <w:rPr>
          <w:i/>
        </w:rPr>
        <w:t>nomos</w:t>
      </w:r>
      <w:r>
        <w:t xml:space="preserve"> bermaksud undang-undang dan gabungan tersebut boleh difahami sebagai hak untuk membuat undang-undang sendiri (Lapidoth, 1993). Autonomi juga boleh diskopkan dalam konteks pengiktirafan hak secara domestik (</w:t>
      </w:r>
      <w:r>
        <w:rPr>
          <w:i/>
        </w:rPr>
        <w:t>internal</w:t>
      </w:r>
      <w:r>
        <w:t>). Definisi seumpama ini boleh dilihat menerusi pandangan Hannum dan Lillich (1980) yang menganjurkan autonomi sebagai kemerdekaan dalam konteks domestik manakala bagi urusan antarabangsa dan pertahanan adalah bidangkuasa kerajaan pusat. Selari dengan definisi tersebut, Heintz (1998) menambah bahawa autonomi adalah pengiktirafan sesuatu kumpulan sebagai separa merdeka daripada kerajaan pusat dengan memberikan kuasa pemerintahan sendiri secara dalaman. Bersesuaian dengan orang asal, Bernhardt menggagaskan autonomi sebagai pemberian hak kepada suatu kumpulan dengan memberikan penekanan kepada elemen identiti berbeza (</w:t>
      </w:r>
      <w:r>
        <w:rPr>
          <w:i/>
        </w:rPr>
        <w:t>distinct</w:t>
      </w:r>
      <w:r>
        <w:t xml:space="preserve">) daripada kumpulan majoriti dalam sesebuah negara (Heintz, 1998). Definisi-definisi yang dikemukakan ini adalah selari dengan inspirasi orang asal yang menuntut pengiktirafan domestik (dalaman) oleh kerajaan dalam sesebuah negara. </w:t>
      </w:r>
    </w:p>
    <w:p w:rsidR="00B47076" w:rsidRDefault="00B47076" w:rsidP="00B47076">
      <w:pPr>
        <w:spacing w:line="240" w:lineRule="auto"/>
        <w:ind w:firstLine="426"/>
      </w:pPr>
      <w:r>
        <w:t xml:space="preserve">Selain pengiktirafan bersifat dalaman, Daes (2001) berpendapat bahawa konsep autonomi bagi orang asal juga harus meliputi pengiktirafan kuasa, kebebasan, hak serta menyediakan perlindungan yang berkesan kepada mereka termasuklah berkaitan hak tanah adat. Pengiktirafan tersebut wajar dipertimbangkan kerana tanah merupakan elemen yang penting kerana dapat menjamin dua perkara asas kepada orang asal iaitu identiti dan juga keselamatan (Hannum, 1990). Tambahan itu, hak berkenaan ialah hak yang diwarisi sejak dahulu lagi kerana mereka berhak ke atas tanah adat dan mempunyai sistem urus tadbir sendiri sebelum penjajahan dahulu (Loukacheva, 2005). Pengiktirafan ini adalah penting bagi menyumbang kelestarian kehidupan tradisional orang asal. </w:t>
      </w:r>
    </w:p>
    <w:p w:rsidR="00B47076" w:rsidRDefault="00B47076" w:rsidP="00B47076">
      <w:pPr>
        <w:spacing w:line="240" w:lineRule="auto"/>
        <w:ind w:firstLine="426"/>
      </w:pPr>
      <w:r>
        <w:t xml:space="preserve">Selain kelestarian kehidupan orang asal, hak autonomi juga mempunyai peranan yang signifikan kepada orang asal secara keseluruhan. Menurut Alfredsson, pengiktirafan autonomi dikatakan mampu untuk memartabatkan mereka sebaris dengan masyarakat majoriti kerana mereka tidak dominan dan terkesan oleh penjajahan dahulu (Alfredsson, 1998). Bukan sekadar itu, pengiktirafan ini juga </w:t>
      </w:r>
      <w:proofErr w:type="gramStart"/>
      <w:r>
        <w:t>akan</w:t>
      </w:r>
      <w:proofErr w:type="gramEnd"/>
      <w:r>
        <w:t xml:space="preserve"> bertindak sebagai mekanisme yang berkesan untuk memberi perlindungan kepada indentiti kumpulan, kesamarataan dan maruah sesebuah kumpulan masyarakat seperti orang asal (Alfredsson, 1998;</w:t>
      </w:r>
      <w:r w:rsidRPr="00B47076">
        <w:t xml:space="preserve"> </w:t>
      </w:r>
      <w:r>
        <w:t xml:space="preserve">Daes, 2001). Pengiktirafan ini disifatkan sebagai syarat untuk meneruskan perjuangan untuk mendapatkan kesamarataan, kebebasan, maruah dan diskriminasi hak (Daes, 2001). </w:t>
      </w:r>
      <w:proofErr w:type="gramStart"/>
      <w:r>
        <w:t>Ia</w:t>
      </w:r>
      <w:proofErr w:type="gramEnd"/>
      <w:r>
        <w:t xml:space="preserve"> adalah sejajar dengan inspirasi orang asal seperti yang ditekankan oleh Eide bahawa pengiktirafan seperti ini adalah penting bagi memelihara keteguhan politik, ekonomi dan elemen kebudayaan orang asal (Eidi, 1995).</w:t>
      </w:r>
    </w:p>
    <w:p w:rsidR="00B47076" w:rsidRDefault="00B47076" w:rsidP="00B47076">
      <w:pPr>
        <w:widowControl w:val="0"/>
        <w:spacing w:line="240" w:lineRule="auto"/>
        <w:ind w:firstLine="426"/>
      </w:pPr>
      <w:r>
        <w:t xml:space="preserve">Dalam beberapa sesi persidangan </w:t>
      </w:r>
      <w:r>
        <w:rPr>
          <w:color w:val="000000"/>
        </w:rPr>
        <w:t>Kumpulan Kerja Populasi Orang Asal (KKPOA)</w:t>
      </w:r>
      <w:r>
        <w:t xml:space="preserve"> dan </w:t>
      </w:r>
      <w:r>
        <w:rPr>
          <w:color w:val="000000"/>
        </w:rPr>
        <w:t>Kumpulan Kerja Deraf Deklarasi mengenai Hak Orang Asal</w:t>
      </w:r>
      <w:r>
        <w:t xml:space="preserve"> (KKDD), pelbagai perwakilan mengutarakan pelbagai model pelaksanaan autonomi di peringkat domestik. Contohnya, perwakilan Mexico memaklumkan bahawa kerajaannya mengiktirafkan kerangka kerja hak penentuan kendiri yang menjadi inspirasi setiap orang asal (E/CN.4/Sub.2/2002/24, para 36) manakala perwakilan Denmark mencadangkan </w:t>
      </w:r>
      <w:r>
        <w:rPr>
          <w:i/>
        </w:rPr>
        <w:t>Greenland Home Rule</w:t>
      </w:r>
      <w:r>
        <w:t xml:space="preserve"> sebagai salah satu model pemberian kuasa autonomi dan pengiktirafan hak penentuan kendiri orang asal (E/CN.4/Sub.2/2001/17, para 126). Di samping itu, perwakilan Perancis mengutarakan contoh implimentasi pengiktirafan dan sokongan yang diamalkan di New Caledonia, iaitu hak penentuan kendiri dipraktikkan melalui rundingan tripihak antara orang Kanak, Caldochaces dan juga kerajaan (E/CN.4/2001/85, para 62-64). Walaupun begitu, laporan Pengerusi Pelapor, Daes pada persidangan ke 11 telah mendedahkan bahawa majoriti perwakilan kerajaan masih merasa sangsi dengan peruntukkan hak penentuan kendiri kepada orang asal (E/CN.4/Sub.2/1993/29, para 50).</w:t>
      </w:r>
    </w:p>
    <w:p w:rsidR="00B47076" w:rsidRDefault="00B47076" w:rsidP="00B47076">
      <w:pPr>
        <w:widowControl w:val="0"/>
        <w:spacing w:line="240" w:lineRule="auto"/>
        <w:ind w:firstLine="426"/>
      </w:pPr>
      <w:r>
        <w:lastRenderedPageBreak/>
        <w:t>Bagi memastikan hak autonomi ini dapat berfungsi dan diiktiraf sewajarnya, orang asal melalui perwakilan perlu memainkan peranan di samping peruntukan perundangan khususnya undang-undang perlembagaan agar pengiktirafan autonomi dapat direalisasikan. Oleh hal yang demikian, kerajaan perlulah menyediakan mekanisme yang khusus agar perancangan dan pengiktirafan terhadap hak autonomi orang asal ini dapat berjalan dengan lancar (Wolff &amp; Weller, 2005).</w:t>
      </w:r>
    </w:p>
    <w:p w:rsidR="00B47076" w:rsidRDefault="00B47076">
      <w:pPr>
        <w:spacing w:line="240" w:lineRule="auto"/>
        <w:rPr>
          <w:b/>
        </w:rPr>
      </w:pPr>
    </w:p>
    <w:p w:rsidR="00B47076" w:rsidRDefault="00B47076">
      <w:pPr>
        <w:spacing w:line="240" w:lineRule="auto"/>
        <w:rPr>
          <w:b/>
        </w:rPr>
      </w:pPr>
    </w:p>
    <w:p w:rsidR="00E27DF6" w:rsidRDefault="001E2966">
      <w:pPr>
        <w:spacing w:line="240" w:lineRule="auto"/>
      </w:pPr>
      <w:r>
        <w:rPr>
          <w:b/>
        </w:rPr>
        <w:t>Metod</w:t>
      </w:r>
      <w:r w:rsidR="00B47076">
        <w:rPr>
          <w:b/>
        </w:rPr>
        <w:t xml:space="preserve"> dan kawasan</w:t>
      </w:r>
      <w:r>
        <w:rPr>
          <w:b/>
        </w:rPr>
        <w:t xml:space="preserve"> kajian</w:t>
      </w:r>
    </w:p>
    <w:p w:rsidR="00E27DF6" w:rsidRDefault="00E27DF6">
      <w:pPr>
        <w:spacing w:line="240" w:lineRule="auto"/>
      </w:pPr>
    </w:p>
    <w:p w:rsidR="00E27DF6" w:rsidRDefault="00015C30">
      <w:pPr>
        <w:spacing w:line="240" w:lineRule="auto"/>
      </w:pPr>
      <w:r>
        <w:t>Kajian ini merupakan kajian sosio-perundangan dengan menggunakan rangka kerja undang-undang antarabangsa dan memfokuskan kepada kajian kes komuniti orang asal di Kalinga, Filipina. Pelbagai kaedah pengumpulan data telah digunakan iaitu melalui kajian lapangan dan kajian perpustakaan. Kaedah temu bual telah digunakan bagi mendapatkan data untuk menilai amalan Bodong manakala kajian perpustakaan dijalankan bagi memperolehi data daripada pelbagai sumber premier dan sekunder berkaitan kajian ini. Semua data yang diperolehi ini dianalisis menggunakan pendekatan kualitatif.</w:t>
      </w:r>
    </w:p>
    <w:p w:rsidR="00E27DF6" w:rsidRDefault="00015C30" w:rsidP="001E2966">
      <w:pPr>
        <w:spacing w:line="240" w:lineRule="auto"/>
        <w:ind w:firstLine="426"/>
      </w:pPr>
      <w:r>
        <w:t>Kajian lap</w:t>
      </w:r>
      <w:r w:rsidR="00B47076">
        <w:t xml:space="preserve">angan telah dilaksanakan pada 5 Februari hingga </w:t>
      </w:r>
      <w:r>
        <w:t xml:space="preserve">9 Februari 2012 yang disertai oleh kumpulan penyelidik </w:t>
      </w:r>
      <w:r w:rsidR="00B47076">
        <w:t>Universiti Kebangsaan Malaysia (</w:t>
      </w:r>
      <w:r>
        <w:t>UKM</w:t>
      </w:r>
      <w:r w:rsidR="00B47076">
        <w:t>)</w:t>
      </w:r>
      <w:r>
        <w:t xml:space="preserve"> di Kalinga. Kalinga merupakan sebuah bandar yang terletak di sebelah utara Filipina di bawah wilayah autonomi Cordillerra. Wilayah Cordillera telah diiktiraf oleh seksyen 15, Perlembagaan Filipina sebagai sebuah wilayah yang mempunyai autonomi. Faktor pemilihan Kalinga sebagai lokasi kajian lapangan adalah kerana keteguhan amalan hak penentuan kendiri dalam kalangan ICCP/IP. Mereka masih berpegang teguh kepada amalan tradisi dan adat yang diwarisi oleh nenek moyang. Salah satu objektif yang ditetapkan dalam kajian lapangan ini ialah untuk menilai pelaksanaan proses penyelesaian pertikaian tradisional iaitu “</w:t>
      </w:r>
      <w:r>
        <w:rPr>
          <w:i/>
        </w:rPr>
        <w:t>Bodong</w:t>
      </w:r>
      <w:r>
        <w:t>” sebagai sebahagian daripada praktis hak penentuan kendiri dalam kalangan ICC/IP.</w:t>
      </w:r>
    </w:p>
    <w:p w:rsidR="00E27DF6" w:rsidRDefault="00E27DF6">
      <w:pPr>
        <w:spacing w:line="240" w:lineRule="auto"/>
      </w:pPr>
    </w:p>
    <w:p w:rsidR="00B47076" w:rsidRDefault="00B47076">
      <w:pPr>
        <w:spacing w:line="240" w:lineRule="auto"/>
        <w:rPr>
          <w:b/>
        </w:rPr>
      </w:pPr>
    </w:p>
    <w:p w:rsidR="00E27DF6" w:rsidRDefault="00015C30">
      <w:pPr>
        <w:spacing w:line="240" w:lineRule="auto"/>
        <w:rPr>
          <w:color w:val="FF0000"/>
        </w:rPr>
      </w:pPr>
      <w:r>
        <w:rPr>
          <w:b/>
        </w:rPr>
        <w:t xml:space="preserve">Komuniti Orang Asal di Filipina </w:t>
      </w:r>
    </w:p>
    <w:p w:rsidR="00E27DF6" w:rsidRDefault="00015C30">
      <w:pPr>
        <w:spacing w:line="240" w:lineRule="auto"/>
      </w:pPr>
      <w:r>
        <w:tab/>
      </w:r>
    </w:p>
    <w:p w:rsidR="00E27DF6" w:rsidRDefault="00015C30">
      <w:pPr>
        <w:spacing w:line="240" w:lineRule="auto"/>
      </w:pPr>
      <w:r>
        <w:t xml:space="preserve">Orang asal di Filipina yang dikenali sebagai </w:t>
      </w:r>
      <w:r>
        <w:rPr>
          <w:i/>
        </w:rPr>
        <w:t xml:space="preserve">etnik minoriti, Tribal Filipino, Native Citizen </w:t>
      </w:r>
      <w:proofErr w:type="gramStart"/>
      <w:r>
        <w:t>atau</w:t>
      </w:r>
      <w:proofErr w:type="gramEnd"/>
      <w:r>
        <w:t xml:space="preserve"> dirujuk sebagai </w:t>
      </w:r>
      <w:r>
        <w:rPr>
          <w:i/>
        </w:rPr>
        <w:t>katutubong mamamayan.</w:t>
      </w:r>
      <w:r>
        <w:t xml:space="preserve"> Kini, secara rasmi orang asal berkenaan dinamakan </w:t>
      </w:r>
      <w:r>
        <w:rPr>
          <w:i/>
        </w:rPr>
        <w:t>Indigenous Cultural Communities</w:t>
      </w:r>
      <w:r>
        <w:t xml:space="preserve"> (ICC) yang terdiri daripada lebih 50 suku kaum yang terdapat di seluruh kepulauan (MacDonald, 1995; Nordin </w:t>
      </w:r>
      <w:r w:rsidRPr="00B47076">
        <w:t>et al</w:t>
      </w:r>
      <w:r w:rsidR="00B47076">
        <w:t>.,</w:t>
      </w:r>
      <w:r>
        <w:t xml:space="preserve"> 2012). Perlembagaan Filipina merujuk orang asal sebagai "</w:t>
      </w:r>
      <w:r>
        <w:rPr>
          <w:i/>
        </w:rPr>
        <w:t>indigenous peoples</w:t>
      </w:r>
      <w:r>
        <w:t xml:space="preserve">" manakala Seksyen 2, Bab I, Akta Hak Orang Asal 1997 iaitu undang-undang utama orang asal di negara berkenaan merujuk orang asal sebagai </w:t>
      </w:r>
      <w:r>
        <w:rPr>
          <w:i/>
        </w:rPr>
        <w:t xml:space="preserve">Indigenous Cultural Communities </w:t>
      </w:r>
      <w:r>
        <w:t>dan</w:t>
      </w:r>
      <w:r>
        <w:rPr>
          <w:i/>
        </w:rPr>
        <w:t xml:space="preserve"> Indigenous Peoples</w:t>
      </w:r>
      <w:r>
        <w:t xml:space="preserve"> (ICC/IP). Seksyen 3 (h), Bab II, AHOA mentakrifkan ICC/IP sebagai orang asal yang menentukan identiti mereka sendiri (</w:t>
      </w:r>
      <w:r>
        <w:rPr>
          <w:i/>
        </w:rPr>
        <w:t>self-identification</w:t>
      </w:r>
      <w:r>
        <w:t>) dan tinggal secara berkelompok dengan memiliki adat budaya yang tersendiri, unik dan berbeza dengan kaum majoriti.</w:t>
      </w:r>
    </w:p>
    <w:p w:rsidR="00B47076" w:rsidRDefault="00015C30" w:rsidP="00B47076">
      <w:pPr>
        <w:spacing w:line="240" w:lineRule="auto"/>
        <w:ind w:firstLine="426"/>
      </w:pPr>
      <w:r>
        <w:t xml:space="preserve">Merujuk kepada seksyen 3 (h) AHOA, ICC/IP ditakrifkan seperti berikut: </w:t>
      </w:r>
    </w:p>
    <w:p w:rsidR="00B47076" w:rsidRDefault="00B47076" w:rsidP="00B47076">
      <w:pPr>
        <w:spacing w:line="240" w:lineRule="auto"/>
        <w:ind w:firstLine="426"/>
      </w:pPr>
    </w:p>
    <w:p w:rsidR="00E27DF6" w:rsidRDefault="00B47076" w:rsidP="00B47076">
      <w:pPr>
        <w:spacing w:line="240" w:lineRule="auto"/>
        <w:ind w:left="709" w:right="798"/>
      </w:pPr>
      <w:r w:rsidRPr="00B47076">
        <w:t>“</w:t>
      </w:r>
      <w:r>
        <w:rPr>
          <w:i/>
        </w:rPr>
        <w:t>…A</w:t>
      </w:r>
      <w:r w:rsidR="00015C30">
        <w:rPr>
          <w:i/>
        </w:rPr>
        <w:t xml:space="preserve"> group of people or homogenous societies identified by self-ascription and ascription by others, who have continuously lived as organized community on communally bounded and defined territory, and who have, under claims of ownership since time immemorial, occupied, possessed and utilized such territories, sharing common bonds of language, customs, traditions and other distinctive cultural traits, or who have, through resistance to political, social and cultural inroads of colonization, non-</w:t>
      </w:r>
      <w:r w:rsidR="00015C30">
        <w:rPr>
          <w:i/>
        </w:rPr>
        <w:lastRenderedPageBreak/>
        <w:t>indigenous religions and cultures, became historically differentiated from the majority of Filipinos. ICCs/IPs shall likewise include peoples who are regarded as indigenous on account of their descent from the populations which inhabited the country, at the time of conquest or colonization, or at the time of inroads of non-indigenous religions and cultures, or the establishment of present state boundaries, who retain some or all of their own social, economic, cultural and political institutions, but who may have been displaced from their traditional domains or who may have resettled outside their ancestral domains</w:t>
      </w:r>
      <w:r w:rsidRPr="00B47076">
        <w:t>”</w:t>
      </w:r>
      <w:r w:rsidR="00015C30">
        <w:t>.</w:t>
      </w:r>
    </w:p>
    <w:p w:rsidR="00E27DF6" w:rsidRDefault="00E27DF6">
      <w:pPr>
        <w:spacing w:line="240" w:lineRule="auto"/>
      </w:pPr>
    </w:p>
    <w:p w:rsidR="00E27DF6" w:rsidRDefault="00015C30" w:rsidP="00B47076">
      <w:pPr>
        <w:spacing w:line="240" w:lineRule="auto"/>
        <w:ind w:firstLine="426"/>
      </w:pPr>
      <w:r>
        <w:t>Komuniti yang mewakili 10-20 peratus jumlah keseluruhan penduduk Filipina ini boleh diklasifikasikan mengikut wilayah tertentu seperti komuniti Igorot yang mendiami Wilayah Cordillera (pergunungan Luzon), masyarakat Lumad yang kebanyakkannya mendiami kepulauan Mindanao, kaum Mangyan yang mendiami kepulauan tengah Filipina dan selebihnya kumpulan-kumpulan kecil yang bertebaran di seluruh kepula</w:t>
      </w:r>
      <w:r w:rsidR="00B47076">
        <w:t xml:space="preserve">uan (Erni </w:t>
      </w:r>
      <w:r w:rsidR="00B47076" w:rsidRPr="001E2966">
        <w:t>et al</w:t>
      </w:r>
      <w:r w:rsidR="00B47076">
        <w:t>.</w:t>
      </w:r>
      <w:r w:rsidR="00B47076" w:rsidRPr="001E2966">
        <w:t>,</w:t>
      </w:r>
      <w:r w:rsidR="00B47076">
        <w:t xml:space="preserve"> 2008; Padilla et al., 2013</w:t>
      </w:r>
      <w:r>
        <w:t xml:space="preserve">). Menurut </w:t>
      </w:r>
      <w:r>
        <w:rPr>
          <w:i/>
        </w:rPr>
        <w:t>National Commission of Indigenous Peoples</w:t>
      </w:r>
      <w:r>
        <w:t xml:space="preserve"> (NCIP) setakat 2014, terdapat lebih kurang 110 kumpulan komuniti orang asal berdasarkan etnik-linguistik iaitu seramai 11,320,476 orang asal yang mendiami 12 wilayah di seluruh Filipina (NCIP, 2014). </w:t>
      </w:r>
    </w:p>
    <w:p w:rsidR="00E27DF6" w:rsidRDefault="00015C30" w:rsidP="00B47076">
      <w:pPr>
        <w:spacing w:line="240" w:lineRule="auto"/>
        <w:ind w:firstLine="426"/>
      </w:pPr>
      <w:r>
        <w:t>Seperti komuniti orang asal di negara lain contoh</w:t>
      </w:r>
      <w:r w:rsidR="00D3487B">
        <w:t>nya di Malaysia (</w:t>
      </w:r>
      <w:r w:rsidR="00D3487B">
        <w:rPr>
          <w:rFonts w:ascii="Times" w:eastAsia="Times" w:hAnsi="Times" w:cs="Times"/>
        </w:rPr>
        <w:t xml:space="preserve">Mat Nor </w:t>
      </w:r>
      <w:r w:rsidR="00D3487B" w:rsidRPr="003D34BF">
        <w:rPr>
          <w:rFonts w:ascii="Times" w:eastAsia="Times" w:hAnsi="Times" w:cs="Times"/>
        </w:rPr>
        <w:t>et al</w:t>
      </w:r>
      <w:r w:rsidR="003D34BF">
        <w:rPr>
          <w:rFonts w:ascii="Times" w:eastAsia="Times" w:hAnsi="Times" w:cs="Times"/>
        </w:rPr>
        <w:t>.</w:t>
      </w:r>
      <w:r w:rsidR="00D3487B">
        <w:rPr>
          <w:rFonts w:ascii="Times" w:eastAsia="Times" w:hAnsi="Times" w:cs="Times"/>
        </w:rPr>
        <w:t xml:space="preserve">, 2009; </w:t>
      </w:r>
      <w:r w:rsidR="00D3487B">
        <w:t>Rohaida Nordin et al, 2016</w:t>
      </w:r>
      <w:r>
        <w:rPr>
          <w:rFonts w:ascii="Times" w:eastAsia="Times" w:hAnsi="Times" w:cs="Times"/>
        </w:rPr>
        <w:t>)</w:t>
      </w:r>
      <w:r>
        <w:t>, ICC/IP memiliki sifat yang unik yang membezakan mereka dengan masyarakat majoriti Filipina yang lain (MacDonald, 1995). Mereka tinggal di kawasan terpencil seperti di kawasan pergunungan, kawasan pendalaman yang sukar untuk mendapatkan kemudahan perkhidmatan dan peluang yang dinikmati oleh masyarakat um</w:t>
      </w:r>
      <w:r w:rsidR="003D34BF">
        <w:t>um di negara berkenaan (Padilla</w:t>
      </w:r>
      <w:r>
        <w:t xml:space="preserve"> et al., 2013). Sebilangan daripada mereka merupakan masyarakat yang kurang berpendidikan dan kurang mendapat pengaruh politik, sebaliknya kawasan yang mereka diami memiliki kekayaan de</w:t>
      </w:r>
      <w:r w:rsidR="003D34BF">
        <w:t>ngan sumber semulajadi (Padilla</w:t>
      </w:r>
      <w:r>
        <w:t xml:space="preserve"> et al., 2013). Berdasarkan pemerhatian ketika menjalankan kajian lapangan di Barangay Balatoc, Pasil, Kalinga, Wilayah Cordillera mendapati sebilangan ICC/IP tinggal di kawasan pergunungan yang sukar mendapat pengangkutan dan bek</w:t>
      </w:r>
      <w:r w:rsidR="003D34BF">
        <w:t xml:space="preserve">alan kemudahan asas yang lain. </w:t>
      </w:r>
      <w:r>
        <w:t xml:space="preserve">Akses pengangkutan untuk ke kawasan perkampungan berkenaan mengambil masa yang lama dan jalan yang tidak berturap itu menyukarkan lagi akses dengan masyarakat majoriti di bandar. </w:t>
      </w:r>
    </w:p>
    <w:p w:rsidR="00E27DF6" w:rsidRDefault="00E27DF6">
      <w:pPr>
        <w:spacing w:line="240" w:lineRule="auto"/>
      </w:pPr>
    </w:p>
    <w:p w:rsidR="000862CA" w:rsidRDefault="000862CA">
      <w:pPr>
        <w:pStyle w:val="Heading3"/>
        <w:spacing w:line="240" w:lineRule="auto"/>
      </w:pPr>
    </w:p>
    <w:p w:rsidR="00E27DF6" w:rsidRDefault="00015C30">
      <w:pPr>
        <w:pStyle w:val="Heading3"/>
        <w:spacing w:line="240" w:lineRule="auto"/>
        <w:rPr>
          <w:color w:val="FF0000"/>
        </w:rPr>
      </w:pPr>
      <w:r>
        <w:t xml:space="preserve">Amalan </w:t>
      </w:r>
      <w:r w:rsidR="000862CA">
        <w:t>B</w:t>
      </w:r>
      <w:r w:rsidR="000862CA" w:rsidRPr="000862CA">
        <w:t>odong sebagai simbol pengiktirafan hak penentuan kendir</w:t>
      </w:r>
      <w:r>
        <w:t xml:space="preserve">i </w:t>
      </w:r>
    </w:p>
    <w:p w:rsidR="00E27DF6" w:rsidRDefault="00E27DF6">
      <w:pPr>
        <w:spacing w:line="240" w:lineRule="auto"/>
      </w:pPr>
    </w:p>
    <w:p w:rsidR="000862CA" w:rsidRDefault="00015C30">
      <w:pPr>
        <w:spacing w:line="240" w:lineRule="auto"/>
      </w:pPr>
      <w:r>
        <w:t xml:space="preserve">Amalan penyelesaian pertikaian antara masyarakat ICC/IP di Kalinga yang masih diamalkan adalah </w:t>
      </w:r>
      <w:r w:rsidRPr="000862CA">
        <w:t>Bodong.</w:t>
      </w:r>
      <w:r>
        <w:t xml:space="preserve"> Amalan ini merupakan suatu wadah untuk memartabatkan hak penentuan kendiri ICC/IP seperti yang diiktiraf di bawah seksyen 13 AHOA. Terma </w:t>
      </w:r>
      <w:r w:rsidRPr="000862CA">
        <w:t>Bodong</w:t>
      </w:r>
      <w:r>
        <w:t xml:space="preserve"> merupakan satu dialek masyarakat utara Kalinga atau “</w:t>
      </w:r>
      <w:r>
        <w:rPr>
          <w:i/>
        </w:rPr>
        <w:t>Podon</w:t>
      </w:r>
      <w:r>
        <w:t>” bagi masyarakat selatan Kalinga yang membawa maksud mengikat bersama (</w:t>
      </w:r>
      <w:r>
        <w:rPr>
          <w:i/>
        </w:rPr>
        <w:t>bind together</w:t>
      </w:r>
      <w:r>
        <w:t xml:space="preserve">) (Stark &amp; Skibo, 2012). </w:t>
      </w:r>
      <w:r w:rsidRPr="000862CA">
        <w:t xml:space="preserve">Bodong </w:t>
      </w:r>
      <w:r>
        <w:t>boleh difahami sebagai perjanjian damai antara pihak yang bertelagah (Molintas, 2004). Merujuk kepada Senate Explanatory Note Senate Bill No. 1938, F</w:t>
      </w:r>
      <w:r w:rsidR="000862CA">
        <w:t>irst Regular Session, takrifan Bodong</w:t>
      </w:r>
      <w:r>
        <w:t xml:space="preserve"> telah diperincikan seperti berikut: </w:t>
      </w:r>
    </w:p>
    <w:p w:rsidR="000862CA" w:rsidRDefault="000862CA">
      <w:pPr>
        <w:spacing w:line="240" w:lineRule="auto"/>
      </w:pPr>
    </w:p>
    <w:p w:rsidR="00E27DF6" w:rsidRDefault="00015C30" w:rsidP="000862CA">
      <w:pPr>
        <w:spacing w:line="240" w:lineRule="auto"/>
        <w:ind w:left="709" w:right="798"/>
      </w:pPr>
      <w:r>
        <w:t>“</w:t>
      </w:r>
      <w:r>
        <w:rPr>
          <w:i/>
        </w:rPr>
        <w:t>The Bodong is a territorially based bilateral covenant of non-aggression between Kalinga villages, the centerpiece of which is an indigenous unwritten mechanism for processing its breach and regulating inter-village relations</w:t>
      </w:r>
      <w:r>
        <w:t>”</w:t>
      </w:r>
      <w:r w:rsidR="000862CA">
        <w:t>.</w:t>
      </w:r>
    </w:p>
    <w:p w:rsidR="00E27DF6" w:rsidRDefault="00E27DF6">
      <w:pPr>
        <w:spacing w:line="240" w:lineRule="auto"/>
      </w:pPr>
    </w:p>
    <w:p w:rsidR="00E27DF6" w:rsidRDefault="00015C30" w:rsidP="000862CA">
      <w:pPr>
        <w:spacing w:line="240" w:lineRule="auto"/>
        <w:ind w:firstLine="426"/>
      </w:pPr>
      <w:r>
        <w:lastRenderedPageBreak/>
        <w:t xml:space="preserve">Amalan </w:t>
      </w:r>
      <w:r w:rsidRPr="000862CA">
        <w:t>Bodong</w:t>
      </w:r>
      <w:r>
        <w:t xml:space="preserve"> telah dikodifikasikan sebagai undang-undang yang dinamakan sebagai “</w:t>
      </w:r>
      <w:r>
        <w:rPr>
          <w:i/>
        </w:rPr>
        <w:t>Pagta</w:t>
      </w:r>
      <w:r>
        <w:t xml:space="preserve">”. Antara kandungan penting </w:t>
      </w:r>
      <w:r>
        <w:rPr>
          <w:i/>
        </w:rPr>
        <w:t>Pagta</w:t>
      </w:r>
      <w:r>
        <w:t xml:space="preserve"> ialah penjelasan objektif pelaksanaan </w:t>
      </w:r>
      <w:r w:rsidRPr="000862CA">
        <w:t>Bodong</w:t>
      </w:r>
      <w:r>
        <w:t xml:space="preserve"> menerusi per</w:t>
      </w:r>
      <w:r w:rsidR="000862CA">
        <w:t xml:space="preserve">untukan seksyen 2 dan 4 iaitu </w:t>
      </w:r>
      <w:r w:rsidRPr="000862CA">
        <w:t xml:space="preserve">Bodong </w:t>
      </w:r>
      <w:r>
        <w:t xml:space="preserve">perlu dilaksanakan dengan adil dan tanpa diskriminasi. Pelaksanaan sistem tradisional ini adalah untuk mengekalkan keamanan dan hubungan baik antara kampung seterusnya dapat membentuk sebuah ikatan persahabatan. Walaupun </w:t>
      </w:r>
      <w:r w:rsidRPr="000862CA">
        <w:t>Bodong t</w:t>
      </w:r>
      <w:r>
        <w:t xml:space="preserve">idak dapat menjamin keselamatan secara menyeluruh, namun pendekatan sistem ini mampu untuk menjimatkan masa untuk penyiasatan, menyediakan ganti rugi, membantu </w:t>
      </w:r>
      <w:r>
        <w:rPr>
          <w:i/>
        </w:rPr>
        <w:t>kabodong</w:t>
      </w:r>
      <w:r>
        <w:t xml:space="preserve"> yang sakit dan mengembalikan mayat yang meninggal dalam wilayah, dan dapat menjamin layanan mesra di kampung yang terlibat (Senate Explanatory Note Senate Bill No. 1938). Berdasarkan temubual bersama responden yang merupakan salah seorang daripada ahli majlis tertinggi Majlis </w:t>
      </w:r>
      <w:r w:rsidRPr="000862CA">
        <w:t>Bodong</w:t>
      </w:r>
      <w:r>
        <w:t xml:space="preserve"> Kalinga (</w:t>
      </w:r>
      <w:r>
        <w:rPr>
          <w:i/>
        </w:rPr>
        <w:t>Kalinga Bodong Council</w:t>
      </w:r>
      <w:r>
        <w:t xml:space="preserve">), </w:t>
      </w:r>
      <w:r w:rsidRPr="000862CA">
        <w:t>Bodong t</w:t>
      </w:r>
      <w:r>
        <w:t xml:space="preserve">urut memainkan peranan yang dimainkan oleh badan lain seperti judisiari, eksekutif dan juga legislatif. Pengiktirafan melalui undang-undang seperti ini adalah selari dengan konsep hak penentuan kendiri dan pada masa yang </w:t>
      </w:r>
      <w:proofErr w:type="gramStart"/>
      <w:r>
        <w:t>sama</w:t>
      </w:r>
      <w:proofErr w:type="gramEnd"/>
      <w:r>
        <w:t xml:space="preserve"> sejajar dengan peruntukan perkara 4 DHOA yang mengiktiraf autonomi orang asal.</w:t>
      </w:r>
    </w:p>
    <w:p w:rsidR="00E27DF6" w:rsidRDefault="00015C30" w:rsidP="000862CA">
      <w:pPr>
        <w:spacing w:line="240" w:lineRule="auto"/>
        <w:ind w:firstLine="426"/>
      </w:pPr>
      <w:r>
        <w:t xml:space="preserve">Amalan Bodong bukan sahaja dilihat sebagai mekanisme undang-undang, malahan merupakan satu aktiviti sosial yang penting bagi membentuk masyarakat harmoni (Senate Explanatory Note Senate Bill No. 1938). Amalan tersebut memberi kesan positif seperti yang dijelaskan melalui laporan RRT </w:t>
      </w:r>
      <w:r>
        <w:rPr>
          <w:i/>
        </w:rPr>
        <w:t>Research Response</w:t>
      </w:r>
      <w:r>
        <w:t xml:space="preserve"> bahawa amalan Bodong mampu untuk memajukan ekonomi, menggalakkan keselamatan sosial seterusnya menggalakkan pembangunan dan perlindungan warisan budaya. Kajian tersebut telah membuktikan bahawa pengiktirafan hak penentuan kendiri dalam kalangan orang asal membantu memperkasakan kedudukan mereka sebagai masyarakat yang unik dan berbeza. Pandangan ini selari dengan hasil kajian </w:t>
      </w:r>
      <w:r>
        <w:rPr>
          <w:i/>
        </w:rPr>
        <w:t xml:space="preserve">Havard Project on Indian American Economic Development </w:t>
      </w:r>
      <w:r>
        <w:t>bahawa pengiktirafan hak penentuan kendiri orang asal menyumbang kepada kestabilan ekonomi (Imai, 2009).</w:t>
      </w:r>
    </w:p>
    <w:p w:rsidR="00E27DF6" w:rsidRDefault="001D306B" w:rsidP="000862CA">
      <w:pPr>
        <w:spacing w:line="240" w:lineRule="auto"/>
        <w:ind w:firstLine="426"/>
      </w:pPr>
      <w:r>
        <w:t>Berdsarkan</w:t>
      </w:r>
      <w:r w:rsidR="00015C30">
        <w:t xml:space="preserve"> pelaksanaan </w:t>
      </w:r>
      <w:r w:rsidR="00015C30" w:rsidRPr="001D306B">
        <w:t>amalan Bodong</w:t>
      </w:r>
      <w:r w:rsidR="00015C30">
        <w:t xml:space="preserve">, sistem ini dipercayai telah diamalkan sejah zaman dahulu lagi, yakni sebelum wujudnya kerajaan sekarang di Kalinga. Amalan ini hanya meliputi jenis hubungan bilateral iaitu tidak </w:t>
      </w:r>
      <w:proofErr w:type="gramStart"/>
      <w:r w:rsidR="00015C30">
        <w:t>akan</w:t>
      </w:r>
      <w:proofErr w:type="gramEnd"/>
      <w:r w:rsidR="00015C30">
        <w:t xml:space="preserve"> melibatkan suku kaum lain. Individu yang bertanggungjawab untuk mendamaikan pihak-pihak yang bertelagah dikenali sebagai Pemegang </w:t>
      </w:r>
      <w:r w:rsidR="00015C30" w:rsidRPr="001D306B">
        <w:t>Bodong</w:t>
      </w:r>
      <w:r w:rsidR="00015C30">
        <w:t xml:space="preserve"> (</w:t>
      </w:r>
      <w:r w:rsidR="00015C30">
        <w:rPr>
          <w:i/>
        </w:rPr>
        <w:t>Bodong Holder</w:t>
      </w:r>
      <w:r w:rsidR="00015C30">
        <w:t xml:space="preserve">). Pada kebiasaanya, Pemegang </w:t>
      </w:r>
      <w:r w:rsidR="00015C30" w:rsidRPr="001D306B">
        <w:t xml:space="preserve">Bodong </w:t>
      </w:r>
      <w:r w:rsidR="00015C30">
        <w:t xml:space="preserve">ini dilantik dalam kalangan individu yang memiliki status kewangan yang kukuh, dihormati oleh masyarakat, memiliki kualiti kepimpinan dan juga berkarisma. Kedudukan dan status individu berkenaan penting agar beliau dapat menjalankan tugas beliau untuk mendamaikan antara pihak-pihak yang bermasalah. </w:t>
      </w:r>
    </w:p>
    <w:p w:rsidR="00E27DF6" w:rsidRDefault="00015C30" w:rsidP="000862CA">
      <w:pPr>
        <w:spacing w:line="240" w:lineRule="auto"/>
        <w:ind w:firstLine="426"/>
      </w:pPr>
      <w:r>
        <w:t xml:space="preserve">Responden melalui temubual turut menjelaskan tujuan pemilihan individu yang mempunyai status kewangan yang stabil adalah kerana beliau </w:t>
      </w:r>
      <w:proofErr w:type="gramStart"/>
      <w:r>
        <w:t>akan</w:t>
      </w:r>
      <w:proofErr w:type="gramEnd"/>
      <w:r>
        <w:t xml:space="preserve"> mempunyai tanggungjawab sosial terhadap komuniti sepertimana yang dinyatakan dalam Nota Senat. Pemegang </w:t>
      </w:r>
      <w:r w:rsidRPr="001D306B">
        <w:t xml:space="preserve">Bodong </w:t>
      </w:r>
      <w:r>
        <w:t xml:space="preserve">juga bertanggungjawab untuk mendapatkan persetujuan terhadap ganti rugi yang perlu diberikan kepada mangsa atau pihak yang dianayai samada dalam bentuk wang tunai atau harta benda. Di samping itu, komuniti di Barangay Balatoc cenderung kepada amalan Bodong dalam menyelesaikan pertikaian kecuali kemelut berkenaan melibatkan bukan penduduk asal Kalinga. Amalan seperti ini menggambarkan pengiktirafan hak penentuan kendiri ICC/IP sebagai masyarakat yang unik kerana diberi kebebasan untuk membuat keputusan bagi perkara melibatkan masyarakat mereka seperti yang dinyatakan oleh Daes sebelum ini. </w:t>
      </w:r>
    </w:p>
    <w:p w:rsidR="00E27DF6" w:rsidRDefault="00015C30" w:rsidP="000862CA">
      <w:pPr>
        <w:spacing w:line="240" w:lineRule="auto"/>
        <w:ind w:firstLine="426"/>
      </w:pPr>
      <w:r>
        <w:t xml:space="preserve">Dalam konteks hak penentuan kendiri pula, amalan yang diamalkan oleh masyarakat Kalinga menerusi </w:t>
      </w:r>
      <w:r w:rsidRPr="001D306B">
        <w:t>Bodong ini</w:t>
      </w:r>
      <w:r>
        <w:t xml:space="preserve"> menzahirkan satu dimensi penghormatan terhadap masyarakat ICC/IP (Nordin </w:t>
      </w:r>
      <w:r w:rsidRPr="001D306B">
        <w:t>et al</w:t>
      </w:r>
      <w:r w:rsidR="001D306B">
        <w:t>.</w:t>
      </w:r>
      <w:r w:rsidRPr="001D306B">
        <w:t>,</w:t>
      </w:r>
      <w:r>
        <w:t xml:space="preserve"> 2012). Selain menghormati amalan tradisional ICC/IP, sistem kepimpinan orang asal juga diiktiraf apabila peranan Pemegang </w:t>
      </w:r>
      <w:r w:rsidRPr="001D306B">
        <w:t xml:space="preserve">Bodong </w:t>
      </w:r>
      <w:r>
        <w:t xml:space="preserve">diberi keutamaan </w:t>
      </w:r>
      <w:r>
        <w:lastRenderedPageBreak/>
        <w:t xml:space="preserve">dalam menyelesaikan pertikaian yang berlaku dalam kalangan ICC/IP di Kalinga. Kesimpulannya, elemen penghormatan dan adil yang ditonjolkan melalui pelaksanaan </w:t>
      </w:r>
      <w:r>
        <w:rPr>
          <w:i/>
        </w:rPr>
        <w:t>Bodong</w:t>
      </w:r>
      <w:r>
        <w:t xml:space="preserve"> menunjukan bahawa piawaian hak penentuan kendiri di bawah Perkara 3 dan pengiktirafan autonomi di bawah Perkara 4 DHOA telah dipatuhi. </w:t>
      </w:r>
    </w:p>
    <w:p w:rsidR="00E27DF6" w:rsidRDefault="00E27DF6">
      <w:pPr>
        <w:spacing w:line="240" w:lineRule="auto"/>
      </w:pPr>
    </w:p>
    <w:p w:rsidR="001D306B" w:rsidRDefault="001D306B">
      <w:pPr>
        <w:spacing w:line="240" w:lineRule="auto"/>
      </w:pPr>
    </w:p>
    <w:p w:rsidR="00E27DF6" w:rsidRDefault="00015C30">
      <w:pPr>
        <w:spacing w:line="240" w:lineRule="auto"/>
        <w:rPr>
          <w:color w:val="FF0000"/>
        </w:rPr>
      </w:pPr>
      <w:r>
        <w:rPr>
          <w:b/>
        </w:rPr>
        <w:t xml:space="preserve">Kesimpulan </w:t>
      </w:r>
    </w:p>
    <w:p w:rsidR="00E27DF6" w:rsidRDefault="00E27DF6">
      <w:pPr>
        <w:spacing w:line="240" w:lineRule="auto"/>
      </w:pPr>
    </w:p>
    <w:p w:rsidR="00E27DF6" w:rsidRDefault="00015C30">
      <w:pPr>
        <w:spacing w:line="240" w:lineRule="auto"/>
      </w:pPr>
      <w:r>
        <w:t xml:space="preserve">Dalam konteks hak penentuan kendiri, amalan yang diamalkan oleh masyarakat Kalinga menerusi </w:t>
      </w:r>
      <w:r w:rsidRPr="001D306B">
        <w:t xml:space="preserve">Bodong </w:t>
      </w:r>
      <w:r>
        <w:t xml:space="preserve">ini menzahirkan satu dimensi penghormatan terhadap masyarakat ICC/IP.  Selain menghormati amalan tradisional ICC/IP, sistem kepimpinan orang asal juga diiktiraf apabila peranan Pemegang Bodong diberi keutamaan dalam menyelesaikan pertikaian yang berlaku dalam kalangan ICC/IP di Kalinga. Penerimaan Bodong sebagai mekanisme penyelesaian pertikaian wajar dijadikan piawaian pengiktirafan hak penentuan kendiri terhadap orang asal. </w:t>
      </w:r>
    </w:p>
    <w:p w:rsidR="00E27DF6" w:rsidRDefault="00015C30" w:rsidP="001D306B">
      <w:pPr>
        <w:spacing w:line="240" w:lineRule="auto"/>
        <w:ind w:firstLine="426"/>
      </w:pPr>
      <w:r>
        <w:t xml:space="preserve">Pendekatan ini unik kerana undang-undang negara berkenaan menerima adat resam ICC/IP. Pengiktirafan seumpama ini perlulah diimbangi antara hak penentuan kendiri dan prinsip keutuhan wilayah agar keharmonian dan keamanan sesebuah negara dapat dikekalkan. Perkara ini adalah bertepatan dengan peruntukan perkara 3 dan 4 DHOA dan pengiktirafan </w:t>
      </w:r>
      <w:r>
        <w:rPr>
          <w:i/>
        </w:rPr>
        <w:t>Bodong</w:t>
      </w:r>
      <w:r>
        <w:t xml:space="preserve"> sebagai mekanisme penyelesaian yang sah kepada komuniti ICC/IP di Kalinga dilihat unik kerana menghormati adat resam orang asal. Pengiktirafan ini juga undang-undang boleh disifatkan sebagai undang-undang yang progresif dan menepati piawaian DHOA dan undang-undang antarabangsa.</w:t>
      </w:r>
    </w:p>
    <w:p w:rsidR="00E27DF6" w:rsidRDefault="00015C30" w:rsidP="001D306B">
      <w:pPr>
        <w:spacing w:line="240" w:lineRule="auto"/>
        <w:ind w:firstLine="426"/>
      </w:pPr>
      <w:r>
        <w:t xml:space="preserve">Kesimpulannya, pengiktirafan amalan Bodong wajar dijadikan contoh agar pengiktirafan hak orang asal dapat diperkasakan melalui penambahbaikan dalam aspek perlindungan, pembelaan dan secara keseluruhannya, sekaligus dapat meletakkan kedudukan orang asal setaraf dengan masyarakat majoriti lain. Di samping itu, </w:t>
      </w:r>
      <w:proofErr w:type="gramStart"/>
      <w:r>
        <w:t>ia</w:t>
      </w:r>
      <w:proofErr w:type="gramEnd"/>
      <w:r>
        <w:t xml:space="preserve"> juga diharap dapat membantu kerajaan dan pemegang taruh untuk melaksanakan tanggungjawab terhadap orang asal selari dengan tuntutan undang-undang antarabangsa yang diterima oleh masyarakat dunia.</w:t>
      </w:r>
    </w:p>
    <w:p w:rsidR="00E27DF6" w:rsidRDefault="00E27DF6">
      <w:pPr>
        <w:spacing w:line="240" w:lineRule="auto"/>
      </w:pPr>
    </w:p>
    <w:p w:rsidR="001D306B" w:rsidRDefault="001D306B">
      <w:pPr>
        <w:spacing w:line="240" w:lineRule="auto"/>
        <w:rPr>
          <w:b/>
        </w:rPr>
      </w:pPr>
    </w:p>
    <w:p w:rsidR="00E27DF6" w:rsidRDefault="00015C30">
      <w:pPr>
        <w:spacing w:line="240" w:lineRule="auto"/>
      </w:pPr>
      <w:r>
        <w:rPr>
          <w:b/>
        </w:rPr>
        <w:t>Penghargaan</w:t>
      </w:r>
    </w:p>
    <w:p w:rsidR="00E27DF6" w:rsidRDefault="00E27DF6">
      <w:pPr>
        <w:spacing w:line="240" w:lineRule="auto"/>
      </w:pPr>
    </w:p>
    <w:p w:rsidR="00E27DF6" w:rsidRDefault="00015C30">
      <w:pPr>
        <w:spacing w:line="240" w:lineRule="auto"/>
      </w:pPr>
      <w:r>
        <w:t xml:space="preserve">Penulisan artikel ini termasuklah proses pengumpulan data dibiayai oleh </w:t>
      </w:r>
      <w:proofErr w:type="gramStart"/>
      <w:r>
        <w:t>dana</w:t>
      </w:r>
      <w:proofErr w:type="gramEnd"/>
      <w:r>
        <w:t xml:space="preserve"> Geran (UKM-DIPM-103-2011), Biasasiswa Kementerian Pengajian Tinggi Malaysia dan Fundamental Research Grant Scheme FRGS/1/2015/SSI10/UPSI/02/1.</w:t>
      </w:r>
    </w:p>
    <w:p w:rsidR="00E27DF6" w:rsidRDefault="00E27DF6">
      <w:pPr>
        <w:spacing w:line="240" w:lineRule="auto"/>
      </w:pPr>
    </w:p>
    <w:p w:rsidR="009110F8" w:rsidRDefault="009110F8">
      <w:pPr>
        <w:spacing w:line="240" w:lineRule="auto"/>
      </w:pPr>
    </w:p>
    <w:p w:rsidR="00E27DF6" w:rsidRDefault="00015C30">
      <w:pPr>
        <w:spacing w:line="240" w:lineRule="auto"/>
        <w:rPr>
          <w:color w:val="FF0000"/>
        </w:rPr>
      </w:pPr>
      <w:r>
        <w:rPr>
          <w:b/>
        </w:rPr>
        <w:t xml:space="preserve">Rujukan </w:t>
      </w:r>
    </w:p>
    <w:p w:rsidR="00E27DF6" w:rsidRDefault="00E27DF6">
      <w:pPr>
        <w:spacing w:line="240" w:lineRule="auto"/>
        <w:rPr>
          <w:color w:val="FF0000"/>
        </w:rPr>
      </w:pPr>
      <w:bookmarkStart w:id="0" w:name="_gjdgxs" w:colFirst="0" w:colLast="0"/>
      <w:bookmarkEnd w:id="0"/>
    </w:p>
    <w:p w:rsidR="00E27DF6" w:rsidRDefault="00015C30" w:rsidP="00402DFE">
      <w:pPr>
        <w:spacing w:line="240" w:lineRule="auto"/>
        <w:ind w:left="426" w:hanging="426"/>
      </w:pPr>
      <w:bookmarkStart w:id="1" w:name="_30j0zll" w:colFirst="0" w:colLast="0"/>
      <w:bookmarkEnd w:id="1"/>
      <w:r>
        <w:t>Alfredsson, G. (1998)</w:t>
      </w:r>
      <w:r w:rsidR="001D306B">
        <w:t>.</w:t>
      </w:r>
      <w:r>
        <w:t xml:space="preserve"> Indigenous </w:t>
      </w:r>
      <w:r w:rsidR="001D306B">
        <w:t>peoples and autonomy. In</w:t>
      </w:r>
      <w:proofErr w:type="gramStart"/>
      <w:r w:rsidR="001D306B">
        <w:t>..</w:t>
      </w:r>
      <w:proofErr w:type="gramEnd"/>
      <w:r w:rsidR="001D306B">
        <w:t xml:space="preserve"> Suksi, M. (Eds.). </w:t>
      </w:r>
      <w:r>
        <w:rPr>
          <w:i/>
        </w:rPr>
        <w:t xml:space="preserve">Autonomy: </w:t>
      </w:r>
      <w:r w:rsidR="001D306B">
        <w:rPr>
          <w:i/>
        </w:rPr>
        <w:t xml:space="preserve">applications and implications </w:t>
      </w:r>
      <w:r w:rsidR="001D306B" w:rsidRPr="001D306B">
        <w:t>(pp</w:t>
      </w:r>
      <w:r w:rsidR="001D306B">
        <w:rPr>
          <w:i/>
        </w:rPr>
        <w:t>.</w:t>
      </w:r>
      <w:r>
        <w:t>125-136</w:t>
      </w:r>
      <w:r w:rsidR="001D306B">
        <w:t>)</w:t>
      </w:r>
      <w:r>
        <w:t>. Natherland: Kluwer Law International.</w:t>
      </w:r>
    </w:p>
    <w:p w:rsidR="00E27DF6" w:rsidRDefault="00402DFE" w:rsidP="00402DFE">
      <w:pPr>
        <w:spacing w:line="240" w:lineRule="auto"/>
        <w:ind w:left="426" w:hanging="426"/>
      </w:pPr>
      <w:r>
        <w:t>Anaya, S.J. (2004).</w:t>
      </w:r>
      <w:r w:rsidR="00015C30">
        <w:t xml:space="preserve"> </w:t>
      </w:r>
      <w:r w:rsidR="00015C30">
        <w:rPr>
          <w:i/>
        </w:rPr>
        <w:t xml:space="preserve">Indigenous </w:t>
      </w:r>
      <w:r>
        <w:rPr>
          <w:i/>
        </w:rPr>
        <w:t>peoples in</w:t>
      </w:r>
      <w:r w:rsidR="00015C30">
        <w:rPr>
          <w:i/>
        </w:rPr>
        <w:t xml:space="preserve"> International Law</w:t>
      </w:r>
      <w:r w:rsidR="001D306B">
        <w:t xml:space="preserve">. </w:t>
      </w:r>
      <w:r w:rsidR="001D306B" w:rsidRPr="00402DFE">
        <w:rPr>
          <w:i/>
        </w:rPr>
        <w:t>2</w:t>
      </w:r>
      <w:r w:rsidR="001D306B">
        <w:t>. Oxford,</w:t>
      </w:r>
      <w:r w:rsidR="00015C30">
        <w:t xml:space="preserve"> Oxford University Press.</w:t>
      </w:r>
    </w:p>
    <w:p w:rsidR="00E27DF6" w:rsidRDefault="00015C30" w:rsidP="00402DFE">
      <w:pPr>
        <w:spacing w:line="240" w:lineRule="auto"/>
        <w:ind w:left="426" w:hanging="426"/>
      </w:pPr>
      <w:r>
        <w:t>Chairperson-Rapporteur: Mr. Miguel Alfonso MartíNez. (8 August 2002)</w:t>
      </w:r>
      <w:r w:rsidR="00402DFE">
        <w:t>.</w:t>
      </w:r>
      <w:r>
        <w:t xml:space="preserve"> Report of </w:t>
      </w:r>
      <w:r w:rsidR="001D306B">
        <w:t>the working group on indigenous populations on its twentieth session, prevention of discrimination, prevention of discrimination and protection of indigenous peoples</w:t>
      </w:r>
      <w:r>
        <w:t>, E/CN.4/Sub.2/2002/24.</w:t>
      </w:r>
    </w:p>
    <w:p w:rsidR="00E27DF6" w:rsidRDefault="001D306B" w:rsidP="00402DFE">
      <w:pPr>
        <w:spacing w:line="240" w:lineRule="auto"/>
        <w:ind w:left="426" w:hanging="426"/>
      </w:pPr>
      <w:r>
        <w:lastRenderedPageBreak/>
        <w:t xml:space="preserve">Chairperson-Rapporteur: </w:t>
      </w:r>
      <w:r w:rsidR="00015C30">
        <w:t>Ms. Erica-Irene A. Daes. (23 August 1993)</w:t>
      </w:r>
      <w:r w:rsidR="00402DFE">
        <w:t>.</w:t>
      </w:r>
      <w:r w:rsidR="00015C30">
        <w:t xml:space="preserve"> </w:t>
      </w:r>
      <w:proofErr w:type="gramStart"/>
      <w:r w:rsidR="00015C30" w:rsidRPr="009110F8">
        <w:rPr>
          <w:i/>
        </w:rPr>
        <w:t xml:space="preserve">Report </w:t>
      </w:r>
      <w:r w:rsidRPr="009110F8">
        <w:rPr>
          <w:i/>
        </w:rPr>
        <w:t>of the working group on indigenous populations on its eleventh session, discrimination against indigenous peoples</w:t>
      </w:r>
      <w:r w:rsidR="00015C30">
        <w:t>, E/CN.4/Sub.2/1993/29.</w:t>
      </w:r>
      <w:proofErr w:type="gramEnd"/>
    </w:p>
    <w:p w:rsidR="00E27DF6" w:rsidRDefault="00015C30" w:rsidP="00402DFE">
      <w:pPr>
        <w:spacing w:line="240" w:lineRule="auto"/>
        <w:ind w:left="426" w:hanging="426"/>
      </w:pPr>
      <w:r>
        <w:t>Chairperson-Rapporteur: Ms. Erica-Irene Daes. (9 August 2001)</w:t>
      </w:r>
      <w:r w:rsidR="00402DFE">
        <w:t>.</w:t>
      </w:r>
      <w:r>
        <w:t xml:space="preserve"> </w:t>
      </w:r>
      <w:proofErr w:type="gramStart"/>
      <w:r w:rsidRPr="009110F8">
        <w:rPr>
          <w:i/>
        </w:rPr>
        <w:t xml:space="preserve">Report of the </w:t>
      </w:r>
      <w:r w:rsidR="001D306B" w:rsidRPr="009110F8">
        <w:rPr>
          <w:i/>
        </w:rPr>
        <w:t>working group on indigenous populations on its nineteenth se</w:t>
      </w:r>
      <w:r w:rsidRPr="009110F8">
        <w:rPr>
          <w:i/>
        </w:rPr>
        <w:t>ssion</w:t>
      </w:r>
      <w:r>
        <w:t>, E/CN.4/Sub.2/2001/17.</w:t>
      </w:r>
      <w:proofErr w:type="gramEnd"/>
    </w:p>
    <w:p w:rsidR="00E27DF6" w:rsidRDefault="001D306B" w:rsidP="00402DFE">
      <w:pPr>
        <w:spacing w:line="240" w:lineRule="auto"/>
        <w:ind w:left="426" w:hanging="426"/>
      </w:pPr>
      <w:r>
        <w:t xml:space="preserve">Chairperson-Rapporteur: </w:t>
      </w:r>
      <w:r w:rsidR="00015C30">
        <w:t>Ms. Erica-Irene A. E/CN.4/Su</w:t>
      </w:r>
      <w:r w:rsidR="00402DFE">
        <w:t xml:space="preserve">b.2/1993/29. (23 August 1993). </w:t>
      </w:r>
      <w:proofErr w:type="gramStart"/>
      <w:r w:rsidR="00015C30" w:rsidRPr="009110F8">
        <w:rPr>
          <w:i/>
        </w:rPr>
        <w:t xml:space="preserve">Report of the </w:t>
      </w:r>
      <w:r w:rsidR="00402DFE" w:rsidRPr="009110F8">
        <w:rPr>
          <w:i/>
        </w:rPr>
        <w:t>working group on indigenous populations on its eleventh session, discrimination against indigenous peoples</w:t>
      </w:r>
      <w:r w:rsidR="00015C30">
        <w:t>, E/CN.4/Sub.2/1993/29.</w:t>
      </w:r>
      <w:proofErr w:type="gramEnd"/>
    </w:p>
    <w:p w:rsidR="00E27DF6" w:rsidRDefault="00015C30" w:rsidP="00402DFE">
      <w:pPr>
        <w:spacing w:line="240" w:lineRule="auto"/>
        <w:ind w:left="426" w:hanging="426"/>
        <w:rPr>
          <w:color w:val="FF0000"/>
        </w:rPr>
      </w:pPr>
      <w:r>
        <w:t>Chairperson-Rapporteur: Mr. Luis-Enrique CháVez. (6 February 2001)</w:t>
      </w:r>
      <w:r w:rsidR="00402DFE">
        <w:t>.</w:t>
      </w:r>
      <w:r>
        <w:t xml:space="preserve"> </w:t>
      </w:r>
      <w:proofErr w:type="gramStart"/>
      <w:r w:rsidRPr="009110F8">
        <w:rPr>
          <w:i/>
        </w:rPr>
        <w:t xml:space="preserve">Report of the </w:t>
      </w:r>
      <w:r w:rsidR="00402DFE" w:rsidRPr="009110F8">
        <w:rPr>
          <w:i/>
        </w:rPr>
        <w:t xml:space="preserve">working group established in accordance with </w:t>
      </w:r>
      <w:r w:rsidRPr="009110F8">
        <w:rPr>
          <w:i/>
        </w:rPr>
        <w:t>Commission on Human Rights Resolution 1995/32, Commission on Human Rights, Fifty-Seventh Session</w:t>
      </w:r>
      <w:r>
        <w:t>, E/CN.4/2001/85.</w:t>
      </w:r>
      <w:proofErr w:type="gramEnd"/>
      <w:r>
        <w:t xml:space="preserve"> </w:t>
      </w:r>
    </w:p>
    <w:p w:rsidR="00E27DF6" w:rsidRDefault="00402DFE" w:rsidP="00402DFE">
      <w:pPr>
        <w:spacing w:line="240" w:lineRule="auto"/>
        <w:ind w:left="426" w:hanging="426"/>
      </w:pPr>
      <w:r>
        <w:t>Daes, I.</w:t>
      </w:r>
      <w:r w:rsidR="00015C30">
        <w:t>E. (19</w:t>
      </w:r>
      <w:r>
        <w:t>96).</w:t>
      </w:r>
      <w:r w:rsidR="00015C30">
        <w:t xml:space="preserve">The </w:t>
      </w:r>
      <w:r>
        <w:t>right of indigenous peoples to “self-determination” in contemporary world o</w:t>
      </w:r>
      <w:r w:rsidR="00015C30">
        <w:t>rder</w:t>
      </w:r>
      <w:r>
        <w:t>. In. Clark, D. (Eds</w:t>
      </w:r>
      <w:r w:rsidR="00015C30">
        <w:t xml:space="preserve">.). </w:t>
      </w:r>
      <w:r w:rsidR="00015C30">
        <w:rPr>
          <w:i/>
        </w:rPr>
        <w:t>Self-</w:t>
      </w:r>
      <w:r>
        <w:rPr>
          <w:i/>
        </w:rPr>
        <w:t xml:space="preserve">determination, international perspectives </w:t>
      </w:r>
      <w:r>
        <w:t>(pp.</w:t>
      </w:r>
      <w:r w:rsidR="00015C30">
        <w:t xml:space="preserve"> 47-57</w:t>
      </w:r>
      <w:r>
        <w:t xml:space="preserve">). London, </w:t>
      </w:r>
      <w:r w:rsidR="00015C30">
        <w:t>Macmillan Press Ltd.</w:t>
      </w:r>
    </w:p>
    <w:p w:rsidR="00E27DF6" w:rsidRDefault="00402DFE" w:rsidP="00402DFE">
      <w:pPr>
        <w:spacing w:line="240" w:lineRule="auto"/>
        <w:ind w:left="426" w:hanging="426"/>
      </w:pPr>
      <w:r>
        <w:t xml:space="preserve">Daes, E.I. (2001-2002). </w:t>
      </w:r>
      <w:r w:rsidR="00015C30">
        <w:t xml:space="preserve">The </w:t>
      </w:r>
      <w:r>
        <w:t xml:space="preserve">concept of self-determination and autonomy of indigenous peoples in the draft </w:t>
      </w:r>
      <w:r w:rsidR="00015C30">
        <w:t>United Nations Declaration on the</w:t>
      </w:r>
      <w:r>
        <w:t xml:space="preserve"> Rights of Indigenous Peoples. </w:t>
      </w:r>
      <w:r w:rsidR="00015C30">
        <w:rPr>
          <w:i/>
        </w:rPr>
        <w:t>St. Thomas Law Review</w:t>
      </w:r>
      <w:r w:rsidR="00015C30">
        <w:t xml:space="preserve">, </w:t>
      </w:r>
      <w:r w:rsidR="00015C30" w:rsidRPr="00402DFE">
        <w:rPr>
          <w:i/>
        </w:rPr>
        <w:t>14</w:t>
      </w:r>
      <w:r w:rsidR="00015C30">
        <w:t>(259).</w:t>
      </w:r>
    </w:p>
    <w:p w:rsidR="00E27DF6" w:rsidRDefault="00015C30" w:rsidP="00402DFE">
      <w:pPr>
        <w:spacing w:line="240" w:lineRule="auto"/>
        <w:ind w:left="426" w:hanging="426"/>
      </w:pPr>
      <w:r>
        <w:t>Eide, A. (1995)</w:t>
      </w:r>
      <w:r w:rsidR="00402DFE">
        <w:t>. The National Society, p</w:t>
      </w:r>
      <w:r>
        <w:t xml:space="preserve">eoples and Ethno-Nations: Semantic </w:t>
      </w:r>
      <w:r w:rsidR="00402DFE">
        <w:t>confusions and legal cons</w:t>
      </w:r>
      <w:r>
        <w:t xml:space="preserve">equences. </w:t>
      </w:r>
      <w:r>
        <w:rPr>
          <w:i/>
        </w:rPr>
        <w:t>Nordic Journal of International Law</w:t>
      </w:r>
      <w:r>
        <w:t xml:space="preserve">, </w:t>
      </w:r>
      <w:r w:rsidRPr="00402DFE">
        <w:rPr>
          <w:i/>
        </w:rPr>
        <w:t>64</w:t>
      </w:r>
      <w:r>
        <w:t>,</w:t>
      </w:r>
      <w:r w:rsidR="00402DFE">
        <w:t xml:space="preserve"> </w:t>
      </w:r>
      <w:r>
        <w:t>353-367.</w:t>
      </w:r>
    </w:p>
    <w:p w:rsidR="00E27DF6" w:rsidRDefault="00402DFE" w:rsidP="00402DFE">
      <w:pPr>
        <w:spacing w:line="240" w:lineRule="auto"/>
        <w:ind w:left="426" w:hanging="426"/>
      </w:pPr>
      <w:r>
        <w:t xml:space="preserve">Erni, C., Padilla, M.T. G., Padilla, S., &amp; Nilsson, C. (2008) Country profile: Philippine. In. Erni, C. (Eds.). </w:t>
      </w:r>
      <w:r w:rsidR="00015C30">
        <w:rPr>
          <w:i/>
        </w:rPr>
        <w:t xml:space="preserve">The </w:t>
      </w:r>
      <w:r>
        <w:rPr>
          <w:i/>
        </w:rPr>
        <w:t xml:space="preserve">concept of indigenous peoples in Asia, a Resource Book </w:t>
      </w:r>
      <w:r w:rsidRPr="00402DFE">
        <w:t>(pp.</w:t>
      </w:r>
      <w:r>
        <w:rPr>
          <w:i/>
        </w:rPr>
        <w:t xml:space="preserve"> </w:t>
      </w:r>
      <w:r w:rsidR="00015C30">
        <w:t>427-433</w:t>
      </w:r>
      <w:r>
        <w:t>)</w:t>
      </w:r>
      <w:r w:rsidR="00015C30">
        <w:t>. Chiang Mai: I</w:t>
      </w:r>
      <w:r>
        <w:t>nternational Work Group</w:t>
      </w:r>
      <w:r w:rsidR="00015C30">
        <w:t xml:space="preserve"> for Indigenous Affair (IWGIA), Asia Indigenous Peoples Pact Foundation (AIPPF).</w:t>
      </w:r>
    </w:p>
    <w:p w:rsidR="00E27DF6" w:rsidRDefault="00402DFE" w:rsidP="00402DFE">
      <w:pPr>
        <w:spacing w:line="240" w:lineRule="auto"/>
        <w:ind w:left="426" w:hanging="426"/>
      </w:pPr>
      <w:r>
        <w:t xml:space="preserve">General Assembly, G. (2007). </w:t>
      </w:r>
      <w:r w:rsidR="00015C30" w:rsidRPr="009110F8">
        <w:rPr>
          <w:i/>
        </w:rPr>
        <w:t xml:space="preserve">General </w:t>
      </w:r>
      <w:r w:rsidRPr="009110F8">
        <w:rPr>
          <w:i/>
        </w:rPr>
        <w:t>assembly adopts declaration on rights of indigenous peoples</w:t>
      </w:r>
      <w:r w:rsidR="00015C30" w:rsidRPr="009110F8">
        <w:rPr>
          <w:i/>
        </w:rPr>
        <w:t xml:space="preserve">; ‘Major </w:t>
      </w:r>
      <w:r w:rsidRPr="009110F8">
        <w:rPr>
          <w:i/>
        </w:rPr>
        <w:t>step forward’ towards human rights for all, says President</w:t>
      </w:r>
      <w:r>
        <w:t>, Vote: 143–</w:t>
      </w:r>
      <w:r w:rsidR="00015C30">
        <w:t>4 ( Australia, Cana</w:t>
      </w:r>
      <w:r>
        <w:t xml:space="preserve">da, New Zealand, United States) </w:t>
      </w:r>
      <w:r w:rsidR="00015C30">
        <w:t>– 11; Also Adopts Texts on South Atlantic Zone of Peace, Preventing Armed Conflict, Sixty-First General Assembly Plenary,</w:t>
      </w:r>
      <w:r w:rsidR="00B947DC">
        <w:t>107th &amp; 108th Meetings</w:t>
      </w:r>
      <w:r w:rsidR="00015C30">
        <w:t>.</w:t>
      </w:r>
    </w:p>
    <w:p w:rsidR="00E27DF6" w:rsidRDefault="00015C30" w:rsidP="00402DFE">
      <w:pPr>
        <w:spacing w:line="240" w:lineRule="auto"/>
        <w:ind w:left="426" w:hanging="426"/>
      </w:pPr>
      <w:r>
        <w:t>Hannum, H. (1990)</w:t>
      </w:r>
      <w:r w:rsidR="00B947DC">
        <w:t>.</w:t>
      </w:r>
      <w:r>
        <w:t xml:space="preserve"> </w:t>
      </w:r>
      <w:r>
        <w:rPr>
          <w:i/>
        </w:rPr>
        <w:t xml:space="preserve">Autonomy, </w:t>
      </w:r>
      <w:r w:rsidR="00B947DC">
        <w:rPr>
          <w:i/>
        </w:rPr>
        <w:t>sovereignty and self-determination, the accomodation of conflicting rig</w:t>
      </w:r>
      <w:r>
        <w:rPr>
          <w:i/>
        </w:rPr>
        <w:t>hts</w:t>
      </w:r>
      <w:r w:rsidR="00B947DC">
        <w:t>.  Philadelphia,</w:t>
      </w:r>
      <w:r>
        <w:t xml:space="preserve"> University of Pennsylvania Press.</w:t>
      </w:r>
    </w:p>
    <w:p w:rsidR="00E27DF6" w:rsidRDefault="00015C30" w:rsidP="00402DFE">
      <w:pPr>
        <w:spacing w:line="240" w:lineRule="auto"/>
        <w:ind w:left="426" w:hanging="426"/>
      </w:pPr>
      <w:r>
        <w:t>Ha</w:t>
      </w:r>
      <w:r w:rsidR="00B947DC">
        <w:t>nnum, H. &amp; Lillich, R. B. (1980).</w:t>
      </w:r>
      <w:r>
        <w:t xml:space="preserve"> The Concept of Autonomy in International Law.  </w:t>
      </w:r>
      <w:r>
        <w:rPr>
          <w:i/>
        </w:rPr>
        <w:t>The American Journal of International Law</w:t>
      </w:r>
      <w:r w:rsidR="00B947DC">
        <w:t xml:space="preserve">, </w:t>
      </w:r>
      <w:r w:rsidR="00B947DC" w:rsidRPr="00B947DC">
        <w:rPr>
          <w:i/>
        </w:rPr>
        <w:t>74</w:t>
      </w:r>
      <w:r w:rsidR="00B947DC">
        <w:t xml:space="preserve">, </w:t>
      </w:r>
      <w:r>
        <w:t>858-889.</w:t>
      </w:r>
    </w:p>
    <w:p w:rsidR="00E27DF6" w:rsidRDefault="00015C30" w:rsidP="00402DFE">
      <w:pPr>
        <w:spacing w:line="240" w:lineRule="auto"/>
        <w:ind w:left="426" w:hanging="426"/>
      </w:pPr>
      <w:r>
        <w:t>Heintze, H.-J. (1998). On the Legal</w:t>
      </w:r>
      <w:r w:rsidR="00B947DC">
        <w:t xml:space="preserve"> Understanding of Autonomy. In. Suksi, M. (Eds.). </w:t>
      </w:r>
      <w:r>
        <w:rPr>
          <w:i/>
        </w:rPr>
        <w:t>Autonomy</w:t>
      </w:r>
      <w:r w:rsidR="00B947DC">
        <w:rPr>
          <w:i/>
        </w:rPr>
        <w:t xml:space="preserve">: Applications and implications </w:t>
      </w:r>
      <w:r w:rsidR="00B947DC">
        <w:t xml:space="preserve">(pp. </w:t>
      </w:r>
      <w:r>
        <w:t>7-32</w:t>
      </w:r>
      <w:r w:rsidR="00B947DC">
        <w:t>). Natherland,</w:t>
      </w:r>
      <w:r>
        <w:t xml:space="preserve"> Kluwer Law International.</w:t>
      </w:r>
    </w:p>
    <w:p w:rsidR="00E27DF6" w:rsidRDefault="00015C30" w:rsidP="00402DFE">
      <w:pPr>
        <w:spacing w:line="240" w:lineRule="auto"/>
        <w:ind w:left="426" w:hanging="426"/>
      </w:pPr>
      <w:r>
        <w:t xml:space="preserve">Imai, S. (2009). Indigenous </w:t>
      </w:r>
      <w:r w:rsidR="00B947DC">
        <w:t>self-determination and the sta</w:t>
      </w:r>
      <w:r>
        <w:t>te</w:t>
      </w:r>
      <w:r w:rsidR="00B947DC">
        <w:t xml:space="preserve"> In. Richardson, B.</w:t>
      </w:r>
      <w:r>
        <w:t>J., Imai, S.</w:t>
      </w:r>
      <w:r w:rsidR="00B947DC">
        <w:t>, &amp; McNeil, K. (Eds</w:t>
      </w:r>
      <w:r>
        <w:t xml:space="preserve">.). </w:t>
      </w:r>
      <w:r>
        <w:rPr>
          <w:i/>
        </w:rPr>
        <w:t xml:space="preserve">Indigenous </w:t>
      </w:r>
      <w:r w:rsidR="00B947DC">
        <w:rPr>
          <w:i/>
        </w:rPr>
        <w:t xml:space="preserve">peoples and the law, comparative and critical perspectives </w:t>
      </w:r>
      <w:r w:rsidR="00B947DC">
        <w:t xml:space="preserve">(pp. </w:t>
      </w:r>
      <w:r>
        <w:t>285-314</w:t>
      </w:r>
      <w:r w:rsidR="00B947DC">
        <w:t>). Oxford,</w:t>
      </w:r>
      <w:r>
        <w:t xml:space="preserve"> Hart Publishing.</w:t>
      </w:r>
    </w:p>
    <w:p w:rsidR="00E27DF6" w:rsidRDefault="00015C30" w:rsidP="00402DFE">
      <w:pPr>
        <w:spacing w:line="240" w:lineRule="auto"/>
        <w:ind w:left="426" w:hanging="426"/>
      </w:pPr>
      <w:r>
        <w:t xml:space="preserve">Knop, K. </w:t>
      </w:r>
      <w:r w:rsidR="00B947DC">
        <w:t>(</w:t>
      </w:r>
      <w:r>
        <w:t>2004</w:t>
      </w:r>
      <w:r w:rsidR="00B947DC">
        <w:t>)</w:t>
      </w:r>
      <w:r>
        <w:t xml:space="preserve">. </w:t>
      </w:r>
      <w:r>
        <w:rPr>
          <w:i/>
        </w:rPr>
        <w:t xml:space="preserve">Diversity and </w:t>
      </w:r>
      <w:r w:rsidR="00B947DC">
        <w:rPr>
          <w:i/>
        </w:rPr>
        <w:t>self-determination i</w:t>
      </w:r>
      <w:r>
        <w:rPr>
          <w:i/>
        </w:rPr>
        <w:t>n International Law</w:t>
      </w:r>
      <w:r w:rsidR="00B947DC">
        <w:t>. United Kingdom,</w:t>
      </w:r>
      <w:r>
        <w:t xml:space="preserve"> Cambridge University Press.</w:t>
      </w:r>
    </w:p>
    <w:p w:rsidR="00E27DF6" w:rsidRDefault="00015C30" w:rsidP="00402DFE">
      <w:pPr>
        <w:spacing w:line="240" w:lineRule="auto"/>
        <w:ind w:left="426" w:hanging="426"/>
      </w:pPr>
      <w:r>
        <w:t xml:space="preserve">Lapidoth, R. (1993) Autonomy: Potential and Limitations. </w:t>
      </w:r>
      <w:r>
        <w:rPr>
          <w:i/>
        </w:rPr>
        <w:t>International Journal on Group Rights</w:t>
      </w:r>
      <w:r w:rsidR="00D80854">
        <w:t xml:space="preserve">, </w:t>
      </w:r>
      <w:r w:rsidR="00D80854" w:rsidRPr="00D80854">
        <w:rPr>
          <w:i/>
        </w:rPr>
        <w:t>1</w:t>
      </w:r>
      <w:r w:rsidR="00D80854">
        <w:t xml:space="preserve">, </w:t>
      </w:r>
      <w:r>
        <w:t>269-290.</w:t>
      </w:r>
    </w:p>
    <w:p w:rsidR="00E27DF6" w:rsidRDefault="00015C30" w:rsidP="00402DFE">
      <w:pPr>
        <w:spacing w:line="240" w:lineRule="auto"/>
        <w:ind w:left="426" w:hanging="426"/>
      </w:pPr>
      <w:r>
        <w:t>Loukacheva, N. (2005)</w:t>
      </w:r>
      <w:r w:rsidR="00B947DC">
        <w:t>.</w:t>
      </w:r>
      <w:r>
        <w:t xml:space="preserve"> </w:t>
      </w:r>
      <w:proofErr w:type="gramStart"/>
      <w:r w:rsidRPr="00C3311F">
        <w:t xml:space="preserve">On </w:t>
      </w:r>
      <w:r w:rsidR="00B947DC" w:rsidRPr="00C3311F">
        <w:t>autonomy and law</w:t>
      </w:r>
      <w:r>
        <w:t>.</w:t>
      </w:r>
      <w:proofErr w:type="gramEnd"/>
      <w:r>
        <w:t xml:space="preserve"> </w:t>
      </w:r>
      <w:proofErr w:type="gramStart"/>
      <w:r w:rsidRPr="00C3311F">
        <w:rPr>
          <w:i/>
        </w:rPr>
        <w:t xml:space="preserve">Working Paper Series, GHC </w:t>
      </w:r>
      <w:r w:rsidRPr="00C3311F">
        <w:t>05/3</w:t>
      </w:r>
      <w:r>
        <w:t>.</w:t>
      </w:r>
      <w:proofErr w:type="gramEnd"/>
      <w:r>
        <w:t xml:space="preserve"> Institute of Globalization and the Human Condition.</w:t>
      </w:r>
    </w:p>
    <w:p w:rsidR="00E27DF6" w:rsidRDefault="00015C30" w:rsidP="00402DFE">
      <w:pPr>
        <w:spacing w:line="240" w:lineRule="auto"/>
        <w:ind w:left="426" w:hanging="426"/>
      </w:pPr>
      <w:r>
        <w:t>Macdonald, C. (1995)</w:t>
      </w:r>
      <w:r w:rsidR="00B947DC">
        <w:t>. Indigenous p</w:t>
      </w:r>
      <w:r>
        <w:t xml:space="preserve">eoples of the Philippines: Between </w:t>
      </w:r>
      <w:r w:rsidR="00D80854">
        <w:t>segregation and intergration. In</w:t>
      </w:r>
      <w:bookmarkStart w:id="2" w:name="_GoBack"/>
      <w:bookmarkEnd w:id="2"/>
      <w:r>
        <w:t>. Barnes, R. H., Gray, A.</w:t>
      </w:r>
      <w:r w:rsidR="00D80854">
        <w:t xml:space="preserve">, &amp; Kingsbury, B. (Eds.). </w:t>
      </w:r>
      <w:r w:rsidR="00D80854">
        <w:rPr>
          <w:i/>
        </w:rPr>
        <w:t xml:space="preserve">Indigenous peoples of Asia </w:t>
      </w:r>
      <w:r w:rsidR="00D80854" w:rsidRPr="00D80854">
        <w:t>(pp.</w:t>
      </w:r>
      <w:r w:rsidR="00D80854">
        <w:rPr>
          <w:i/>
        </w:rPr>
        <w:t xml:space="preserve"> </w:t>
      </w:r>
      <w:r>
        <w:t>345-356</w:t>
      </w:r>
      <w:r w:rsidR="00D80854">
        <w:t>). Michigan,</w:t>
      </w:r>
      <w:r>
        <w:t xml:space="preserve"> Association for Asian Studies</w:t>
      </w:r>
      <w:r w:rsidR="00D80854">
        <w:t>.</w:t>
      </w:r>
    </w:p>
    <w:p w:rsidR="00E27DF6" w:rsidRDefault="00015C30" w:rsidP="00402DFE">
      <w:pPr>
        <w:spacing w:line="240" w:lineRule="auto"/>
        <w:ind w:left="426" w:hanging="426"/>
      </w:pPr>
      <w:r>
        <w:t xml:space="preserve">Mat </w:t>
      </w:r>
      <w:proofErr w:type="gramStart"/>
      <w:r>
        <w:t>Nor</w:t>
      </w:r>
      <w:proofErr w:type="gramEnd"/>
      <w:r>
        <w:t xml:space="preserve"> H et al. (2009)</w:t>
      </w:r>
      <w:r w:rsidR="00D80854">
        <w:t>.</w:t>
      </w:r>
      <w:r>
        <w:t xml:space="preserve"> Mengapa kami jadi begini? Konflik masyarakat Orang Seletar dan Pembangunan Iskandar, J</w:t>
      </w:r>
      <w:r w:rsidR="00D80854">
        <w:t xml:space="preserve">ohor Bahru, Malaysia. </w:t>
      </w:r>
      <w:r w:rsidR="00D80854" w:rsidRPr="00D80854">
        <w:rPr>
          <w:i/>
        </w:rPr>
        <w:t xml:space="preserve">Geografia </w:t>
      </w:r>
      <w:r w:rsidRPr="00D80854">
        <w:rPr>
          <w:i/>
        </w:rPr>
        <w:t>Malaysian Journal of Society and Space</w:t>
      </w:r>
      <w:r w:rsidR="00D80854">
        <w:rPr>
          <w:i/>
        </w:rPr>
        <w:t>,</w:t>
      </w:r>
      <w:r w:rsidRPr="00D80854">
        <w:rPr>
          <w:i/>
        </w:rPr>
        <w:t xml:space="preserve"> 5</w:t>
      </w:r>
      <w:r>
        <w:t>(2), 16-26.</w:t>
      </w:r>
    </w:p>
    <w:p w:rsidR="00E27DF6" w:rsidRDefault="00D80854" w:rsidP="00402DFE">
      <w:pPr>
        <w:spacing w:line="240" w:lineRule="auto"/>
        <w:ind w:left="426" w:hanging="426"/>
      </w:pPr>
      <w:r>
        <w:lastRenderedPageBreak/>
        <w:t>Molintas, J.</w:t>
      </w:r>
      <w:r w:rsidR="00015C30">
        <w:t xml:space="preserve">M. (2004) The Philippine </w:t>
      </w:r>
      <w:r>
        <w:t>indigenous peoples’ struggle for land and life: Challenging le</w:t>
      </w:r>
      <w:r w:rsidR="00015C30">
        <w:t xml:space="preserve">gal Texts. </w:t>
      </w:r>
      <w:r w:rsidR="00015C30">
        <w:rPr>
          <w:i/>
        </w:rPr>
        <w:t>Arizona Journal of International &amp; Comparative Law</w:t>
      </w:r>
      <w:r>
        <w:t xml:space="preserve">, </w:t>
      </w:r>
      <w:r w:rsidR="00015C30" w:rsidRPr="00D80854">
        <w:rPr>
          <w:i/>
        </w:rPr>
        <w:t>21</w:t>
      </w:r>
      <w:r>
        <w:t>(1),</w:t>
      </w:r>
      <w:r w:rsidR="00015C30">
        <w:t xml:space="preserve"> 269-306.</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Muhamad Sayuti Hassan @ Yahya</w:t>
      </w:r>
      <w:r w:rsidR="00D80854">
        <w:rPr>
          <w:color w:val="000000"/>
        </w:rPr>
        <w:t>,</w:t>
      </w:r>
      <w:r>
        <w:rPr>
          <w:color w:val="000000"/>
        </w:rPr>
        <w:t xml:space="preserve"> &amp; Rohaida Nordin</w:t>
      </w:r>
      <w:r w:rsidR="00D80854">
        <w:rPr>
          <w:color w:val="000000"/>
        </w:rPr>
        <w:t>.</w:t>
      </w:r>
      <w:r>
        <w:rPr>
          <w:color w:val="000000"/>
        </w:rPr>
        <w:t xml:space="preserve"> (2016)</w:t>
      </w:r>
      <w:r w:rsidR="00D80854">
        <w:rPr>
          <w:color w:val="000000"/>
        </w:rPr>
        <w:t>.</w:t>
      </w:r>
      <w:r>
        <w:rPr>
          <w:color w:val="000000"/>
        </w:rPr>
        <w:t xml:space="preserve"> Prinsip </w:t>
      </w:r>
      <w:r w:rsidR="00D80854">
        <w:rPr>
          <w:color w:val="000000"/>
        </w:rPr>
        <w:t xml:space="preserve">izin maklum awal bebas telus </w:t>
      </w:r>
      <w:r>
        <w:rPr>
          <w:color w:val="000000"/>
        </w:rPr>
        <w:t xml:space="preserve">(IMABT): Kajian </w:t>
      </w:r>
      <w:r w:rsidR="00D80854">
        <w:rPr>
          <w:color w:val="000000"/>
        </w:rPr>
        <w:t xml:space="preserve">kes indigenous cultural communities &amp; indigenous peoples </w:t>
      </w:r>
      <w:r>
        <w:rPr>
          <w:color w:val="000000"/>
        </w:rPr>
        <w:t xml:space="preserve">di Filipina, </w:t>
      </w:r>
      <w:r>
        <w:rPr>
          <w:i/>
          <w:color w:val="000000"/>
        </w:rPr>
        <w:t>Malaysian Journal of Law and Society</w:t>
      </w:r>
      <w:r>
        <w:rPr>
          <w:color w:val="000000"/>
        </w:rPr>
        <w:t xml:space="preserve">, </w:t>
      </w:r>
      <w:r w:rsidRPr="00D80854">
        <w:rPr>
          <w:i/>
          <w:color w:val="000000"/>
        </w:rPr>
        <w:t>20</w:t>
      </w:r>
      <w:r w:rsidR="00D80854">
        <w:rPr>
          <w:color w:val="000000"/>
        </w:rPr>
        <w:t>, 23-</w:t>
      </w:r>
      <w:r>
        <w:rPr>
          <w:color w:val="000000"/>
        </w:rPr>
        <w:t>31.</w:t>
      </w:r>
    </w:p>
    <w:p w:rsidR="00E27DF6" w:rsidRDefault="00D80854" w:rsidP="00402DFE">
      <w:pPr>
        <w:pBdr>
          <w:top w:val="nil"/>
          <w:left w:val="nil"/>
          <w:bottom w:val="nil"/>
          <w:right w:val="nil"/>
          <w:between w:val="nil"/>
        </w:pBdr>
        <w:spacing w:line="240" w:lineRule="auto"/>
        <w:ind w:left="426" w:hanging="426"/>
        <w:rPr>
          <w:color w:val="000000"/>
        </w:rPr>
      </w:pPr>
      <w:r>
        <w:rPr>
          <w:color w:val="000000"/>
        </w:rPr>
        <w:t>Padilla, M.T.G., Villarante, P.B., &amp; Trono, W.</w:t>
      </w:r>
      <w:r w:rsidR="00015C30">
        <w:rPr>
          <w:color w:val="000000"/>
        </w:rPr>
        <w:t>L. (2013)</w:t>
      </w:r>
      <w:r>
        <w:rPr>
          <w:color w:val="000000"/>
        </w:rPr>
        <w:t xml:space="preserve">. </w:t>
      </w:r>
      <w:r w:rsidRPr="00C3311F">
        <w:rPr>
          <w:i/>
          <w:color w:val="000000"/>
        </w:rPr>
        <w:t>Indigenous p</w:t>
      </w:r>
      <w:r w:rsidR="00015C30" w:rsidRPr="00C3311F">
        <w:rPr>
          <w:i/>
          <w:color w:val="000000"/>
        </w:rPr>
        <w:t>eoples in Philippines</w:t>
      </w:r>
      <w:r w:rsidR="00015C30">
        <w:rPr>
          <w:color w:val="000000"/>
        </w:rPr>
        <w:t>.</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Rohaida Nord</w:t>
      </w:r>
      <w:r w:rsidR="00402DFE">
        <w:rPr>
          <w:color w:val="000000"/>
        </w:rPr>
        <w:t>in, Muhamad Sayuti Hassan@Yahya, &amp; Witbrodt, M.</w:t>
      </w:r>
      <w:r>
        <w:rPr>
          <w:color w:val="000000"/>
        </w:rPr>
        <w:t>A. (2012)</w:t>
      </w:r>
      <w:r w:rsidR="00402DFE">
        <w:rPr>
          <w:color w:val="000000"/>
        </w:rPr>
        <w:t>.</w:t>
      </w:r>
      <w:r>
        <w:rPr>
          <w:color w:val="000000"/>
        </w:rPr>
        <w:t xml:space="preserve"> Indigenous</w:t>
      </w:r>
      <w:r w:rsidR="00402DFE">
        <w:rPr>
          <w:color w:val="000000"/>
        </w:rPr>
        <w:t xml:space="preserve"> p</w:t>
      </w:r>
      <w:r>
        <w:rPr>
          <w:color w:val="000000"/>
        </w:rPr>
        <w:t xml:space="preserve">eoples in Asia: Indigenousness and </w:t>
      </w:r>
      <w:r w:rsidR="00402DFE">
        <w:rPr>
          <w:color w:val="000000"/>
        </w:rPr>
        <w:t>self-de</w:t>
      </w:r>
      <w:r>
        <w:rPr>
          <w:color w:val="000000"/>
        </w:rPr>
        <w:t>termination</w:t>
      </w:r>
      <w:r w:rsidR="00402DFE">
        <w:rPr>
          <w:color w:val="000000"/>
        </w:rPr>
        <w:t>.</w:t>
      </w:r>
      <w:r>
        <w:rPr>
          <w:color w:val="000000"/>
        </w:rPr>
        <w:t xml:space="preserve"> </w:t>
      </w:r>
      <w:r w:rsidRPr="00402DFE">
        <w:rPr>
          <w:i/>
          <w:color w:val="000000"/>
        </w:rPr>
        <w:t>The Law Review</w:t>
      </w:r>
      <w:r w:rsidR="00402DFE">
        <w:rPr>
          <w:i/>
          <w:color w:val="000000"/>
        </w:rPr>
        <w:t>,</w:t>
      </w:r>
      <w:r>
        <w:rPr>
          <w:color w:val="000000"/>
        </w:rPr>
        <w:t xml:space="preserve"> 510-529.</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Rohaida Nordin, Matthew Albert Witbrod</w:t>
      </w:r>
      <w:r w:rsidR="00D80854">
        <w:rPr>
          <w:color w:val="000000"/>
        </w:rPr>
        <w:t xml:space="preserve">t &amp; Muhamad Sayuti Hassan@Yahya. (2016). </w:t>
      </w:r>
      <w:r>
        <w:rPr>
          <w:color w:val="000000"/>
        </w:rPr>
        <w:t xml:space="preserve">Paternalistic approach towards the Orang Asli in Malaysia: Tracing its origin and justifications. </w:t>
      </w:r>
      <w:r>
        <w:rPr>
          <w:i/>
          <w:color w:val="000000"/>
        </w:rPr>
        <w:t>Geografia Malaysian Journal of Society and Space</w:t>
      </w:r>
      <w:r>
        <w:rPr>
          <w:color w:val="000000"/>
        </w:rPr>
        <w:t xml:space="preserve">, </w:t>
      </w:r>
      <w:r w:rsidRPr="00D80854">
        <w:rPr>
          <w:i/>
          <w:color w:val="000000"/>
        </w:rPr>
        <w:t>12</w:t>
      </w:r>
      <w:r>
        <w:rPr>
          <w:color w:val="000000"/>
        </w:rPr>
        <w:t>(6), 51-59.</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Rohaida Nordin, Muhamad Sayuti Hassan@</w:t>
      </w:r>
      <w:r w:rsidR="00402DFE">
        <w:rPr>
          <w:color w:val="000000"/>
        </w:rPr>
        <w:t xml:space="preserve">Yahya, &amp; Witbrodt, M.A. (2012). </w:t>
      </w:r>
      <w:r w:rsidR="00D80854" w:rsidRPr="00C3311F">
        <w:rPr>
          <w:i/>
          <w:color w:val="000000"/>
        </w:rPr>
        <w:t>Indigenous p</w:t>
      </w:r>
      <w:r w:rsidRPr="00C3311F">
        <w:rPr>
          <w:i/>
          <w:color w:val="000000"/>
        </w:rPr>
        <w:t xml:space="preserve">eoples in Asia: Indigenousness and </w:t>
      </w:r>
      <w:r w:rsidR="00D80854" w:rsidRPr="00C3311F">
        <w:rPr>
          <w:i/>
          <w:color w:val="000000"/>
        </w:rPr>
        <w:t>self-determination</w:t>
      </w:r>
      <w:r w:rsidR="00D80854">
        <w:rPr>
          <w:color w:val="000000"/>
        </w:rPr>
        <w:t>.</w:t>
      </w:r>
      <w:r>
        <w:rPr>
          <w:color w:val="000000"/>
        </w:rPr>
        <w:t xml:space="preserve"> 9th Annual ASLI Conference 2012, Singapore. Anjuran National Unive</w:t>
      </w:r>
      <w:r w:rsidR="00402DFE">
        <w:rPr>
          <w:color w:val="000000"/>
        </w:rPr>
        <w:t>rsity of Singapore, NUS, May 31–</w:t>
      </w:r>
      <w:r>
        <w:rPr>
          <w:color w:val="000000"/>
        </w:rPr>
        <w:t>June 2012.</w:t>
      </w:r>
    </w:p>
    <w:p w:rsidR="00E27DF6" w:rsidRDefault="00015C30" w:rsidP="00402DFE">
      <w:pPr>
        <w:spacing w:line="240" w:lineRule="auto"/>
        <w:ind w:left="426" w:hanging="426"/>
      </w:pPr>
      <w:r>
        <w:t xml:space="preserve">Senate Explanatory Note Senate Bill No. 1938 Senate Explanatory Note Senate Bill No. 1938, First Regular Session. </w:t>
      </w:r>
      <w:proofErr w:type="gramStart"/>
      <w:r w:rsidRPr="00C3311F">
        <w:rPr>
          <w:i/>
        </w:rPr>
        <w:t>Fourteenth Congress of the Republic of the Philippines</w:t>
      </w:r>
      <w:r>
        <w:t>.</w:t>
      </w:r>
      <w:proofErr w:type="gramEnd"/>
    </w:p>
    <w:p w:rsidR="00E27DF6" w:rsidRDefault="00015C30" w:rsidP="00402DFE">
      <w:pPr>
        <w:spacing w:line="240" w:lineRule="auto"/>
        <w:ind w:left="426" w:hanging="426"/>
      </w:pPr>
      <w:bookmarkStart w:id="3" w:name="_1fob9te" w:colFirst="0" w:colLast="0"/>
      <w:bookmarkEnd w:id="3"/>
      <w:r>
        <w:t>Stark</w:t>
      </w:r>
      <w:r w:rsidR="00402DFE">
        <w:t>,</w:t>
      </w:r>
      <w:r>
        <w:t xml:space="preserve"> &amp; Skibo (2012)</w:t>
      </w:r>
      <w:r w:rsidR="00402DFE">
        <w:t>.</w:t>
      </w:r>
      <w:r>
        <w:t xml:space="preserve"> </w:t>
      </w:r>
      <w:r>
        <w:rPr>
          <w:i/>
        </w:rPr>
        <w:t xml:space="preserve">A </w:t>
      </w:r>
      <w:r w:rsidR="00402DFE">
        <w:rPr>
          <w:i/>
        </w:rPr>
        <w:t>history of t</w:t>
      </w:r>
      <w:r>
        <w:rPr>
          <w:i/>
        </w:rPr>
        <w:t>he Kalinga Ethnoarchaeological Project</w:t>
      </w:r>
      <w:r>
        <w:t>. Retrieved from http://www.anthropology.hawaii.edu.</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Wolff, S.</w:t>
      </w:r>
      <w:r w:rsidR="00402DFE">
        <w:rPr>
          <w:color w:val="000000"/>
        </w:rPr>
        <w:t>,</w:t>
      </w:r>
      <w:r>
        <w:rPr>
          <w:color w:val="000000"/>
        </w:rPr>
        <w:t xml:space="preserve"> &amp; Weller, M. (2005) Self-Determination and Autonomy</w:t>
      </w:r>
      <w:r w:rsidR="00402DFE">
        <w:rPr>
          <w:color w:val="000000"/>
        </w:rPr>
        <w:t>:  A conceptual introduction. In</w:t>
      </w:r>
      <w:r>
        <w:rPr>
          <w:color w:val="000000"/>
        </w:rPr>
        <w:t>. Weller, M.</w:t>
      </w:r>
      <w:r w:rsidR="00402DFE">
        <w:rPr>
          <w:color w:val="000000"/>
        </w:rPr>
        <w:t>, &amp; Wolff, S. (Eds</w:t>
      </w:r>
      <w:r>
        <w:rPr>
          <w:color w:val="000000"/>
        </w:rPr>
        <w:t>.).</w:t>
      </w:r>
      <w:r w:rsidR="00402DFE">
        <w:rPr>
          <w:color w:val="000000"/>
        </w:rPr>
        <w:t xml:space="preserve"> </w:t>
      </w:r>
      <w:r>
        <w:rPr>
          <w:i/>
          <w:color w:val="000000"/>
        </w:rPr>
        <w:t xml:space="preserve">Autonomy, </w:t>
      </w:r>
      <w:r w:rsidR="00402DFE">
        <w:rPr>
          <w:i/>
          <w:color w:val="000000"/>
        </w:rPr>
        <w:t>self-governance and</w:t>
      </w:r>
      <w:r w:rsidR="00402DFE">
        <w:rPr>
          <w:color w:val="000000"/>
        </w:rPr>
        <w:t xml:space="preserve"> </w:t>
      </w:r>
      <w:r w:rsidR="00402DFE">
        <w:rPr>
          <w:i/>
          <w:color w:val="000000"/>
        </w:rPr>
        <w:t xml:space="preserve">conflict resolution, innovative approaches to institutional design in divided societies </w:t>
      </w:r>
      <w:r w:rsidR="00402DFE" w:rsidRPr="00402DFE">
        <w:rPr>
          <w:color w:val="000000"/>
        </w:rPr>
        <w:t>(pp</w:t>
      </w:r>
      <w:r w:rsidR="00402DFE">
        <w:rPr>
          <w:i/>
          <w:color w:val="000000"/>
        </w:rPr>
        <w:t xml:space="preserve">. </w:t>
      </w:r>
      <w:r w:rsidR="00402DFE">
        <w:rPr>
          <w:color w:val="000000"/>
        </w:rPr>
        <w:t>1-22). London,</w:t>
      </w:r>
      <w:r>
        <w:rPr>
          <w:color w:val="000000"/>
        </w:rPr>
        <w:t xml:space="preserve"> Routledge Taylor &amp; Francis Group.</w:t>
      </w:r>
    </w:p>
    <w:p w:rsidR="00E27DF6" w:rsidRDefault="00015C30" w:rsidP="00402DFE">
      <w:pPr>
        <w:pBdr>
          <w:top w:val="nil"/>
          <w:left w:val="nil"/>
          <w:bottom w:val="nil"/>
          <w:right w:val="nil"/>
          <w:between w:val="nil"/>
        </w:pBdr>
        <w:spacing w:line="240" w:lineRule="auto"/>
        <w:ind w:left="426" w:hanging="426"/>
        <w:rPr>
          <w:color w:val="000000"/>
        </w:rPr>
      </w:pPr>
      <w:r>
        <w:rPr>
          <w:color w:val="000000"/>
        </w:rPr>
        <w:tab/>
      </w:r>
    </w:p>
    <w:p w:rsidR="00E27DF6" w:rsidRDefault="00E27DF6" w:rsidP="00402DFE">
      <w:pPr>
        <w:pBdr>
          <w:top w:val="nil"/>
          <w:left w:val="nil"/>
          <w:bottom w:val="nil"/>
          <w:right w:val="nil"/>
          <w:between w:val="nil"/>
        </w:pBdr>
        <w:spacing w:line="240" w:lineRule="auto"/>
        <w:ind w:left="426" w:hanging="426"/>
        <w:rPr>
          <w:color w:val="000000"/>
        </w:rPr>
      </w:pPr>
    </w:p>
    <w:p w:rsidR="00E27DF6" w:rsidRDefault="00E27DF6" w:rsidP="00402DFE">
      <w:pPr>
        <w:pBdr>
          <w:top w:val="nil"/>
          <w:left w:val="nil"/>
          <w:bottom w:val="nil"/>
          <w:right w:val="nil"/>
          <w:between w:val="nil"/>
        </w:pBdr>
        <w:spacing w:line="240" w:lineRule="auto"/>
        <w:ind w:left="426" w:hanging="426"/>
        <w:rPr>
          <w:color w:val="FF0000"/>
        </w:rPr>
      </w:pPr>
    </w:p>
    <w:sectPr w:rsidR="00E27DF6" w:rsidSect="00161E01">
      <w:headerReference w:type="even" r:id="rId8"/>
      <w:headerReference w:type="default" r:id="rId9"/>
      <w:footerReference w:type="even" r:id="rId10"/>
      <w:footerReference w:type="default" r:id="rId11"/>
      <w:headerReference w:type="first" r:id="rId12"/>
      <w:footerReference w:type="first" r:id="rId13"/>
      <w:pgSz w:w="11900" w:h="16840"/>
      <w:pgMar w:top="1440" w:right="1440" w:bottom="1440" w:left="1440" w:header="708" w:footer="708" w:gutter="0"/>
      <w:pgNumType w:start="14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A14" w:rsidRDefault="005B3A14">
      <w:pPr>
        <w:spacing w:line="240" w:lineRule="auto"/>
      </w:pPr>
      <w:r>
        <w:separator/>
      </w:r>
    </w:p>
  </w:endnote>
  <w:endnote w:type="continuationSeparator" w:id="0">
    <w:p w:rsidR="005B3A14" w:rsidRDefault="005B3A1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F6" w:rsidRDefault="008277C0">
    <w:pPr>
      <w:pBdr>
        <w:top w:val="nil"/>
        <w:left w:val="nil"/>
        <w:bottom w:val="nil"/>
        <w:right w:val="nil"/>
        <w:between w:val="nil"/>
      </w:pBdr>
      <w:tabs>
        <w:tab w:val="center" w:pos="4320"/>
        <w:tab w:val="right" w:pos="8640"/>
      </w:tabs>
      <w:jc w:val="center"/>
      <w:rPr>
        <w:color w:val="000000"/>
      </w:rPr>
    </w:pPr>
    <w:r>
      <w:rPr>
        <w:color w:val="000000"/>
      </w:rPr>
      <w:fldChar w:fldCharType="begin"/>
    </w:r>
    <w:r w:rsidR="00015C30">
      <w:rPr>
        <w:color w:val="000000"/>
      </w:rPr>
      <w:instrText>PAGE</w:instrText>
    </w:r>
    <w:r>
      <w:rPr>
        <w:color w:val="000000"/>
      </w:rPr>
      <w:fldChar w:fldCharType="end"/>
    </w:r>
  </w:p>
  <w:p w:rsidR="00E27DF6" w:rsidRDefault="00E27DF6">
    <w:pPr>
      <w:pBdr>
        <w:top w:val="nil"/>
        <w:left w:val="nil"/>
        <w:bottom w:val="nil"/>
        <w:right w:val="nil"/>
        <w:between w:val="nil"/>
      </w:pBdr>
      <w:tabs>
        <w:tab w:val="center" w:pos="4320"/>
        <w:tab w:val="right" w:pos="8640"/>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1E0" w:rsidRDefault="00AE01E0">
    <w:pPr>
      <w:pStyle w:val="Footer"/>
    </w:pPr>
  </w:p>
  <w:p w:rsidR="00E27DF6" w:rsidRDefault="00E27DF6">
    <w:pPr>
      <w:pBdr>
        <w:top w:val="nil"/>
        <w:left w:val="nil"/>
        <w:bottom w:val="nil"/>
        <w:right w:val="nil"/>
        <w:between w:val="nil"/>
      </w:pBdr>
      <w:tabs>
        <w:tab w:val="center" w:pos="4320"/>
        <w:tab w:val="right" w:pos="8640"/>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77" w:rsidRDefault="00A73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A14" w:rsidRDefault="005B3A14">
      <w:pPr>
        <w:spacing w:line="240" w:lineRule="auto"/>
      </w:pPr>
      <w:r>
        <w:separator/>
      </w:r>
    </w:p>
  </w:footnote>
  <w:footnote w:type="continuationSeparator" w:id="0">
    <w:p w:rsidR="005B3A14" w:rsidRDefault="005B3A1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77" w:rsidRDefault="00A7377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F6" w:rsidRDefault="00015C30" w:rsidP="00A73777">
    <w:pPr>
      <w:tabs>
        <w:tab w:val="left" w:pos="720"/>
        <w:tab w:val="center" w:pos="4536"/>
        <w:tab w:val="right" w:pos="9072"/>
      </w:tabs>
      <w:spacing w:line="240" w:lineRule="auto"/>
      <w:rPr>
        <w:sz w:val="18"/>
        <w:szCs w:val="18"/>
      </w:rPr>
    </w:pPr>
    <w:r>
      <w:rPr>
        <w:sz w:val="18"/>
        <w:szCs w:val="18"/>
      </w:rPr>
      <w:t>GEOGRAFIA Online</w:t>
    </w:r>
    <w:r>
      <w:rPr>
        <w:sz w:val="18"/>
        <w:szCs w:val="18"/>
        <w:vertAlign w:val="superscript"/>
      </w:rPr>
      <w:t>TM</w:t>
    </w:r>
    <w:r>
      <w:rPr>
        <w:sz w:val="18"/>
        <w:szCs w:val="18"/>
      </w:rPr>
      <w:t xml:space="preserve"> Malaysian Journal of Society and Space 14 issue</w:t>
    </w:r>
    <w:r>
      <w:rPr>
        <w:b/>
        <w:sz w:val="18"/>
        <w:szCs w:val="18"/>
      </w:rPr>
      <w:t xml:space="preserve"> </w:t>
    </w:r>
    <w:r>
      <w:rPr>
        <w:sz w:val="18"/>
        <w:szCs w:val="18"/>
      </w:rPr>
      <w:t>3</w:t>
    </w:r>
    <w:r>
      <w:rPr>
        <w:b/>
        <w:sz w:val="18"/>
        <w:szCs w:val="18"/>
      </w:rPr>
      <w:t xml:space="preserve"> </w:t>
    </w:r>
    <w:r>
      <w:rPr>
        <w:sz w:val="18"/>
        <w:szCs w:val="18"/>
      </w:rPr>
      <w:t>(</w:t>
    </w:r>
    <w:r w:rsidR="00161E01">
      <w:rPr>
        <w:sz w:val="18"/>
        <w:szCs w:val="18"/>
      </w:rPr>
      <w:t>141</w:t>
    </w:r>
    <w:r w:rsidR="00831940" w:rsidRPr="00831940">
      <w:rPr>
        <w:sz w:val="18"/>
        <w:szCs w:val="18"/>
      </w:rPr>
      <w:t xml:space="preserve"> </w:t>
    </w:r>
    <w:r w:rsidRPr="00831940">
      <w:rPr>
        <w:sz w:val="18"/>
        <w:szCs w:val="18"/>
      </w:rPr>
      <w:t xml:space="preserve">- </w:t>
    </w:r>
    <w:r w:rsidR="00161E01">
      <w:rPr>
        <w:sz w:val="18"/>
        <w:szCs w:val="18"/>
      </w:rPr>
      <w:t>150</w:t>
    </w:r>
    <w:r>
      <w:rPr>
        <w:sz w:val="18"/>
        <w:szCs w:val="18"/>
      </w:rPr>
      <w:t>)</w:t>
    </w:r>
    <w:r w:rsidR="00831940">
      <w:rPr>
        <w:sz w:val="18"/>
        <w:szCs w:val="18"/>
      </w:rPr>
      <w:tab/>
    </w:r>
    <w:r w:rsidR="008277C0" w:rsidRPr="00831940">
      <w:rPr>
        <w:sz w:val="18"/>
        <w:szCs w:val="18"/>
      </w:rPr>
      <w:fldChar w:fldCharType="begin"/>
    </w:r>
    <w:r w:rsidR="00831940" w:rsidRPr="00831940">
      <w:rPr>
        <w:sz w:val="18"/>
        <w:szCs w:val="18"/>
      </w:rPr>
      <w:instrText xml:space="preserve"> PAGE   \* MERGEFORMAT </w:instrText>
    </w:r>
    <w:r w:rsidR="008277C0" w:rsidRPr="00831940">
      <w:rPr>
        <w:sz w:val="18"/>
        <w:szCs w:val="18"/>
      </w:rPr>
      <w:fldChar w:fldCharType="separate"/>
    </w:r>
    <w:r w:rsidR="00003EEE">
      <w:rPr>
        <w:noProof/>
        <w:sz w:val="18"/>
        <w:szCs w:val="18"/>
      </w:rPr>
      <w:t>141</w:t>
    </w:r>
    <w:r w:rsidR="008277C0" w:rsidRPr="00831940">
      <w:rPr>
        <w:sz w:val="18"/>
        <w:szCs w:val="18"/>
      </w:rPr>
      <w:fldChar w:fldCharType="end"/>
    </w:r>
  </w:p>
  <w:p w:rsidR="00E27DF6" w:rsidRDefault="00015C30">
    <w:pPr>
      <w:pBdr>
        <w:top w:val="nil"/>
        <w:left w:val="nil"/>
        <w:bottom w:val="nil"/>
        <w:right w:val="nil"/>
        <w:between w:val="nil"/>
      </w:pBdr>
      <w:tabs>
        <w:tab w:val="center" w:pos="4513"/>
        <w:tab w:val="right" w:pos="9026"/>
      </w:tabs>
      <w:rPr>
        <w:color w:val="000000"/>
      </w:rPr>
    </w:pPr>
    <w:r>
      <w:rPr>
        <w:color w:val="000000"/>
        <w:sz w:val="18"/>
        <w:szCs w:val="18"/>
      </w:rPr>
      <w:t>© 2018, e-ISSN 2680-2491</w:t>
    </w:r>
    <w:r w:rsidR="00003EEE">
      <w:rPr>
        <w:color w:val="000000"/>
        <w:sz w:val="18"/>
        <w:szCs w:val="18"/>
      </w:rPr>
      <w:t xml:space="preserve">  </w:t>
    </w:r>
    <w:hyperlink r:id="rId1" w:history="1">
      <w:r w:rsidR="00003EEE" w:rsidRPr="00003EEE">
        <w:rPr>
          <w:rStyle w:val="Hyperlink"/>
          <w:color w:val="000000" w:themeColor="text1"/>
          <w:sz w:val="18"/>
          <w:szCs w:val="18"/>
          <w:u w:val="none"/>
        </w:rPr>
        <w:t>https://doi.org/10.17576/geo-2018-1403-11</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777" w:rsidRDefault="00A7377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hdrShapeDefaults>
    <o:shapedefaults v:ext="edit" spidmax="8194"/>
  </w:hdrShapeDefaults>
  <w:footnotePr>
    <w:footnote w:id="-1"/>
    <w:footnote w:id="0"/>
  </w:footnotePr>
  <w:endnotePr>
    <w:endnote w:id="-1"/>
    <w:endnote w:id="0"/>
  </w:endnotePr>
  <w:compat/>
  <w:rsids>
    <w:rsidRoot w:val="00E27DF6"/>
    <w:rsid w:val="00003EEE"/>
    <w:rsid w:val="00015C30"/>
    <w:rsid w:val="0008172C"/>
    <w:rsid w:val="000862CA"/>
    <w:rsid w:val="00100B57"/>
    <w:rsid w:val="00161E01"/>
    <w:rsid w:val="00181D00"/>
    <w:rsid w:val="001D306B"/>
    <w:rsid w:val="001E2966"/>
    <w:rsid w:val="001E56FF"/>
    <w:rsid w:val="00290D39"/>
    <w:rsid w:val="003D34BF"/>
    <w:rsid w:val="00402DFE"/>
    <w:rsid w:val="0048454B"/>
    <w:rsid w:val="004C4AC2"/>
    <w:rsid w:val="005B3A14"/>
    <w:rsid w:val="006F0A4A"/>
    <w:rsid w:val="007B4885"/>
    <w:rsid w:val="008277C0"/>
    <w:rsid w:val="00831940"/>
    <w:rsid w:val="00865418"/>
    <w:rsid w:val="009110F8"/>
    <w:rsid w:val="00994950"/>
    <w:rsid w:val="009F26D4"/>
    <w:rsid w:val="00A73777"/>
    <w:rsid w:val="00AE01E0"/>
    <w:rsid w:val="00AF77E9"/>
    <w:rsid w:val="00B377B5"/>
    <w:rsid w:val="00B47076"/>
    <w:rsid w:val="00B947DC"/>
    <w:rsid w:val="00C02859"/>
    <w:rsid w:val="00C3311F"/>
    <w:rsid w:val="00C61D21"/>
    <w:rsid w:val="00D3027A"/>
    <w:rsid w:val="00D3487B"/>
    <w:rsid w:val="00D80854"/>
    <w:rsid w:val="00E27D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MY"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B4885"/>
  </w:style>
  <w:style w:type="paragraph" w:styleId="Heading1">
    <w:name w:val="heading 1"/>
    <w:basedOn w:val="Normal"/>
    <w:next w:val="Normal"/>
    <w:rsid w:val="007B4885"/>
    <w:pPr>
      <w:keepNext/>
      <w:keepLines/>
      <w:spacing w:before="480" w:after="120"/>
      <w:outlineLvl w:val="0"/>
    </w:pPr>
    <w:rPr>
      <w:b/>
      <w:sz w:val="48"/>
      <w:szCs w:val="48"/>
    </w:rPr>
  </w:style>
  <w:style w:type="paragraph" w:styleId="Heading2">
    <w:name w:val="heading 2"/>
    <w:basedOn w:val="Normal"/>
    <w:next w:val="Normal"/>
    <w:rsid w:val="007B4885"/>
    <w:pPr>
      <w:keepNext/>
      <w:keepLines/>
      <w:spacing w:before="360" w:after="80"/>
      <w:outlineLvl w:val="1"/>
    </w:pPr>
    <w:rPr>
      <w:b/>
      <w:sz w:val="36"/>
      <w:szCs w:val="36"/>
    </w:rPr>
  </w:style>
  <w:style w:type="paragraph" w:styleId="Heading3">
    <w:name w:val="heading 3"/>
    <w:basedOn w:val="Normal"/>
    <w:next w:val="Normal"/>
    <w:rsid w:val="007B4885"/>
    <w:pPr>
      <w:keepNext/>
      <w:keepLines/>
      <w:outlineLvl w:val="2"/>
    </w:pPr>
    <w:rPr>
      <w:b/>
    </w:rPr>
  </w:style>
  <w:style w:type="paragraph" w:styleId="Heading4">
    <w:name w:val="heading 4"/>
    <w:basedOn w:val="Normal"/>
    <w:next w:val="Normal"/>
    <w:rsid w:val="007B4885"/>
    <w:pPr>
      <w:keepNext/>
      <w:keepLines/>
      <w:spacing w:before="240" w:after="40"/>
      <w:outlineLvl w:val="3"/>
    </w:pPr>
    <w:rPr>
      <w:b/>
    </w:rPr>
  </w:style>
  <w:style w:type="paragraph" w:styleId="Heading5">
    <w:name w:val="heading 5"/>
    <w:basedOn w:val="Normal"/>
    <w:next w:val="Normal"/>
    <w:rsid w:val="007B4885"/>
    <w:pPr>
      <w:keepNext/>
      <w:keepLines/>
      <w:spacing w:before="220" w:after="40"/>
      <w:outlineLvl w:val="4"/>
    </w:pPr>
    <w:rPr>
      <w:b/>
      <w:sz w:val="22"/>
      <w:szCs w:val="22"/>
    </w:rPr>
  </w:style>
  <w:style w:type="paragraph" w:styleId="Heading6">
    <w:name w:val="heading 6"/>
    <w:basedOn w:val="Normal"/>
    <w:next w:val="Normal"/>
    <w:rsid w:val="007B488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B4885"/>
    <w:pPr>
      <w:keepNext/>
      <w:keepLines/>
      <w:spacing w:before="480" w:after="120"/>
    </w:pPr>
    <w:rPr>
      <w:b/>
      <w:sz w:val="72"/>
      <w:szCs w:val="72"/>
    </w:rPr>
  </w:style>
  <w:style w:type="paragraph" w:styleId="Subtitle">
    <w:name w:val="Subtitle"/>
    <w:basedOn w:val="Normal"/>
    <w:next w:val="Normal"/>
    <w:rsid w:val="007B488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83194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1940"/>
    <w:rPr>
      <w:rFonts w:ascii="Tahoma" w:hAnsi="Tahoma" w:cs="Tahoma"/>
      <w:sz w:val="16"/>
      <w:szCs w:val="16"/>
    </w:rPr>
  </w:style>
  <w:style w:type="paragraph" w:styleId="Header">
    <w:name w:val="header"/>
    <w:basedOn w:val="Normal"/>
    <w:link w:val="HeaderChar"/>
    <w:uiPriority w:val="99"/>
    <w:semiHidden/>
    <w:unhideWhenUsed/>
    <w:rsid w:val="0083194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831940"/>
  </w:style>
  <w:style w:type="paragraph" w:styleId="Footer">
    <w:name w:val="footer"/>
    <w:basedOn w:val="Normal"/>
    <w:link w:val="FooterChar"/>
    <w:uiPriority w:val="99"/>
    <w:unhideWhenUsed/>
    <w:rsid w:val="00831940"/>
    <w:pPr>
      <w:tabs>
        <w:tab w:val="center" w:pos="4680"/>
        <w:tab w:val="right" w:pos="9360"/>
      </w:tabs>
      <w:spacing w:line="240" w:lineRule="auto"/>
    </w:pPr>
  </w:style>
  <w:style w:type="character" w:customStyle="1" w:styleId="FooterChar">
    <w:name w:val="Footer Char"/>
    <w:basedOn w:val="DefaultParagraphFont"/>
    <w:link w:val="Footer"/>
    <w:uiPriority w:val="99"/>
    <w:rsid w:val="00831940"/>
  </w:style>
  <w:style w:type="character" w:styleId="Hyperlink">
    <w:name w:val="Hyperlink"/>
    <w:basedOn w:val="DefaultParagraphFont"/>
    <w:uiPriority w:val="99"/>
    <w:unhideWhenUsed/>
    <w:rsid w:val="00003EEE"/>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sayuti@fsk.upsi.edu.my"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18-1403-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10</Pages>
  <Words>4862</Words>
  <Characters>27718</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SONY</cp:lastModifiedBy>
  <cp:revision>25</cp:revision>
  <dcterms:created xsi:type="dcterms:W3CDTF">2018-08-20T23:04:00Z</dcterms:created>
  <dcterms:modified xsi:type="dcterms:W3CDTF">2018-08-28T02:21:00Z</dcterms:modified>
</cp:coreProperties>
</file>