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3DBE" w14:textId="41935D9A" w:rsidR="00D96953" w:rsidRPr="00C54985" w:rsidRDefault="00C54985" w:rsidP="00300A09">
      <w:pPr>
        <w:widowControl w:val="0"/>
        <w:autoSpaceDE w:val="0"/>
        <w:autoSpaceDN w:val="0"/>
        <w:adjustRightInd w:val="0"/>
        <w:jc w:val="both"/>
      </w:pPr>
      <w:bookmarkStart w:id="0" w:name="OLE_LINK3"/>
      <w:bookmarkStart w:id="1" w:name="OLE_LINK4"/>
      <w:r w:rsidRPr="00C54985">
        <w:rPr>
          <w:noProof/>
          <w:lang w:val="en-MY" w:eastAsia="en-MY"/>
        </w:rPr>
        <w:drawing>
          <wp:anchor distT="0" distB="0" distL="114300" distR="114300" simplePos="0" relativeHeight="251659264" behindDoc="1" locked="0" layoutInCell="0" allowOverlap="1" wp14:anchorId="1F1CE9B8" wp14:editId="4B255483">
            <wp:simplePos x="0" y="0"/>
            <wp:positionH relativeFrom="column">
              <wp:posOffset>3175</wp:posOffset>
            </wp:positionH>
            <wp:positionV relativeFrom="paragraph">
              <wp:posOffset>89535</wp:posOffset>
            </wp:positionV>
            <wp:extent cx="572389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14:paraId="5B895B7E" w14:textId="0B4A6F10" w:rsidR="00D96953" w:rsidRPr="00C54985" w:rsidRDefault="00D96953" w:rsidP="00300A09">
      <w:pPr>
        <w:widowControl w:val="0"/>
        <w:autoSpaceDE w:val="0"/>
        <w:autoSpaceDN w:val="0"/>
        <w:adjustRightInd w:val="0"/>
        <w:jc w:val="both"/>
      </w:pPr>
    </w:p>
    <w:p w14:paraId="3F87D6D3" w14:textId="77777777" w:rsidR="00D96953" w:rsidRPr="00C54985" w:rsidRDefault="00D96953" w:rsidP="00300A09">
      <w:pPr>
        <w:widowControl w:val="0"/>
        <w:autoSpaceDE w:val="0"/>
        <w:autoSpaceDN w:val="0"/>
        <w:adjustRightInd w:val="0"/>
        <w:jc w:val="both"/>
      </w:pPr>
    </w:p>
    <w:p w14:paraId="2A436ADD" w14:textId="6B35E717" w:rsidR="00D443C1" w:rsidRPr="00D443C1" w:rsidRDefault="00D443C1" w:rsidP="00300A09">
      <w:pPr>
        <w:rPr>
          <w:b/>
        </w:rPr>
      </w:pPr>
    </w:p>
    <w:p w14:paraId="3440ACEE" w14:textId="74E9C04E" w:rsidR="00D91EDA" w:rsidRDefault="00B02072" w:rsidP="00300A09">
      <w:pPr>
        <w:jc w:val="center"/>
        <w:rPr>
          <w:b/>
          <w:sz w:val="28"/>
          <w:szCs w:val="28"/>
        </w:rPr>
      </w:pPr>
      <w:r w:rsidRPr="00C54985">
        <w:rPr>
          <w:b/>
          <w:sz w:val="28"/>
          <w:szCs w:val="28"/>
        </w:rPr>
        <w:t>Pockets of poverty</w:t>
      </w:r>
      <w:r w:rsidR="00422341" w:rsidRPr="00C54985">
        <w:rPr>
          <w:b/>
          <w:sz w:val="28"/>
          <w:szCs w:val="28"/>
        </w:rPr>
        <w:t xml:space="preserve"> in the </w:t>
      </w:r>
      <w:r w:rsidR="00380D44" w:rsidRPr="00C54985">
        <w:rPr>
          <w:b/>
          <w:sz w:val="28"/>
          <w:szCs w:val="28"/>
        </w:rPr>
        <w:t xml:space="preserve">northern states </w:t>
      </w:r>
      <w:r w:rsidR="00422341" w:rsidRPr="00C54985">
        <w:rPr>
          <w:b/>
          <w:sz w:val="28"/>
          <w:szCs w:val="28"/>
        </w:rPr>
        <w:t>of Malaysia</w:t>
      </w:r>
    </w:p>
    <w:p w14:paraId="5FC09539" w14:textId="77777777" w:rsidR="003824F4" w:rsidRPr="00C54985" w:rsidRDefault="003824F4" w:rsidP="00300A09">
      <w:pPr>
        <w:jc w:val="both"/>
        <w:rPr>
          <w:b/>
        </w:rPr>
      </w:pPr>
    </w:p>
    <w:p w14:paraId="1BDBDEBF" w14:textId="77777777" w:rsidR="003824F4" w:rsidRPr="00C54985" w:rsidRDefault="003824F4" w:rsidP="00300A09">
      <w:pPr>
        <w:jc w:val="center"/>
        <w:rPr>
          <w:sz w:val="22"/>
          <w:szCs w:val="22"/>
          <w:vertAlign w:val="superscript"/>
        </w:rPr>
      </w:pPr>
      <w:r w:rsidRPr="00C54985">
        <w:rPr>
          <w:sz w:val="22"/>
          <w:szCs w:val="22"/>
        </w:rPr>
        <w:t>Saidatulakmal Mohd</w:t>
      </w:r>
      <w:r w:rsidRPr="00C54985">
        <w:rPr>
          <w:sz w:val="22"/>
          <w:szCs w:val="22"/>
          <w:vertAlign w:val="superscript"/>
        </w:rPr>
        <w:t>1</w:t>
      </w:r>
      <w:r w:rsidRPr="00C54985">
        <w:rPr>
          <w:sz w:val="22"/>
          <w:szCs w:val="22"/>
        </w:rPr>
        <w:t>, Nur Azirah Zahida Mohamad Azhar</w:t>
      </w:r>
      <w:r w:rsidRPr="00C54985">
        <w:rPr>
          <w:sz w:val="22"/>
          <w:szCs w:val="22"/>
          <w:vertAlign w:val="superscript"/>
        </w:rPr>
        <w:t>1</w:t>
      </w:r>
      <w:r w:rsidRPr="00C54985">
        <w:rPr>
          <w:sz w:val="22"/>
          <w:szCs w:val="22"/>
        </w:rPr>
        <w:t>, Nurul Syifaa Mohd Shakil</w:t>
      </w:r>
      <w:r w:rsidRPr="00C54985">
        <w:rPr>
          <w:sz w:val="22"/>
          <w:szCs w:val="22"/>
          <w:vertAlign w:val="superscript"/>
        </w:rPr>
        <w:t>1</w:t>
      </w:r>
    </w:p>
    <w:p w14:paraId="5CFCFF9B" w14:textId="332D4D2F" w:rsidR="003824F4" w:rsidRPr="00C54985" w:rsidRDefault="003824F4" w:rsidP="00300A09">
      <w:pPr>
        <w:jc w:val="center"/>
        <w:rPr>
          <w:sz w:val="22"/>
          <w:szCs w:val="22"/>
          <w:vertAlign w:val="superscript"/>
        </w:rPr>
      </w:pPr>
      <w:r w:rsidRPr="00C54985">
        <w:rPr>
          <w:sz w:val="22"/>
          <w:szCs w:val="22"/>
        </w:rPr>
        <w:t>Abdelhak Senadjki</w:t>
      </w:r>
      <w:r w:rsidRPr="00C54985">
        <w:rPr>
          <w:sz w:val="22"/>
          <w:szCs w:val="22"/>
          <w:vertAlign w:val="superscript"/>
        </w:rPr>
        <w:t>2</w:t>
      </w:r>
      <w:r w:rsidRPr="00C54985">
        <w:rPr>
          <w:sz w:val="22"/>
          <w:szCs w:val="22"/>
        </w:rPr>
        <w:t>, Mohammad Darabi Golshani Iran</w:t>
      </w:r>
      <w:r w:rsidRPr="00C54985">
        <w:rPr>
          <w:sz w:val="22"/>
          <w:szCs w:val="22"/>
          <w:vertAlign w:val="superscript"/>
        </w:rPr>
        <w:t>1</w:t>
      </w:r>
    </w:p>
    <w:p w14:paraId="6BF6D405" w14:textId="77777777" w:rsidR="00335A34" w:rsidRPr="00C54985" w:rsidRDefault="00335A34" w:rsidP="00300A09">
      <w:pPr>
        <w:jc w:val="center"/>
        <w:rPr>
          <w:sz w:val="22"/>
          <w:szCs w:val="22"/>
          <w:vertAlign w:val="superscript"/>
        </w:rPr>
      </w:pPr>
    </w:p>
    <w:p w14:paraId="70E6BC51" w14:textId="4CC475C2" w:rsidR="003824F4" w:rsidRPr="00C54985" w:rsidRDefault="003824F4" w:rsidP="00300A09">
      <w:pPr>
        <w:jc w:val="center"/>
        <w:rPr>
          <w:sz w:val="22"/>
          <w:szCs w:val="22"/>
        </w:rPr>
      </w:pPr>
      <w:r w:rsidRPr="00C54985">
        <w:rPr>
          <w:sz w:val="22"/>
          <w:szCs w:val="22"/>
          <w:vertAlign w:val="superscript"/>
        </w:rPr>
        <w:t>1</w:t>
      </w:r>
      <w:r w:rsidRPr="00C54985">
        <w:rPr>
          <w:sz w:val="22"/>
          <w:szCs w:val="22"/>
        </w:rPr>
        <w:t>School of Social Sciences, Univer</w:t>
      </w:r>
      <w:r w:rsidR="00B0109A">
        <w:rPr>
          <w:sz w:val="22"/>
          <w:szCs w:val="22"/>
        </w:rPr>
        <w:t>siti Sains Malaysia</w:t>
      </w:r>
    </w:p>
    <w:p w14:paraId="5ED3558D" w14:textId="0576CE8C" w:rsidR="003824F4" w:rsidRPr="00C54985" w:rsidRDefault="003824F4" w:rsidP="00300A09">
      <w:pPr>
        <w:contextualSpacing/>
        <w:jc w:val="center"/>
        <w:rPr>
          <w:sz w:val="22"/>
          <w:szCs w:val="22"/>
        </w:rPr>
      </w:pPr>
      <w:r w:rsidRPr="00C54985">
        <w:rPr>
          <w:sz w:val="22"/>
          <w:szCs w:val="22"/>
          <w:vertAlign w:val="superscript"/>
        </w:rPr>
        <w:t>2</w:t>
      </w:r>
      <w:r w:rsidRPr="00C54985">
        <w:rPr>
          <w:sz w:val="22"/>
          <w:szCs w:val="22"/>
        </w:rPr>
        <w:t>Universiti Tunku Abdul Rahman, Perak, Malaysia</w:t>
      </w:r>
    </w:p>
    <w:p w14:paraId="39DE969E" w14:textId="77777777" w:rsidR="00D96953" w:rsidRPr="00C54985" w:rsidRDefault="00D96953" w:rsidP="00300A09">
      <w:pPr>
        <w:contextualSpacing/>
        <w:jc w:val="center"/>
        <w:rPr>
          <w:sz w:val="22"/>
          <w:szCs w:val="22"/>
        </w:rPr>
      </w:pPr>
    </w:p>
    <w:p w14:paraId="6C85F23D" w14:textId="77777777" w:rsidR="003824F4" w:rsidRPr="00C54985" w:rsidRDefault="003824F4" w:rsidP="00300A09">
      <w:pPr>
        <w:jc w:val="center"/>
        <w:rPr>
          <w:sz w:val="22"/>
          <w:szCs w:val="22"/>
        </w:rPr>
      </w:pPr>
      <w:r w:rsidRPr="00C54985">
        <w:rPr>
          <w:sz w:val="22"/>
          <w:szCs w:val="22"/>
        </w:rPr>
        <w:t>Correspondence: Saidatulakmal Mohd (email: eieydda@usm.my)</w:t>
      </w:r>
    </w:p>
    <w:p w14:paraId="06FC65D9" w14:textId="77777777" w:rsidR="003824F4" w:rsidRPr="00C54985" w:rsidRDefault="003824F4" w:rsidP="00300A09">
      <w:pPr>
        <w:jc w:val="both"/>
        <w:rPr>
          <w:b/>
        </w:rPr>
      </w:pPr>
    </w:p>
    <w:p w14:paraId="5550A821" w14:textId="77777777" w:rsidR="00D91EDA" w:rsidRPr="00C54985" w:rsidRDefault="00D91EDA" w:rsidP="00300A09">
      <w:pPr>
        <w:jc w:val="both"/>
      </w:pPr>
    </w:p>
    <w:p w14:paraId="124EE451" w14:textId="77777777" w:rsidR="00D91EDA" w:rsidRPr="00C54985" w:rsidRDefault="00D91EDA" w:rsidP="00300A09">
      <w:pPr>
        <w:jc w:val="both"/>
        <w:rPr>
          <w:b/>
        </w:rPr>
      </w:pPr>
      <w:r w:rsidRPr="00C54985">
        <w:rPr>
          <w:b/>
        </w:rPr>
        <w:t>Abstract</w:t>
      </w:r>
      <w:bookmarkStart w:id="2" w:name="_GoBack"/>
      <w:bookmarkEnd w:id="2"/>
    </w:p>
    <w:p w14:paraId="7799A13C" w14:textId="77777777" w:rsidR="00D91EDA" w:rsidRPr="00C54985" w:rsidRDefault="00D91EDA" w:rsidP="00300A09">
      <w:pPr>
        <w:jc w:val="both"/>
      </w:pPr>
    </w:p>
    <w:p w14:paraId="06BD70E0" w14:textId="4B8E6815" w:rsidR="00DF0534" w:rsidRPr="00C54985" w:rsidRDefault="00D318C9" w:rsidP="00300A09">
      <w:pPr>
        <w:jc w:val="both"/>
      </w:pPr>
      <w:r w:rsidRPr="00C54985">
        <w:t xml:space="preserve">Despite Malaysia’s </w:t>
      </w:r>
      <w:r w:rsidR="00422341" w:rsidRPr="00C54985">
        <w:t>tremendous economic growth and remarkable achievement in poverty reduction for the nation</w:t>
      </w:r>
      <w:r w:rsidRPr="00C54985">
        <w:t xml:space="preserve">, pockets of poverty </w:t>
      </w:r>
      <w:r w:rsidR="00951A36" w:rsidRPr="00C54985">
        <w:t>remain</w:t>
      </w:r>
      <w:r w:rsidRPr="00C54985">
        <w:t xml:space="preserve"> in certain regions. Pockets of poverty could be analysed using micro data </w:t>
      </w:r>
      <w:r w:rsidR="00951A36" w:rsidRPr="00C54985">
        <w:t>when</w:t>
      </w:r>
      <w:r w:rsidRPr="00C54985">
        <w:t xml:space="preserve"> macro data is unable to </w:t>
      </w:r>
      <w:r w:rsidR="00951A36" w:rsidRPr="00C54985">
        <w:t xml:space="preserve">provide a clear understanding on the existence of poverty. </w:t>
      </w:r>
      <w:r w:rsidR="00D91EDA" w:rsidRPr="00C54985">
        <w:t>This study assesses</w:t>
      </w:r>
      <w:r w:rsidR="006331E3" w:rsidRPr="00C54985">
        <w:t xml:space="preserve"> the</w:t>
      </w:r>
      <w:r w:rsidR="00D91EDA" w:rsidRPr="00C54985">
        <w:t xml:space="preserve"> </w:t>
      </w:r>
      <w:r w:rsidR="00DF0534" w:rsidRPr="00C54985">
        <w:t xml:space="preserve">pockets of poverty in the Northern States of Malaysia. </w:t>
      </w:r>
      <w:r w:rsidR="00951A36" w:rsidRPr="00C54985">
        <w:t xml:space="preserve">Northern States of Malaysia consist of Perlis, Kedah, Penang and Perak. </w:t>
      </w:r>
      <w:r w:rsidR="00D55E74" w:rsidRPr="00C54985">
        <w:t>The objectives of this paper are twofold: to identify pockets of poverty in the Northern States of Malaysia using household income data and to determine the factors that affect these pockets of poverty.</w:t>
      </w:r>
      <w:r w:rsidR="00512F57" w:rsidRPr="00C54985">
        <w:t xml:space="preserve"> </w:t>
      </w:r>
      <w:r w:rsidR="00DF0534" w:rsidRPr="00C54985">
        <w:t xml:space="preserve">Pockets of poverty </w:t>
      </w:r>
      <w:r w:rsidR="00951A36" w:rsidRPr="00C54985">
        <w:t xml:space="preserve">in this region </w:t>
      </w:r>
      <w:r w:rsidR="00DF0534" w:rsidRPr="00C54985">
        <w:rPr>
          <w:noProof/>
        </w:rPr>
        <w:t>are investigated</w:t>
      </w:r>
      <w:r w:rsidR="00DF0534" w:rsidRPr="00C54985">
        <w:t xml:space="preserve"> among</w:t>
      </w:r>
      <w:r w:rsidR="00D91EDA" w:rsidRPr="00C54985">
        <w:t xml:space="preserve"> strata, ethnic grou</w:t>
      </w:r>
      <w:r w:rsidR="00DF0534" w:rsidRPr="00C54985">
        <w:t xml:space="preserve">ps, income level and education. </w:t>
      </w:r>
      <w:r w:rsidR="00D91EDA" w:rsidRPr="00C54985">
        <w:t xml:space="preserve">For this purpose, </w:t>
      </w:r>
      <w:r w:rsidR="006331E3" w:rsidRPr="00C54985">
        <w:t xml:space="preserve">the </w:t>
      </w:r>
      <w:r w:rsidR="00D91EDA" w:rsidRPr="00C54985">
        <w:t>National Poverty Line Income (PLI</w:t>
      </w:r>
      <w:bookmarkStart w:id="3" w:name="OLE_LINK1"/>
      <w:bookmarkStart w:id="4" w:name="OLE_LINK2"/>
      <w:r w:rsidR="00D91EDA" w:rsidRPr="00C54985">
        <w:t>) is determined</w:t>
      </w:r>
      <w:bookmarkEnd w:id="3"/>
      <w:bookmarkEnd w:id="4"/>
      <w:r w:rsidR="00D91EDA" w:rsidRPr="00C54985">
        <w:t xml:space="preserve"> to specify the poor. </w:t>
      </w:r>
      <w:r w:rsidR="00512F57" w:rsidRPr="00C54985">
        <w:t xml:space="preserve">Logistic probability function is estimated to assess factors that influenced poverty in the Northern States of Malaysia. </w:t>
      </w:r>
      <w:r w:rsidR="00D91EDA" w:rsidRPr="00C54985">
        <w:t>This study uses the Household Income Survey (HIS)</w:t>
      </w:r>
      <w:r w:rsidR="00D91EDA" w:rsidRPr="00C54985">
        <w:rPr>
          <w:rtl/>
        </w:rPr>
        <w:t xml:space="preserve"> </w:t>
      </w:r>
      <w:r w:rsidR="00D91EDA" w:rsidRPr="00C54985">
        <w:t xml:space="preserve">data </w:t>
      </w:r>
      <w:r w:rsidR="00DF0534" w:rsidRPr="00C54985">
        <w:t>for 2009 and 2012.</w:t>
      </w:r>
      <w:r w:rsidR="006331E3" w:rsidRPr="00C54985">
        <w:t xml:space="preserve"> </w:t>
      </w:r>
      <w:r w:rsidR="009731C4" w:rsidRPr="00C54985">
        <w:t>From data analysis, it could be concluded that</w:t>
      </w:r>
      <w:r w:rsidR="003E7158" w:rsidRPr="00C54985">
        <w:t xml:space="preserve"> pockets of poverty </w:t>
      </w:r>
      <w:r w:rsidR="009731C4" w:rsidRPr="00C54985">
        <w:t>exist among elderly, women</w:t>
      </w:r>
      <w:r w:rsidR="00512F57" w:rsidRPr="00C54985">
        <w:t>,</w:t>
      </w:r>
      <w:r w:rsidR="009731C4" w:rsidRPr="00C54985">
        <w:t xml:space="preserve"> Bumiputer</w:t>
      </w:r>
      <w:r w:rsidR="00512F57" w:rsidRPr="00C54985">
        <w:t xml:space="preserve">a and those living in the rural areas. </w:t>
      </w:r>
      <w:r w:rsidR="009731C4" w:rsidRPr="00C54985">
        <w:t xml:space="preserve"> </w:t>
      </w:r>
      <w:r w:rsidR="00512F57" w:rsidRPr="00C54985">
        <w:t xml:space="preserve">Logistic probability analysis indicates that variables that are statistically significant in influencing poverty are age, gender, location, education level, Chinese (ethnic group) and married (marital status). </w:t>
      </w:r>
      <w:r w:rsidR="004D1216" w:rsidRPr="00C54985">
        <w:t xml:space="preserve">These findings are vital to develop appropriate policy orientation in targeting the correct group in solving poverty. </w:t>
      </w:r>
    </w:p>
    <w:p w14:paraId="2485EB6D" w14:textId="77777777" w:rsidR="00D91EDA" w:rsidRPr="00C54985" w:rsidRDefault="00D91EDA" w:rsidP="00300A09">
      <w:pPr>
        <w:jc w:val="both"/>
      </w:pPr>
    </w:p>
    <w:p w14:paraId="40A57FD3" w14:textId="621D9135" w:rsidR="00D91EDA" w:rsidRPr="00C54985" w:rsidRDefault="00D91EDA" w:rsidP="00300A09">
      <w:pPr>
        <w:jc w:val="both"/>
      </w:pPr>
      <w:r w:rsidRPr="00C54985">
        <w:rPr>
          <w:b/>
        </w:rPr>
        <w:t>Keywords</w:t>
      </w:r>
      <w:r w:rsidRPr="00380D44">
        <w:t>:</w:t>
      </w:r>
      <w:r w:rsidRPr="00C54985">
        <w:rPr>
          <w:b/>
        </w:rPr>
        <w:t xml:space="preserve"> </w:t>
      </w:r>
      <w:r w:rsidR="00C54985">
        <w:t>h</w:t>
      </w:r>
      <w:r w:rsidR="00D96953" w:rsidRPr="00C54985">
        <w:t xml:space="preserve">ousehold </w:t>
      </w:r>
      <w:r w:rsidR="00C54985">
        <w:t>income survey,</w:t>
      </w:r>
      <w:r w:rsidRPr="00C54985">
        <w:t xml:space="preserve"> </w:t>
      </w:r>
      <w:r w:rsidR="00C54985">
        <w:t>l</w:t>
      </w:r>
      <w:r w:rsidR="00D96953" w:rsidRPr="00C54985">
        <w:t>ogit</w:t>
      </w:r>
      <w:r w:rsidR="00C54985">
        <w:t>, n</w:t>
      </w:r>
      <w:r w:rsidRPr="00C54985">
        <w:t xml:space="preserve">orthern </w:t>
      </w:r>
      <w:r w:rsidR="00C54985">
        <w:t>s</w:t>
      </w:r>
      <w:r w:rsidR="00DF0534" w:rsidRPr="00C54985">
        <w:t>tates of</w:t>
      </w:r>
      <w:r w:rsidR="00C54985">
        <w:t xml:space="preserve"> Malaysia,</w:t>
      </w:r>
      <w:r w:rsidRPr="00C54985">
        <w:t xml:space="preserve"> </w:t>
      </w:r>
      <w:r w:rsidR="00C54985">
        <w:t>national poverty line i</w:t>
      </w:r>
      <w:r w:rsidR="00C54985" w:rsidRPr="00C54985">
        <w:t>ncome</w:t>
      </w:r>
      <w:r w:rsidR="00C54985">
        <w:t>, p</w:t>
      </w:r>
      <w:r w:rsidR="00D96953" w:rsidRPr="00C54985">
        <w:t xml:space="preserve">ockets </w:t>
      </w:r>
      <w:r w:rsidR="00DF0534" w:rsidRPr="00C54985">
        <w:t xml:space="preserve">of </w:t>
      </w:r>
      <w:r w:rsidRPr="00C54985">
        <w:t>poverty</w:t>
      </w:r>
      <w:r w:rsidR="00380D44">
        <w:t>, poor</w:t>
      </w:r>
    </w:p>
    <w:p w14:paraId="2825A994" w14:textId="77777777" w:rsidR="00D91EDA" w:rsidRPr="00C54985" w:rsidRDefault="00D91EDA" w:rsidP="00300A09">
      <w:pPr>
        <w:jc w:val="both"/>
      </w:pPr>
    </w:p>
    <w:p w14:paraId="47E76A22" w14:textId="77777777" w:rsidR="00D91EDA" w:rsidRPr="00C54985" w:rsidRDefault="00D91EDA" w:rsidP="00300A09">
      <w:pPr>
        <w:jc w:val="both"/>
      </w:pPr>
    </w:p>
    <w:p w14:paraId="13DF6C40" w14:textId="678B3509" w:rsidR="00D91EDA" w:rsidRPr="00C54985" w:rsidRDefault="00D91EDA" w:rsidP="00300A09">
      <w:pPr>
        <w:jc w:val="both"/>
        <w:rPr>
          <w:b/>
        </w:rPr>
      </w:pPr>
      <w:r w:rsidRPr="00C54985">
        <w:rPr>
          <w:b/>
        </w:rPr>
        <w:t>Introduction</w:t>
      </w:r>
    </w:p>
    <w:p w14:paraId="627E7F32" w14:textId="77777777" w:rsidR="00D96953" w:rsidRPr="00C54985" w:rsidRDefault="00D96953" w:rsidP="00300A09">
      <w:pPr>
        <w:jc w:val="both"/>
      </w:pPr>
    </w:p>
    <w:p w14:paraId="13EAAC99" w14:textId="0B152F80" w:rsidR="003D1349" w:rsidRPr="00C54985" w:rsidRDefault="006331E3" w:rsidP="00300A09">
      <w:pPr>
        <w:jc w:val="both"/>
        <w:rPr>
          <w:bCs/>
        </w:rPr>
      </w:pPr>
      <w:r w:rsidRPr="00C54985">
        <w:rPr>
          <w:bCs/>
        </w:rPr>
        <w:t xml:space="preserve">Many international organisations have applauded </w:t>
      </w:r>
      <w:r w:rsidR="00D91EDA" w:rsidRPr="00C54985">
        <w:rPr>
          <w:bCs/>
        </w:rPr>
        <w:t xml:space="preserve">Malaysia </w:t>
      </w:r>
      <w:r w:rsidRPr="00C54985">
        <w:rPr>
          <w:bCs/>
        </w:rPr>
        <w:t xml:space="preserve">for its </w:t>
      </w:r>
      <w:r w:rsidR="00D91EDA" w:rsidRPr="00C54985">
        <w:rPr>
          <w:bCs/>
        </w:rPr>
        <w:t xml:space="preserve">success in poverty eradication from more than 50 </w:t>
      </w:r>
      <w:r w:rsidR="00D91EDA" w:rsidRPr="00C54985">
        <w:rPr>
          <w:bCs/>
          <w:noProof/>
        </w:rPr>
        <w:t>percent</w:t>
      </w:r>
      <w:r w:rsidR="00D91EDA" w:rsidRPr="00C54985">
        <w:rPr>
          <w:bCs/>
        </w:rPr>
        <w:t xml:space="preserve"> in the 70s to less than 10 </w:t>
      </w:r>
      <w:r w:rsidR="00D91EDA" w:rsidRPr="00C54985">
        <w:rPr>
          <w:bCs/>
          <w:noProof/>
        </w:rPr>
        <w:t>percent</w:t>
      </w:r>
      <w:r w:rsidR="00D91EDA" w:rsidRPr="00C54985">
        <w:rPr>
          <w:bCs/>
        </w:rPr>
        <w:t xml:space="preserve">. While poverty has reduced, </w:t>
      </w:r>
      <w:r w:rsidR="00811825" w:rsidRPr="00C54985">
        <w:rPr>
          <w:bCs/>
        </w:rPr>
        <w:t xml:space="preserve">pockets of </w:t>
      </w:r>
      <w:r w:rsidR="00D91EDA" w:rsidRPr="00C54985">
        <w:rPr>
          <w:bCs/>
        </w:rPr>
        <w:t xml:space="preserve">poverty </w:t>
      </w:r>
      <w:r w:rsidR="00811825" w:rsidRPr="00C54985">
        <w:rPr>
          <w:bCs/>
        </w:rPr>
        <w:t>remain in some parts of the country. As forward</w:t>
      </w:r>
      <w:r w:rsidRPr="00C54985">
        <w:rPr>
          <w:bCs/>
        </w:rPr>
        <w:t>ed</w:t>
      </w:r>
      <w:r w:rsidR="00811825" w:rsidRPr="00C54985">
        <w:rPr>
          <w:bCs/>
        </w:rPr>
        <w:t xml:space="preserve"> by </w:t>
      </w:r>
      <w:r w:rsidR="00CB7959" w:rsidRPr="00C54985">
        <w:rPr>
          <w:bCs/>
        </w:rPr>
        <w:t>Nair and Sagaran (2015</w:t>
      </w:r>
      <w:r w:rsidR="009658D3" w:rsidRPr="00C54985">
        <w:rPr>
          <w:bCs/>
        </w:rPr>
        <w:t xml:space="preserve">), pockets of poverty remain a hurdle for Malaysia to attain a developed nation status by the year 2020. </w:t>
      </w:r>
      <w:r w:rsidR="003474FA" w:rsidRPr="00C54985">
        <w:rPr>
          <w:bCs/>
        </w:rPr>
        <w:t xml:space="preserve">Pockets of poverty are </w:t>
      </w:r>
      <w:r w:rsidR="009D21EB" w:rsidRPr="00C54985">
        <w:rPr>
          <w:bCs/>
        </w:rPr>
        <w:t>evident</w:t>
      </w:r>
      <w:r w:rsidR="003474FA" w:rsidRPr="00C54985">
        <w:rPr>
          <w:bCs/>
        </w:rPr>
        <w:t xml:space="preserve"> in </w:t>
      </w:r>
      <w:r w:rsidR="003D1349" w:rsidRPr="00C54985">
        <w:rPr>
          <w:bCs/>
        </w:rPr>
        <w:t xml:space="preserve">certain states or regions, </w:t>
      </w:r>
      <w:r w:rsidR="003474FA" w:rsidRPr="00C54985">
        <w:rPr>
          <w:bCs/>
        </w:rPr>
        <w:t>rural areas, and among ethnic groups (Majid</w:t>
      </w:r>
      <w:r w:rsidR="00483ACB">
        <w:rPr>
          <w:bCs/>
        </w:rPr>
        <w:t xml:space="preserve"> et al., </w:t>
      </w:r>
      <w:r w:rsidR="003474FA" w:rsidRPr="00C54985">
        <w:rPr>
          <w:bCs/>
        </w:rPr>
        <w:t xml:space="preserve">2016). </w:t>
      </w:r>
      <w:r w:rsidR="009658D3" w:rsidRPr="00C54985">
        <w:rPr>
          <w:bCs/>
        </w:rPr>
        <w:t xml:space="preserve">Poverty </w:t>
      </w:r>
      <w:r w:rsidRPr="00C54985">
        <w:rPr>
          <w:bCs/>
        </w:rPr>
        <w:t xml:space="preserve">is a </w:t>
      </w:r>
      <w:r w:rsidR="00330EF6" w:rsidRPr="00C54985">
        <w:rPr>
          <w:bCs/>
        </w:rPr>
        <w:t>central social</w:t>
      </w:r>
      <w:r w:rsidR="00D91EDA" w:rsidRPr="00C54985">
        <w:rPr>
          <w:bCs/>
        </w:rPr>
        <w:t xml:space="preserve"> issue in Sabah and Sarawak in East Malaysia, Kelantan and Terengganu </w:t>
      </w:r>
      <w:r w:rsidRPr="00C54985">
        <w:rPr>
          <w:bCs/>
        </w:rPr>
        <w:t xml:space="preserve">on </w:t>
      </w:r>
      <w:r w:rsidR="00D91EDA" w:rsidRPr="00C54985">
        <w:rPr>
          <w:bCs/>
        </w:rPr>
        <w:t xml:space="preserve">the East Coast of Peninsular Malaysia </w:t>
      </w:r>
      <w:r w:rsidR="00330EF6" w:rsidRPr="00C54985">
        <w:rPr>
          <w:bCs/>
        </w:rPr>
        <w:t>and</w:t>
      </w:r>
      <w:r w:rsidR="00D91EDA" w:rsidRPr="00C54985">
        <w:rPr>
          <w:bCs/>
        </w:rPr>
        <w:t xml:space="preserve"> Perak, Kedah and Perlis in the Northern part of Peninsular Malaysia</w:t>
      </w:r>
      <w:r w:rsidR="00330EF6" w:rsidRPr="00C54985">
        <w:rPr>
          <w:bCs/>
        </w:rPr>
        <w:t xml:space="preserve"> (Table 1)</w:t>
      </w:r>
      <w:r w:rsidR="00D91EDA" w:rsidRPr="00C54985">
        <w:rPr>
          <w:bCs/>
        </w:rPr>
        <w:t xml:space="preserve">. </w:t>
      </w:r>
      <w:r w:rsidR="00027C62" w:rsidRPr="00C54985">
        <w:rPr>
          <w:bCs/>
        </w:rPr>
        <w:t xml:space="preserve">Poverty is also apparent between urban and rural areas, with rural poverty incidence higher than its urban counterparts (Table 2). While data indicates a remarkable drop </w:t>
      </w:r>
      <w:r w:rsidRPr="00C54985">
        <w:rPr>
          <w:bCs/>
        </w:rPr>
        <w:t xml:space="preserve">in </w:t>
      </w:r>
      <w:r w:rsidR="00027C62" w:rsidRPr="00C54985">
        <w:rPr>
          <w:bCs/>
        </w:rPr>
        <w:t xml:space="preserve">the poverty </w:t>
      </w:r>
      <w:r w:rsidR="00027C62" w:rsidRPr="00C54985">
        <w:rPr>
          <w:bCs/>
        </w:rPr>
        <w:lastRenderedPageBreak/>
        <w:t xml:space="preserve">incidence </w:t>
      </w:r>
      <w:r w:rsidR="00027C62" w:rsidRPr="00C54985">
        <w:rPr>
          <w:bCs/>
          <w:noProof/>
        </w:rPr>
        <w:t>over</w:t>
      </w:r>
      <w:r w:rsidR="00C4781C" w:rsidRPr="00C54985">
        <w:rPr>
          <w:bCs/>
          <w:noProof/>
        </w:rPr>
        <w:t xml:space="preserve"> the</w:t>
      </w:r>
      <w:r w:rsidR="00027C62" w:rsidRPr="00C54985">
        <w:rPr>
          <w:bCs/>
          <w:noProof/>
        </w:rPr>
        <w:t xml:space="preserve"> years</w:t>
      </w:r>
      <w:r w:rsidR="00027C62" w:rsidRPr="00C54985">
        <w:rPr>
          <w:bCs/>
        </w:rPr>
        <w:t xml:space="preserve">, </w:t>
      </w:r>
      <w:r w:rsidR="00C4781C" w:rsidRPr="00C54985">
        <w:rPr>
          <w:bCs/>
        </w:rPr>
        <w:t xml:space="preserve">the </w:t>
      </w:r>
      <w:r w:rsidR="00027C62" w:rsidRPr="00C54985">
        <w:rPr>
          <w:bCs/>
          <w:noProof/>
        </w:rPr>
        <w:t>poverty</w:t>
      </w:r>
      <w:r w:rsidR="00027C62" w:rsidRPr="00C54985">
        <w:rPr>
          <w:bCs/>
        </w:rPr>
        <w:t xml:space="preserve"> gap between the rural and urban areas persist. </w:t>
      </w:r>
      <w:r w:rsidR="00027C62" w:rsidRPr="00C54985">
        <w:rPr>
          <w:bCs/>
          <w:noProof/>
        </w:rPr>
        <w:t>With regard to</w:t>
      </w:r>
      <w:r w:rsidR="00027C62" w:rsidRPr="00C54985">
        <w:rPr>
          <w:bCs/>
        </w:rPr>
        <w:t xml:space="preserve"> ethnic group, the Bumiputera (literally translated as </w:t>
      </w:r>
      <w:r w:rsidR="00C4781C" w:rsidRPr="00C54985">
        <w:rPr>
          <w:bCs/>
        </w:rPr>
        <w:t xml:space="preserve">the </w:t>
      </w:r>
      <w:r w:rsidR="00027C62" w:rsidRPr="00C54985">
        <w:rPr>
          <w:bCs/>
          <w:noProof/>
        </w:rPr>
        <w:t>son</w:t>
      </w:r>
      <w:r w:rsidR="00027C62" w:rsidRPr="00C54985">
        <w:rPr>
          <w:bCs/>
        </w:rPr>
        <w:t xml:space="preserve"> of the soil and normally </w:t>
      </w:r>
      <w:r w:rsidRPr="00C54985">
        <w:rPr>
          <w:bCs/>
        </w:rPr>
        <w:t xml:space="preserve">used to refer to </w:t>
      </w:r>
      <w:r w:rsidR="00027C62" w:rsidRPr="00C54985">
        <w:rPr>
          <w:bCs/>
        </w:rPr>
        <w:t xml:space="preserve">Malays in Peninsular Malaysia) </w:t>
      </w:r>
      <w:r w:rsidR="006A183E" w:rsidRPr="00C54985">
        <w:rPr>
          <w:bCs/>
        </w:rPr>
        <w:t xml:space="preserve">are </w:t>
      </w:r>
      <w:r w:rsidR="00027C62" w:rsidRPr="00C54985">
        <w:rPr>
          <w:bCs/>
        </w:rPr>
        <w:t>prone to liv</w:t>
      </w:r>
      <w:r w:rsidRPr="00C54985">
        <w:rPr>
          <w:bCs/>
        </w:rPr>
        <w:t>ing</w:t>
      </w:r>
      <w:r w:rsidR="00027C62" w:rsidRPr="00C54985">
        <w:rPr>
          <w:bCs/>
        </w:rPr>
        <w:t xml:space="preserve"> in poverty (Table 3).</w:t>
      </w:r>
    </w:p>
    <w:p w14:paraId="46A78239" w14:textId="24A472B9" w:rsidR="00330EF6" w:rsidRPr="00C54985" w:rsidRDefault="00EC48AB" w:rsidP="00300A09">
      <w:pPr>
        <w:ind w:firstLine="720"/>
        <w:jc w:val="both"/>
      </w:pPr>
      <w:r w:rsidRPr="00C54985">
        <w:t xml:space="preserve">The Northern States of Malaysia comprises Perlis, Kedah, Penang and Perak. As could be concluded from Table 1, the Northern States of Malaysia reported poverty incidence below the national level in 2016. As </w:t>
      </w:r>
      <w:r w:rsidR="006331E3" w:rsidRPr="00C54985">
        <w:t>a</w:t>
      </w:r>
      <w:r w:rsidRPr="00C54985">
        <w:t xml:space="preserve"> developed </w:t>
      </w:r>
      <w:r w:rsidR="006331E3" w:rsidRPr="00C54985">
        <w:t xml:space="preserve">region </w:t>
      </w:r>
      <w:r w:rsidRPr="00C54985">
        <w:t xml:space="preserve">with Gross Domestic Product (GDP) of 5.6 </w:t>
      </w:r>
      <w:r w:rsidRPr="00C54985">
        <w:rPr>
          <w:noProof/>
        </w:rPr>
        <w:t>percent</w:t>
      </w:r>
      <w:r w:rsidRPr="00C54985">
        <w:t xml:space="preserve"> in 2016 (Department of Statistics</w:t>
      </w:r>
      <w:r w:rsidR="00A8517E">
        <w:t>,</w:t>
      </w:r>
      <w:r w:rsidRPr="00C54985">
        <w:t xml:space="preserve"> 2017</w:t>
      </w:r>
      <w:r w:rsidR="00AE5792" w:rsidRPr="00C54985">
        <w:t>b</w:t>
      </w:r>
      <w:r w:rsidRPr="00C54985">
        <w:t xml:space="preserve">), surpassing the national GDP growth of 4.2 </w:t>
      </w:r>
      <w:r w:rsidRPr="00C54985">
        <w:rPr>
          <w:noProof/>
        </w:rPr>
        <w:t>percent</w:t>
      </w:r>
      <w:r w:rsidRPr="00C54985">
        <w:t xml:space="preserve">, it is not surprising to note that Penang recorded 0.1 </w:t>
      </w:r>
      <w:r w:rsidRPr="00C54985">
        <w:rPr>
          <w:noProof/>
        </w:rPr>
        <w:t>percent</w:t>
      </w:r>
      <w:r w:rsidRPr="00C54985">
        <w:t xml:space="preserve"> poverty incidence in 2016. Perlis, however, </w:t>
      </w:r>
      <w:r w:rsidRPr="00C54985">
        <w:rPr>
          <w:noProof/>
        </w:rPr>
        <w:t>being</w:t>
      </w:r>
      <w:r w:rsidRPr="00C54985">
        <w:t xml:space="preserve"> a small state with a GDP growth of 3.9 </w:t>
      </w:r>
      <w:r w:rsidRPr="00C54985">
        <w:rPr>
          <w:noProof/>
        </w:rPr>
        <w:t>percent</w:t>
      </w:r>
      <w:r w:rsidRPr="00C54985">
        <w:t xml:space="preserve"> in 2016 (Department of Statistics</w:t>
      </w:r>
      <w:r w:rsidR="00A8517E">
        <w:t>,</w:t>
      </w:r>
      <w:r w:rsidRPr="00C54985">
        <w:t xml:space="preserve"> 2017), also recorded </w:t>
      </w:r>
      <w:r w:rsidR="006331E3" w:rsidRPr="00C54985">
        <w:t xml:space="preserve">a </w:t>
      </w:r>
      <w:r w:rsidRPr="00C54985">
        <w:t xml:space="preserve">similar poverty incidence. Kedah and Perak, with GDP growth of 3.2 and 4.1 </w:t>
      </w:r>
      <w:r w:rsidRPr="00C54985">
        <w:rPr>
          <w:noProof/>
        </w:rPr>
        <w:t>percent</w:t>
      </w:r>
      <w:r w:rsidRPr="00C54985">
        <w:t xml:space="preserve"> (Department of Statistics</w:t>
      </w:r>
      <w:r w:rsidR="00A8517E">
        <w:t>,</w:t>
      </w:r>
      <w:r w:rsidRPr="00C54985">
        <w:t xml:space="preserve"> 2017</w:t>
      </w:r>
      <w:r w:rsidR="00AE5792" w:rsidRPr="00C54985">
        <w:t>b</w:t>
      </w:r>
      <w:r w:rsidRPr="00C54985">
        <w:t xml:space="preserve">) respectively, recorded a similar poverty incidence of 0.2 </w:t>
      </w:r>
      <w:r w:rsidRPr="00C54985">
        <w:rPr>
          <w:noProof/>
        </w:rPr>
        <w:t>percent</w:t>
      </w:r>
      <w:r w:rsidRPr="00C54985">
        <w:t xml:space="preserve">. It is particularly interesting to investigate pockets of poverty that exist in these states. Pockets of poverty are clearly understood through the investigation of microdata to investigate who, where, what and why poverty remains within the investigating data. It is through the identification of pockets of poverty that relevant and efficient policies </w:t>
      </w:r>
      <w:r w:rsidR="006331E3" w:rsidRPr="00C54985">
        <w:t xml:space="preserve">can </w:t>
      </w:r>
      <w:r w:rsidR="006331E3" w:rsidRPr="00C54985">
        <w:rPr>
          <w:noProof/>
        </w:rPr>
        <w:t>be formulated</w:t>
      </w:r>
      <w:r w:rsidRPr="00C54985">
        <w:t xml:space="preserve">. </w:t>
      </w:r>
      <w:r w:rsidR="006331E3" w:rsidRPr="00C54985">
        <w:t>Pawasutipaisit and Townsend (2011) examined the</w:t>
      </w:r>
      <w:r w:rsidRPr="00C54985">
        <w:t xml:space="preserve"> monthly data </w:t>
      </w:r>
      <w:r w:rsidR="000876CF" w:rsidRPr="00C54985">
        <w:t xml:space="preserve">over </w:t>
      </w:r>
      <w:r w:rsidRPr="00C54985">
        <w:t xml:space="preserve">several years </w:t>
      </w:r>
      <w:r w:rsidR="000876CF" w:rsidRPr="00C54985">
        <w:t xml:space="preserve">and found </w:t>
      </w:r>
      <w:r w:rsidRPr="00C54985">
        <w:t xml:space="preserve">that pockets of poverty </w:t>
      </w:r>
      <w:r w:rsidR="000876CF" w:rsidRPr="00C54985">
        <w:t xml:space="preserve">are evident </w:t>
      </w:r>
      <w:r w:rsidRPr="00C54985">
        <w:t xml:space="preserve">in Thailand despite the country’s sound economic growth. Hence, the objectives of this paper are to identify </w:t>
      </w:r>
      <w:r w:rsidR="000876CF" w:rsidRPr="00C54985">
        <w:t xml:space="preserve">the </w:t>
      </w:r>
      <w:r w:rsidRPr="00C54985">
        <w:t>pockets of poverty in the Northern States of Malaysia using household income data and to determine the factors that affect these pockets of poverty.</w:t>
      </w:r>
    </w:p>
    <w:p w14:paraId="23C5F22F" w14:textId="77777777" w:rsidR="00335A34" w:rsidRPr="00C54985" w:rsidRDefault="00335A34" w:rsidP="00300A09">
      <w:pPr>
        <w:ind w:firstLine="720"/>
        <w:jc w:val="both"/>
      </w:pPr>
    </w:p>
    <w:p w14:paraId="3BFD5ABE" w14:textId="1365F3CD" w:rsidR="003824F4" w:rsidRDefault="003824F4" w:rsidP="00300A09">
      <w:pPr>
        <w:pStyle w:val="Caption"/>
        <w:spacing w:after="0"/>
        <w:jc w:val="center"/>
        <w:rPr>
          <w:rFonts w:ascii="Times New Roman" w:hAnsi="Times New Roman" w:cs="Times New Roman"/>
          <w:i w:val="0"/>
          <w:iCs w:val="0"/>
          <w:color w:val="auto"/>
          <w:sz w:val="20"/>
          <w:szCs w:val="20"/>
        </w:rPr>
      </w:pPr>
      <w:r w:rsidRPr="00A8517E">
        <w:rPr>
          <w:rFonts w:ascii="Times New Roman" w:hAnsi="Times New Roman" w:cs="Times New Roman"/>
          <w:b/>
          <w:i w:val="0"/>
          <w:iCs w:val="0"/>
          <w:color w:val="auto"/>
          <w:sz w:val="20"/>
          <w:szCs w:val="20"/>
        </w:rPr>
        <w:t>Table 1.</w:t>
      </w:r>
      <w:r w:rsidRPr="00A8517E">
        <w:rPr>
          <w:rFonts w:ascii="Times New Roman" w:hAnsi="Times New Roman" w:cs="Times New Roman"/>
          <w:i w:val="0"/>
          <w:iCs w:val="0"/>
          <w:color w:val="auto"/>
          <w:sz w:val="20"/>
          <w:szCs w:val="20"/>
        </w:rPr>
        <w:t xml:space="preserve"> Poverty incidence in Malaysia, by states</w:t>
      </w:r>
      <w:r w:rsidR="00F569E7">
        <w:rPr>
          <w:rFonts w:ascii="Times New Roman" w:hAnsi="Times New Roman" w:cs="Times New Roman"/>
          <w:i w:val="0"/>
          <w:iCs w:val="0"/>
          <w:color w:val="auto"/>
          <w:sz w:val="20"/>
          <w:szCs w:val="20"/>
        </w:rPr>
        <w:t xml:space="preserve"> </w:t>
      </w:r>
      <w:r w:rsidRPr="00A8517E">
        <w:rPr>
          <w:rFonts w:ascii="Times New Roman" w:hAnsi="Times New Roman" w:cs="Times New Roman"/>
          <w:i w:val="0"/>
          <w:iCs w:val="0"/>
          <w:color w:val="auto"/>
          <w:sz w:val="20"/>
          <w:szCs w:val="20"/>
        </w:rPr>
        <w:t>(percent)</w:t>
      </w:r>
    </w:p>
    <w:p w14:paraId="3E152A2A" w14:textId="77777777" w:rsidR="00A8517E" w:rsidRPr="00A8517E" w:rsidRDefault="00A8517E" w:rsidP="00300A09">
      <w:pPr>
        <w:rPr>
          <w:lang w:val="en-US"/>
        </w:rPr>
      </w:pPr>
    </w:p>
    <w:tbl>
      <w:tblPr>
        <w:tblW w:w="9245" w:type="dxa"/>
        <w:tblLook w:val="04A0" w:firstRow="1" w:lastRow="0" w:firstColumn="1" w:lastColumn="0" w:noHBand="0" w:noVBand="1"/>
      </w:tblPr>
      <w:tblGrid>
        <w:gridCol w:w="1237"/>
        <w:gridCol w:w="616"/>
        <w:gridCol w:w="616"/>
        <w:gridCol w:w="616"/>
        <w:gridCol w:w="616"/>
        <w:gridCol w:w="616"/>
        <w:gridCol w:w="616"/>
        <w:gridCol w:w="616"/>
        <w:gridCol w:w="616"/>
        <w:gridCol w:w="616"/>
        <w:gridCol w:w="616"/>
        <w:gridCol w:w="616"/>
        <w:gridCol w:w="616"/>
        <w:gridCol w:w="616"/>
      </w:tblGrid>
      <w:tr w:rsidR="003824F4" w:rsidRPr="00A8517E" w14:paraId="6458483F" w14:textId="77777777" w:rsidTr="00A8517E">
        <w:trPr>
          <w:cantSplit/>
          <w:trHeight w:val="170"/>
        </w:trPr>
        <w:tc>
          <w:tcPr>
            <w:tcW w:w="1757" w:type="dxa"/>
            <w:tcBorders>
              <w:top w:val="single" w:sz="4" w:space="0" w:color="auto"/>
              <w:bottom w:val="single" w:sz="4" w:space="0" w:color="auto"/>
            </w:tcBorders>
            <w:shd w:val="clear" w:color="auto" w:fill="BDD6EE" w:themeFill="accent5" w:themeFillTint="66"/>
            <w:vAlign w:val="center"/>
            <w:hideMark/>
          </w:tcPr>
          <w:p w14:paraId="018EFB47" w14:textId="77777777" w:rsidR="003824F4" w:rsidRPr="00A8517E" w:rsidRDefault="003824F4" w:rsidP="00300A09">
            <w:pPr>
              <w:jc w:val="both"/>
              <w:rPr>
                <w:color w:val="000000"/>
                <w:sz w:val="20"/>
                <w:szCs w:val="20"/>
                <w:lang w:val="en-MY"/>
              </w:rPr>
            </w:pPr>
            <w:r w:rsidRPr="00A8517E">
              <w:rPr>
                <w:color w:val="000000"/>
                <w:sz w:val="20"/>
                <w:szCs w:val="20"/>
                <w:lang w:val="en-US"/>
              </w:rPr>
              <w:t>Year</w:t>
            </w:r>
          </w:p>
        </w:tc>
        <w:tc>
          <w:tcPr>
            <w:tcW w:w="0" w:type="auto"/>
            <w:tcBorders>
              <w:top w:val="single" w:sz="4" w:space="0" w:color="auto"/>
              <w:bottom w:val="single" w:sz="4" w:space="0" w:color="auto"/>
            </w:tcBorders>
            <w:shd w:val="clear" w:color="auto" w:fill="BDD6EE" w:themeFill="accent5" w:themeFillTint="66"/>
            <w:vAlign w:val="center"/>
            <w:hideMark/>
          </w:tcPr>
          <w:p w14:paraId="654A7482" w14:textId="77777777" w:rsidR="003824F4" w:rsidRPr="00A8517E" w:rsidRDefault="003824F4" w:rsidP="00300A09">
            <w:pPr>
              <w:jc w:val="center"/>
              <w:rPr>
                <w:color w:val="000000"/>
                <w:sz w:val="20"/>
                <w:szCs w:val="20"/>
                <w:lang w:val="en-MY"/>
              </w:rPr>
            </w:pPr>
            <w:r w:rsidRPr="00A8517E">
              <w:rPr>
                <w:color w:val="000000"/>
                <w:sz w:val="20"/>
                <w:szCs w:val="20"/>
                <w:lang w:val="en-US"/>
              </w:rPr>
              <w:t>1970</w:t>
            </w:r>
          </w:p>
        </w:tc>
        <w:tc>
          <w:tcPr>
            <w:tcW w:w="0" w:type="auto"/>
            <w:tcBorders>
              <w:top w:val="single" w:sz="4" w:space="0" w:color="auto"/>
              <w:bottom w:val="single" w:sz="4" w:space="0" w:color="auto"/>
            </w:tcBorders>
            <w:shd w:val="clear" w:color="auto" w:fill="BDD6EE" w:themeFill="accent5" w:themeFillTint="66"/>
            <w:vAlign w:val="center"/>
            <w:hideMark/>
          </w:tcPr>
          <w:p w14:paraId="74649563" w14:textId="77777777" w:rsidR="003824F4" w:rsidRPr="00A8517E" w:rsidRDefault="003824F4" w:rsidP="00300A09">
            <w:pPr>
              <w:jc w:val="center"/>
              <w:rPr>
                <w:color w:val="000000"/>
                <w:sz w:val="20"/>
                <w:szCs w:val="20"/>
                <w:lang w:val="en-MY"/>
              </w:rPr>
            </w:pPr>
            <w:r w:rsidRPr="00A8517E">
              <w:rPr>
                <w:color w:val="000000"/>
                <w:sz w:val="20"/>
                <w:szCs w:val="20"/>
                <w:lang w:val="en-US"/>
              </w:rPr>
              <w:t>1979</w:t>
            </w:r>
          </w:p>
        </w:tc>
        <w:tc>
          <w:tcPr>
            <w:tcW w:w="0" w:type="auto"/>
            <w:tcBorders>
              <w:top w:val="single" w:sz="4" w:space="0" w:color="auto"/>
              <w:bottom w:val="single" w:sz="4" w:space="0" w:color="auto"/>
            </w:tcBorders>
            <w:shd w:val="clear" w:color="auto" w:fill="BDD6EE" w:themeFill="accent5" w:themeFillTint="66"/>
            <w:vAlign w:val="center"/>
            <w:hideMark/>
          </w:tcPr>
          <w:p w14:paraId="51C3ED6D" w14:textId="77777777" w:rsidR="003824F4" w:rsidRPr="00A8517E" w:rsidRDefault="003824F4" w:rsidP="00300A09">
            <w:pPr>
              <w:jc w:val="center"/>
              <w:rPr>
                <w:color w:val="000000"/>
                <w:sz w:val="20"/>
                <w:szCs w:val="20"/>
                <w:lang w:val="en-MY"/>
              </w:rPr>
            </w:pPr>
            <w:r w:rsidRPr="00A8517E">
              <w:rPr>
                <w:color w:val="000000"/>
                <w:sz w:val="20"/>
                <w:szCs w:val="20"/>
                <w:lang w:val="en-US"/>
              </w:rPr>
              <w:t>1984</w:t>
            </w:r>
          </w:p>
        </w:tc>
        <w:tc>
          <w:tcPr>
            <w:tcW w:w="0" w:type="auto"/>
            <w:tcBorders>
              <w:top w:val="single" w:sz="4" w:space="0" w:color="auto"/>
              <w:bottom w:val="single" w:sz="4" w:space="0" w:color="auto"/>
            </w:tcBorders>
            <w:shd w:val="clear" w:color="auto" w:fill="BDD6EE" w:themeFill="accent5" w:themeFillTint="66"/>
            <w:vAlign w:val="center"/>
            <w:hideMark/>
          </w:tcPr>
          <w:p w14:paraId="64784F2E" w14:textId="77777777" w:rsidR="003824F4" w:rsidRPr="00A8517E" w:rsidRDefault="003824F4" w:rsidP="00300A09">
            <w:pPr>
              <w:jc w:val="center"/>
              <w:rPr>
                <w:color w:val="000000"/>
                <w:sz w:val="20"/>
                <w:szCs w:val="20"/>
                <w:lang w:val="en-MY"/>
              </w:rPr>
            </w:pPr>
            <w:r w:rsidRPr="00A8517E">
              <w:rPr>
                <w:color w:val="000000"/>
                <w:sz w:val="20"/>
                <w:szCs w:val="20"/>
                <w:lang w:val="en-US"/>
              </w:rPr>
              <w:t>1989</w:t>
            </w:r>
          </w:p>
        </w:tc>
        <w:tc>
          <w:tcPr>
            <w:tcW w:w="0" w:type="auto"/>
            <w:tcBorders>
              <w:top w:val="single" w:sz="4" w:space="0" w:color="auto"/>
              <w:bottom w:val="single" w:sz="4" w:space="0" w:color="auto"/>
            </w:tcBorders>
            <w:shd w:val="clear" w:color="auto" w:fill="BDD6EE" w:themeFill="accent5" w:themeFillTint="66"/>
            <w:vAlign w:val="center"/>
            <w:hideMark/>
          </w:tcPr>
          <w:p w14:paraId="768276B8" w14:textId="77777777" w:rsidR="003824F4" w:rsidRPr="00A8517E" w:rsidRDefault="003824F4" w:rsidP="00300A09">
            <w:pPr>
              <w:jc w:val="center"/>
              <w:rPr>
                <w:color w:val="000000"/>
                <w:sz w:val="20"/>
                <w:szCs w:val="20"/>
                <w:lang w:val="en-MY"/>
              </w:rPr>
            </w:pPr>
            <w:r w:rsidRPr="00A8517E">
              <w:rPr>
                <w:color w:val="000000"/>
                <w:sz w:val="20"/>
                <w:szCs w:val="20"/>
                <w:lang w:val="en-US"/>
              </w:rPr>
              <w:t>1992</w:t>
            </w:r>
          </w:p>
        </w:tc>
        <w:tc>
          <w:tcPr>
            <w:tcW w:w="0" w:type="auto"/>
            <w:tcBorders>
              <w:top w:val="single" w:sz="4" w:space="0" w:color="auto"/>
              <w:bottom w:val="single" w:sz="4" w:space="0" w:color="auto"/>
            </w:tcBorders>
            <w:shd w:val="clear" w:color="auto" w:fill="BDD6EE" w:themeFill="accent5" w:themeFillTint="66"/>
            <w:vAlign w:val="center"/>
            <w:hideMark/>
          </w:tcPr>
          <w:p w14:paraId="061156FA" w14:textId="77777777" w:rsidR="003824F4" w:rsidRPr="00A8517E" w:rsidRDefault="003824F4" w:rsidP="00300A09">
            <w:pPr>
              <w:jc w:val="center"/>
              <w:rPr>
                <w:color w:val="000000"/>
                <w:sz w:val="20"/>
                <w:szCs w:val="20"/>
                <w:lang w:val="en-MY"/>
              </w:rPr>
            </w:pPr>
            <w:r w:rsidRPr="00A8517E">
              <w:rPr>
                <w:color w:val="000000"/>
                <w:sz w:val="20"/>
                <w:szCs w:val="20"/>
                <w:lang w:val="en-US"/>
              </w:rPr>
              <w:t>1997</w:t>
            </w:r>
          </w:p>
        </w:tc>
        <w:tc>
          <w:tcPr>
            <w:tcW w:w="0" w:type="auto"/>
            <w:tcBorders>
              <w:top w:val="single" w:sz="4" w:space="0" w:color="auto"/>
              <w:bottom w:val="single" w:sz="4" w:space="0" w:color="auto"/>
            </w:tcBorders>
            <w:shd w:val="clear" w:color="auto" w:fill="BDD6EE" w:themeFill="accent5" w:themeFillTint="66"/>
            <w:vAlign w:val="center"/>
            <w:hideMark/>
          </w:tcPr>
          <w:p w14:paraId="6242581C" w14:textId="77777777" w:rsidR="003824F4" w:rsidRPr="00A8517E" w:rsidRDefault="003824F4" w:rsidP="00300A09">
            <w:pPr>
              <w:jc w:val="center"/>
              <w:rPr>
                <w:color w:val="000000"/>
                <w:sz w:val="20"/>
                <w:szCs w:val="20"/>
                <w:lang w:val="en-MY"/>
              </w:rPr>
            </w:pPr>
            <w:r w:rsidRPr="00A8517E">
              <w:rPr>
                <w:color w:val="000000"/>
                <w:sz w:val="20"/>
                <w:szCs w:val="20"/>
                <w:lang w:val="en-MY"/>
              </w:rPr>
              <w:t>1999</w:t>
            </w:r>
          </w:p>
        </w:tc>
        <w:tc>
          <w:tcPr>
            <w:tcW w:w="0" w:type="auto"/>
            <w:tcBorders>
              <w:top w:val="single" w:sz="4" w:space="0" w:color="auto"/>
              <w:bottom w:val="single" w:sz="4" w:space="0" w:color="auto"/>
            </w:tcBorders>
            <w:shd w:val="clear" w:color="auto" w:fill="BDD6EE" w:themeFill="accent5" w:themeFillTint="66"/>
            <w:vAlign w:val="center"/>
            <w:hideMark/>
          </w:tcPr>
          <w:p w14:paraId="263B1938" w14:textId="77777777" w:rsidR="003824F4" w:rsidRPr="00A8517E" w:rsidRDefault="003824F4" w:rsidP="00300A09">
            <w:pPr>
              <w:jc w:val="center"/>
              <w:rPr>
                <w:color w:val="000000"/>
                <w:sz w:val="20"/>
                <w:szCs w:val="20"/>
                <w:lang w:val="en-MY"/>
              </w:rPr>
            </w:pPr>
            <w:r w:rsidRPr="00A8517E">
              <w:rPr>
                <w:color w:val="000000"/>
                <w:sz w:val="20"/>
                <w:szCs w:val="20"/>
                <w:lang w:val="en-US"/>
              </w:rPr>
              <w:t>2002</w:t>
            </w:r>
          </w:p>
        </w:tc>
        <w:tc>
          <w:tcPr>
            <w:tcW w:w="0" w:type="auto"/>
            <w:tcBorders>
              <w:top w:val="single" w:sz="4" w:space="0" w:color="auto"/>
              <w:bottom w:val="single" w:sz="4" w:space="0" w:color="auto"/>
            </w:tcBorders>
            <w:shd w:val="clear" w:color="auto" w:fill="BDD6EE" w:themeFill="accent5" w:themeFillTint="66"/>
            <w:vAlign w:val="center"/>
            <w:hideMark/>
          </w:tcPr>
          <w:p w14:paraId="4443342A" w14:textId="77777777" w:rsidR="003824F4" w:rsidRPr="00A8517E" w:rsidRDefault="003824F4" w:rsidP="00300A09">
            <w:pPr>
              <w:jc w:val="center"/>
              <w:rPr>
                <w:color w:val="000000"/>
                <w:sz w:val="20"/>
                <w:szCs w:val="20"/>
                <w:lang w:val="en-MY"/>
              </w:rPr>
            </w:pPr>
            <w:r w:rsidRPr="00A8517E">
              <w:rPr>
                <w:color w:val="000000"/>
                <w:sz w:val="20"/>
                <w:szCs w:val="20"/>
                <w:lang w:val="en-US"/>
              </w:rPr>
              <w:t>2007</w:t>
            </w:r>
          </w:p>
        </w:tc>
        <w:tc>
          <w:tcPr>
            <w:tcW w:w="0" w:type="auto"/>
            <w:tcBorders>
              <w:top w:val="single" w:sz="4" w:space="0" w:color="auto"/>
              <w:bottom w:val="single" w:sz="4" w:space="0" w:color="auto"/>
            </w:tcBorders>
            <w:shd w:val="clear" w:color="auto" w:fill="BDD6EE" w:themeFill="accent5" w:themeFillTint="66"/>
            <w:vAlign w:val="center"/>
            <w:hideMark/>
          </w:tcPr>
          <w:p w14:paraId="6134F949" w14:textId="77777777" w:rsidR="003824F4" w:rsidRPr="00A8517E" w:rsidRDefault="003824F4" w:rsidP="00300A09">
            <w:pPr>
              <w:jc w:val="center"/>
              <w:rPr>
                <w:color w:val="000000"/>
                <w:sz w:val="20"/>
                <w:szCs w:val="20"/>
                <w:lang w:val="en-MY"/>
              </w:rPr>
            </w:pPr>
            <w:r w:rsidRPr="00A8517E">
              <w:rPr>
                <w:color w:val="000000"/>
                <w:sz w:val="20"/>
                <w:szCs w:val="20"/>
                <w:lang w:val="en-US"/>
              </w:rPr>
              <w:t>2009</w:t>
            </w:r>
          </w:p>
        </w:tc>
        <w:tc>
          <w:tcPr>
            <w:tcW w:w="0" w:type="auto"/>
            <w:tcBorders>
              <w:top w:val="single" w:sz="4" w:space="0" w:color="auto"/>
              <w:bottom w:val="single" w:sz="4" w:space="0" w:color="auto"/>
            </w:tcBorders>
            <w:shd w:val="clear" w:color="auto" w:fill="BDD6EE" w:themeFill="accent5" w:themeFillTint="66"/>
            <w:vAlign w:val="center"/>
            <w:hideMark/>
          </w:tcPr>
          <w:p w14:paraId="484C510B" w14:textId="77777777" w:rsidR="003824F4" w:rsidRPr="00A8517E" w:rsidRDefault="003824F4" w:rsidP="00300A09">
            <w:pPr>
              <w:jc w:val="center"/>
              <w:rPr>
                <w:color w:val="000000"/>
                <w:sz w:val="20"/>
                <w:szCs w:val="20"/>
                <w:lang w:val="en-MY"/>
              </w:rPr>
            </w:pPr>
            <w:r w:rsidRPr="00A8517E">
              <w:rPr>
                <w:color w:val="000000"/>
                <w:sz w:val="20"/>
                <w:szCs w:val="20"/>
                <w:lang w:val="en-US"/>
              </w:rPr>
              <w:t>2012</w:t>
            </w:r>
          </w:p>
        </w:tc>
        <w:tc>
          <w:tcPr>
            <w:tcW w:w="0" w:type="auto"/>
            <w:tcBorders>
              <w:top w:val="single" w:sz="4" w:space="0" w:color="auto"/>
              <w:bottom w:val="single" w:sz="4" w:space="0" w:color="auto"/>
            </w:tcBorders>
            <w:shd w:val="clear" w:color="auto" w:fill="BDD6EE" w:themeFill="accent5" w:themeFillTint="66"/>
            <w:vAlign w:val="center"/>
            <w:hideMark/>
          </w:tcPr>
          <w:p w14:paraId="32CDDF93" w14:textId="77777777" w:rsidR="003824F4" w:rsidRPr="00A8517E" w:rsidRDefault="003824F4" w:rsidP="00300A09">
            <w:pPr>
              <w:jc w:val="center"/>
              <w:rPr>
                <w:color w:val="000000"/>
                <w:sz w:val="20"/>
                <w:szCs w:val="20"/>
                <w:lang w:val="en-MY"/>
              </w:rPr>
            </w:pPr>
            <w:r w:rsidRPr="00A8517E">
              <w:rPr>
                <w:color w:val="000000"/>
                <w:sz w:val="20"/>
                <w:szCs w:val="20"/>
                <w:lang w:val="en-US"/>
              </w:rPr>
              <w:t>2014</w:t>
            </w:r>
          </w:p>
        </w:tc>
        <w:tc>
          <w:tcPr>
            <w:tcW w:w="0" w:type="auto"/>
            <w:tcBorders>
              <w:top w:val="single" w:sz="4" w:space="0" w:color="auto"/>
              <w:bottom w:val="single" w:sz="4" w:space="0" w:color="auto"/>
            </w:tcBorders>
            <w:shd w:val="clear" w:color="auto" w:fill="BDD6EE" w:themeFill="accent5" w:themeFillTint="66"/>
            <w:vAlign w:val="center"/>
            <w:hideMark/>
          </w:tcPr>
          <w:p w14:paraId="1F06D64F" w14:textId="77777777" w:rsidR="003824F4" w:rsidRPr="00A8517E" w:rsidRDefault="003824F4" w:rsidP="00300A09">
            <w:pPr>
              <w:jc w:val="center"/>
              <w:rPr>
                <w:color w:val="000000"/>
                <w:sz w:val="20"/>
                <w:szCs w:val="20"/>
                <w:lang w:val="en-MY"/>
              </w:rPr>
            </w:pPr>
            <w:r w:rsidRPr="00A8517E">
              <w:rPr>
                <w:color w:val="000000"/>
                <w:sz w:val="20"/>
                <w:szCs w:val="20"/>
                <w:lang w:val="en-US"/>
              </w:rPr>
              <w:t>2016</w:t>
            </w:r>
          </w:p>
        </w:tc>
      </w:tr>
      <w:tr w:rsidR="003824F4" w:rsidRPr="00A8517E" w14:paraId="3BDD816E" w14:textId="77777777" w:rsidTr="00A8517E">
        <w:trPr>
          <w:cantSplit/>
          <w:trHeight w:val="170"/>
        </w:trPr>
        <w:tc>
          <w:tcPr>
            <w:tcW w:w="1757" w:type="dxa"/>
            <w:tcBorders>
              <w:top w:val="single" w:sz="4" w:space="0" w:color="auto"/>
            </w:tcBorders>
            <w:shd w:val="clear" w:color="auto" w:fill="auto"/>
            <w:vAlign w:val="center"/>
            <w:hideMark/>
          </w:tcPr>
          <w:p w14:paraId="29D897E4" w14:textId="77777777" w:rsidR="003824F4" w:rsidRPr="00A8517E" w:rsidRDefault="003824F4" w:rsidP="00300A09">
            <w:pPr>
              <w:rPr>
                <w:color w:val="000000"/>
                <w:sz w:val="20"/>
                <w:szCs w:val="20"/>
                <w:lang w:val="en-MY"/>
              </w:rPr>
            </w:pPr>
            <w:r w:rsidRPr="00A8517E">
              <w:rPr>
                <w:color w:val="000000"/>
                <w:sz w:val="20"/>
                <w:szCs w:val="20"/>
                <w:lang w:val="en-US"/>
              </w:rPr>
              <w:t>Malaysia</w:t>
            </w:r>
          </w:p>
        </w:tc>
        <w:tc>
          <w:tcPr>
            <w:tcW w:w="0" w:type="auto"/>
            <w:tcBorders>
              <w:top w:val="single" w:sz="4" w:space="0" w:color="auto"/>
            </w:tcBorders>
            <w:shd w:val="clear" w:color="auto" w:fill="auto"/>
            <w:vAlign w:val="center"/>
            <w:hideMark/>
          </w:tcPr>
          <w:p w14:paraId="7547DB18" w14:textId="77777777" w:rsidR="003824F4" w:rsidRPr="00A8517E" w:rsidRDefault="003824F4" w:rsidP="00300A09">
            <w:pPr>
              <w:jc w:val="center"/>
              <w:rPr>
                <w:color w:val="000000"/>
                <w:sz w:val="20"/>
                <w:szCs w:val="20"/>
                <w:lang w:val="en-MY"/>
              </w:rPr>
            </w:pPr>
            <w:r w:rsidRPr="00A8517E">
              <w:rPr>
                <w:color w:val="000000"/>
                <w:sz w:val="20"/>
                <w:szCs w:val="20"/>
                <w:lang w:val="en-US"/>
              </w:rPr>
              <w:t>49.3</w:t>
            </w:r>
          </w:p>
        </w:tc>
        <w:tc>
          <w:tcPr>
            <w:tcW w:w="0" w:type="auto"/>
            <w:tcBorders>
              <w:top w:val="single" w:sz="4" w:space="0" w:color="auto"/>
            </w:tcBorders>
            <w:shd w:val="clear" w:color="auto" w:fill="auto"/>
            <w:vAlign w:val="center"/>
            <w:hideMark/>
          </w:tcPr>
          <w:p w14:paraId="60AD1CAE" w14:textId="77777777" w:rsidR="003824F4" w:rsidRPr="00A8517E" w:rsidRDefault="003824F4" w:rsidP="00300A09">
            <w:pPr>
              <w:jc w:val="center"/>
              <w:rPr>
                <w:color w:val="000000"/>
                <w:sz w:val="20"/>
                <w:szCs w:val="20"/>
                <w:lang w:val="en-MY"/>
              </w:rPr>
            </w:pPr>
            <w:r w:rsidRPr="00A8517E">
              <w:rPr>
                <w:color w:val="000000"/>
                <w:sz w:val="20"/>
                <w:szCs w:val="20"/>
                <w:lang w:val="en-US"/>
              </w:rPr>
              <w:t>37.4</w:t>
            </w:r>
          </w:p>
        </w:tc>
        <w:tc>
          <w:tcPr>
            <w:tcW w:w="0" w:type="auto"/>
            <w:tcBorders>
              <w:top w:val="single" w:sz="4" w:space="0" w:color="auto"/>
            </w:tcBorders>
            <w:shd w:val="clear" w:color="auto" w:fill="auto"/>
            <w:vAlign w:val="center"/>
            <w:hideMark/>
          </w:tcPr>
          <w:p w14:paraId="6C322DE1" w14:textId="77777777" w:rsidR="003824F4" w:rsidRPr="00A8517E" w:rsidRDefault="003824F4" w:rsidP="00300A09">
            <w:pPr>
              <w:jc w:val="center"/>
              <w:rPr>
                <w:color w:val="000000"/>
                <w:sz w:val="20"/>
                <w:szCs w:val="20"/>
                <w:lang w:val="en-MY"/>
              </w:rPr>
            </w:pPr>
            <w:r w:rsidRPr="00A8517E">
              <w:rPr>
                <w:color w:val="000000"/>
                <w:sz w:val="20"/>
                <w:szCs w:val="20"/>
                <w:lang w:val="en-US"/>
              </w:rPr>
              <w:t>20.7</w:t>
            </w:r>
          </w:p>
        </w:tc>
        <w:tc>
          <w:tcPr>
            <w:tcW w:w="0" w:type="auto"/>
            <w:tcBorders>
              <w:top w:val="single" w:sz="4" w:space="0" w:color="auto"/>
            </w:tcBorders>
            <w:shd w:val="clear" w:color="auto" w:fill="auto"/>
            <w:vAlign w:val="center"/>
            <w:hideMark/>
          </w:tcPr>
          <w:p w14:paraId="5C16F571" w14:textId="77777777" w:rsidR="003824F4" w:rsidRPr="00A8517E" w:rsidRDefault="003824F4" w:rsidP="00300A09">
            <w:pPr>
              <w:jc w:val="center"/>
              <w:rPr>
                <w:color w:val="000000"/>
                <w:sz w:val="20"/>
                <w:szCs w:val="20"/>
                <w:lang w:val="en-MY"/>
              </w:rPr>
            </w:pPr>
            <w:r w:rsidRPr="00A8517E">
              <w:rPr>
                <w:color w:val="000000"/>
                <w:sz w:val="20"/>
                <w:szCs w:val="20"/>
                <w:lang w:val="en-US"/>
              </w:rPr>
              <w:t>16.5</w:t>
            </w:r>
          </w:p>
        </w:tc>
        <w:tc>
          <w:tcPr>
            <w:tcW w:w="0" w:type="auto"/>
            <w:tcBorders>
              <w:top w:val="single" w:sz="4" w:space="0" w:color="auto"/>
            </w:tcBorders>
            <w:shd w:val="clear" w:color="auto" w:fill="auto"/>
            <w:vAlign w:val="center"/>
            <w:hideMark/>
          </w:tcPr>
          <w:p w14:paraId="77D2CEAF" w14:textId="77777777" w:rsidR="003824F4" w:rsidRPr="00A8517E" w:rsidRDefault="003824F4" w:rsidP="00300A09">
            <w:pPr>
              <w:jc w:val="center"/>
              <w:rPr>
                <w:color w:val="000000"/>
                <w:sz w:val="20"/>
                <w:szCs w:val="20"/>
                <w:lang w:val="en-MY"/>
              </w:rPr>
            </w:pPr>
            <w:r w:rsidRPr="00A8517E">
              <w:rPr>
                <w:color w:val="000000"/>
                <w:sz w:val="20"/>
                <w:szCs w:val="20"/>
                <w:lang w:val="en-US"/>
              </w:rPr>
              <w:t>12.4</w:t>
            </w:r>
          </w:p>
        </w:tc>
        <w:tc>
          <w:tcPr>
            <w:tcW w:w="0" w:type="auto"/>
            <w:tcBorders>
              <w:top w:val="single" w:sz="4" w:space="0" w:color="auto"/>
            </w:tcBorders>
            <w:shd w:val="clear" w:color="auto" w:fill="auto"/>
            <w:vAlign w:val="center"/>
            <w:hideMark/>
          </w:tcPr>
          <w:p w14:paraId="6D4FF938" w14:textId="77777777" w:rsidR="003824F4" w:rsidRPr="00A8517E" w:rsidRDefault="003824F4" w:rsidP="00300A09">
            <w:pPr>
              <w:jc w:val="center"/>
              <w:rPr>
                <w:color w:val="000000"/>
                <w:sz w:val="20"/>
                <w:szCs w:val="20"/>
                <w:lang w:val="en-MY"/>
              </w:rPr>
            </w:pPr>
            <w:r w:rsidRPr="00A8517E">
              <w:rPr>
                <w:color w:val="000000"/>
                <w:sz w:val="20"/>
                <w:szCs w:val="20"/>
                <w:lang w:val="en-US"/>
              </w:rPr>
              <w:t>6.1</w:t>
            </w:r>
          </w:p>
        </w:tc>
        <w:tc>
          <w:tcPr>
            <w:tcW w:w="0" w:type="auto"/>
            <w:tcBorders>
              <w:top w:val="single" w:sz="4" w:space="0" w:color="auto"/>
            </w:tcBorders>
            <w:shd w:val="clear" w:color="auto" w:fill="auto"/>
            <w:vAlign w:val="center"/>
            <w:hideMark/>
          </w:tcPr>
          <w:p w14:paraId="3018DE0B" w14:textId="77777777" w:rsidR="003824F4" w:rsidRPr="00A8517E" w:rsidRDefault="003824F4" w:rsidP="00300A09">
            <w:pPr>
              <w:jc w:val="center"/>
              <w:rPr>
                <w:color w:val="000000"/>
                <w:sz w:val="20"/>
                <w:szCs w:val="20"/>
                <w:lang w:val="en-MY"/>
              </w:rPr>
            </w:pPr>
            <w:r w:rsidRPr="00A8517E">
              <w:rPr>
                <w:color w:val="000000"/>
                <w:sz w:val="20"/>
                <w:szCs w:val="20"/>
                <w:lang w:val="en-MY"/>
              </w:rPr>
              <w:t>8.5</w:t>
            </w:r>
          </w:p>
        </w:tc>
        <w:tc>
          <w:tcPr>
            <w:tcW w:w="0" w:type="auto"/>
            <w:tcBorders>
              <w:top w:val="single" w:sz="4" w:space="0" w:color="auto"/>
            </w:tcBorders>
            <w:shd w:val="clear" w:color="auto" w:fill="auto"/>
            <w:vAlign w:val="center"/>
            <w:hideMark/>
          </w:tcPr>
          <w:p w14:paraId="450B19D9" w14:textId="77777777" w:rsidR="003824F4" w:rsidRPr="00A8517E" w:rsidRDefault="003824F4" w:rsidP="00300A09">
            <w:pPr>
              <w:jc w:val="center"/>
              <w:rPr>
                <w:color w:val="000000"/>
                <w:sz w:val="20"/>
                <w:szCs w:val="20"/>
                <w:lang w:val="en-MY"/>
              </w:rPr>
            </w:pPr>
            <w:r w:rsidRPr="00A8517E">
              <w:rPr>
                <w:color w:val="000000"/>
                <w:sz w:val="20"/>
                <w:szCs w:val="20"/>
                <w:lang w:val="en-US"/>
              </w:rPr>
              <w:t>6.0</w:t>
            </w:r>
          </w:p>
        </w:tc>
        <w:tc>
          <w:tcPr>
            <w:tcW w:w="0" w:type="auto"/>
            <w:tcBorders>
              <w:top w:val="single" w:sz="4" w:space="0" w:color="auto"/>
            </w:tcBorders>
            <w:shd w:val="clear" w:color="auto" w:fill="auto"/>
            <w:vAlign w:val="center"/>
            <w:hideMark/>
          </w:tcPr>
          <w:p w14:paraId="55EB691B" w14:textId="77777777" w:rsidR="003824F4" w:rsidRPr="00A8517E" w:rsidRDefault="003824F4" w:rsidP="00300A09">
            <w:pPr>
              <w:jc w:val="center"/>
              <w:rPr>
                <w:color w:val="000000"/>
                <w:sz w:val="20"/>
                <w:szCs w:val="20"/>
                <w:lang w:val="en-MY"/>
              </w:rPr>
            </w:pPr>
            <w:r w:rsidRPr="00A8517E">
              <w:rPr>
                <w:color w:val="000000"/>
                <w:sz w:val="20"/>
                <w:szCs w:val="20"/>
                <w:lang w:val="en-US"/>
              </w:rPr>
              <w:t>3.6</w:t>
            </w:r>
          </w:p>
        </w:tc>
        <w:tc>
          <w:tcPr>
            <w:tcW w:w="0" w:type="auto"/>
            <w:tcBorders>
              <w:top w:val="single" w:sz="4" w:space="0" w:color="auto"/>
            </w:tcBorders>
            <w:shd w:val="clear" w:color="auto" w:fill="auto"/>
            <w:vAlign w:val="center"/>
            <w:hideMark/>
          </w:tcPr>
          <w:p w14:paraId="432C1164" w14:textId="77777777" w:rsidR="003824F4" w:rsidRPr="00A8517E" w:rsidRDefault="003824F4" w:rsidP="00300A09">
            <w:pPr>
              <w:jc w:val="center"/>
              <w:rPr>
                <w:color w:val="000000"/>
                <w:sz w:val="20"/>
                <w:szCs w:val="20"/>
                <w:lang w:val="en-MY"/>
              </w:rPr>
            </w:pPr>
            <w:r w:rsidRPr="00A8517E">
              <w:rPr>
                <w:color w:val="000000"/>
                <w:sz w:val="20"/>
                <w:szCs w:val="20"/>
                <w:lang w:val="en-US"/>
              </w:rPr>
              <w:t>3.8</w:t>
            </w:r>
          </w:p>
        </w:tc>
        <w:tc>
          <w:tcPr>
            <w:tcW w:w="0" w:type="auto"/>
            <w:tcBorders>
              <w:top w:val="single" w:sz="4" w:space="0" w:color="auto"/>
            </w:tcBorders>
            <w:shd w:val="clear" w:color="auto" w:fill="auto"/>
            <w:vAlign w:val="center"/>
            <w:hideMark/>
          </w:tcPr>
          <w:p w14:paraId="0CA40857" w14:textId="77777777" w:rsidR="003824F4" w:rsidRPr="00A8517E" w:rsidRDefault="003824F4" w:rsidP="00300A09">
            <w:pPr>
              <w:jc w:val="center"/>
              <w:rPr>
                <w:color w:val="000000"/>
                <w:sz w:val="20"/>
                <w:szCs w:val="20"/>
                <w:lang w:val="en-MY"/>
              </w:rPr>
            </w:pPr>
            <w:r w:rsidRPr="00A8517E">
              <w:rPr>
                <w:color w:val="000000"/>
                <w:sz w:val="20"/>
                <w:szCs w:val="20"/>
                <w:lang w:val="en-US"/>
              </w:rPr>
              <w:t>1.7</w:t>
            </w:r>
          </w:p>
        </w:tc>
        <w:tc>
          <w:tcPr>
            <w:tcW w:w="0" w:type="auto"/>
            <w:tcBorders>
              <w:top w:val="single" w:sz="4" w:space="0" w:color="auto"/>
            </w:tcBorders>
            <w:shd w:val="clear" w:color="auto" w:fill="auto"/>
            <w:vAlign w:val="center"/>
            <w:hideMark/>
          </w:tcPr>
          <w:p w14:paraId="0BE0B15F" w14:textId="77777777" w:rsidR="003824F4" w:rsidRPr="00A8517E" w:rsidRDefault="003824F4" w:rsidP="00300A09">
            <w:pPr>
              <w:jc w:val="center"/>
              <w:rPr>
                <w:color w:val="000000"/>
                <w:sz w:val="20"/>
                <w:szCs w:val="20"/>
                <w:lang w:val="en-MY"/>
              </w:rPr>
            </w:pPr>
            <w:r w:rsidRPr="00A8517E">
              <w:rPr>
                <w:color w:val="000000"/>
                <w:sz w:val="20"/>
                <w:szCs w:val="20"/>
                <w:lang w:val="en-US"/>
              </w:rPr>
              <w:t>0.6</w:t>
            </w:r>
          </w:p>
        </w:tc>
        <w:tc>
          <w:tcPr>
            <w:tcW w:w="0" w:type="auto"/>
            <w:tcBorders>
              <w:top w:val="single" w:sz="4" w:space="0" w:color="auto"/>
            </w:tcBorders>
            <w:shd w:val="clear" w:color="auto" w:fill="auto"/>
            <w:vAlign w:val="center"/>
            <w:hideMark/>
          </w:tcPr>
          <w:p w14:paraId="46015317" w14:textId="77777777" w:rsidR="003824F4" w:rsidRPr="00A8517E" w:rsidRDefault="003824F4" w:rsidP="00300A09">
            <w:pPr>
              <w:jc w:val="center"/>
              <w:rPr>
                <w:color w:val="000000"/>
                <w:sz w:val="20"/>
                <w:szCs w:val="20"/>
                <w:lang w:val="en-MY"/>
              </w:rPr>
            </w:pPr>
            <w:r w:rsidRPr="00A8517E">
              <w:rPr>
                <w:color w:val="000000"/>
                <w:sz w:val="20"/>
                <w:szCs w:val="20"/>
                <w:lang w:val="en-US"/>
              </w:rPr>
              <w:t>0.4</w:t>
            </w:r>
          </w:p>
        </w:tc>
      </w:tr>
      <w:tr w:rsidR="003824F4" w:rsidRPr="00A8517E" w14:paraId="042D1837" w14:textId="77777777" w:rsidTr="00A8517E">
        <w:trPr>
          <w:cantSplit/>
          <w:trHeight w:val="170"/>
        </w:trPr>
        <w:tc>
          <w:tcPr>
            <w:tcW w:w="1757" w:type="dxa"/>
            <w:shd w:val="clear" w:color="auto" w:fill="auto"/>
            <w:vAlign w:val="center"/>
          </w:tcPr>
          <w:p w14:paraId="3BBB3E44" w14:textId="5EB09D31" w:rsidR="003824F4" w:rsidRPr="00A8517E" w:rsidRDefault="00A8517E" w:rsidP="00300A09">
            <w:pPr>
              <w:rPr>
                <w:color w:val="000000"/>
                <w:sz w:val="20"/>
                <w:szCs w:val="20"/>
                <w:lang w:val="en-US"/>
              </w:rPr>
            </w:pPr>
            <w:r>
              <w:rPr>
                <w:color w:val="000000"/>
                <w:sz w:val="20"/>
                <w:szCs w:val="20"/>
                <w:lang w:val="en-MY"/>
              </w:rPr>
              <w:t xml:space="preserve">Sabah </w:t>
            </w:r>
            <w:r w:rsidR="003824F4" w:rsidRPr="00A8517E">
              <w:rPr>
                <w:color w:val="000000"/>
                <w:sz w:val="20"/>
                <w:szCs w:val="20"/>
                <w:lang w:val="en-MY"/>
              </w:rPr>
              <w:t>&amp; F.T Labuan</w:t>
            </w:r>
          </w:p>
        </w:tc>
        <w:tc>
          <w:tcPr>
            <w:tcW w:w="0" w:type="auto"/>
            <w:shd w:val="clear" w:color="auto" w:fill="auto"/>
            <w:vAlign w:val="bottom"/>
          </w:tcPr>
          <w:p w14:paraId="1950805C" w14:textId="77777777" w:rsidR="003824F4" w:rsidRPr="00A8517E" w:rsidRDefault="003824F4" w:rsidP="00300A09">
            <w:pPr>
              <w:jc w:val="center"/>
              <w:rPr>
                <w:color w:val="000000"/>
                <w:sz w:val="20"/>
                <w:szCs w:val="20"/>
                <w:lang w:val="en-US"/>
              </w:rPr>
            </w:pPr>
            <w:r w:rsidRPr="00A8517E">
              <w:rPr>
                <w:color w:val="000000"/>
                <w:sz w:val="20"/>
                <w:szCs w:val="20"/>
                <w:lang w:val="en-MY"/>
              </w:rPr>
              <w:t>n.a</w:t>
            </w:r>
          </w:p>
        </w:tc>
        <w:tc>
          <w:tcPr>
            <w:tcW w:w="0" w:type="auto"/>
            <w:shd w:val="clear" w:color="auto" w:fill="auto"/>
            <w:vAlign w:val="bottom"/>
          </w:tcPr>
          <w:p w14:paraId="4059121A" w14:textId="77777777" w:rsidR="003824F4" w:rsidRPr="00A8517E" w:rsidRDefault="003824F4" w:rsidP="00300A09">
            <w:pPr>
              <w:jc w:val="center"/>
              <w:rPr>
                <w:color w:val="000000"/>
                <w:sz w:val="20"/>
                <w:szCs w:val="20"/>
                <w:lang w:val="en-US"/>
              </w:rPr>
            </w:pPr>
            <w:r w:rsidRPr="00A8517E">
              <w:rPr>
                <w:color w:val="000000"/>
                <w:sz w:val="20"/>
                <w:szCs w:val="20"/>
                <w:lang w:val="en-MY"/>
              </w:rPr>
              <w:t>40.7</w:t>
            </w:r>
          </w:p>
        </w:tc>
        <w:tc>
          <w:tcPr>
            <w:tcW w:w="0" w:type="auto"/>
            <w:shd w:val="clear" w:color="auto" w:fill="auto"/>
            <w:vAlign w:val="bottom"/>
          </w:tcPr>
          <w:p w14:paraId="341850A1" w14:textId="77777777" w:rsidR="003824F4" w:rsidRPr="00A8517E" w:rsidRDefault="003824F4" w:rsidP="00300A09">
            <w:pPr>
              <w:jc w:val="center"/>
              <w:rPr>
                <w:color w:val="000000"/>
                <w:sz w:val="20"/>
                <w:szCs w:val="20"/>
                <w:lang w:val="en-US"/>
              </w:rPr>
            </w:pPr>
            <w:r w:rsidRPr="00A8517E">
              <w:rPr>
                <w:color w:val="000000"/>
                <w:sz w:val="20"/>
                <w:szCs w:val="20"/>
                <w:lang w:val="en-MY"/>
              </w:rPr>
              <w:t>33.1</w:t>
            </w:r>
          </w:p>
        </w:tc>
        <w:tc>
          <w:tcPr>
            <w:tcW w:w="0" w:type="auto"/>
            <w:shd w:val="clear" w:color="auto" w:fill="auto"/>
            <w:vAlign w:val="bottom"/>
          </w:tcPr>
          <w:p w14:paraId="23D9FA85" w14:textId="77777777" w:rsidR="003824F4" w:rsidRPr="00A8517E" w:rsidRDefault="003824F4" w:rsidP="00300A09">
            <w:pPr>
              <w:jc w:val="center"/>
              <w:rPr>
                <w:color w:val="000000"/>
                <w:sz w:val="20"/>
                <w:szCs w:val="20"/>
                <w:lang w:val="en-US"/>
              </w:rPr>
            </w:pPr>
            <w:r w:rsidRPr="00A8517E">
              <w:rPr>
                <w:color w:val="000000"/>
                <w:sz w:val="20"/>
                <w:szCs w:val="20"/>
                <w:lang w:val="en-MY"/>
              </w:rPr>
              <w:t>29.7</w:t>
            </w:r>
          </w:p>
        </w:tc>
        <w:tc>
          <w:tcPr>
            <w:tcW w:w="0" w:type="auto"/>
            <w:shd w:val="clear" w:color="auto" w:fill="auto"/>
            <w:vAlign w:val="bottom"/>
          </w:tcPr>
          <w:p w14:paraId="7C6C8579" w14:textId="77777777" w:rsidR="003824F4" w:rsidRPr="00A8517E" w:rsidRDefault="003824F4" w:rsidP="00300A09">
            <w:pPr>
              <w:jc w:val="center"/>
              <w:rPr>
                <w:color w:val="000000"/>
                <w:sz w:val="20"/>
                <w:szCs w:val="20"/>
                <w:lang w:val="en-US"/>
              </w:rPr>
            </w:pPr>
            <w:r w:rsidRPr="00A8517E">
              <w:rPr>
                <w:color w:val="000000"/>
                <w:sz w:val="20"/>
                <w:szCs w:val="20"/>
                <w:lang w:val="en-MY"/>
              </w:rPr>
              <w:t>27.8</w:t>
            </w:r>
          </w:p>
        </w:tc>
        <w:tc>
          <w:tcPr>
            <w:tcW w:w="0" w:type="auto"/>
            <w:shd w:val="clear" w:color="auto" w:fill="auto"/>
            <w:vAlign w:val="bottom"/>
          </w:tcPr>
          <w:p w14:paraId="6A4965E5" w14:textId="77777777" w:rsidR="003824F4" w:rsidRPr="00A8517E" w:rsidRDefault="003824F4" w:rsidP="00300A09">
            <w:pPr>
              <w:jc w:val="center"/>
              <w:rPr>
                <w:color w:val="000000"/>
                <w:sz w:val="20"/>
                <w:szCs w:val="20"/>
                <w:lang w:val="en-US"/>
              </w:rPr>
            </w:pPr>
            <w:r w:rsidRPr="00A8517E">
              <w:rPr>
                <w:color w:val="000000"/>
                <w:sz w:val="20"/>
                <w:szCs w:val="20"/>
                <w:lang w:val="en-MY"/>
              </w:rPr>
              <w:t>16.5</w:t>
            </w:r>
          </w:p>
        </w:tc>
        <w:tc>
          <w:tcPr>
            <w:tcW w:w="0" w:type="auto"/>
            <w:shd w:val="clear" w:color="auto" w:fill="auto"/>
            <w:vAlign w:val="bottom"/>
          </w:tcPr>
          <w:p w14:paraId="1CD6F49C" w14:textId="77777777" w:rsidR="003824F4" w:rsidRPr="00A8517E" w:rsidRDefault="003824F4" w:rsidP="00300A09">
            <w:pPr>
              <w:jc w:val="center"/>
              <w:rPr>
                <w:color w:val="000000"/>
                <w:sz w:val="20"/>
                <w:szCs w:val="20"/>
                <w:lang w:val="en-MY"/>
              </w:rPr>
            </w:pPr>
            <w:r w:rsidRPr="00A8517E">
              <w:rPr>
                <w:color w:val="000000"/>
                <w:sz w:val="20"/>
                <w:szCs w:val="20"/>
                <w:lang w:val="en-MY"/>
              </w:rPr>
              <w:t>23.4</w:t>
            </w:r>
          </w:p>
        </w:tc>
        <w:tc>
          <w:tcPr>
            <w:tcW w:w="0" w:type="auto"/>
            <w:shd w:val="clear" w:color="auto" w:fill="auto"/>
            <w:vAlign w:val="bottom"/>
          </w:tcPr>
          <w:p w14:paraId="7D72C628" w14:textId="77777777" w:rsidR="003824F4" w:rsidRPr="00A8517E" w:rsidRDefault="003824F4" w:rsidP="00300A09">
            <w:pPr>
              <w:jc w:val="center"/>
              <w:rPr>
                <w:color w:val="000000"/>
                <w:sz w:val="20"/>
                <w:szCs w:val="20"/>
                <w:lang w:val="en-US"/>
              </w:rPr>
            </w:pPr>
            <w:r w:rsidRPr="00A8517E">
              <w:rPr>
                <w:color w:val="000000"/>
                <w:sz w:val="20"/>
                <w:szCs w:val="20"/>
                <w:lang w:val="en-MY"/>
              </w:rPr>
              <w:t>16.0</w:t>
            </w:r>
          </w:p>
        </w:tc>
        <w:tc>
          <w:tcPr>
            <w:tcW w:w="0" w:type="auto"/>
            <w:shd w:val="clear" w:color="auto" w:fill="auto"/>
            <w:vAlign w:val="bottom"/>
          </w:tcPr>
          <w:p w14:paraId="3728E34B" w14:textId="77777777" w:rsidR="003824F4" w:rsidRPr="00A8517E" w:rsidRDefault="003824F4" w:rsidP="00300A09">
            <w:pPr>
              <w:jc w:val="center"/>
              <w:rPr>
                <w:color w:val="000000"/>
                <w:sz w:val="20"/>
                <w:szCs w:val="20"/>
                <w:lang w:val="en-US"/>
              </w:rPr>
            </w:pPr>
            <w:r w:rsidRPr="00A8517E">
              <w:rPr>
                <w:color w:val="000000"/>
                <w:sz w:val="20"/>
                <w:szCs w:val="20"/>
                <w:lang w:val="en-MY"/>
              </w:rPr>
              <w:t>16.0</w:t>
            </w:r>
          </w:p>
        </w:tc>
        <w:tc>
          <w:tcPr>
            <w:tcW w:w="0" w:type="auto"/>
            <w:shd w:val="clear" w:color="auto" w:fill="auto"/>
            <w:vAlign w:val="bottom"/>
          </w:tcPr>
          <w:p w14:paraId="36A48A57" w14:textId="77777777" w:rsidR="003824F4" w:rsidRPr="00A8517E" w:rsidRDefault="003824F4" w:rsidP="00300A09">
            <w:pPr>
              <w:jc w:val="center"/>
              <w:rPr>
                <w:color w:val="000000"/>
                <w:sz w:val="20"/>
                <w:szCs w:val="20"/>
                <w:lang w:val="en-US"/>
              </w:rPr>
            </w:pPr>
            <w:r w:rsidRPr="00A8517E">
              <w:rPr>
                <w:color w:val="000000"/>
                <w:sz w:val="20"/>
                <w:szCs w:val="20"/>
                <w:lang w:val="en-MY"/>
              </w:rPr>
              <w:t>19.2</w:t>
            </w:r>
          </w:p>
        </w:tc>
        <w:tc>
          <w:tcPr>
            <w:tcW w:w="0" w:type="auto"/>
            <w:shd w:val="clear" w:color="auto" w:fill="auto"/>
            <w:vAlign w:val="bottom"/>
          </w:tcPr>
          <w:p w14:paraId="615BFA21" w14:textId="77777777" w:rsidR="003824F4" w:rsidRPr="00A8517E" w:rsidRDefault="003824F4" w:rsidP="00300A09">
            <w:pPr>
              <w:jc w:val="center"/>
              <w:rPr>
                <w:color w:val="000000"/>
                <w:sz w:val="20"/>
                <w:szCs w:val="20"/>
                <w:lang w:val="en-US"/>
              </w:rPr>
            </w:pPr>
            <w:r w:rsidRPr="00A8517E">
              <w:rPr>
                <w:color w:val="000000"/>
                <w:sz w:val="20"/>
                <w:szCs w:val="20"/>
                <w:lang w:val="en-MY"/>
              </w:rPr>
              <w:t>7.8</w:t>
            </w:r>
          </w:p>
        </w:tc>
        <w:tc>
          <w:tcPr>
            <w:tcW w:w="0" w:type="auto"/>
            <w:shd w:val="clear" w:color="auto" w:fill="auto"/>
            <w:vAlign w:val="bottom"/>
          </w:tcPr>
          <w:p w14:paraId="2097AB9E" w14:textId="77777777" w:rsidR="003824F4" w:rsidRPr="00A8517E" w:rsidRDefault="003824F4" w:rsidP="00300A09">
            <w:pPr>
              <w:jc w:val="center"/>
              <w:rPr>
                <w:color w:val="000000"/>
                <w:sz w:val="20"/>
                <w:szCs w:val="20"/>
                <w:lang w:val="en-US"/>
              </w:rPr>
            </w:pPr>
            <w:r w:rsidRPr="00A8517E">
              <w:rPr>
                <w:color w:val="000000"/>
                <w:sz w:val="20"/>
                <w:szCs w:val="20"/>
                <w:lang w:val="en-MY"/>
              </w:rPr>
              <w:t>3.9</w:t>
            </w:r>
          </w:p>
        </w:tc>
        <w:tc>
          <w:tcPr>
            <w:tcW w:w="0" w:type="auto"/>
            <w:shd w:val="clear" w:color="auto" w:fill="auto"/>
            <w:vAlign w:val="bottom"/>
          </w:tcPr>
          <w:p w14:paraId="759F87E3" w14:textId="77777777" w:rsidR="003824F4" w:rsidRPr="00A8517E" w:rsidRDefault="003824F4" w:rsidP="00300A09">
            <w:pPr>
              <w:jc w:val="center"/>
              <w:rPr>
                <w:color w:val="000000"/>
                <w:sz w:val="20"/>
                <w:szCs w:val="20"/>
                <w:lang w:val="en-US"/>
              </w:rPr>
            </w:pPr>
            <w:r w:rsidRPr="00A8517E">
              <w:rPr>
                <w:color w:val="000000"/>
                <w:sz w:val="20"/>
                <w:szCs w:val="20"/>
                <w:lang w:val="en-MY"/>
              </w:rPr>
              <w:t>2.8</w:t>
            </w:r>
          </w:p>
        </w:tc>
      </w:tr>
      <w:tr w:rsidR="003824F4" w:rsidRPr="00A8517E" w14:paraId="5314AB9A" w14:textId="77777777" w:rsidTr="00A8517E">
        <w:trPr>
          <w:trHeight w:val="170"/>
        </w:trPr>
        <w:tc>
          <w:tcPr>
            <w:tcW w:w="1757" w:type="dxa"/>
            <w:shd w:val="clear" w:color="auto" w:fill="auto"/>
            <w:vAlign w:val="center"/>
            <w:hideMark/>
          </w:tcPr>
          <w:p w14:paraId="51069620" w14:textId="77777777" w:rsidR="003824F4" w:rsidRPr="00A8517E" w:rsidRDefault="003824F4" w:rsidP="00300A09">
            <w:pPr>
              <w:rPr>
                <w:color w:val="000000"/>
                <w:sz w:val="20"/>
                <w:szCs w:val="20"/>
                <w:lang w:val="en-MY"/>
              </w:rPr>
            </w:pPr>
            <w:r w:rsidRPr="00A8517E">
              <w:rPr>
                <w:color w:val="000000"/>
                <w:sz w:val="20"/>
                <w:szCs w:val="20"/>
                <w:lang w:val="en-MY"/>
              </w:rPr>
              <w:t>Sarawak</w:t>
            </w:r>
          </w:p>
        </w:tc>
        <w:tc>
          <w:tcPr>
            <w:tcW w:w="0" w:type="auto"/>
            <w:shd w:val="clear" w:color="auto" w:fill="auto"/>
            <w:noWrap/>
            <w:vAlign w:val="bottom"/>
            <w:hideMark/>
          </w:tcPr>
          <w:p w14:paraId="04BA208C" w14:textId="77777777" w:rsidR="003824F4" w:rsidRPr="00A8517E" w:rsidRDefault="003824F4" w:rsidP="00300A09">
            <w:pPr>
              <w:jc w:val="center"/>
              <w:rPr>
                <w:color w:val="000000"/>
                <w:sz w:val="20"/>
                <w:szCs w:val="20"/>
                <w:lang w:val="en-MY"/>
              </w:rPr>
            </w:pPr>
            <w:r w:rsidRPr="00A8517E">
              <w:rPr>
                <w:color w:val="000000"/>
                <w:sz w:val="20"/>
                <w:szCs w:val="20"/>
                <w:lang w:val="en-MY"/>
              </w:rPr>
              <w:t>n.a</w:t>
            </w:r>
          </w:p>
        </w:tc>
        <w:tc>
          <w:tcPr>
            <w:tcW w:w="0" w:type="auto"/>
            <w:shd w:val="clear" w:color="auto" w:fill="auto"/>
            <w:noWrap/>
            <w:vAlign w:val="bottom"/>
            <w:hideMark/>
          </w:tcPr>
          <w:p w14:paraId="737F42F1" w14:textId="77777777" w:rsidR="003824F4" w:rsidRPr="00A8517E" w:rsidRDefault="003824F4" w:rsidP="00300A09">
            <w:pPr>
              <w:jc w:val="center"/>
              <w:rPr>
                <w:color w:val="000000"/>
                <w:sz w:val="20"/>
                <w:szCs w:val="20"/>
                <w:lang w:val="en-MY"/>
              </w:rPr>
            </w:pPr>
            <w:r w:rsidRPr="00A8517E">
              <w:rPr>
                <w:color w:val="000000"/>
                <w:sz w:val="20"/>
                <w:szCs w:val="20"/>
                <w:lang w:val="en-MY"/>
              </w:rPr>
              <w:t>47.8</w:t>
            </w:r>
          </w:p>
        </w:tc>
        <w:tc>
          <w:tcPr>
            <w:tcW w:w="0" w:type="auto"/>
            <w:shd w:val="clear" w:color="auto" w:fill="auto"/>
            <w:noWrap/>
            <w:vAlign w:val="bottom"/>
            <w:hideMark/>
          </w:tcPr>
          <w:p w14:paraId="74381E92" w14:textId="77777777" w:rsidR="003824F4" w:rsidRPr="00A8517E" w:rsidRDefault="003824F4" w:rsidP="00300A09">
            <w:pPr>
              <w:jc w:val="center"/>
              <w:rPr>
                <w:color w:val="000000"/>
                <w:sz w:val="20"/>
                <w:szCs w:val="20"/>
                <w:lang w:val="en-MY"/>
              </w:rPr>
            </w:pPr>
            <w:r w:rsidRPr="00A8517E">
              <w:rPr>
                <w:color w:val="000000"/>
                <w:sz w:val="20"/>
                <w:szCs w:val="20"/>
                <w:lang w:val="en-MY"/>
              </w:rPr>
              <w:t>31.9</w:t>
            </w:r>
          </w:p>
        </w:tc>
        <w:tc>
          <w:tcPr>
            <w:tcW w:w="0" w:type="auto"/>
            <w:shd w:val="clear" w:color="auto" w:fill="auto"/>
            <w:noWrap/>
            <w:vAlign w:val="bottom"/>
            <w:hideMark/>
          </w:tcPr>
          <w:p w14:paraId="27F9AD2B" w14:textId="77777777" w:rsidR="003824F4" w:rsidRPr="00A8517E" w:rsidRDefault="003824F4" w:rsidP="00300A09">
            <w:pPr>
              <w:jc w:val="center"/>
              <w:rPr>
                <w:color w:val="000000"/>
                <w:sz w:val="20"/>
                <w:szCs w:val="20"/>
                <w:lang w:val="en-MY"/>
              </w:rPr>
            </w:pPr>
            <w:r w:rsidRPr="00A8517E">
              <w:rPr>
                <w:color w:val="000000"/>
                <w:sz w:val="20"/>
                <w:szCs w:val="20"/>
                <w:lang w:val="en-MY"/>
              </w:rPr>
              <w:t>21.0</w:t>
            </w:r>
          </w:p>
        </w:tc>
        <w:tc>
          <w:tcPr>
            <w:tcW w:w="0" w:type="auto"/>
            <w:shd w:val="clear" w:color="auto" w:fill="auto"/>
            <w:noWrap/>
            <w:vAlign w:val="bottom"/>
            <w:hideMark/>
          </w:tcPr>
          <w:p w14:paraId="30751447" w14:textId="77777777" w:rsidR="003824F4" w:rsidRPr="00A8517E" w:rsidRDefault="003824F4" w:rsidP="00300A09">
            <w:pPr>
              <w:jc w:val="center"/>
              <w:rPr>
                <w:color w:val="000000"/>
                <w:sz w:val="20"/>
                <w:szCs w:val="20"/>
                <w:lang w:val="en-MY"/>
              </w:rPr>
            </w:pPr>
            <w:r w:rsidRPr="00A8517E">
              <w:rPr>
                <w:color w:val="000000"/>
                <w:sz w:val="20"/>
                <w:szCs w:val="20"/>
                <w:lang w:val="en-MY"/>
              </w:rPr>
              <w:t>19.2</w:t>
            </w:r>
          </w:p>
        </w:tc>
        <w:tc>
          <w:tcPr>
            <w:tcW w:w="0" w:type="auto"/>
            <w:shd w:val="clear" w:color="auto" w:fill="auto"/>
            <w:noWrap/>
            <w:vAlign w:val="bottom"/>
            <w:hideMark/>
          </w:tcPr>
          <w:p w14:paraId="1697B07A" w14:textId="77777777" w:rsidR="003824F4" w:rsidRPr="00A8517E" w:rsidRDefault="003824F4" w:rsidP="00300A09">
            <w:pPr>
              <w:jc w:val="center"/>
              <w:rPr>
                <w:color w:val="000000"/>
                <w:sz w:val="20"/>
                <w:szCs w:val="20"/>
                <w:lang w:val="en-MY"/>
              </w:rPr>
            </w:pPr>
            <w:r w:rsidRPr="00A8517E">
              <w:rPr>
                <w:color w:val="000000"/>
                <w:sz w:val="20"/>
                <w:szCs w:val="20"/>
                <w:lang w:val="en-MY"/>
              </w:rPr>
              <w:t>7.3</w:t>
            </w:r>
          </w:p>
        </w:tc>
        <w:tc>
          <w:tcPr>
            <w:tcW w:w="0" w:type="auto"/>
            <w:shd w:val="clear" w:color="auto" w:fill="auto"/>
            <w:noWrap/>
            <w:vAlign w:val="bottom"/>
            <w:hideMark/>
          </w:tcPr>
          <w:p w14:paraId="5459F323" w14:textId="77777777" w:rsidR="003824F4" w:rsidRPr="00A8517E" w:rsidRDefault="003824F4" w:rsidP="00300A09">
            <w:pPr>
              <w:jc w:val="center"/>
              <w:rPr>
                <w:color w:val="000000"/>
                <w:sz w:val="20"/>
                <w:szCs w:val="20"/>
                <w:lang w:val="en-MY"/>
              </w:rPr>
            </w:pPr>
            <w:r w:rsidRPr="00A8517E">
              <w:rPr>
                <w:color w:val="000000"/>
                <w:sz w:val="20"/>
                <w:szCs w:val="20"/>
                <w:lang w:val="en-MY"/>
              </w:rPr>
              <w:t>10.9</w:t>
            </w:r>
          </w:p>
        </w:tc>
        <w:tc>
          <w:tcPr>
            <w:tcW w:w="0" w:type="auto"/>
            <w:shd w:val="clear" w:color="auto" w:fill="auto"/>
            <w:noWrap/>
            <w:vAlign w:val="bottom"/>
            <w:hideMark/>
          </w:tcPr>
          <w:p w14:paraId="19D1761C" w14:textId="77777777" w:rsidR="003824F4" w:rsidRPr="00A8517E" w:rsidRDefault="003824F4" w:rsidP="00300A09">
            <w:pPr>
              <w:jc w:val="center"/>
              <w:rPr>
                <w:color w:val="000000"/>
                <w:sz w:val="20"/>
                <w:szCs w:val="20"/>
                <w:lang w:val="en-MY"/>
              </w:rPr>
            </w:pPr>
            <w:r w:rsidRPr="00A8517E">
              <w:rPr>
                <w:color w:val="000000"/>
                <w:sz w:val="20"/>
                <w:szCs w:val="20"/>
                <w:lang w:val="en-MY"/>
              </w:rPr>
              <w:t>11.3</w:t>
            </w:r>
          </w:p>
        </w:tc>
        <w:tc>
          <w:tcPr>
            <w:tcW w:w="0" w:type="auto"/>
            <w:shd w:val="clear" w:color="auto" w:fill="auto"/>
            <w:noWrap/>
            <w:vAlign w:val="bottom"/>
            <w:hideMark/>
          </w:tcPr>
          <w:p w14:paraId="13ACD555" w14:textId="77777777" w:rsidR="003824F4" w:rsidRPr="00A8517E" w:rsidRDefault="003824F4" w:rsidP="00300A09">
            <w:pPr>
              <w:jc w:val="center"/>
              <w:rPr>
                <w:color w:val="000000"/>
                <w:sz w:val="20"/>
                <w:szCs w:val="20"/>
                <w:lang w:val="en-MY"/>
              </w:rPr>
            </w:pPr>
            <w:r w:rsidRPr="00A8517E">
              <w:rPr>
                <w:color w:val="000000"/>
                <w:sz w:val="20"/>
                <w:szCs w:val="20"/>
                <w:lang w:val="en-MY"/>
              </w:rPr>
              <w:t>4.2</w:t>
            </w:r>
          </w:p>
        </w:tc>
        <w:tc>
          <w:tcPr>
            <w:tcW w:w="0" w:type="auto"/>
            <w:shd w:val="clear" w:color="auto" w:fill="auto"/>
            <w:noWrap/>
            <w:vAlign w:val="bottom"/>
            <w:hideMark/>
          </w:tcPr>
          <w:p w14:paraId="6880EA74" w14:textId="77777777" w:rsidR="003824F4" w:rsidRPr="00A8517E" w:rsidRDefault="003824F4" w:rsidP="00300A09">
            <w:pPr>
              <w:jc w:val="center"/>
              <w:rPr>
                <w:color w:val="000000"/>
                <w:sz w:val="20"/>
                <w:szCs w:val="20"/>
                <w:lang w:val="en-MY"/>
              </w:rPr>
            </w:pPr>
            <w:r w:rsidRPr="00A8517E">
              <w:rPr>
                <w:color w:val="000000"/>
                <w:sz w:val="20"/>
                <w:szCs w:val="20"/>
                <w:lang w:val="en-MY"/>
              </w:rPr>
              <w:t>5.3</w:t>
            </w:r>
          </w:p>
        </w:tc>
        <w:tc>
          <w:tcPr>
            <w:tcW w:w="0" w:type="auto"/>
            <w:shd w:val="clear" w:color="auto" w:fill="auto"/>
            <w:noWrap/>
            <w:vAlign w:val="bottom"/>
            <w:hideMark/>
          </w:tcPr>
          <w:p w14:paraId="34AF5668" w14:textId="77777777" w:rsidR="003824F4" w:rsidRPr="00A8517E" w:rsidRDefault="003824F4" w:rsidP="00300A09">
            <w:pPr>
              <w:jc w:val="center"/>
              <w:rPr>
                <w:color w:val="000000"/>
                <w:sz w:val="20"/>
                <w:szCs w:val="20"/>
                <w:lang w:val="en-MY"/>
              </w:rPr>
            </w:pPr>
            <w:r w:rsidRPr="00A8517E">
              <w:rPr>
                <w:color w:val="000000"/>
                <w:sz w:val="20"/>
                <w:szCs w:val="20"/>
                <w:lang w:val="en-MY"/>
              </w:rPr>
              <w:t>2.4</w:t>
            </w:r>
          </w:p>
        </w:tc>
        <w:tc>
          <w:tcPr>
            <w:tcW w:w="0" w:type="auto"/>
            <w:shd w:val="clear" w:color="auto" w:fill="auto"/>
            <w:noWrap/>
            <w:vAlign w:val="bottom"/>
            <w:hideMark/>
          </w:tcPr>
          <w:p w14:paraId="4592ADB2" w14:textId="77777777" w:rsidR="003824F4" w:rsidRPr="00A8517E" w:rsidRDefault="003824F4" w:rsidP="00300A09">
            <w:pPr>
              <w:jc w:val="center"/>
              <w:rPr>
                <w:color w:val="000000"/>
                <w:sz w:val="20"/>
                <w:szCs w:val="20"/>
                <w:lang w:val="en-MY"/>
              </w:rPr>
            </w:pPr>
            <w:r w:rsidRPr="00A8517E">
              <w:rPr>
                <w:color w:val="000000"/>
                <w:sz w:val="20"/>
                <w:szCs w:val="20"/>
                <w:lang w:val="en-MY"/>
              </w:rPr>
              <w:t>0.9</w:t>
            </w:r>
          </w:p>
        </w:tc>
        <w:tc>
          <w:tcPr>
            <w:tcW w:w="0" w:type="auto"/>
            <w:shd w:val="clear" w:color="auto" w:fill="auto"/>
            <w:noWrap/>
            <w:vAlign w:val="bottom"/>
            <w:hideMark/>
          </w:tcPr>
          <w:p w14:paraId="271E5E4E" w14:textId="77777777" w:rsidR="003824F4" w:rsidRPr="00A8517E" w:rsidRDefault="003824F4" w:rsidP="00300A09">
            <w:pPr>
              <w:jc w:val="center"/>
              <w:rPr>
                <w:color w:val="000000"/>
                <w:sz w:val="20"/>
                <w:szCs w:val="20"/>
                <w:lang w:val="en-MY"/>
              </w:rPr>
            </w:pPr>
            <w:r w:rsidRPr="00A8517E">
              <w:rPr>
                <w:color w:val="000000"/>
                <w:sz w:val="20"/>
                <w:szCs w:val="20"/>
                <w:lang w:val="en-MY"/>
              </w:rPr>
              <w:t>0.6</w:t>
            </w:r>
          </w:p>
        </w:tc>
      </w:tr>
      <w:tr w:rsidR="003824F4" w:rsidRPr="00A8517E" w14:paraId="4F34DA48" w14:textId="77777777" w:rsidTr="00A8517E">
        <w:trPr>
          <w:trHeight w:val="170"/>
        </w:trPr>
        <w:tc>
          <w:tcPr>
            <w:tcW w:w="1757" w:type="dxa"/>
            <w:shd w:val="clear" w:color="auto" w:fill="auto"/>
            <w:vAlign w:val="center"/>
            <w:hideMark/>
          </w:tcPr>
          <w:p w14:paraId="5B0827E8" w14:textId="77777777" w:rsidR="003824F4" w:rsidRPr="00A8517E" w:rsidRDefault="003824F4" w:rsidP="00300A09">
            <w:pPr>
              <w:rPr>
                <w:color w:val="000000"/>
                <w:sz w:val="20"/>
                <w:szCs w:val="20"/>
                <w:lang w:val="en-MY"/>
              </w:rPr>
            </w:pPr>
            <w:r w:rsidRPr="00A8517E">
              <w:rPr>
                <w:color w:val="000000"/>
                <w:sz w:val="20"/>
                <w:szCs w:val="20"/>
                <w:lang w:val="en-MY"/>
              </w:rPr>
              <w:t>Kelantan</w:t>
            </w:r>
          </w:p>
        </w:tc>
        <w:tc>
          <w:tcPr>
            <w:tcW w:w="0" w:type="auto"/>
            <w:shd w:val="clear" w:color="auto" w:fill="auto"/>
            <w:noWrap/>
            <w:vAlign w:val="bottom"/>
            <w:hideMark/>
          </w:tcPr>
          <w:p w14:paraId="62EFDDE0" w14:textId="77777777" w:rsidR="003824F4" w:rsidRPr="00A8517E" w:rsidRDefault="003824F4" w:rsidP="00300A09">
            <w:pPr>
              <w:jc w:val="center"/>
              <w:rPr>
                <w:color w:val="000000"/>
                <w:sz w:val="20"/>
                <w:szCs w:val="20"/>
                <w:lang w:val="en-MY"/>
              </w:rPr>
            </w:pPr>
            <w:r w:rsidRPr="00A8517E">
              <w:rPr>
                <w:color w:val="000000"/>
                <w:sz w:val="20"/>
                <w:szCs w:val="20"/>
                <w:lang w:val="en-MY"/>
              </w:rPr>
              <w:t>76.1</w:t>
            </w:r>
          </w:p>
        </w:tc>
        <w:tc>
          <w:tcPr>
            <w:tcW w:w="0" w:type="auto"/>
            <w:shd w:val="clear" w:color="auto" w:fill="auto"/>
            <w:noWrap/>
            <w:vAlign w:val="bottom"/>
            <w:hideMark/>
          </w:tcPr>
          <w:p w14:paraId="271FB81D" w14:textId="77777777" w:rsidR="003824F4" w:rsidRPr="00A8517E" w:rsidRDefault="003824F4" w:rsidP="00300A09">
            <w:pPr>
              <w:jc w:val="center"/>
              <w:rPr>
                <w:color w:val="000000"/>
                <w:sz w:val="20"/>
                <w:szCs w:val="20"/>
                <w:lang w:val="en-MY"/>
              </w:rPr>
            </w:pPr>
            <w:r w:rsidRPr="00A8517E">
              <w:rPr>
                <w:color w:val="000000"/>
                <w:sz w:val="20"/>
                <w:szCs w:val="20"/>
                <w:lang w:val="en-MY"/>
              </w:rPr>
              <w:t>55.0</w:t>
            </w:r>
          </w:p>
        </w:tc>
        <w:tc>
          <w:tcPr>
            <w:tcW w:w="0" w:type="auto"/>
            <w:shd w:val="clear" w:color="auto" w:fill="auto"/>
            <w:noWrap/>
            <w:vAlign w:val="bottom"/>
            <w:hideMark/>
          </w:tcPr>
          <w:p w14:paraId="06E6ECEE" w14:textId="77777777" w:rsidR="003824F4" w:rsidRPr="00A8517E" w:rsidRDefault="003824F4" w:rsidP="00300A09">
            <w:pPr>
              <w:jc w:val="center"/>
              <w:rPr>
                <w:color w:val="000000"/>
                <w:sz w:val="20"/>
                <w:szCs w:val="20"/>
                <w:lang w:val="en-MY"/>
              </w:rPr>
            </w:pPr>
            <w:r w:rsidRPr="00A8517E">
              <w:rPr>
                <w:color w:val="000000"/>
                <w:sz w:val="20"/>
                <w:szCs w:val="20"/>
                <w:lang w:val="en-MY"/>
              </w:rPr>
              <w:t>39.2</w:t>
            </w:r>
          </w:p>
        </w:tc>
        <w:tc>
          <w:tcPr>
            <w:tcW w:w="0" w:type="auto"/>
            <w:shd w:val="clear" w:color="auto" w:fill="auto"/>
            <w:noWrap/>
            <w:vAlign w:val="bottom"/>
            <w:hideMark/>
          </w:tcPr>
          <w:p w14:paraId="641C295F" w14:textId="77777777" w:rsidR="003824F4" w:rsidRPr="00A8517E" w:rsidRDefault="003824F4" w:rsidP="00300A09">
            <w:pPr>
              <w:jc w:val="center"/>
              <w:rPr>
                <w:color w:val="000000"/>
                <w:sz w:val="20"/>
                <w:szCs w:val="20"/>
                <w:lang w:val="en-MY"/>
              </w:rPr>
            </w:pPr>
            <w:r w:rsidRPr="00A8517E">
              <w:rPr>
                <w:color w:val="000000"/>
                <w:sz w:val="20"/>
                <w:szCs w:val="20"/>
                <w:lang w:val="en-MY"/>
              </w:rPr>
              <w:t>29.6</w:t>
            </w:r>
          </w:p>
        </w:tc>
        <w:tc>
          <w:tcPr>
            <w:tcW w:w="0" w:type="auto"/>
            <w:shd w:val="clear" w:color="auto" w:fill="auto"/>
            <w:noWrap/>
            <w:vAlign w:val="bottom"/>
            <w:hideMark/>
          </w:tcPr>
          <w:p w14:paraId="276C0338" w14:textId="77777777" w:rsidR="003824F4" w:rsidRPr="00A8517E" w:rsidRDefault="003824F4" w:rsidP="00300A09">
            <w:pPr>
              <w:jc w:val="center"/>
              <w:rPr>
                <w:color w:val="000000"/>
                <w:sz w:val="20"/>
                <w:szCs w:val="20"/>
                <w:lang w:val="en-MY"/>
              </w:rPr>
            </w:pPr>
            <w:r w:rsidRPr="00A8517E">
              <w:rPr>
                <w:color w:val="000000"/>
                <w:sz w:val="20"/>
                <w:szCs w:val="20"/>
                <w:lang w:val="en-MY"/>
              </w:rPr>
              <w:t>29.5</w:t>
            </w:r>
          </w:p>
        </w:tc>
        <w:tc>
          <w:tcPr>
            <w:tcW w:w="0" w:type="auto"/>
            <w:shd w:val="clear" w:color="auto" w:fill="auto"/>
            <w:noWrap/>
            <w:vAlign w:val="bottom"/>
            <w:hideMark/>
          </w:tcPr>
          <w:p w14:paraId="75C44FC9" w14:textId="77777777" w:rsidR="003824F4" w:rsidRPr="00A8517E" w:rsidRDefault="003824F4" w:rsidP="00300A09">
            <w:pPr>
              <w:jc w:val="center"/>
              <w:rPr>
                <w:color w:val="000000"/>
                <w:sz w:val="20"/>
                <w:szCs w:val="20"/>
                <w:lang w:val="en-MY"/>
              </w:rPr>
            </w:pPr>
            <w:r w:rsidRPr="00A8517E">
              <w:rPr>
                <w:color w:val="000000"/>
                <w:sz w:val="20"/>
                <w:szCs w:val="20"/>
                <w:lang w:val="en-MY"/>
              </w:rPr>
              <w:t>19.2</w:t>
            </w:r>
          </w:p>
        </w:tc>
        <w:tc>
          <w:tcPr>
            <w:tcW w:w="0" w:type="auto"/>
            <w:shd w:val="clear" w:color="auto" w:fill="auto"/>
            <w:noWrap/>
            <w:vAlign w:val="bottom"/>
            <w:hideMark/>
          </w:tcPr>
          <w:p w14:paraId="0735C710" w14:textId="77777777" w:rsidR="003824F4" w:rsidRPr="00A8517E" w:rsidRDefault="003824F4" w:rsidP="00300A09">
            <w:pPr>
              <w:jc w:val="center"/>
              <w:rPr>
                <w:color w:val="000000"/>
                <w:sz w:val="20"/>
                <w:szCs w:val="20"/>
                <w:lang w:val="en-MY"/>
              </w:rPr>
            </w:pPr>
            <w:r w:rsidRPr="00A8517E">
              <w:rPr>
                <w:color w:val="000000"/>
                <w:sz w:val="20"/>
                <w:szCs w:val="20"/>
                <w:lang w:val="en-MY"/>
              </w:rPr>
              <w:t>25.2</w:t>
            </w:r>
          </w:p>
        </w:tc>
        <w:tc>
          <w:tcPr>
            <w:tcW w:w="0" w:type="auto"/>
            <w:shd w:val="clear" w:color="auto" w:fill="auto"/>
            <w:noWrap/>
            <w:vAlign w:val="bottom"/>
            <w:hideMark/>
          </w:tcPr>
          <w:p w14:paraId="352259CD" w14:textId="77777777" w:rsidR="003824F4" w:rsidRPr="00A8517E" w:rsidRDefault="003824F4" w:rsidP="00300A09">
            <w:pPr>
              <w:jc w:val="center"/>
              <w:rPr>
                <w:color w:val="000000"/>
                <w:sz w:val="20"/>
                <w:szCs w:val="20"/>
                <w:lang w:val="en-MY"/>
              </w:rPr>
            </w:pPr>
            <w:r w:rsidRPr="00A8517E">
              <w:rPr>
                <w:color w:val="000000"/>
                <w:sz w:val="20"/>
                <w:szCs w:val="20"/>
                <w:lang w:val="en-MY"/>
              </w:rPr>
              <w:t>17.8</w:t>
            </w:r>
          </w:p>
        </w:tc>
        <w:tc>
          <w:tcPr>
            <w:tcW w:w="0" w:type="auto"/>
            <w:shd w:val="clear" w:color="auto" w:fill="auto"/>
            <w:noWrap/>
            <w:vAlign w:val="bottom"/>
            <w:hideMark/>
          </w:tcPr>
          <w:p w14:paraId="01DBCEAA" w14:textId="77777777" w:rsidR="003824F4" w:rsidRPr="00A8517E" w:rsidRDefault="003824F4" w:rsidP="00300A09">
            <w:pPr>
              <w:jc w:val="center"/>
              <w:rPr>
                <w:color w:val="000000"/>
                <w:sz w:val="20"/>
                <w:szCs w:val="20"/>
                <w:lang w:val="en-MY"/>
              </w:rPr>
            </w:pPr>
            <w:r w:rsidRPr="00A8517E">
              <w:rPr>
                <w:color w:val="000000"/>
                <w:sz w:val="20"/>
                <w:szCs w:val="20"/>
                <w:lang w:val="en-MY"/>
              </w:rPr>
              <w:t>7.2</w:t>
            </w:r>
          </w:p>
        </w:tc>
        <w:tc>
          <w:tcPr>
            <w:tcW w:w="0" w:type="auto"/>
            <w:shd w:val="clear" w:color="auto" w:fill="auto"/>
            <w:noWrap/>
            <w:vAlign w:val="bottom"/>
            <w:hideMark/>
          </w:tcPr>
          <w:p w14:paraId="68940448" w14:textId="77777777" w:rsidR="003824F4" w:rsidRPr="00A8517E" w:rsidRDefault="003824F4" w:rsidP="00300A09">
            <w:pPr>
              <w:jc w:val="center"/>
              <w:rPr>
                <w:color w:val="000000"/>
                <w:sz w:val="20"/>
                <w:szCs w:val="20"/>
                <w:lang w:val="en-MY"/>
              </w:rPr>
            </w:pPr>
            <w:r w:rsidRPr="00A8517E">
              <w:rPr>
                <w:color w:val="000000"/>
                <w:sz w:val="20"/>
                <w:szCs w:val="20"/>
                <w:lang w:val="en-MY"/>
              </w:rPr>
              <w:t>4.8</w:t>
            </w:r>
          </w:p>
        </w:tc>
        <w:tc>
          <w:tcPr>
            <w:tcW w:w="0" w:type="auto"/>
            <w:shd w:val="clear" w:color="auto" w:fill="auto"/>
            <w:noWrap/>
            <w:vAlign w:val="bottom"/>
            <w:hideMark/>
          </w:tcPr>
          <w:p w14:paraId="117524AA" w14:textId="77777777" w:rsidR="003824F4" w:rsidRPr="00A8517E" w:rsidRDefault="003824F4" w:rsidP="00300A09">
            <w:pPr>
              <w:jc w:val="center"/>
              <w:rPr>
                <w:color w:val="000000"/>
                <w:sz w:val="20"/>
                <w:szCs w:val="20"/>
                <w:lang w:val="en-MY"/>
              </w:rPr>
            </w:pPr>
            <w:r w:rsidRPr="00A8517E">
              <w:rPr>
                <w:color w:val="000000"/>
                <w:sz w:val="20"/>
                <w:szCs w:val="20"/>
                <w:lang w:val="en-MY"/>
              </w:rPr>
              <w:t>2.7</w:t>
            </w:r>
          </w:p>
        </w:tc>
        <w:tc>
          <w:tcPr>
            <w:tcW w:w="0" w:type="auto"/>
            <w:shd w:val="clear" w:color="auto" w:fill="auto"/>
            <w:noWrap/>
            <w:vAlign w:val="bottom"/>
            <w:hideMark/>
          </w:tcPr>
          <w:p w14:paraId="560C4474" w14:textId="77777777" w:rsidR="003824F4" w:rsidRPr="00A8517E" w:rsidRDefault="003824F4" w:rsidP="00300A09">
            <w:pPr>
              <w:jc w:val="center"/>
              <w:rPr>
                <w:color w:val="000000"/>
                <w:sz w:val="20"/>
                <w:szCs w:val="20"/>
                <w:lang w:val="en-MY"/>
              </w:rPr>
            </w:pPr>
            <w:r w:rsidRPr="00A8517E">
              <w:rPr>
                <w:color w:val="000000"/>
                <w:sz w:val="20"/>
                <w:szCs w:val="20"/>
                <w:lang w:val="en-MY"/>
              </w:rPr>
              <w:t>0.9</w:t>
            </w:r>
          </w:p>
        </w:tc>
        <w:tc>
          <w:tcPr>
            <w:tcW w:w="0" w:type="auto"/>
            <w:shd w:val="clear" w:color="auto" w:fill="auto"/>
            <w:noWrap/>
            <w:vAlign w:val="bottom"/>
            <w:hideMark/>
          </w:tcPr>
          <w:p w14:paraId="2FAB06E9" w14:textId="77777777" w:rsidR="003824F4" w:rsidRPr="00A8517E" w:rsidRDefault="003824F4" w:rsidP="00300A09">
            <w:pPr>
              <w:jc w:val="center"/>
              <w:rPr>
                <w:color w:val="000000"/>
                <w:sz w:val="20"/>
                <w:szCs w:val="20"/>
                <w:lang w:val="en-MY"/>
              </w:rPr>
            </w:pPr>
            <w:r w:rsidRPr="00A8517E">
              <w:rPr>
                <w:color w:val="000000"/>
                <w:sz w:val="20"/>
                <w:szCs w:val="20"/>
                <w:lang w:val="en-MY"/>
              </w:rPr>
              <w:t>0.4</w:t>
            </w:r>
          </w:p>
        </w:tc>
      </w:tr>
      <w:tr w:rsidR="003824F4" w:rsidRPr="00A8517E" w14:paraId="40BB4AF7" w14:textId="77777777" w:rsidTr="00A8517E">
        <w:trPr>
          <w:trHeight w:val="170"/>
        </w:trPr>
        <w:tc>
          <w:tcPr>
            <w:tcW w:w="1757" w:type="dxa"/>
            <w:shd w:val="clear" w:color="auto" w:fill="auto"/>
            <w:vAlign w:val="center"/>
            <w:hideMark/>
          </w:tcPr>
          <w:p w14:paraId="39A6DA7E" w14:textId="77777777" w:rsidR="003824F4" w:rsidRPr="00A8517E" w:rsidRDefault="003824F4" w:rsidP="00300A09">
            <w:pPr>
              <w:rPr>
                <w:color w:val="000000"/>
                <w:sz w:val="20"/>
                <w:szCs w:val="20"/>
                <w:lang w:val="en-MY"/>
              </w:rPr>
            </w:pPr>
            <w:r w:rsidRPr="00A8517E">
              <w:rPr>
                <w:color w:val="000000"/>
                <w:sz w:val="20"/>
                <w:szCs w:val="20"/>
                <w:lang w:val="en-MY"/>
              </w:rPr>
              <w:t>Terengganu</w:t>
            </w:r>
          </w:p>
        </w:tc>
        <w:tc>
          <w:tcPr>
            <w:tcW w:w="0" w:type="auto"/>
            <w:shd w:val="clear" w:color="auto" w:fill="auto"/>
            <w:noWrap/>
            <w:vAlign w:val="bottom"/>
            <w:hideMark/>
          </w:tcPr>
          <w:p w14:paraId="5118E18C" w14:textId="77777777" w:rsidR="003824F4" w:rsidRPr="00A8517E" w:rsidRDefault="003824F4" w:rsidP="00300A09">
            <w:pPr>
              <w:jc w:val="center"/>
              <w:rPr>
                <w:color w:val="000000"/>
                <w:sz w:val="20"/>
                <w:szCs w:val="20"/>
                <w:lang w:val="en-MY"/>
              </w:rPr>
            </w:pPr>
            <w:r w:rsidRPr="00A8517E">
              <w:rPr>
                <w:color w:val="000000"/>
                <w:sz w:val="20"/>
                <w:szCs w:val="20"/>
                <w:lang w:val="en-MY"/>
              </w:rPr>
              <w:t>68.9</w:t>
            </w:r>
          </w:p>
        </w:tc>
        <w:tc>
          <w:tcPr>
            <w:tcW w:w="0" w:type="auto"/>
            <w:shd w:val="clear" w:color="auto" w:fill="auto"/>
            <w:noWrap/>
            <w:vAlign w:val="bottom"/>
            <w:hideMark/>
          </w:tcPr>
          <w:p w14:paraId="4291A687" w14:textId="77777777" w:rsidR="003824F4" w:rsidRPr="00A8517E" w:rsidRDefault="003824F4" w:rsidP="00300A09">
            <w:pPr>
              <w:jc w:val="center"/>
              <w:rPr>
                <w:color w:val="000000"/>
                <w:sz w:val="20"/>
                <w:szCs w:val="20"/>
                <w:lang w:val="en-MY"/>
              </w:rPr>
            </w:pPr>
            <w:r w:rsidRPr="00A8517E">
              <w:rPr>
                <w:color w:val="000000"/>
                <w:sz w:val="20"/>
                <w:szCs w:val="20"/>
                <w:lang w:val="en-MY"/>
              </w:rPr>
              <w:t>53.1</w:t>
            </w:r>
          </w:p>
        </w:tc>
        <w:tc>
          <w:tcPr>
            <w:tcW w:w="0" w:type="auto"/>
            <w:shd w:val="clear" w:color="auto" w:fill="auto"/>
            <w:noWrap/>
            <w:vAlign w:val="bottom"/>
            <w:hideMark/>
          </w:tcPr>
          <w:p w14:paraId="68AE6DBF" w14:textId="77777777" w:rsidR="003824F4" w:rsidRPr="00A8517E" w:rsidRDefault="003824F4" w:rsidP="00300A09">
            <w:pPr>
              <w:jc w:val="center"/>
              <w:rPr>
                <w:color w:val="000000"/>
                <w:sz w:val="20"/>
                <w:szCs w:val="20"/>
                <w:lang w:val="en-MY"/>
              </w:rPr>
            </w:pPr>
            <w:r w:rsidRPr="00A8517E">
              <w:rPr>
                <w:color w:val="000000"/>
                <w:sz w:val="20"/>
                <w:szCs w:val="20"/>
                <w:lang w:val="en-MY"/>
              </w:rPr>
              <w:t>28.9</w:t>
            </w:r>
          </w:p>
        </w:tc>
        <w:tc>
          <w:tcPr>
            <w:tcW w:w="0" w:type="auto"/>
            <w:shd w:val="clear" w:color="auto" w:fill="auto"/>
            <w:noWrap/>
            <w:vAlign w:val="bottom"/>
            <w:hideMark/>
          </w:tcPr>
          <w:p w14:paraId="06B51706" w14:textId="77777777" w:rsidR="003824F4" w:rsidRPr="00A8517E" w:rsidRDefault="003824F4" w:rsidP="00300A09">
            <w:pPr>
              <w:jc w:val="center"/>
              <w:rPr>
                <w:color w:val="000000"/>
                <w:sz w:val="20"/>
                <w:szCs w:val="20"/>
                <w:lang w:val="en-MY"/>
              </w:rPr>
            </w:pPr>
            <w:r w:rsidRPr="00A8517E">
              <w:rPr>
                <w:color w:val="000000"/>
                <w:sz w:val="20"/>
                <w:szCs w:val="20"/>
                <w:lang w:val="en-MY"/>
              </w:rPr>
              <w:t>31.3</w:t>
            </w:r>
          </w:p>
        </w:tc>
        <w:tc>
          <w:tcPr>
            <w:tcW w:w="0" w:type="auto"/>
            <w:shd w:val="clear" w:color="auto" w:fill="auto"/>
            <w:noWrap/>
            <w:vAlign w:val="bottom"/>
            <w:hideMark/>
          </w:tcPr>
          <w:p w14:paraId="6C410477" w14:textId="77777777" w:rsidR="003824F4" w:rsidRPr="00A8517E" w:rsidRDefault="003824F4" w:rsidP="00300A09">
            <w:pPr>
              <w:jc w:val="center"/>
              <w:rPr>
                <w:color w:val="000000"/>
                <w:sz w:val="20"/>
                <w:szCs w:val="20"/>
                <w:lang w:val="en-MY"/>
              </w:rPr>
            </w:pPr>
            <w:r w:rsidRPr="00A8517E">
              <w:rPr>
                <w:color w:val="000000"/>
                <w:sz w:val="20"/>
                <w:szCs w:val="20"/>
                <w:lang w:val="en-MY"/>
              </w:rPr>
              <w:t>25.6</w:t>
            </w:r>
          </w:p>
        </w:tc>
        <w:tc>
          <w:tcPr>
            <w:tcW w:w="0" w:type="auto"/>
            <w:shd w:val="clear" w:color="auto" w:fill="auto"/>
            <w:noWrap/>
            <w:vAlign w:val="bottom"/>
            <w:hideMark/>
          </w:tcPr>
          <w:p w14:paraId="1555276B" w14:textId="77777777" w:rsidR="003824F4" w:rsidRPr="00A8517E" w:rsidRDefault="003824F4" w:rsidP="00300A09">
            <w:pPr>
              <w:jc w:val="center"/>
              <w:rPr>
                <w:color w:val="000000"/>
                <w:sz w:val="20"/>
                <w:szCs w:val="20"/>
                <w:lang w:val="en-MY"/>
              </w:rPr>
            </w:pPr>
            <w:r w:rsidRPr="00A8517E">
              <w:rPr>
                <w:color w:val="000000"/>
                <w:sz w:val="20"/>
                <w:szCs w:val="20"/>
                <w:lang w:val="en-MY"/>
              </w:rPr>
              <w:t>17.3</w:t>
            </w:r>
          </w:p>
        </w:tc>
        <w:tc>
          <w:tcPr>
            <w:tcW w:w="0" w:type="auto"/>
            <w:shd w:val="clear" w:color="auto" w:fill="auto"/>
            <w:noWrap/>
            <w:vAlign w:val="bottom"/>
            <w:hideMark/>
          </w:tcPr>
          <w:p w14:paraId="7ED5F3C8" w14:textId="77777777" w:rsidR="003824F4" w:rsidRPr="00A8517E" w:rsidRDefault="003824F4" w:rsidP="00300A09">
            <w:pPr>
              <w:jc w:val="center"/>
              <w:rPr>
                <w:color w:val="000000"/>
                <w:sz w:val="20"/>
                <w:szCs w:val="20"/>
                <w:lang w:val="en-MY"/>
              </w:rPr>
            </w:pPr>
            <w:r w:rsidRPr="00A8517E">
              <w:rPr>
                <w:color w:val="000000"/>
                <w:sz w:val="20"/>
                <w:szCs w:val="20"/>
                <w:lang w:val="en-MY"/>
              </w:rPr>
              <w:t>22.7</w:t>
            </w:r>
          </w:p>
        </w:tc>
        <w:tc>
          <w:tcPr>
            <w:tcW w:w="0" w:type="auto"/>
            <w:shd w:val="clear" w:color="auto" w:fill="auto"/>
            <w:noWrap/>
            <w:vAlign w:val="bottom"/>
            <w:hideMark/>
          </w:tcPr>
          <w:p w14:paraId="70F63D88" w14:textId="77777777" w:rsidR="003824F4" w:rsidRPr="00A8517E" w:rsidRDefault="003824F4" w:rsidP="00300A09">
            <w:pPr>
              <w:jc w:val="center"/>
              <w:rPr>
                <w:color w:val="000000"/>
                <w:sz w:val="20"/>
                <w:szCs w:val="20"/>
                <w:lang w:val="en-MY"/>
              </w:rPr>
            </w:pPr>
            <w:r w:rsidRPr="00A8517E">
              <w:rPr>
                <w:color w:val="000000"/>
                <w:sz w:val="20"/>
                <w:szCs w:val="20"/>
                <w:lang w:val="en-MY"/>
              </w:rPr>
              <w:t>14.9</w:t>
            </w:r>
          </w:p>
        </w:tc>
        <w:tc>
          <w:tcPr>
            <w:tcW w:w="0" w:type="auto"/>
            <w:shd w:val="clear" w:color="auto" w:fill="auto"/>
            <w:noWrap/>
            <w:vAlign w:val="bottom"/>
            <w:hideMark/>
          </w:tcPr>
          <w:p w14:paraId="31A3909B" w14:textId="77777777" w:rsidR="003824F4" w:rsidRPr="00A8517E" w:rsidRDefault="003824F4" w:rsidP="00300A09">
            <w:pPr>
              <w:jc w:val="center"/>
              <w:rPr>
                <w:color w:val="000000"/>
                <w:sz w:val="20"/>
                <w:szCs w:val="20"/>
                <w:lang w:val="en-MY"/>
              </w:rPr>
            </w:pPr>
            <w:r w:rsidRPr="00A8517E">
              <w:rPr>
                <w:color w:val="000000"/>
                <w:sz w:val="20"/>
                <w:szCs w:val="20"/>
                <w:lang w:val="en-MY"/>
              </w:rPr>
              <w:t>6.5</w:t>
            </w:r>
          </w:p>
        </w:tc>
        <w:tc>
          <w:tcPr>
            <w:tcW w:w="0" w:type="auto"/>
            <w:shd w:val="clear" w:color="auto" w:fill="auto"/>
            <w:noWrap/>
            <w:vAlign w:val="bottom"/>
            <w:hideMark/>
          </w:tcPr>
          <w:p w14:paraId="6AEF4A12" w14:textId="77777777" w:rsidR="003824F4" w:rsidRPr="00A8517E" w:rsidRDefault="003824F4" w:rsidP="00300A09">
            <w:pPr>
              <w:jc w:val="center"/>
              <w:rPr>
                <w:color w:val="000000"/>
                <w:sz w:val="20"/>
                <w:szCs w:val="20"/>
                <w:lang w:val="en-MY"/>
              </w:rPr>
            </w:pPr>
            <w:r w:rsidRPr="00A8517E">
              <w:rPr>
                <w:color w:val="000000"/>
                <w:sz w:val="20"/>
                <w:szCs w:val="20"/>
                <w:lang w:val="en-MY"/>
              </w:rPr>
              <w:t>4.0</w:t>
            </w:r>
          </w:p>
        </w:tc>
        <w:tc>
          <w:tcPr>
            <w:tcW w:w="0" w:type="auto"/>
            <w:shd w:val="clear" w:color="auto" w:fill="auto"/>
            <w:noWrap/>
            <w:vAlign w:val="bottom"/>
            <w:hideMark/>
          </w:tcPr>
          <w:p w14:paraId="78F9847B" w14:textId="77777777" w:rsidR="003824F4" w:rsidRPr="00A8517E" w:rsidRDefault="003824F4" w:rsidP="00300A09">
            <w:pPr>
              <w:jc w:val="center"/>
              <w:rPr>
                <w:color w:val="000000"/>
                <w:sz w:val="20"/>
                <w:szCs w:val="20"/>
                <w:lang w:val="en-MY"/>
              </w:rPr>
            </w:pPr>
            <w:r w:rsidRPr="00A8517E">
              <w:rPr>
                <w:color w:val="000000"/>
                <w:sz w:val="20"/>
                <w:szCs w:val="20"/>
                <w:lang w:val="en-MY"/>
              </w:rPr>
              <w:t>1.7</w:t>
            </w:r>
          </w:p>
        </w:tc>
        <w:tc>
          <w:tcPr>
            <w:tcW w:w="0" w:type="auto"/>
            <w:shd w:val="clear" w:color="auto" w:fill="auto"/>
            <w:noWrap/>
            <w:vAlign w:val="bottom"/>
            <w:hideMark/>
          </w:tcPr>
          <w:p w14:paraId="175C4AE9" w14:textId="77777777" w:rsidR="003824F4" w:rsidRPr="00A8517E" w:rsidRDefault="003824F4" w:rsidP="00300A09">
            <w:pPr>
              <w:jc w:val="center"/>
              <w:rPr>
                <w:color w:val="000000"/>
                <w:sz w:val="20"/>
                <w:szCs w:val="20"/>
                <w:lang w:val="en-MY"/>
              </w:rPr>
            </w:pPr>
            <w:r w:rsidRPr="00A8517E">
              <w:rPr>
                <w:color w:val="000000"/>
                <w:sz w:val="20"/>
                <w:szCs w:val="20"/>
                <w:lang w:val="en-MY"/>
              </w:rPr>
              <w:t>0.6</w:t>
            </w:r>
          </w:p>
        </w:tc>
        <w:tc>
          <w:tcPr>
            <w:tcW w:w="0" w:type="auto"/>
            <w:shd w:val="clear" w:color="auto" w:fill="auto"/>
            <w:noWrap/>
            <w:vAlign w:val="bottom"/>
            <w:hideMark/>
          </w:tcPr>
          <w:p w14:paraId="4AB29998" w14:textId="77777777" w:rsidR="003824F4" w:rsidRPr="00A8517E" w:rsidRDefault="003824F4" w:rsidP="00300A09">
            <w:pPr>
              <w:jc w:val="center"/>
              <w:rPr>
                <w:color w:val="000000"/>
                <w:sz w:val="20"/>
                <w:szCs w:val="20"/>
                <w:lang w:val="en-MY"/>
              </w:rPr>
            </w:pPr>
            <w:r w:rsidRPr="00A8517E">
              <w:rPr>
                <w:color w:val="000000"/>
                <w:sz w:val="20"/>
                <w:szCs w:val="20"/>
                <w:lang w:val="en-MY"/>
              </w:rPr>
              <w:t>0.4</w:t>
            </w:r>
          </w:p>
        </w:tc>
      </w:tr>
      <w:tr w:rsidR="003824F4" w:rsidRPr="00A8517E" w14:paraId="6DCC5F71" w14:textId="77777777" w:rsidTr="00A8517E">
        <w:trPr>
          <w:trHeight w:val="170"/>
        </w:trPr>
        <w:tc>
          <w:tcPr>
            <w:tcW w:w="1757" w:type="dxa"/>
            <w:shd w:val="clear" w:color="auto" w:fill="auto"/>
            <w:vAlign w:val="center"/>
            <w:hideMark/>
          </w:tcPr>
          <w:p w14:paraId="6C37AB09" w14:textId="77777777" w:rsidR="003824F4" w:rsidRPr="00A8517E" w:rsidRDefault="003824F4" w:rsidP="00300A09">
            <w:pPr>
              <w:rPr>
                <w:color w:val="000000"/>
                <w:sz w:val="20"/>
                <w:szCs w:val="20"/>
                <w:lang w:val="en-MY"/>
              </w:rPr>
            </w:pPr>
            <w:r w:rsidRPr="00A8517E">
              <w:rPr>
                <w:color w:val="000000"/>
                <w:sz w:val="20"/>
                <w:szCs w:val="20"/>
                <w:lang w:val="en-MY"/>
              </w:rPr>
              <w:t>Kedah</w:t>
            </w:r>
          </w:p>
        </w:tc>
        <w:tc>
          <w:tcPr>
            <w:tcW w:w="0" w:type="auto"/>
            <w:shd w:val="clear" w:color="auto" w:fill="auto"/>
            <w:noWrap/>
            <w:vAlign w:val="bottom"/>
            <w:hideMark/>
          </w:tcPr>
          <w:p w14:paraId="2EA97926" w14:textId="77777777" w:rsidR="003824F4" w:rsidRPr="00A8517E" w:rsidRDefault="003824F4" w:rsidP="00300A09">
            <w:pPr>
              <w:jc w:val="center"/>
              <w:rPr>
                <w:color w:val="000000"/>
                <w:sz w:val="20"/>
                <w:szCs w:val="20"/>
                <w:lang w:val="en-MY"/>
              </w:rPr>
            </w:pPr>
            <w:r w:rsidRPr="00A8517E">
              <w:rPr>
                <w:color w:val="000000"/>
                <w:sz w:val="20"/>
                <w:szCs w:val="20"/>
                <w:lang w:val="en-MY"/>
              </w:rPr>
              <w:t>63.2</w:t>
            </w:r>
          </w:p>
        </w:tc>
        <w:tc>
          <w:tcPr>
            <w:tcW w:w="0" w:type="auto"/>
            <w:shd w:val="clear" w:color="auto" w:fill="auto"/>
            <w:noWrap/>
            <w:vAlign w:val="bottom"/>
            <w:hideMark/>
          </w:tcPr>
          <w:p w14:paraId="36996A77" w14:textId="77777777" w:rsidR="003824F4" w:rsidRPr="00A8517E" w:rsidRDefault="003824F4" w:rsidP="00300A09">
            <w:pPr>
              <w:jc w:val="center"/>
              <w:rPr>
                <w:color w:val="000000"/>
                <w:sz w:val="20"/>
                <w:szCs w:val="20"/>
                <w:lang w:val="en-MY"/>
              </w:rPr>
            </w:pPr>
            <w:r w:rsidRPr="00A8517E">
              <w:rPr>
                <w:color w:val="000000"/>
                <w:sz w:val="20"/>
                <w:szCs w:val="20"/>
                <w:lang w:val="en-MY"/>
              </w:rPr>
              <w:t>53.8</w:t>
            </w:r>
          </w:p>
        </w:tc>
        <w:tc>
          <w:tcPr>
            <w:tcW w:w="0" w:type="auto"/>
            <w:shd w:val="clear" w:color="auto" w:fill="auto"/>
            <w:noWrap/>
            <w:vAlign w:val="bottom"/>
            <w:hideMark/>
          </w:tcPr>
          <w:p w14:paraId="369631E5" w14:textId="77777777" w:rsidR="003824F4" w:rsidRPr="00A8517E" w:rsidRDefault="003824F4" w:rsidP="00300A09">
            <w:pPr>
              <w:jc w:val="center"/>
              <w:rPr>
                <w:color w:val="000000"/>
                <w:sz w:val="20"/>
                <w:szCs w:val="20"/>
                <w:lang w:val="en-MY"/>
              </w:rPr>
            </w:pPr>
            <w:r w:rsidRPr="00A8517E">
              <w:rPr>
                <w:color w:val="000000"/>
                <w:sz w:val="20"/>
                <w:szCs w:val="20"/>
                <w:lang w:val="en-MY"/>
              </w:rPr>
              <w:t>36.6</w:t>
            </w:r>
          </w:p>
        </w:tc>
        <w:tc>
          <w:tcPr>
            <w:tcW w:w="0" w:type="auto"/>
            <w:shd w:val="clear" w:color="auto" w:fill="auto"/>
            <w:noWrap/>
            <w:vAlign w:val="bottom"/>
            <w:hideMark/>
          </w:tcPr>
          <w:p w14:paraId="3B04EFCA" w14:textId="77777777" w:rsidR="003824F4" w:rsidRPr="00A8517E" w:rsidRDefault="003824F4" w:rsidP="00300A09">
            <w:pPr>
              <w:jc w:val="center"/>
              <w:rPr>
                <w:color w:val="000000"/>
                <w:sz w:val="20"/>
                <w:szCs w:val="20"/>
                <w:lang w:val="en-MY"/>
              </w:rPr>
            </w:pPr>
            <w:r w:rsidRPr="00A8517E">
              <w:rPr>
                <w:color w:val="000000"/>
                <w:sz w:val="20"/>
                <w:szCs w:val="20"/>
                <w:lang w:val="en-MY"/>
              </w:rPr>
              <w:t>29.9</w:t>
            </w:r>
          </w:p>
        </w:tc>
        <w:tc>
          <w:tcPr>
            <w:tcW w:w="0" w:type="auto"/>
            <w:shd w:val="clear" w:color="auto" w:fill="auto"/>
            <w:noWrap/>
            <w:vAlign w:val="bottom"/>
            <w:hideMark/>
          </w:tcPr>
          <w:p w14:paraId="476FEACE" w14:textId="77777777" w:rsidR="003824F4" w:rsidRPr="00A8517E" w:rsidRDefault="003824F4" w:rsidP="00300A09">
            <w:pPr>
              <w:jc w:val="center"/>
              <w:rPr>
                <w:color w:val="000000"/>
                <w:sz w:val="20"/>
                <w:szCs w:val="20"/>
                <w:lang w:val="en-MY"/>
              </w:rPr>
            </w:pPr>
            <w:r w:rsidRPr="00A8517E">
              <w:rPr>
                <w:color w:val="000000"/>
                <w:sz w:val="20"/>
                <w:szCs w:val="20"/>
                <w:lang w:val="en-MY"/>
              </w:rPr>
              <w:t>21.2</w:t>
            </w:r>
          </w:p>
        </w:tc>
        <w:tc>
          <w:tcPr>
            <w:tcW w:w="0" w:type="auto"/>
            <w:shd w:val="clear" w:color="auto" w:fill="auto"/>
            <w:noWrap/>
            <w:vAlign w:val="bottom"/>
            <w:hideMark/>
          </w:tcPr>
          <w:p w14:paraId="2B8FB32F" w14:textId="77777777" w:rsidR="003824F4" w:rsidRPr="00A8517E" w:rsidRDefault="003824F4" w:rsidP="00300A09">
            <w:pPr>
              <w:jc w:val="center"/>
              <w:rPr>
                <w:color w:val="000000"/>
                <w:sz w:val="20"/>
                <w:szCs w:val="20"/>
                <w:lang w:val="en-MY"/>
              </w:rPr>
            </w:pPr>
            <w:r w:rsidRPr="00A8517E">
              <w:rPr>
                <w:color w:val="000000"/>
                <w:sz w:val="20"/>
                <w:szCs w:val="20"/>
                <w:lang w:val="en-MY"/>
              </w:rPr>
              <w:t>11.5</w:t>
            </w:r>
          </w:p>
        </w:tc>
        <w:tc>
          <w:tcPr>
            <w:tcW w:w="0" w:type="auto"/>
            <w:shd w:val="clear" w:color="auto" w:fill="auto"/>
            <w:noWrap/>
            <w:vAlign w:val="bottom"/>
            <w:hideMark/>
          </w:tcPr>
          <w:p w14:paraId="42D9DD74" w14:textId="77777777" w:rsidR="003824F4" w:rsidRPr="00A8517E" w:rsidRDefault="003824F4" w:rsidP="00300A09">
            <w:pPr>
              <w:jc w:val="center"/>
              <w:rPr>
                <w:color w:val="000000"/>
                <w:sz w:val="20"/>
                <w:szCs w:val="20"/>
                <w:lang w:val="en-MY"/>
              </w:rPr>
            </w:pPr>
            <w:r w:rsidRPr="00A8517E">
              <w:rPr>
                <w:color w:val="000000"/>
                <w:sz w:val="20"/>
                <w:szCs w:val="20"/>
                <w:lang w:val="en-MY"/>
              </w:rPr>
              <w:t>14.2</w:t>
            </w:r>
          </w:p>
        </w:tc>
        <w:tc>
          <w:tcPr>
            <w:tcW w:w="0" w:type="auto"/>
            <w:shd w:val="clear" w:color="auto" w:fill="auto"/>
            <w:noWrap/>
            <w:vAlign w:val="bottom"/>
            <w:hideMark/>
          </w:tcPr>
          <w:p w14:paraId="3B117AA4" w14:textId="77777777" w:rsidR="003824F4" w:rsidRPr="00A8517E" w:rsidRDefault="003824F4" w:rsidP="00300A09">
            <w:pPr>
              <w:jc w:val="center"/>
              <w:rPr>
                <w:color w:val="000000"/>
                <w:sz w:val="20"/>
                <w:szCs w:val="20"/>
                <w:lang w:val="en-MY"/>
              </w:rPr>
            </w:pPr>
            <w:r w:rsidRPr="00A8517E">
              <w:rPr>
                <w:color w:val="000000"/>
                <w:sz w:val="20"/>
                <w:szCs w:val="20"/>
                <w:lang w:val="en-MY"/>
              </w:rPr>
              <w:t>9.7</w:t>
            </w:r>
          </w:p>
        </w:tc>
        <w:tc>
          <w:tcPr>
            <w:tcW w:w="0" w:type="auto"/>
            <w:shd w:val="clear" w:color="auto" w:fill="auto"/>
            <w:noWrap/>
            <w:vAlign w:val="bottom"/>
            <w:hideMark/>
          </w:tcPr>
          <w:p w14:paraId="289AB4B4" w14:textId="77777777" w:rsidR="003824F4" w:rsidRPr="00A8517E" w:rsidRDefault="003824F4" w:rsidP="00300A09">
            <w:pPr>
              <w:jc w:val="center"/>
              <w:rPr>
                <w:color w:val="000000"/>
                <w:sz w:val="20"/>
                <w:szCs w:val="20"/>
                <w:lang w:val="en-MY"/>
              </w:rPr>
            </w:pPr>
            <w:r w:rsidRPr="00A8517E">
              <w:rPr>
                <w:color w:val="000000"/>
                <w:sz w:val="20"/>
                <w:szCs w:val="20"/>
                <w:lang w:val="en-MY"/>
              </w:rPr>
              <w:t>3.1</w:t>
            </w:r>
          </w:p>
        </w:tc>
        <w:tc>
          <w:tcPr>
            <w:tcW w:w="0" w:type="auto"/>
            <w:shd w:val="clear" w:color="auto" w:fill="auto"/>
            <w:noWrap/>
            <w:vAlign w:val="bottom"/>
            <w:hideMark/>
          </w:tcPr>
          <w:p w14:paraId="52133009" w14:textId="77777777" w:rsidR="003824F4" w:rsidRPr="00A8517E" w:rsidRDefault="003824F4" w:rsidP="00300A09">
            <w:pPr>
              <w:jc w:val="center"/>
              <w:rPr>
                <w:color w:val="000000"/>
                <w:sz w:val="20"/>
                <w:szCs w:val="20"/>
                <w:lang w:val="en-MY"/>
              </w:rPr>
            </w:pPr>
            <w:r w:rsidRPr="00A8517E">
              <w:rPr>
                <w:color w:val="000000"/>
                <w:sz w:val="20"/>
                <w:szCs w:val="20"/>
                <w:lang w:val="en-MY"/>
              </w:rPr>
              <w:t>5.3</w:t>
            </w:r>
          </w:p>
        </w:tc>
        <w:tc>
          <w:tcPr>
            <w:tcW w:w="0" w:type="auto"/>
            <w:shd w:val="clear" w:color="auto" w:fill="auto"/>
            <w:noWrap/>
            <w:vAlign w:val="bottom"/>
            <w:hideMark/>
          </w:tcPr>
          <w:p w14:paraId="4526B085" w14:textId="77777777" w:rsidR="003824F4" w:rsidRPr="00A8517E" w:rsidRDefault="003824F4" w:rsidP="00300A09">
            <w:pPr>
              <w:jc w:val="center"/>
              <w:rPr>
                <w:color w:val="000000"/>
                <w:sz w:val="20"/>
                <w:szCs w:val="20"/>
                <w:lang w:val="en-MY"/>
              </w:rPr>
            </w:pPr>
            <w:r w:rsidRPr="00A8517E">
              <w:rPr>
                <w:color w:val="000000"/>
                <w:sz w:val="20"/>
                <w:szCs w:val="20"/>
                <w:lang w:val="en-MY"/>
              </w:rPr>
              <w:t>1.7</w:t>
            </w:r>
          </w:p>
        </w:tc>
        <w:tc>
          <w:tcPr>
            <w:tcW w:w="0" w:type="auto"/>
            <w:shd w:val="clear" w:color="auto" w:fill="auto"/>
            <w:noWrap/>
            <w:vAlign w:val="bottom"/>
            <w:hideMark/>
          </w:tcPr>
          <w:p w14:paraId="784EC3B1" w14:textId="77777777" w:rsidR="003824F4" w:rsidRPr="00A8517E" w:rsidRDefault="003824F4" w:rsidP="00300A09">
            <w:pPr>
              <w:jc w:val="center"/>
              <w:rPr>
                <w:color w:val="000000"/>
                <w:sz w:val="20"/>
                <w:szCs w:val="20"/>
                <w:lang w:val="en-MY"/>
              </w:rPr>
            </w:pPr>
            <w:r w:rsidRPr="00A8517E">
              <w:rPr>
                <w:color w:val="000000"/>
                <w:sz w:val="20"/>
                <w:szCs w:val="20"/>
                <w:lang w:val="en-MY"/>
              </w:rPr>
              <w:t>0.3</w:t>
            </w:r>
          </w:p>
        </w:tc>
        <w:tc>
          <w:tcPr>
            <w:tcW w:w="0" w:type="auto"/>
            <w:shd w:val="clear" w:color="auto" w:fill="auto"/>
            <w:noWrap/>
            <w:vAlign w:val="bottom"/>
            <w:hideMark/>
          </w:tcPr>
          <w:p w14:paraId="00B6544B" w14:textId="77777777" w:rsidR="003824F4" w:rsidRPr="00A8517E" w:rsidRDefault="003824F4" w:rsidP="00300A09">
            <w:pPr>
              <w:jc w:val="center"/>
              <w:rPr>
                <w:color w:val="000000"/>
                <w:sz w:val="20"/>
                <w:szCs w:val="20"/>
                <w:lang w:val="en-MY"/>
              </w:rPr>
            </w:pPr>
            <w:r w:rsidRPr="00A8517E">
              <w:rPr>
                <w:color w:val="000000"/>
                <w:sz w:val="20"/>
                <w:szCs w:val="20"/>
                <w:lang w:val="en-MY"/>
              </w:rPr>
              <w:t>0.2</w:t>
            </w:r>
          </w:p>
        </w:tc>
      </w:tr>
      <w:tr w:rsidR="003824F4" w:rsidRPr="00A8517E" w14:paraId="647639A6" w14:textId="77777777" w:rsidTr="00A8517E">
        <w:trPr>
          <w:trHeight w:val="170"/>
        </w:trPr>
        <w:tc>
          <w:tcPr>
            <w:tcW w:w="1757" w:type="dxa"/>
            <w:shd w:val="clear" w:color="auto" w:fill="auto"/>
            <w:vAlign w:val="center"/>
            <w:hideMark/>
          </w:tcPr>
          <w:p w14:paraId="5476539C" w14:textId="77777777" w:rsidR="003824F4" w:rsidRPr="00A8517E" w:rsidRDefault="003824F4" w:rsidP="00300A09">
            <w:pPr>
              <w:rPr>
                <w:color w:val="000000"/>
                <w:sz w:val="20"/>
                <w:szCs w:val="20"/>
                <w:lang w:val="en-MY"/>
              </w:rPr>
            </w:pPr>
            <w:r w:rsidRPr="00A8517E">
              <w:rPr>
                <w:color w:val="000000"/>
                <w:sz w:val="20"/>
                <w:szCs w:val="20"/>
                <w:lang w:val="en-MY"/>
              </w:rPr>
              <w:t>Perak</w:t>
            </w:r>
          </w:p>
        </w:tc>
        <w:tc>
          <w:tcPr>
            <w:tcW w:w="0" w:type="auto"/>
            <w:shd w:val="clear" w:color="auto" w:fill="auto"/>
            <w:noWrap/>
            <w:vAlign w:val="bottom"/>
            <w:hideMark/>
          </w:tcPr>
          <w:p w14:paraId="5A7259B8" w14:textId="77777777" w:rsidR="003824F4" w:rsidRPr="00A8517E" w:rsidRDefault="003824F4" w:rsidP="00300A09">
            <w:pPr>
              <w:jc w:val="center"/>
              <w:rPr>
                <w:color w:val="000000"/>
                <w:sz w:val="20"/>
                <w:szCs w:val="20"/>
                <w:lang w:val="en-MY"/>
              </w:rPr>
            </w:pPr>
            <w:r w:rsidRPr="00A8517E">
              <w:rPr>
                <w:color w:val="000000"/>
                <w:sz w:val="20"/>
                <w:szCs w:val="20"/>
                <w:lang w:val="en-MY"/>
              </w:rPr>
              <w:t>48.6</w:t>
            </w:r>
          </w:p>
        </w:tc>
        <w:tc>
          <w:tcPr>
            <w:tcW w:w="0" w:type="auto"/>
            <w:shd w:val="clear" w:color="auto" w:fill="auto"/>
            <w:noWrap/>
            <w:vAlign w:val="bottom"/>
            <w:hideMark/>
          </w:tcPr>
          <w:p w14:paraId="6FE8BDB5" w14:textId="77777777" w:rsidR="003824F4" w:rsidRPr="00A8517E" w:rsidRDefault="003824F4" w:rsidP="00300A09">
            <w:pPr>
              <w:jc w:val="center"/>
              <w:rPr>
                <w:color w:val="000000"/>
                <w:sz w:val="20"/>
                <w:szCs w:val="20"/>
                <w:lang w:val="en-MY"/>
              </w:rPr>
            </w:pPr>
            <w:r w:rsidRPr="00A8517E">
              <w:rPr>
                <w:color w:val="000000"/>
                <w:sz w:val="20"/>
                <w:szCs w:val="20"/>
                <w:lang w:val="en-MY"/>
              </w:rPr>
              <w:t>30.5</w:t>
            </w:r>
          </w:p>
        </w:tc>
        <w:tc>
          <w:tcPr>
            <w:tcW w:w="0" w:type="auto"/>
            <w:shd w:val="clear" w:color="auto" w:fill="auto"/>
            <w:noWrap/>
            <w:vAlign w:val="bottom"/>
            <w:hideMark/>
          </w:tcPr>
          <w:p w14:paraId="4EC2CF1A" w14:textId="77777777" w:rsidR="003824F4" w:rsidRPr="00A8517E" w:rsidRDefault="003824F4" w:rsidP="00300A09">
            <w:pPr>
              <w:jc w:val="center"/>
              <w:rPr>
                <w:color w:val="000000"/>
                <w:sz w:val="20"/>
                <w:szCs w:val="20"/>
                <w:lang w:val="en-MY"/>
              </w:rPr>
            </w:pPr>
            <w:r w:rsidRPr="00A8517E">
              <w:rPr>
                <w:color w:val="000000"/>
                <w:sz w:val="20"/>
                <w:szCs w:val="20"/>
                <w:lang w:val="en-MY"/>
              </w:rPr>
              <w:t>20.3</w:t>
            </w:r>
          </w:p>
        </w:tc>
        <w:tc>
          <w:tcPr>
            <w:tcW w:w="0" w:type="auto"/>
            <w:shd w:val="clear" w:color="auto" w:fill="auto"/>
            <w:noWrap/>
            <w:vAlign w:val="bottom"/>
            <w:hideMark/>
          </w:tcPr>
          <w:p w14:paraId="228FE626" w14:textId="77777777" w:rsidR="003824F4" w:rsidRPr="00A8517E" w:rsidRDefault="003824F4" w:rsidP="00300A09">
            <w:pPr>
              <w:jc w:val="center"/>
              <w:rPr>
                <w:color w:val="000000"/>
                <w:sz w:val="20"/>
                <w:szCs w:val="20"/>
                <w:lang w:val="en-MY"/>
              </w:rPr>
            </w:pPr>
            <w:r w:rsidRPr="00A8517E">
              <w:rPr>
                <w:color w:val="000000"/>
                <w:sz w:val="20"/>
                <w:szCs w:val="20"/>
                <w:lang w:val="en-MY"/>
              </w:rPr>
              <w:t>19.2</w:t>
            </w:r>
          </w:p>
        </w:tc>
        <w:tc>
          <w:tcPr>
            <w:tcW w:w="0" w:type="auto"/>
            <w:shd w:val="clear" w:color="auto" w:fill="auto"/>
            <w:noWrap/>
            <w:vAlign w:val="bottom"/>
            <w:hideMark/>
          </w:tcPr>
          <w:p w14:paraId="057D0125" w14:textId="77777777" w:rsidR="003824F4" w:rsidRPr="00A8517E" w:rsidRDefault="003824F4" w:rsidP="00300A09">
            <w:pPr>
              <w:jc w:val="center"/>
              <w:rPr>
                <w:color w:val="000000"/>
                <w:sz w:val="20"/>
                <w:szCs w:val="20"/>
                <w:lang w:val="en-MY"/>
              </w:rPr>
            </w:pPr>
            <w:r w:rsidRPr="00A8517E">
              <w:rPr>
                <w:color w:val="000000"/>
                <w:sz w:val="20"/>
                <w:szCs w:val="20"/>
                <w:lang w:val="en-MY"/>
              </w:rPr>
              <w:t>10.2</w:t>
            </w:r>
          </w:p>
        </w:tc>
        <w:tc>
          <w:tcPr>
            <w:tcW w:w="0" w:type="auto"/>
            <w:shd w:val="clear" w:color="auto" w:fill="auto"/>
            <w:noWrap/>
            <w:vAlign w:val="bottom"/>
            <w:hideMark/>
          </w:tcPr>
          <w:p w14:paraId="27A1AAE8" w14:textId="77777777" w:rsidR="003824F4" w:rsidRPr="00A8517E" w:rsidRDefault="003824F4" w:rsidP="00300A09">
            <w:pPr>
              <w:jc w:val="center"/>
              <w:rPr>
                <w:color w:val="000000"/>
                <w:sz w:val="20"/>
                <w:szCs w:val="20"/>
                <w:lang w:val="en-MY"/>
              </w:rPr>
            </w:pPr>
            <w:r w:rsidRPr="00A8517E">
              <w:rPr>
                <w:color w:val="000000"/>
                <w:sz w:val="20"/>
                <w:szCs w:val="20"/>
                <w:lang w:val="en-MY"/>
              </w:rPr>
              <w:t>4.5</w:t>
            </w:r>
          </w:p>
        </w:tc>
        <w:tc>
          <w:tcPr>
            <w:tcW w:w="0" w:type="auto"/>
            <w:shd w:val="clear" w:color="auto" w:fill="auto"/>
            <w:noWrap/>
            <w:vAlign w:val="bottom"/>
            <w:hideMark/>
          </w:tcPr>
          <w:p w14:paraId="00263E2F" w14:textId="77777777" w:rsidR="003824F4" w:rsidRPr="00A8517E" w:rsidRDefault="003824F4" w:rsidP="00300A09">
            <w:pPr>
              <w:jc w:val="center"/>
              <w:rPr>
                <w:color w:val="000000"/>
                <w:sz w:val="20"/>
                <w:szCs w:val="20"/>
                <w:lang w:val="en-MY"/>
              </w:rPr>
            </w:pPr>
            <w:r w:rsidRPr="00A8517E">
              <w:rPr>
                <w:color w:val="000000"/>
                <w:sz w:val="20"/>
                <w:szCs w:val="20"/>
                <w:lang w:val="en-MY"/>
              </w:rPr>
              <w:t>6.8</w:t>
            </w:r>
          </w:p>
        </w:tc>
        <w:tc>
          <w:tcPr>
            <w:tcW w:w="0" w:type="auto"/>
            <w:shd w:val="clear" w:color="auto" w:fill="auto"/>
            <w:noWrap/>
            <w:vAlign w:val="bottom"/>
            <w:hideMark/>
          </w:tcPr>
          <w:p w14:paraId="562C3184" w14:textId="77777777" w:rsidR="003824F4" w:rsidRPr="00A8517E" w:rsidRDefault="003824F4" w:rsidP="00300A09">
            <w:pPr>
              <w:jc w:val="center"/>
              <w:rPr>
                <w:color w:val="000000"/>
                <w:sz w:val="20"/>
                <w:szCs w:val="20"/>
                <w:lang w:val="en-MY"/>
              </w:rPr>
            </w:pPr>
            <w:r w:rsidRPr="00A8517E">
              <w:rPr>
                <w:color w:val="000000"/>
                <w:sz w:val="20"/>
                <w:szCs w:val="20"/>
                <w:lang w:val="en-MY"/>
              </w:rPr>
              <w:t>6.2</w:t>
            </w:r>
          </w:p>
        </w:tc>
        <w:tc>
          <w:tcPr>
            <w:tcW w:w="0" w:type="auto"/>
            <w:shd w:val="clear" w:color="auto" w:fill="auto"/>
            <w:noWrap/>
            <w:vAlign w:val="bottom"/>
            <w:hideMark/>
          </w:tcPr>
          <w:p w14:paraId="787487BE" w14:textId="77777777" w:rsidR="003824F4" w:rsidRPr="00A8517E" w:rsidRDefault="003824F4" w:rsidP="00300A09">
            <w:pPr>
              <w:jc w:val="center"/>
              <w:rPr>
                <w:color w:val="000000"/>
                <w:sz w:val="20"/>
                <w:szCs w:val="20"/>
                <w:lang w:val="en-MY"/>
              </w:rPr>
            </w:pPr>
            <w:r w:rsidRPr="00A8517E">
              <w:rPr>
                <w:color w:val="000000"/>
                <w:sz w:val="20"/>
                <w:szCs w:val="20"/>
                <w:lang w:val="en-MY"/>
              </w:rPr>
              <w:t>3.4</w:t>
            </w:r>
          </w:p>
        </w:tc>
        <w:tc>
          <w:tcPr>
            <w:tcW w:w="0" w:type="auto"/>
            <w:shd w:val="clear" w:color="auto" w:fill="auto"/>
            <w:noWrap/>
            <w:vAlign w:val="bottom"/>
            <w:hideMark/>
          </w:tcPr>
          <w:p w14:paraId="298876BE" w14:textId="77777777" w:rsidR="003824F4" w:rsidRPr="00A8517E" w:rsidRDefault="003824F4" w:rsidP="00300A09">
            <w:pPr>
              <w:jc w:val="center"/>
              <w:rPr>
                <w:color w:val="000000"/>
                <w:sz w:val="20"/>
                <w:szCs w:val="20"/>
                <w:lang w:val="en-MY"/>
              </w:rPr>
            </w:pPr>
            <w:r w:rsidRPr="00A8517E">
              <w:rPr>
                <w:color w:val="000000"/>
                <w:sz w:val="20"/>
                <w:szCs w:val="20"/>
                <w:lang w:val="en-MY"/>
              </w:rPr>
              <w:t>3.5</w:t>
            </w:r>
          </w:p>
        </w:tc>
        <w:tc>
          <w:tcPr>
            <w:tcW w:w="0" w:type="auto"/>
            <w:shd w:val="clear" w:color="auto" w:fill="auto"/>
            <w:noWrap/>
            <w:vAlign w:val="bottom"/>
            <w:hideMark/>
          </w:tcPr>
          <w:p w14:paraId="73400E18" w14:textId="77777777" w:rsidR="003824F4" w:rsidRPr="00A8517E" w:rsidRDefault="003824F4" w:rsidP="00300A09">
            <w:pPr>
              <w:jc w:val="center"/>
              <w:rPr>
                <w:color w:val="000000"/>
                <w:sz w:val="20"/>
                <w:szCs w:val="20"/>
                <w:lang w:val="en-MY"/>
              </w:rPr>
            </w:pPr>
            <w:r w:rsidRPr="00A8517E">
              <w:rPr>
                <w:color w:val="000000"/>
                <w:sz w:val="20"/>
                <w:szCs w:val="20"/>
                <w:lang w:val="en-MY"/>
              </w:rPr>
              <w:t>1.5</w:t>
            </w:r>
          </w:p>
        </w:tc>
        <w:tc>
          <w:tcPr>
            <w:tcW w:w="0" w:type="auto"/>
            <w:shd w:val="clear" w:color="auto" w:fill="auto"/>
            <w:noWrap/>
            <w:vAlign w:val="bottom"/>
            <w:hideMark/>
          </w:tcPr>
          <w:p w14:paraId="7B699BF6"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1D912647" w14:textId="77777777" w:rsidR="003824F4" w:rsidRPr="00A8517E" w:rsidRDefault="003824F4" w:rsidP="00300A09">
            <w:pPr>
              <w:jc w:val="center"/>
              <w:rPr>
                <w:color w:val="000000"/>
                <w:sz w:val="20"/>
                <w:szCs w:val="20"/>
                <w:lang w:val="en-MY"/>
              </w:rPr>
            </w:pPr>
            <w:r w:rsidRPr="00A8517E">
              <w:rPr>
                <w:color w:val="000000"/>
                <w:sz w:val="20"/>
                <w:szCs w:val="20"/>
                <w:lang w:val="en-MY"/>
              </w:rPr>
              <w:t>0.2</w:t>
            </w:r>
          </w:p>
        </w:tc>
      </w:tr>
      <w:tr w:rsidR="003824F4" w:rsidRPr="00A8517E" w14:paraId="0C632339" w14:textId="77777777" w:rsidTr="00A8517E">
        <w:trPr>
          <w:trHeight w:val="170"/>
        </w:trPr>
        <w:tc>
          <w:tcPr>
            <w:tcW w:w="1757" w:type="dxa"/>
            <w:shd w:val="clear" w:color="auto" w:fill="auto"/>
            <w:vAlign w:val="center"/>
            <w:hideMark/>
          </w:tcPr>
          <w:p w14:paraId="268E7690" w14:textId="77777777" w:rsidR="003824F4" w:rsidRPr="00A8517E" w:rsidRDefault="003824F4" w:rsidP="00300A09">
            <w:pPr>
              <w:rPr>
                <w:color w:val="000000"/>
                <w:sz w:val="20"/>
                <w:szCs w:val="20"/>
                <w:lang w:val="en-MY"/>
              </w:rPr>
            </w:pPr>
            <w:r w:rsidRPr="00A8517E">
              <w:rPr>
                <w:color w:val="000000"/>
                <w:sz w:val="20"/>
                <w:szCs w:val="20"/>
                <w:lang w:val="en-MY"/>
              </w:rPr>
              <w:t>Pahang</w:t>
            </w:r>
          </w:p>
        </w:tc>
        <w:tc>
          <w:tcPr>
            <w:tcW w:w="0" w:type="auto"/>
            <w:shd w:val="clear" w:color="auto" w:fill="auto"/>
            <w:noWrap/>
            <w:vAlign w:val="bottom"/>
            <w:hideMark/>
          </w:tcPr>
          <w:p w14:paraId="4267434F" w14:textId="77777777" w:rsidR="003824F4" w:rsidRPr="00A8517E" w:rsidRDefault="003824F4" w:rsidP="00300A09">
            <w:pPr>
              <w:jc w:val="center"/>
              <w:rPr>
                <w:color w:val="000000"/>
                <w:sz w:val="20"/>
                <w:szCs w:val="20"/>
                <w:lang w:val="en-MY"/>
              </w:rPr>
            </w:pPr>
            <w:r w:rsidRPr="00A8517E">
              <w:rPr>
                <w:color w:val="000000"/>
                <w:sz w:val="20"/>
                <w:szCs w:val="20"/>
                <w:lang w:val="en-MY"/>
              </w:rPr>
              <w:t>43.2</w:t>
            </w:r>
          </w:p>
        </w:tc>
        <w:tc>
          <w:tcPr>
            <w:tcW w:w="0" w:type="auto"/>
            <w:shd w:val="clear" w:color="auto" w:fill="auto"/>
            <w:noWrap/>
            <w:vAlign w:val="bottom"/>
            <w:hideMark/>
          </w:tcPr>
          <w:p w14:paraId="0E8E151B" w14:textId="77777777" w:rsidR="003824F4" w:rsidRPr="00A8517E" w:rsidRDefault="003824F4" w:rsidP="00300A09">
            <w:pPr>
              <w:jc w:val="center"/>
              <w:rPr>
                <w:color w:val="000000"/>
                <w:sz w:val="20"/>
                <w:szCs w:val="20"/>
                <w:lang w:val="en-MY"/>
              </w:rPr>
            </w:pPr>
            <w:r w:rsidRPr="00A8517E">
              <w:rPr>
                <w:color w:val="000000"/>
                <w:sz w:val="20"/>
                <w:szCs w:val="20"/>
                <w:lang w:val="en-MY"/>
              </w:rPr>
              <w:t>26.9</w:t>
            </w:r>
          </w:p>
        </w:tc>
        <w:tc>
          <w:tcPr>
            <w:tcW w:w="0" w:type="auto"/>
            <w:shd w:val="clear" w:color="auto" w:fill="auto"/>
            <w:noWrap/>
            <w:vAlign w:val="bottom"/>
            <w:hideMark/>
          </w:tcPr>
          <w:p w14:paraId="7BCC5365" w14:textId="77777777" w:rsidR="003824F4" w:rsidRPr="00A8517E" w:rsidRDefault="003824F4" w:rsidP="00300A09">
            <w:pPr>
              <w:jc w:val="center"/>
              <w:rPr>
                <w:color w:val="000000"/>
                <w:sz w:val="20"/>
                <w:szCs w:val="20"/>
                <w:lang w:val="en-MY"/>
              </w:rPr>
            </w:pPr>
            <w:r w:rsidRPr="00A8517E">
              <w:rPr>
                <w:color w:val="000000"/>
                <w:sz w:val="20"/>
                <w:szCs w:val="20"/>
                <w:lang w:val="en-MY"/>
              </w:rPr>
              <w:t>15.7</w:t>
            </w:r>
          </w:p>
        </w:tc>
        <w:tc>
          <w:tcPr>
            <w:tcW w:w="0" w:type="auto"/>
            <w:shd w:val="clear" w:color="auto" w:fill="auto"/>
            <w:noWrap/>
            <w:vAlign w:val="bottom"/>
            <w:hideMark/>
          </w:tcPr>
          <w:p w14:paraId="68A8386F" w14:textId="77777777" w:rsidR="003824F4" w:rsidRPr="00A8517E" w:rsidRDefault="003824F4" w:rsidP="00300A09">
            <w:pPr>
              <w:jc w:val="center"/>
              <w:rPr>
                <w:color w:val="000000"/>
                <w:sz w:val="20"/>
                <w:szCs w:val="20"/>
                <w:lang w:val="en-MY"/>
              </w:rPr>
            </w:pPr>
            <w:r w:rsidRPr="00A8517E">
              <w:rPr>
                <w:color w:val="000000"/>
                <w:sz w:val="20"/>
                <w:szCs w:val="20"/>
                <w:lang w:val="en-MY"/>
              </w:rPr>
              <w:t>10.0</w:t>
            </w:r>
          </w:p>
        </w:tc>
        <w:tc>
          <w:tcPr>
            <w:tcW w:w="0" w:type="auto"/>
            <w:shd w:val="clear" w:color="auto" w:fill="auto"/>
            <w:noWrap/>
            <w:vAlign w:val="bottom"/>
            <w:hideMark/>
          </w:tcPr>
          <w:p w14:paraId="1889E626" w14:textId="77777777" w:rsidR="003824F4" w:rsidRPr="00A8517E" w:rsidRDefault="003824F4" w:rsidP="00300A09">
            <w:pPr>
              <w:jc w:val="center"/>
              <w:rPr>
                <w:color w:val="000000"/>
                <w:sz w:val="20"/>
                <w:szCs w:val="20"/>
                <w:lang w:val="en-MY"/>
              </w:rPr>
            </w:pPr>
            <w:r w:rsidRPr="00A8517E">
              <w:rPr>
                <w:color w:val="000000"/>
                <w:sz w:val="20"/>
                <w:szCs w:val="20"/>
                <w:lang w:val="en-MY"/>
              </w:rPr>
              <w:t>6.9</w:t>
            </w:r>
          </w:p>
        </w:tc>
        <w:tc>
          <w:tcPr>
            <w:tcW w:w="0" w:type="auto"/>
            <w:shd w:val="clear" w:color="auto" w:fill="auto"/>
            <w:noWrap/>
            <w:vAlign w:val="bottom"/>
            <w:hideMark/>
          </w:tcPr>
          <w:p w14:paraId="7D4F01E3" w14:textId="77777777" w:rsidR="003824F4" w:rsidRPr="00A8517E" w:rsidRDefault="003824F4" w:rsidP="00300A09">
            <w:pPr>
              <w:jc w:val="center"/>
              <w:rPr>
                <w:color w:val="000000"/>
                <w:sz w:val="20"/>
                <w:szCs w:val="20"/>
                <w:lang w:val="en-MY"/>
              </w:rPr>
            </w:pPr>
            <w:r w:rsidRPr="00A8517E">
              <w:rPr>
                <w:color w:val="000000"/>
                <w:sz w:val="20"/>
                <w:szCs w:val="20"/>
                <w:lang w:val="en-MY"/>
              </w:rPr>
              <w:t>4.4</w:t>
            </w:r>
          </w:p>
        </w:tc>
        <w:tc>
          <w:tcPr>
            <w:tcW w:w="0" w:type="auto"/>
            <w:shd w:val="clear" w:color="auto" w:fill="auto"/>
            <w:noWrap/>
            <w:vAlign w:val="bottom"/>
            <w:hideMark/>
          </w:tcPr>
          <w:p w14:paraId="5B08699C" w14:textId="77777777" w:rsidR="003824F4" w:rsidRPr="00A8517E" w:rsidRDefault="003824F4" w:rsidP="00300A09">
            <w:pPr>
              <w:jc w:val="center"/>
              <w:rPr>
                <w:color w:val="000000"/>
                <w:sz w:val="20"/>
                <w:szCs w:val="20"/>
                <w:lang w:val="en-MY"/>
              </w:rPr>
            </w:pPr>
            <w:r w:rsidRPr="00A8517E">
              <w:rPr>
                <w:color w:val="000000"/>
                <w:sz w:val="20"/>
                <w:szCs w:val="20"/>
                <w:lang w:val="en-MY"/>
              </w:rPr>
              <w:t>9.8</w:t>
            </w:r>
          </w:p>
        </w:tc>
        <w:tc>
          <w:tcPr>
            <w:tcW w:w="0" w:type="auto"/>
            <w:shd w:val="clear" w:color="auto" w:fill="auto"/>
            <w:noWrap/>
            <w:vAlign w:val="bottom"/>
            <w:hideMark/>
          </w:tcPr>
          <w:p w14:paraId="6CC86128" w14:textId="77777777" w:rsidR="003824F4" w:rsidRPr="00A8517E" w:rsidRDefault="003824F4" w:rsidP="00300A09">
            <w:pPr>
              <w:jc w:val="center"/>
              <w:rPr>
                <w:color w:val="000000"/>
                <w:sz w:val="20"/>
                <w:szCs w:val="20"/>
                <w:lang w:val="en-MY"/>
              </w:rPr>
            </w:pPr>
            <w:r w:rsidRPr="00A8517E">
              <w:rPr>
                <w:color w:val="000000"/>
                <w:sz w:val="20"/>
                <w:szCs w:val="20"/>
                <w:lang w:val="en-MY"/>
              </w:rPr>
              <w:t>9.4</w:t>
            </w:r>
          </w:p>
        </w:tc>
        <w:tc>
          <w:tcPr>
            <w:tcW w:w="0" w:type="auto"/>
            <w:shd w:val="clear" w:color="auto" w:fill="auto"/>
            <w:noWrap/>
            <w:vAlign w:val="bottom"/>
            <w:hideMark/>
          </w:tcPr>
          <w:p w14:paraId="5E44336A" w14:textId="77777777" w:rsidR="003824F4" w:rsidRPr="00A8517E" w:rsidRDefault="003824F4" w:rsidP="00300A09">
            <w:pPr>
              <w:jc w:val="center"/>
              <w:rPr>
                <w:color w:val="000000"/>
                <w:sz w:val="20"/>
                <w:szCs w:val="20"/>
                <w:lang w:val="en-MY"/>
              </w:rPr>
            </w:pPr>
            <w:r w:rsidRPr="00A8517E">
              <w:rPr>
                <w:color w:val="000000"/>
                <w:sz w:val="20"/>
                <w:szCs w:val="20"/>
                <w:lang w:val="en-MY"/>
              </w:rPr>
              <w:t>1.7</w:t>
            </w:r>
          </w:p>
        </w:tc>
        <w:tc>
          <w:tcPr>
            <w:tcW w:w="0" w:type="auto"/>
            <w:shd w:val="clear" w:color="auto" w:fill="auto"/>
            <w:noWrap/>
            <w:vAlign w:val="bottom"/>
            <w:hideMark/>
          </w:tcPr>
          <w:p w14:paraId="79755B52" w14:textId="77777777" w:rsidR="003824F4" w:rsidRPr="00A8517E" w:rsidRDefault="003824F4" w:rsidP="00300A09">
            <w:pPr>
              <w:jc w:val="center"/>
              <w:rPr>
                <w:color w:val="000000"/>
                <w:sz w:val="20"/>
                <w:szCs w:val="20"/>
                <w:lang w:val="en-MY"/>
              </w:rPr>
            </w:pPr>
            <w:r w:rsidRPr="00A8517E">
              <w:rPr>
                <w:color w:val="000000"/>
                <w:sz w:val="20"/>
                <w:szCs w:val="20"/>
                <w:lang w:val="en-MY"/>
              </w:rPr>
              <w:t>2.1</w:t>
            </w:r>
          </w:p>
        </w:tc>
        <w:tc>
          <w:tcPr>
            <w:tcW w:w="0" w:type="auto"/>
            <w:shd w:val="clear" w:color="auto" w:fill="auto"/>
            <w:noWrap/>
            <w:vAlign w:val="bottom"/>
            <w:hideMark/>
          </w:tcPr>
          <w:p w14:paraId="263D559F" w14:textId="77777777" w:rsidR="003824F4" w:rsidRPr="00A8517E" w:rsidRDefault="003824F4" w:rsidP="00300A09">
            <w:pPr>
              <w:jc w:val="center"/>
              <w:rPr>
                <w:color w:val="000000"/>
                <w:sz w:val="20"/>
                <w:szCs w:val="20"/>
                <w:lang w:val="en-MY"/>
              </w:rPr>
            </w:pPr>
            <w:r w:rsidRPr="00A8517E">
              <w:rPr>
                <w:color w:val="000000"/>
                <w:sz w:val="20"/>
                <w:szCs w:val="20"/>
                <w:lang w:val="en-MY"/>
              </w:rPr>
              <w:t>1.3</w:t>
            </w:r>
          </w:p>
        </w:tc>
        <w:tc>
          <w:tcPr>
            <w:tcW w:w="0" w:type="auto"/>
            <w:shd w:val="clear" w:color="auto" w:fill="auto"/>
            <w:noWrap/>
            <w:vAlign w:val="bottom"/>
            <w:hideMark/>
          </w:tcPr>
          <w:p w14:paraId="1A0A7FEB"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1FDA14F8" w14:textId="77777777" w:rsidR="003824F4" w:rsidRPr="00A8517E" w:rsidRDefault="003824F4" w:rsidP="00300A09">
            <w:pPr>
              <w:jc w:val="center"/>
              <w:rPr>
                <w:color w:val="000000"/>
                <w:sz w:val="20"/>
                <w:szCs w:val="20"/>
                <w:lang w:val="en-MY"/>
              </w:rPr>
            </w:pPr>
            <w:r w:rsidRPr="00A8517E">
              <w:rPr>
                <w:color w:val="000000"/>
                <w:sz w:val="20"/>
                <w:szCs w:val="20"/>
                <w:lang w:val="en-MY"/>
              </w:rPr>
              <w:t>0.2</w:t>
            </w:r>
          </w:p>
        </w:tc>
      </w:tr>
      <w:tr w:rsidR="003824F4" w:rsidRPr="00A8517E" w14:paraId="116A3BCA" w14:textId="77777777" w:rsidTr="00A8517E">
        <w:trPr>
          <w:trHeight w:val="170"/>
        </w:trPr>
        <w:tc>
          <w:tcPr>
            <w:tcW w:w="1757" w:type="dxa"/>
            <w:shd w:val="clear" w:color="auto" w:fill="auto"/>
            <w:vAlign w:val="center"/>
            <w:hideMark/>
          </w:tcPr>
          <w:p w14:paraId="524AECDD" w14:textId="77777777" w:rsidR="003824F4" w:rsidRPr="00A8517E" w:rsidRDefault="003824F4" w:rsidP="00300A09">
            <w:pPr>
              <w:rPr>
                <w:color w:val="000000"/>
                <w:sz w:val="20"/>
                <w:szCs w:val="20"/>
                <w:lang w:val="en-MY"/>
              </w:rPr>
            </w:pPr>
            <w:r w:rsidRPr="00A8517E">
              <w:rPr>
                <w:color w:val="000000"/>
                <w:sz w:val="20"/>
                <w:szCs w:val="20"/>
                <w:lang w:val="en-MY"/>
              </w:rPr>
              <w:t>Negeri Sembilan</w:t>
            </w:r>
          </w:p>
        </w:tc>
        <w:tc>
          <w:tcPr>
            <w:tcW w:w="0" w:type="auto"/>
            <w:shd w:val="clear" w:color="auto" w:fill="auto"/>
            <w:noWrap/>
            <w:vAlign w:val="bottom"/>
            <w:hideMark/>
          </w:tcPr>
          <w:p w14:paraId="1F6DCC1B" w14:textId="77777777" w:rsidR="003824F4" w:rsidRPr="00A8517E" w:rsidRDefault="003824F4" w:rsidP="00300A09">
            <w:pPr>
              <w:jc w:val="center"/>
              <w:rPr>
                <w:color w:val="000000"/>
                <w:sz w:val="20"/>
                <w:szCs w:val="20"/>
                <w:lang w:val="en-MY"/>
              </w:rPr>
            </w:pPr>
            <w:r w:rsidRPr="00A8517E">
              <w:rPr>
                <w:color w:val="000000"/>
                <w:sz w:val="20"/>
                <w:szCs w:val="20"/>
                <w:lang w:val="en-MY"/>
              </w:rPr>
              <w:t>44.8</w:t>
            </w:r>
          </w:p>
        </w:tc>
        <w:tc>
          <w:tcPr>
            <w:tcW w:w="0" w:type="auto"/>
            <w:shd w:val="clear" w:color="auto" w:fill="auto"/>
            <w:noWrap/>
            <w:vAlign w:val="bottom"/>
            <w:hideMark/>
          </w:tcPr>
          <w:p w14:paraId="523BD7E9" w14:textId="77777777" w:rsidR="003824F4" w:rsidRPr="00A8517E" w:rsidRDefault="003824F4" w:rsidP="00300A09">
            <w:pPr>
              <w:jc w:val="center"/>
              <w:rPr>
                <w:color w:val="000000"/>
                <w:sz w:val="20"/>
                <w:szCs w:val="20"/>
                <w:lang w:val="en-MY"/>
              </w:rPr>
            </w:pPr>
            <w:r w:rsidRPr="00A8517E">
              <w:rPr>
                <w:color w:val="000000"/>
                <w:sz w:val="20"/>
                <w:szCs w:val="20"/>
                <w:lang w:val="en-MY"/>
              </w:rPr>
              <w:t>26.3</w:t>
            </w:r>
          </w:p>
        </w:tc>
        <w:tc>
          <w:tcPr>
            <w:tcW w:w="0" w:type="auto"/>
            <w:shd w:val="clear" w:color="auto" w:fill="auto"/>
            <w:noWrap/>
            <w:vAlign w:val="bottom"/>
            <w:hideMark/>
          </w:tcPr>
          <w:p w14:paraId="5CD6F702" w14:textId="77777777" w:rsidR="003824F4" w:rsidRPr="00A8517E" w:rsidRDefault="003824F4" w:rsidP="00300A09">
            <w:pPr>
              <w:jc w:val="center"/>
              <w:rPr>
                <w:color w:val="000000"/>
                <w:sz w:val="20"/>
                <w:szCs w:val="20"/>
                <w:lang w:val="en-MY"/>
              </w:rPr>
            </w:pPr>
            <w:r w:rsidRPr="00A8517E">
              <w:rPr>
                <w:color w:val="000000"/>
                <w:sz w:val="20"/>
                <w:szCs w:val="20"/>
                <w:lang w:val="en-MY"/>
              </w:rPr>
              <w:t>13.0</w:t>
            </w:r>
          </w:p>
        </w:tc>
        <w:tc>
          <w:tcPr>
            <w:tcW w:w="0" w:type="auto"/>
            <w:shd w:val="clear" w:color="auto" w:fill="auto"/>
            <w:noWrap/>
            <w:vAlign w:val="bottom"/>
            <w:hideMark/>
          </w:tcPr>
          <w:p w14:paraId="3DCF011C" w14:textId="77777777" w:rsidR="003824F4" w:rsidRPr="00A8517E" w:rsidRDefault="003824F4" w:rsidP="00300A09">
            <w:pPr>
              <w:jc w:val="center"/>
              <w:rPr>
                <w:color w:val="000000"/>
                <w:sz w:val="20"/>
                <w:szCs w:val="20"/>
                <w:lang w:val="en-MY"/>
              </w:rPr>
            </w:pPr>
            <w:r w:rsidRPr="00A8517E">
              <w:rPr>
                <w:color w:val="000000"/>
                <w:sz w:val="20"/>
                <w:szCs w:val="20"/>
                <w:lang w:val="en-MY"/>
              </w:rPr>
              <w:t>9.1</w:t>
            </w:r>
          </w:p>
        </w:tc>
        <w:tc>
          <w:tcPr>
            <w:tcW w:w="0" w:type="auto"/>
            <w:shd w:val="clear" w:color="auto" w:fill="auto"/>
            <w:noWrap/>
            <w:vAlign w:val="bottom"/>
            <w:hideMark/>
          </w:tcPr>
          <w:p w14:paraId="496A72E7" w14:textId="77777777" w:rsidR="003824F4" w:rsidRPr="00A8517E" w:rsidRDefault="003824F4" w:rsidP="00300A09">
            <w:pPr>
              <w:jc w:val="center"/>
              <w:rPr>
                <w:color w:val="000000"/>
                <w:sz w:val="20"/>
                <w:szCs w:val="20"/>
                <w:lang w:val="en-MY"/>
              </w:rPr>
            </w:pPr>
            <w:r w:rsidRPr="00A8517E">
              <w:rPr>
                <w:color w:val="000000"/>
                <w:sz w:val="20"/>
                <w:szCs w:val="20"/>
                <w:lang w:val="en-MY"/>
              </w:rPr>
              <w:t>8.1</w:t>
            </w:r>
          </w:p>
        </w:tc>
        <w:tc>
          <w:tcPr>
            <w:tcW w:w="0" w:type="auto"/>
            <w:shd w:val="clear" w:color="auto" w:fill="auto"/>
            <w:noWrap/>
            <w:vAlign w:val="bottom"/>
            <w:hideMark/>
          </w:tcPr>
          <w:p w14:paraId="13C6D8B2" w14:textId="77777777" w:rsidR="003824F4" w:rsidRPr="00A8517E" w:rsidRDefault="003824F4" w:rsidP="00300A09">
            <w:pPr>
              <w:jc w:val="center"/>
              <w:rPr>
                <w:color w:val="000000"/>
                <w:sz w:val="20"/>
                <w:szCs w:val="20"/>
                <w:lang w:val="en-MY"/>
              </w:rPr>
            </w:pPr>
            <w:r w:rsidRPr="00A8517E">
              <w:rPr>
                <w:color w:val="000000"/>
                <w:sz w:val="20"/>
                <w:szCs w:val="20"/>
                <w:lang w:val="en-MY"/>
              </w:rPr>
              <w:t>4.7</w:t>
            </w:r>
          </w:p>
        </w:tc>
        <w:tc>
          <w:tcPr>
            <w:tcW w:w="0" w:type="auto"/>
            <w:shd w:val="clear" w:color="auto" w:fill="auto"/>
            <w:noWrap/>
            <w:vAlign w:val="bottom"/>
            <w:hideMark/>
          </w:tcPr>
          <w:p w14:paraId="4E73D0CC" w14:textId="77777777" w:rsidR="003824F4" w:rsidRPr="00A8517E" w:rsidRDefault="003824F4" w:rsidP="00300A09">
            <w:pPr>
              <w:jc w:val="center"/>
              <w:rPr>
                <w:color w:val="000000"/>
                <w:sz w:val="20"/>
                <w:szCs w:val="20"/>
                <w:lang w:val="en-MY"/>
              </w:rPr>
            </w:pPr>
            <w:r w:rsidRPr="00A8517E">
              <w:rPr>
                <w:color w:val="000000"/>
                <w:sz w:val="20"/>
                <w:szCs w:val="20"/>
                <w:lang w:val="en-MY"/>
              </w:rPr>
              <w:t>4.1</w:t>
            </w:r>
          </w:p>
        </w:tc>
        <w:tc>
          <w:tcPr>
            <w:tcW w:w="0" w:type="auto"/>
            <w:shd w:val="clear" w:color="auto" w:fill="auto"/>
            <w:noWrap/>
            <w:vAlign w:val="bottom"/>
            <w:hideMark/>
          </w:tcPr>
          <w:p w14:paraId="4C1DFB6C" w14:textId="77777777" w:rsidR="003824F4" w:rsidRPr="00A8517E" w:rsidRDefault="003824F4" w:rsidP="00300A09">
            <w:pPr>
              <w:jc w:val="center"/>
              <w:rPr>
                <w:color w:val="000000"/>
                <w:sz w:val="20"/>
                <w:szCs w:val="20"/>
                <w:lang w:val="en-MY"/>
              </w:rPr>
            </w:pPr>
            <w:r w:rsidRPr="00A8517E">
              <w:rPr>
                <w:color w:val="000000"/>
                <w:sz w:val="20"/>
                <w:szCs w:val="20"/>
                <w:lang w:val="en-MY"/>
              </w:rPr>
              <w:t>2.6</w:t>
            </w:r>
          </w:p>
        </w:tc>
        <w:tc>
          <w:tcPr>
            <w:tcW w:w="0" w:type="auto"/>
            <w:shd w:val="clear" w:color="auto" w:fill="auto"/>
            <w:noWrap/>
            <w:vAlign w:val="bottom"/>
            <w:hideMark/>
          </w:tcPr>
          <w:p w14:paraId="35434BDB" w14:textId="77777777" w:rsidR="003824F4" w:rsidRPr="00A8517E" w:rsidRDefault="003824F4" w:rsidP="00300A09">
            <w:pPr>
              <w:jc w:val="center"/>
              <w:rPr>
                <w:color w:val="000000"/>
                <w:sz w:val="20"/>
                <w:szCs w:val="20"/>
                <w:lang w:val="en-MY"/>
              </w:rPr>
            </w:pPr>
            <w:r w:rsidRPr="00A8517E">
              <w:rPr>
                <w:color w:val="000000"/>
                <w:sz w:val="20"/>
                <w:szCs w:val="20"/>
                <w:lang w:val="en-MY"/>
              </w:rPr>
              <w:t>1.3</w:t>
            </w:r>
          </w:p>
        </w:tc>
        <w:tc>
          <w:tcPr>
            <w:tcW w:w="0" w:type="auto"/>
            <w:shd w:val="clear" w:color="auto" w:fill="auto"/>
            <w:noWrap/>
            <w:vAlign w:val="bottom"/>
            <w:hideMark/>
          </w:tcPr>
          <w:p w14:paraId="71C1E06E"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35CBCDEE" w14:textId="77777777" w:rsidR="003824F4" w:rsidRPr="00A8517E" w:rsidRDefault="003824F4" w:rsidP="00300A09">
            <w:pPr>
              <w:jc w:val="center"/>
              <w:rPr>
                <w:color w:val="000000"/>
                <w:sz w:val="20"/>
                <w:szCs w:val="20"/>
                <w:lang w:val="en-MY"/>
              </w:rPr>
            </w:pPr>
            <w:r w:rsidRPr="00A8517E">
              <w:rPr>
                <w:color w:val="000000"/>
                <w:sz w:val="20"/>
                <w:szCs w:val="20"/>
                <w:lang w:val="en-MY"/>
              </w:rPr>
              <w:t>0.5</w:t>
            </w:r>
          </w:p>
        </w:tc>
        <w:tc>
          <w:tcPr>
            <w:tcW w:w="0" w:type="auto"/>
            <w:shd w:val="clear" w:color="auto" w:fill="auto"/>
            <w:noWrap/>
            <w:vAlign w:val="bottom"/>
            <w:hideMark/>
          </w:tcPr>
          <w:p w14:paraId="66A7E193" w14:textId="77777777" w:rsidR="003824F4" w:rsidRPr="00A8517E" w:rsidRDefault="003824F4" w:rsidP="00300A09">
            <w:pPr>
              <w:jc w:val="center"/>
              <w:rPr>
                <w:color w:val="000000"/>
                <w:sz w:val="20"/>
                <w:szCs w:val="20"/>
                <w:lang w:val="en-MY"/>
              </w:rPr>
            </w:pPr>
            <w:r w:rsidRPr="00A8517E">
              <w:rPr>
                <w:color w:val="000000"/>
                <w:sz w:val="20"/>
                <w:szCs w:val="20"/>
                <w:lang w:val="en-MY"/>
              </w:rPr>
              <w:t>0.4</w:t>
            </w:r>
          </w:p>
        </w:tc>
        <w:tc>
          <w:tcPr>
            <w:tcW w:w="0" w:type="auto"/>
            <w:shd w:val="clear" w:color="auto" w:fill="auto"/>
            <w:noWrap/>
            <w:vAlign w:val="bottom"/>
            <w:hideMark/>
          </w:tcPr>
          <w:p w14:paraId="5185B47F" w14:textId="77777777" w:rsidR="003824F4" w:rsidRPr="00A8517E" w:rsidRDefault="003824F4" w:rsidP="00300A09">
            <w:pPr>
              <w:jc w:val="center"/>
              <w:rPr>
                <w:color w:val="000000"/>
                <w:sz w:val="20"/>
                <w:szCs w:val="20"/>
                <w:lang w:val="en-MY"/>
              </w:rPr>
            </w:pPr>
            <w:r w:rsidRPr="00A8517E">
              <w:rPr>
                <w:color w:val="000000"/>
                <w:sz w:val="20"/>
                <w:szCs w:val="20"/>
                <w:lang w:val="en-MY"/>
              </w:rPr>
              <w:t>0.2</w:t>
            </w:r>
          </w:p>
        </w:tc>
      </w:tr>
      <w:tr w:rsidR="003824F4" w:rsidRPr="00A8517E" w14:paraId="3D93D69C" w14:textId="77777777" w:rsidTr="00A8517E">
        <w:trPr>
          <w:trHeight w:val="170"/>
        </w:trPr>
        <w:tc>
          <w:tcPr>
            <w:tcW w:w="1757" w:type="dxa"/>
            <w:shd w:val="clear" w:color="auto" w:fill="auto"/>
            <w:vAlign w:val="center"/>
            <w:hideMark/>
          </w:tcPr>
          <w:p w14:paraId="33846B15" w14:textId="77777777" w:rsidR="003824F4" w:rsidRPr="00A8517E" w:rsidRDefault="003824F4" w:rsidP="00300A09">
            <w:pPr>
              <w:rPr>
                <w:color w:val="000000"/>
                <w:sz w:val="20"/>
                <w:szCs w:val="20"/>
                <w:lang w:val="en-MY"/>
              </w:rPr>
            </w:pPr>
            <w:r w:rsidRPr="00A8517E">
              <w:rPr>
                <w:color w:val="000000"/>
                <w:sz w:val="20"/>
                <w:szCs w:val="20"/>
                <w:lang w:val="en-MY"/>
              </w:rPr>
              <w:t>Penang</w:t>
            </w:r>
          </w:p>
        </w:tc>
        <w:tc>
          <w:tcPr>
            <w:tcW w:w="0" w:type="auto"/>
            <w:shd w:val="clear" w:color="auto" w:fill="auto"/>
            <w:noWrap/>
            <w:vAlign w:val="bottom"/>
            <w:hideMark/>
          </w:tcPr>
          <w:p w14:paraId="7A0CCF08" w14:textId="77777777" w:rsidR="003824F4" w:rsidRPr="00A8517E" w:rsidRDefault="003824F4" w:rsidP="00300A09">
            <w:pPr>
              <w:jc w:val="center"/>
              <w:rPr>
                <w:color w:val="000000"/>
                <w:sz w:val="20"/>
                <w:szCs w:val="20"/>
                <w:lang w:val="en-MY"/>
              </w:rPr>
            </w:pPr>
            <w:r w:rsidRPr="00A8517E">
              <w:rPr>
                <w:color w:val="000000"/>
                <w:sz w:val="20"/>
                <w:szCs w:val="20"/>
                <w:lang w:val="en-MY"/>
              </w:rPr>
              <w:t>43.7</w:t>
            </w:r>
          </w:p>
        </w:tc>
        <w:tc>
          <w:tcPr>
            <w:tcW w:w="0" w:type="auto"/>
            <w:shd w:val="clear" w:color="auto" w:fill="auto"/>
            <w:noWrap/>
            <w:vAlign w:val="bottom"/>
            <w:hideMark/>
          </w:tcPr>
          <w:p w14:paraId="586F4DE8" w14:textId="77777777" w:rsidR="003824F4" w:rsidRPr="00A8517E" w:rsidRDefault="003824F4" w:rsidP="00300A09">
            <w:pPr>
              <w:jc w:val="center"/>
              <w:rPr>
                <w:color w:val="000000"/>
                <w:sz w:val="20"/>
                <w:szCs w:val="20"/>
                <w:lang w:val="en-MY"/>
              </w:rPr>
            </w:pPr>
            <w:r w:rsidRPr="00A8517E">
              <w:rPr>
                <w:color w:val="000000"/>
                <w:sz w:val="20"/>
                <w:szCs w:val="20"/>
                <w:lang w:val="en-MY"/>
              </w:rPr>
              <w:t>19.7</w:t>
            </w:r>
          </w:p>
        </w:tc>
        <w:tc>
          <w:tcPr>
            <w:tcW w:w="0" w:type="auto"/>
            <w:shd w:val="clear" w:color="auto" w:fill="auto"/>
            <w:noWrap/>
            <w:vAlign w:val="bottom"/>
            <w:hideMark/>
          </w:tcPr>
          <w:p w14:paraId="410C9B9E" w14:textId="77777777" w:rsidR="003824F4" w:rsidRPr="00A8517E" w:rsidRDefault="003824F4" w:rsidP="00300A09">
            <w:pPr>
              <w:jc w:val="center"/>
              <w:rPr>
                <w:color w:val="000000"/>
                <w:sz w:val="20"/>
                <w:szCs w:val="20"/>
                <w:lang w:val="en-MY"/>
              </w:rPr>
            </w:pPr>
            <w:r w:rsidRPr="00A8517E">
              <w:rPr>
                <w:color w:val="000000"/>
                <w:sz w:val="20"/>
                <w:szCs w:val="20"/>
                <w:lang w:val="en-MY"/>
              </w:rPr>
              <w:t>13.4</w:t>
            </w:r>
          </w:p>
        </w:tc>
        <w:tc>
          <w:tcPr>
            <w:tcW w:w="0" w:type="auto"/>
            <w:shd w:val="clear" w:color="auto" w:fill="auto"/>
            <w:noWrap/>
            <w:vAlign w:val="bottom"/>
            <w:hideMark/>
          </w:tcPr>
          <w:p w14:paraId="1BBACA2D" w14:textId="77777777" w:rsidR="003824F4" w:rsidRPr="00A8517E" w:rsidRDefault="003824F4" w:rsidP="00300A09">
            <w:pPr>
              <w:jc w:val="center"/>
              <w:rPr>
                <w:color w:val="000000"/>
                <w:sz w:val="20"/>
                <w:szCs w:val="20"/>
                <w:lang w:val="en-MY"/>
              </w:rPr>
            </w:pPr>
            <w:r w:rsidRPr="00A8517E">
              <w:rPr>
                <w:color w:val="000000"/>
                <w:sz w:val="20"/>
                <w:szCs w:val="20"/>
                <w:lang w:val="en-MY"/>
              </w:rPr>
              <w:t>8.7</w:t>
            </w:r>
          </w:p>
        </w:tc>
        <w:tc>
          <w:tcPr>
            <w:tcW w:w="0" w:type="auto"/>
            <w:shd w:val="clear" w:color="auto" w:fill="auto"/>
            <w:noWrap/>
            <w:vAlign w:val="bottom"/>
            <w:hideMark/>
          </w:tcPr>
          <w:p w14:paraId="67EAE8A7" w14:textId="77777777" w:rsidR="003824F4" w:rsidRPr="00A8517E" w:rsidRDefault="003824F4" w:rsidP="00300A09">
            <w:pPr>
              <w:jc w:val="center"/>
              <w:rPr>
                <w:color w:val="000000"/>
                <w:sz w:val="20"/>
                <w:szCs w:val="20"/>
                <w:lang w:val="en-MY"/>
              </w:rPr>
            </w:pPr>
            <w:r w:rsidRPr="00A8517E">
              <w:rPr>
                <w:color w:val="000000"/>
                <w:sz w:val="20"/>
                <w:szCs w:val="20"/>
                <w:lang w:val="en-MY"/>
              </w:rPr>
              <w:t>4.0</w:t>
            </w:r>
          </w:p>
        </w:tc>
        <w:tc>
          <w:tcPr>
            <w:tcW w:w="0" w:type="auto"/>
            <w:shd w:val="clear" w:color="auto" w:fill="auto"/>
            <w:noWrap/>
            <w:vAlign w:val="bottom"/>
            <w:hideMark/>
          </w:tcPr>
          <w:p w14:paraId="39EC335F" w14:textId="77777777" w:rsidR="003824F4" w:rsidRPr="00A8517E" w:rsidRDefault="003824F4" w:rsidP="00300A09">
            <w:pPr>
              <w:jc w:val="center"/>
              <w:rPr>
                <w:color w:val="000000"/>
                <w:sz w:val="20"/>
                <w:szCs w:val="20"/>
                <w:lang w:val="en-MY"/>
              </w:rPr>
            </w:pPr>
            <w:r w:rsidRPr="00A8517E">
              <w:rPr>
                <w:color w:val="000000"/>
                <w:sz w:val="20"/>
                <w:szCs w:val="20"/>
                <w:lang w:val="en-MY"/>
              </w:rPr>
              <w:t>1.7</w:t>
            </w:r>
          </w:p>
        </w:tc>
        <w:tc>
          <w:tcPr>
            <w:tcW w:w="0" w:type="auto"/>
            <w:shd w:val="clear" w:color="auto" w:fill="auto"/>
            <w:noWrap/>
            <w:vAlign w:val="bottom"/>
            <w:hideMark/>
          </w:tcPr>
          <w:p w14:paraId="357BA226"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63084F17" w14:textId="77777777" w:rsidR="003824F4" w:rsidRPr="00A8517E" w:rsidRDefault="003824F4" w:rsidP="00300A09">
            <w:pPr>
              <w:jc w:val="center"/>
              <w:rPr>
                <w:color w:val="000000"/>
                <w:sz w:val="20"/>
                <w:szCs w:val="20"/>
                <w:lang w:val="en-MY"/>
              </w:rPr>
            </w:pPr>
            <w:r w:rsidRPr="00A8517E">
              <w:rPr>
                <w:color w:val="000000"/>
                <w:sz w:val="20"/>
                <w:szCs w:val="20"/>
                <w:lang w:val="en-MY"/>
              </w:rPr>
              <w:t>1.2</w:t>
            </w:r>
          </w:p>
        </w:tc>
        <w:tc>
          <w:tcPr>
            <w:tcW w:w="0" w:type="auto"/>
            <w:shd w:val="clear" w:color="auto" w:fill="auto"/>
            <w:noWrap/>
            <w:vAlign w:val="bottom"/>
            <w:hideMark/>
          </w:tcPr>
          <w:p w14:paraId="50CF038A" w14:textId="77777777" w:rsidR="003824F4" w:rsidRPr="00A8517E" w:rsidRDefault="003824F4" w:rsidP="00300A09">
            <w:pPr>
              <w:jc w:val="center"/>
              <w:rPr>
                <w:color w:val="000000"/>
                <w:sz w:val="20"/>
                <w:szCs w:val="20"/>
                <w:lang w:val="en-MY"/>
              </w:rPr>
            </w:pPr>
            <w:r w:rsidRPr="00A8517E">
              <w:rPr>
                <w:color w:val="000000"/>
                <w:sz w:val="20"/>
                <w:szCs w:val="20"/>
                <w:lang w:val="en-MY"/>
              </w:rPr>
              <w:t>1.4</w:t>
            </w:r>
          </w:p>
        </w:tc>
        <w:tc>
          <w:tcPr>
            <w:tcW w:w="0" w:type="auto"/>
            <w:shd w:val="clear" w:color="auto" w:fill="auto"/>
            <w:noWrap/>
            <w:vAlign w:val="bottom"/>
            <w:hideMark/>
          </w:tcPr>
          <w:p w14:paraId="30C7AB56" w14:textId="77777777" w:rsidR="003824F4" w:rsidRPr="00A8517E" w:rsidRDefault="003824F4" w:rsidP="00300A09">
            <w:pPr>
              <w:jc w:val="center"/>
              <w:rPr>
                <w:color w:val="000000"/>
                <w:sz w:val="20"/>
                <w:szCs w:val="20"/>
                <w:lang w:val="en-MY"/>
              </w:rPr>
            </w:pPr>
            <w:r w:rsidRPr="00A8517E">
              <w:rPr>
                <w:color w:val="000000"/>
                <w:sz w:val="20"/>
                <w:szCs w:val="20"/>
                <w:lang w:val="en-MY"/>
              </w:rPr>
              <w:t>1.2</w:t>
            </w:r>
          </w:p>
        </w:tc>
        <w:tc>
          <w:tcPr>
            <w:tcW w:w="0" w:type="auto"/>
            <w:shd w:val="clear" w:color="auto" w:fill="auto"/>
            <w:noWrap/>
            <w:vAlign w:val="bottom"/>
            <w:hideMark/>
          </w:tcPr>
          <w:p w14:paraId="7704D2C9" w14:textId="77777777" w:rsidR="003824F4" w:rsidRPr="00A8517E" w:rsidRDefault="003824F4" w:rsidP="00300A09">
            <w:pPr>
              <w:jc w:val="center"/>
              <w:rPr>
                <w:color w:val="000000"/>
                <w:sz w:val="20"/>
                <w:szCs w:val="20"/>
                <w:lang w:val="en-MY"/>
              </w:rPr>
            </w:pPr>
            <w:r w:rsidRPr="00A8517E">
              <w:rPr>
                <w:color w:val="000000"/>
                <w:sz w:val="20"/>
                <w:szCs w:val="20"/>
                <w:lang w:val="en-MY"/>
              </w:rPr>
              <w:t>0.6</w:t>
            </w:r>
          </w:p>
        </w:tc>
        <w:tc>
          <w:tcPr>
            <w:tcW w:w="0" w:type="auto"/>
            <w:shd w:val="clear" w:color="auto" w:fill="auto"/>
            <w:noWrap/>
            <w:vAlign w:val="bottom"/>
            <w:hideMark/>
          </w:tcPr>
          <w:p w14:paraId="0F177357" w14:textId="77777777" w:rsidR="003824F4" w:rsidRPr="00A8517E" w:rsidRDefault="003824F4" w:rsidP="00300A09">
            <w:pPr>
              <w:jc w:val="center"/>
              <w:rPr>
                <w:color w:val="000000"/>
                <w:sz w:val="20"/>
                <w:szCs w:val="20"/>
                <w:lang w:val="en-MY"/>
              </w:rPr>
            </w:pPr>
            <w:r w:rsidRPr="00A8517E">
              <w:rPr>
                <w:color w:val="000000"/>
                <w:sz w:val="20"/>
                <w:szCs w:val="20"/>
                <w:lang w:val="en-MY"/>
              </w:rPr>
              <w:t>0.3</w:t>
            </w:r>
          </w:p>
        </w:tc>
        <w:tc>
          <w:tcPr>
            <w:tcW w:w="0" w:type="auto"/>
            <w:shd w:val="clear" w:color="auto" w:fill="auto"/>
            <w:noWrap/>
            <w:vAlign w:val="bottom"/>
            <w:hideMark/>
          </w:tcPr>
          <w:p w14:paraId="11B09013" w14:textId="77777777" w:rsidR="003824F4" w:rsidRPr="00A8517E" w:rsidRDefault="003824F4" w:rsidP="00300A09">
            <w:pPr>
              <w:jc w:val="center"/>
              <w:rPr>
                <w:color w:val="000000"/>
                <w:sz w:val="20"/>
                <w:szCs w:val="20"/>
                <w:lang w:val="en-MY"/>
              </w:rPr>
            </w:pPr>
            <w:r w:rsidRPr="00A8517E">
              <w:rPr>
                <w:color w:val="000000"/>
                <w:sz w:val="20"/>
                <w:szCs w:val="20"/>
                <w:lang w:val="en-MY"/>
              </w:rPr>
              <w:t>0.1</w:t>
            </w:r>
          </w:p>
        </w:tc>
      </w:tr>
      <w:tr w:rsidR="003824F4" w:rsidRPr="00A8517E" w14:paraId="23561AC6" w14:textId="77777777" w:rsidTr="00A8517E">
        <w:trPr>
          <w:trHeight w:val="170"/>
        </w:trPr>
        <w:tc>
          <w:tcPr>
            <w:tcW w:w="1757" w:type="dxa"/>
            <w:shd w:val="clear" w:color="auto" w:fill="auto"/>
            <w:vAlign w:val="center"/>
            <w:hideMark/>
          </w:tcPr>
          <w:p w14:paraId="6B9CF0DE" w14:textId="77777777" w:rsidR="003824F4" w:rsidRPr="00A8517E" w:rsidRDefault="003824F4" w:rsidP="00300A09">
            <w:pPr>
              <w:rPr>
                <w:color w:val="000000"/>
                <w:sz w:val="20"/>
                <w:szCs w:val="20"/>
                <w:lang w:val="en-MY"/>
              </w:rPr>
            </w:pPr>
            <w:r w:rsidRPr="00A8517E">
              <w:rPr>
                <w:color w:val="000000"/>
                <w:sz w:val="20"/>
                <w:szCs w:val="20"/>
                <w:lang w:val="en-MY"/>
              </w:rPr>
              <w:t>Perlis</w:t>
            </w:r>
          </w:p>
        </w:tc>
        <w:tc>
          <w:tcPr>
            <w:tcW w:w="0" w:type="auto"/>
            <w:shd w:val="clear" w:color="auto" w:fill="auto"/>
            <w:noWrap/>
            <w:vAlign w:val="bottom"/>
            <w:hideMark/>
          </w:tcPr>
          <w:p w14:paraId="7ED15873" w14:textId="77777777" w:rsidR="003824F4" w:rsidRPr="00A8517E" w:rsidRDefault="003824F4" w:rsidP="00300A09">
            <w:pPr>
              <w:jc w:val="center"/>
              <w:rPr>
                <w:color w:val="000000"/>
                <w:sz w:val="20"/>
                <w:szCs w:val="20"/>
                <w:lang w:val="en-MY"/>
              </w:rPr>
            </w:pPr>
            <w:r w:rsidRPr="00A8517E">
              <w:rPr>
                <w:color w:val="000000"/>
                <w:sz w:val="20"/>
                <w:szCs w:val="20"/>
                <w:lang w:val="en-MY"/>
              </w:rPr>
              <w:t>73.9</w:t>
            </w:r>
          </w:p>
        </w:tc>
        <w:tc>
          <w:tcPr>
            <w:tcW w:w="0" w:type="auto"/>
            <w:shd w:val="clear" w:color="auto" w:fill="auto"/>
            <w:noWrap/>
            <w:vAlign w:val="bottom"/>
            <w:hideMark/>
          </w:tcPr>
          <w:p w14:paraId="403B31E2" w14:textId="77777777" w:rsidR="003824F4" w:rsidRPr="00A8517E" w:rsidRDefault="003824F4" w:rsidP="00300A09">
            <w:pPr>
              <w:jc w:val="center"/>
              <w:rPr>
                <w:color w:val="000000"/>
                <w:sz w:val="20"/>
                <w:szCs w:val="20"/>
                <w:lang w:val="en-MY"/>
              </w:rPr>
            </w:pPr>
            <w:r w:rsidRPr="00A8517E">
              <w:rPr>
                <w:color w:val="000000"/>
                <w:sz w:val="20"/>
                <w:szCs w:val="20"/>
                <w:lang w:val="en-MY"/>
              </w:rPr>
              <w:t>63.1</w:t>
            </w:r>
          </w:p>
        </w:tc>
        <w:tc>
          <w:tcPr>
            <w:tcW w:w="0" w:type="auto"/>
            <w:shd w:val="clear" w:color="auto" w:fill="auto"/>
            <w:noWrap/>
            <w:vAlign w:val="bottom"/>
            <w:hideMark/>
          </w:tcPr>
          <w:p w14:paraId="39F5798D" w14:textId="77777777" w:rsidR="003824F4" w:rsidRPr="00A8517E" w:rsidRDefault="003824F4" w:rsidP="00300A09">
            <w:pPr>
              <w:jc w:val="center"/>
              <w:rPr>
                <w:color w:val="000000"/>
                <w:sz w:val="20"/>
                <w:szCs w:val="20"/>
                <w:lang w:val="en-MY"/>
              </w:rPr>
            </w:pPr>
            <w:r w:rsidRPr="00A8517E">
              <w:rPr>
                <w:color w:val="000000"/>
                <w:sz w:val="20"/>
                <w:szCs w:val="20"/>
                <w:lang w:val="en-MY"/>
              </w:rPr>
              <w:t>33.7</w:t>
            </w:r>
          </w:p>
        </w:tc>
        <w:tc>
          <w:tcPr>
            <w:tcW w:w="0" w:type="auto"/>
            <w:shd w:val="clear" w:color="auto" w:fill="auto"/>
            <w:noWrap/>
            <w:vAlign w:val="bottom"/>
            <w:hideMark/>
          </w:tcPr>
          <w:p w14:paraId="1944F6E2" w14:textId="77777777" w:rsidR="003824F4" w:rsidRPr="00A8517E" w:rsidRDefault="003824F4" w:rsidP="00300A09">
            <w:pPr>
              <w:jc w:val="center"/>
              <w:rPr>
                <w:color w:val="000000"/>
                <w:sz w:val="20"/>
                <w:szCs w:val="20"/>
                <w:lang w:val="en-MY"/>
              </w:rPr>
            </w:pPr>
            <w:r w:rsidRPr="00A8517E">
              <w:rPr>
                <w:color w:val="000000"/>
                <w:sz w:val="20"/>
                <w:szCs w:val="20"/>
                <w:lang w:val="en-MY"/>
              </w:rPr>
              <w:t>17.4</w:t>
            </w:r>
          </w:p>
        </w:tc>
        <w:tc>
          <w:tcPr>
            <w:tcW w:w="0" w:type="auto"/>
            <w:shd w:val="clear" w:color="auto" w:fill="auto"/>
            <w:noWrap/>
            <w:vAlign w:val="bottom"/>
            <w:hideMark/>
          </w:tcPr>
          <w:p w14:paraId="05BFFBB8" w14:textId="77777777" w:rsidR="003824F4" w:rsidRPr="00A8517E" w:rsidRDefault="003824F4" w:rsidP="00300A09">
            <w:pPr>
              <w:jc w:val="center"/>
              <w:rPr>
                <w:color w:val="000000"/>
                <w:sz w:val="20"/>
                <w:szCs w:val="20"/>
                <w:lang w:val="en-MY"/>
              </w:rPr>
            </w:pPr>
            <w:r w:rsidRPr="00A8517E">
              <w:rPr>
                <w:color w:val="000000"/>
                <w:sz w:val="20"/>
                <w:szCs w:val="20"/>
                <w:lang w:val="en-MY"/>
              </w:rPr>
              <w:t>19.8</w:t>
            </w:r>
          </w:p>
        </w:tc>
        <w:tc>
          <w:tcPr>
            <w:tcW w:w="0" w:type="auto"/>
            <w:shd w:val="clear" w:color="auto" w:fill="auto"/>
            <w:noWrap/>
            <w:vAlign w:val="bottom"/>
            <w:hideMark/>
          </w:tcPr>
          <w:p w14:paraId="31287D7D" w14:textId="77777777" w:rsidR="003824F4" w:rsidRPr="00A8517E" w:rsidRDefault="003824F4" w:rsidP="00300A09">
            <w:pPr>
              <w:jc w:val="center"/>
              <w:rPr>
                <w:color w:val="000000"/>
                <w:sz w:val="20"/>
                <w:szCs w:val="20"/>
                <w:lang w:val="en-MY"/>
              </w:rPr>
            </w:pPr>
            <w:r w:rsidRPr="00A8517E">
              <w:rPr>
                <w:color w:val="000000"/>
                <w:sz w:val="20"/>
                <w:szCs w:val="20"/>
                <w:lang w:val="en-MY"/>
              </w:rPr>
              <w:t>10.7</w:t>
            </w:r>
          </w:p>
        </w:tc>
        <w:tc>
          <w:tcPr>
            <w:tcW w:w="0" w:type="auto"/>
            <w:shd w:val="clear" w:color="auto" w:fill="auto"/>
            <w:noWrap/>
            <w:vAlign w:val="bottom"/>
            <w:hideMark/>
          </w:tcPr>
          <w:p w14:paraId="7962EE5C" w14:textId="77777777" w:rsidR="003824F4" w:rsidRPr="00A8517E" w:rsidRDefault="003824F4" w:rsidP="00300A09">
            <w:pPr>
              <w:jc w:val="center"/>
              <w:rPr>
                <w:color w:val="000000"/>
                <w:sz w:val="20"/>
                <w:szCs w:val="20"/>
                <w:lang w:val="en-MY"/>
              </w:rPr>
            </w:pPr>
            <w:r w:rsidRPr="00A8517E">
              <w:rPr>
                <w:color w:val="000000"/>
                <w:sz w:val="20"/>
                <w:szCs w:val="20"/>
                <w:lang w:val="en-MY"/>
              </w:rPr>
              <w:t>13.6</w:t>
            </w:r>
          </w:p>
        </w:tc>
        <w:tc>
          <w:tcPr>
            <w:tcW w:w="0" w:type="auto"/>
            <w:shd w:val="clear" w:color="auto" w:fill="auto"/>
            <w:noWrap/>
            <w:vAlign w:val="bottom"/>
            <w:hideMark/>
          </w:tcPr>
          <w:p w14:paraId="635F4A56" w14:textId="77777777" w:rsidR="003824F4" w:rsidRPr="00A8517E" w:rsidRDefault="003824F4" w:rsidP="00300A09">
            <w:pPr>
              <w:jc w:val="center"/>
              <w:rPr>
                <w:color w:val="000000"/>
                <w:sz w:val="20"/>
                <w:szCs w:val="20"/>
                <w:lang w:val="en-MY"/>
              </w:rPr>
            </w:pPr>
            <w:r w:rsidRPr="00A8517E">
              <w:rPr>
                <w:color w:val="000000"/>
                <w:sz w:val="20"/>
                <w:szCs w:val="20"/>
                <w:lang w:val="en-MY"/>
              </w:rPr>
              <w:t>8.9</w:t>
            </w:r>
          </w:p>
        </w:tc>
        <w:tc>
          <w:tcPr>
            <w:tcW w:w="0" w:type="auto"/>
            <w:shd w:val="clear" w:color="auto" w:fill="auto"/>
            <w:noWrap/>
            <w:vAlign w:val="bottom"/>
            <w:hideMark/>
          </w:tcPr>
          <w:p w14:paraId="59B3BC74" w14:textId="77777777" w:rsidR="003824F4" w:rsidRPr="00A8517E" w:rsidRDefault="003824F4" w:rsidP="00300A09">
            <w:pPr>
              <w:jc w:val="center"/>
              <w:rPr>
                <w:color w:val="000000"/>
                <w:sz w:val="20"/>
                <w:szCs w:val="20"/>
                <w:lang w:val="en-MY"/>
              </w:rPr>
            </w:pPr>
            <w:r w:rsidRPr="00A8517E">
              <w:rPr>
                <w:color w:val="000000"/>
                <w:sz w:val="20"/>
                <w:szCs w:val="20"/>
                <w:lang w:val="en-MY"/>
              </w:rPr>
              <w:t>7.0</w:t>
            </w:r>
          </w:p>
        </w:tc>
        <w:tc>
          <w:tcPr>
            <w:tcW w:w="0" w:type="auto"/>
            <w:shd w:val="clear" w:color="auto" w:fill="auto"/>
            <w:noWrap/>
            <w:vAlign w:val="bottom"/>
            <w:hideMark/>
          </w:tcPr>
          <w:p w14:paraId="5F51879A" w14:textId="77777777" w:rsidR="003824F4" w:rsidRPr="00A8517E" w:rsidRDefault="003824F4" w:rsidP="00300A09">
            <w:pPr>
              <w:jc w:val="center"/>
              <w:rPr>
                <w:color w:val="000000"/>
                <w:sz w:val="20"/>
                <w:szCs w:val="20"/>
                <w:lang w:val="en-MY"/>
              </w:rPr>
            </w:pPr>
            <w:r w:rsidRPr="00A8517E">
              <w:rPr>
                <w:color w:val="000000"/>
                <w:sz w:val="20"/>
                <w:szCs w:val="20"/>
                <w:lang w:val="en-MY"/>
              </w:rPr>
              <w:t>6.0</w:t>
            </w:r>
          </w:p>
        </w:tc>
        <w:tc>
          <w:tcPr>
            <w:tcW w:w="0" w:type="auto"/>
            <w:shd w:val="clear" w:color="auto" w:fill="auto"/>
            <w:noWrap/>
            <w:vAlign w:val="bottom"/>
            <w:hideMark/>
          </w:tcPr>
          <w:p w14:paraId="55CC1A80" w14:textId="77777777" w:rsidR="003824F4" w:rsidRPr="00A8517E" w:rsidRDefault="003824F4" w:rsidP="00300A09">
            <w:pPr>
              <w:jc w:val="center"/>
              <w:rPr>
                <w:color w:val="000000"/>
                <w:sz w:val="20"/>
                <w:szCs w:val="20"/>
                <w:lang w:val="en-MY"/>
              </w:rPr>
            </w:pPr>
            <w:r w:rsidRPr="00A8517E">
              <w:rPr>
                <w:color w:val="000000"/>
                <w:sz w:val="20"/>
                <w:szCs w:val="20"/>
                <w:lang w:val="en-MY"/>
              </w:rPr>
              <w:t>1.9</w:t>
            </w:r>
          </w:p>
        </w:tc>
        <w:tc>
          <w:tcPr>
            <w:tcW w:w="0" w:type="auto"/>
            <w:shd w:val="clear" w:color="auto" w:fill="auto"/>
            <w:noWrap/>
            <w:vAlign w:val="bottom"/>
            <w:hideMark/>
          </w:tcPr>
          <w:p w14:paraId="12218E7F" w14:textId="77777777" w:rsidR="003824F4" w:rsidRPr="00A8517E" w:rsidRDefault="003824F4" w:rsidP="00300A09">
            <w:pPr>
              <w:jc w:val="center"/>
              <w:rPr>
                <w:color w:val="000000"/>
                <w:sz w:val="20"/>
                <w:szCs w:val="20"/>
                <w:lang w:val="en-MY"/>
              </w:rPr>
            </w:pPr>
            <w:r w:rsidRPr="00A8517E">
              <w:rPr>
                <w:color w:val="000000"/>
                <w:sz w:val="20"/>
                <w:szCs w:val="20"/>
                <w:lang w:val="en-MY"/>
              </w:rPr>
              <w:t>0.2</w:t>
            </w:r>
          </w:p>
        </w:tc>
        <w:tc>
          <w:tcPr>
            <w:tcW w:w="0" w:type="auto"/>
            <w:shd w:val="clear" w:color="auto" w:fill="auto"/>
            <w:noWrap/>
            <w:vAlign w:val="bottom"/>
            <w:hideMark/>
          </w:tcPr>
          <w:p w14:paraId="2C646A7D" w14:textId="77777777" w:rsidR="003824F4" w:rsidRPr="00A8517E" w:rsidRDefault="003824F4" w:rsidP="00300A09">
            <w:pPr>
              <w:jc w:val="center"/>
              <w:rPr>
                <w:color w:val="000000"/>
                <w:sz w:val="20"/>
                <w:szCs w:val="20"/>
                <w:lang w:val="en-MY"/>
              </w:rPr>
            </w:pPr>
            <w:r w:rsidRPr="00A8517E">
              <w:rPr>
                <w:color w:val="000000"/>
                <w:sz w:val="20"/>
                <w:szCs w:val="20"/>
                <w:lang w:val="en-MY"/>
              </w:rPr>
              <w:t>0.1</w:t>
            </w:r>
          </w:p>
        </w:tc>
      </w:tr>
      <w:tr w:rsidR="003824F4" w:rsidRPr="00A8517E" w14:paraId="6B6F9293" w14:textId="77777777" w:rsidTr="00A8517E">
        <w:trPr>
          <w:cantSplit/>
          <w:trHeight w:val="170"/>
        </w:trPr>
        <w:tc>
          <w:tcPr>
            <w:tcW w:w="1757" w:type="dxa"/>
            <w:shd w:val="clear" w:color="auto" w:fill="auto"/>
            <w:vAlign w:val="center"/>
            <w:hideMark/>
          </w:tcPr>
          <w:p w14:paraId="394DDDD8" w14:textId="77777777" w:rsidR="003824F4" w:rsidRPr="00A8517E" w:rsidRDefault="003824F4" w:rsidP="00300A09">
            <w:pPr>
              <w:rPr>
                <w:color w:val="000000"/>
                <w:sz w:val="20"/>
                <w:szCs w:val="20"/>
                <w:lang w:val="en-MY"/>
              </w:rPr>
            </w:pPr>
            <w:r w:rsidRPr="00A8517E">
              <w:rPr>
                <w:color w:val="000000"/>
                <w:sz w:val="20"/>
                <w:szCs w:val="20"/>
                <w:lang w:val="en-US"/>
              </w:rPr>
              <w:t>Johor</w:t>
            </w:r>
          </w:p>
        </w:tc>
        <w:tc>
          <w:tcPr>
            <w:tcW w:w="0" w:type="auto"/>
            <w:shd w:val="clear" w:color="auto" w:fill="auto"/>
            <w:vAlign w:val="center"/>
            <w:hideMark/>
          </w:tcPr>
          <w:p w14:paraId="7B447EFB" w14:textId="77777777" w:rsidR="003824F4" w:rsidRPr="00A8517E" w:rsidRDefault="003824F4" w:rsidP="00300A09">
            <w:pPr>
              <w:jc w:val="center"/>
              <w:rPr>
                <w:color w:val="000000"/>
                <w:sz w:val="20"/>
                <w:szCs w:val="20"/>
                <w:lang w:val="en-MY"/>
              </w:rPr>
            </w:pPr>
            <w:r w:rsidRPr="00A8517E">
              <w:rPr>
                <w:color w:val="000000"/>
                <w:sz w:val="20"/>
                <w:szCs w:val="20"/>
                <w:lang w:val="en-US"/>
              </w:rPr>
              <w:t>45.7</w:t>
            </w:r>
          </w:p>
        </w:tc>
        <w:tc>
          <w:tcPr>
            <w:tcW w:w="0" w:type="auto"/>
            <w:shd w:val="clear" w:color="auto" w:fill="auto"/>
            <w:vAlign w:val="center"/>
            <w:hideMark/>
          </w:tcPr>
          <w:p w14:paraId="0DC86962" w14:textId="77777777" w:rsidR="003824F4" w:rsidRPr="00A8517E" w:rsidRDefault="003824F4" w:rsidP="00300A09">
            <w:pPr>
              <w:jc w:val="center"/>
              <w:rPr>
                <w:color w:val="000000"/>
                <w:sz w:val="20"/>
                <w:szCs w:val="20"/>
                <w:lang w:val="en-MY"/>
              </w:rPr>
            </w:pPr>
            <w:r w:rsidRPr="00A8517E">
              <w:rPr>
                <w:color w:val="000000"/>
                <w:sz w:val="20"/>
                <w:szCs w:val="20"/>
                <w:lang w:val="en-US"/>
              </w:rPr>
              <w:t>18.2</w:t>
            </w:r>
          </w:p>
        </w:tc>
        <w:tc>
          <w:tcPr>
            <w:tcW w:w="0" w:type="auto"/>
            <w:shd w:val="clear" w:color="auto" w:fill="auto"/>
            <w:vAlign w:val="center"/>
            <w:hideMark/>
          </w:tcPr>
          <w:p w14:paraId="5C7F945D" w14:textId="77777777" w:rsidR="003824F4" w:rsidRPr="00A8517E" w:rsidRDefault="003824F4" w:rsidP="00300A09">
            <w:pPr>
              <w:jc w:val="center"/>
              <w:rPr>
                <w:color w:val="000000"/>
                <w:sz w:val="20"/>
                <w:szCs w:val="20"/>
                <w:lang w:val="en-MY"/>
              </w:rPr>
            </w:pPr>
            <w:r w:rsidRPr="00A8517E">
              <w:rPr>
                <w:color w:val="000000"/>
                <w:sz w:val="20"/>
                <w:szCs w:val="20"/>
                <w:lang w:val="en-US"/>
              </w:rPr>
              <w:t>12.2</w:t>
            </w:r>
          </w:p>
        </w:tc>
        <w:tc>
          <w:tcPr>
            <w:tcW w:w="0" w:type="auto"/>
            <w:shd w:val="clear" w:color="auto" w:fill="auto"/>
            <w:vAlign w:val="center"/>
            <w:hideMark/>
          </w:tcPr>
          <w:p w14:paraId="256BA3BB" w14:textId="77777777" w:rsidR="003824F4" w:rsidRPr="00A8517E" w:rsidRDefault="003824F4" w:rsidP="00300A09">
            <w:pPr>
              <w:jc w:val="center"/>
              <w:rPr>
                <w:color w:val="000000"/>
                <w:sz w:val="20"/>
                <w:szCs w:val="20"/>
                <w:lang w:val="en-MY"/>
              </w:rPr>
            </w:pPr>
            <w:r w:rsidRPr="00A8517E">
              <w:rPr>
                <w:color w:val="000000"/>
                <w:sz w:val="20"/>
                <w:szCs w:val="20"/>
                <w:lang w:val="en-US"/>
              </w:rPr>
              <w:t>9.8</w:t>
            </w:r>
          </w:p>
        </w:tc>
        <w:tc>
          <w:tcPr>
            <w:tcW w:w="0" w:type="auto"/>
            <w:shd w:val="clear" w:color="auto" w:fill="auto"/>
            <w:vAlign w:val="center"/>
            <w:hideMark/>
          </w:tcPr>
          <w:p w14:paraId="2D74FEA6" w14:textId="77777777" w:rsidR="003824F4" w:rsidRPr="00A8517E" w:rsidRDefault="003824F4" w:rsidP="00300A09">
            <w:pPr>
              <w:jc w:val="center"/>
              <w:rPr>
                <w:color w:val="000000"/>
                <w:sz w:val="20"/>
                <w:szCs w:val="20"/>
                <w:lang w:val="en-MY"/>
              </w:rPr>
            </w:pPr>
            <w:r w:rsidRPr="00A8517E">
              <w:rPr>
                <w:color w:val="000000"/>
                <w:sz w:val="20"/>
                <w:szCs w:val="20"/>
                <w:lang w:val="en-US"/>
              </w:rPr>
              <w:t>5.6</w:t>
            </w:r>
          </w:p>
        </w:tc>
        <w:tc>
          <w:tcPr>
            <w:tcW w:w="0" w:type="auto"/>
            <w:shd w:val="clear" w:color="auto" w:fill="auto"/>
            <w:vAlign w:val="center"/>
            <w:hideMark/>
          </w:tcPr>
          <w:p w14:paraId="7C59E53E" w14:textId="77777777" w:rsidR="003824F4" w:rsidRPr="00A8517E" w:rsidRDefault="003824F4" w:rsidP="00300A09">
            <w:pPr>
              <w:jc w:val="center"/>
              <w:rPr>
                <w:color w:val="000000"/>
                <w:sz w:val="20"/>
                <w:szCs w:val="20"/>
                <w:lang w:val="en-MY"/>
              </w:rPr>
            </w:pPr>
            <w:r w:rsidRPr="00A8517E">
              <w:rPr>
                <w:color w:val="000000"/>
                <w:sz w:val="20"/>
                <w:szCs w:val="20"/>
                <w:lang w:val="en-US"/>
              </w:rPr>
              <w:t>1.6</w:t>
            </w:r>
          </w:p>
        </w:tc>
        <w:tc>
          <w:tcPr>
            <w:tcW w:w="0" w:type="auto"/>
            <w:shd w:val="clear" w:color="auto" w:fill="auto"/>
            <w:vAlign w:val="center"/>
            <w:hideMark/>
          </w:tcPr>
          <w:p w14:paraId="1FBC6B8B" w14:textId="77777777" w:rsidR="003824F4" w:rsidRPr="00A8517E" w:rsidRDefault="003824F4" w:rsidP="00300A09">
            <w:pPr>
              <w:jc w:val="center"/>
              <w:rPr>
                <w:color w:val="000000"/>
                <w:sz w:val="20"/>
                <w:szCs w:val="20"/>
                <w:lang w:val="en-MY"/>
              </w:rPr>
            </w:pPr>
            <w:r w:rsidRPr="00A8517E">
              <w:rPr>
                <w:color w:val="000000"/>
                <w:sz w:val="20"/>
                <w:szCs w:val="20"/>
                <w:lang w:val="en-MY"/>
              </w:rPr>
              <w:t>3.1</w:t>
            </w:r>
          </w:p>
        </w:tc>
        <w:tc>
          <w:tcPr>
            <w:tcW w:w="0" w:type="auto"/>
            <w:shd w:val="clear" w:color="auto" w:fill="auto"/>
            <w:vAlign w:val="center"/>
            <w:hideMark/>
          </w:tcPr>
          <w:p w14:paraId="1A767C41" w14:textId="77777777" w:rsidR="003824F4" w:rsidRPr="00A8517E" w:rsidRDefault="003824F4" w:rsidP="00300A09">
            <w:pPr>
              <w:jc w:val="center"/>
              <w:rPr>
                <w:color w:val="000000"/>
                <w:sz w:val="20"/>
                <w:szCs w:val="20"/>
                <w:lang w:val="en-MY"/>
              </w:rPr>
            </w:pPr>
            <w:r w:rsidRPr="00A8517E">
              <w:rPr>
                <w:color w:val="000000"/>
                <w:sz w:val="20"/>
                <w:szCs w:val="20"/>
                <w:lang w:val="en-US"/>
              </w:rPr>
              <w:t>2.5</w:t>
            </w:r>
          </w:p>
        </w:tc>
        <w:tc>
          <w:tcPr>
            <w:tcW w:w="0" w:type="auto"/>
            <w:shd w:val="clear" w:color="auto" w:fill="auto"/>
            <w:vAlign w:val="center"/>
            <w:hideMark/>
          </w:tcPr>
          <w:p w14:paraId="4E898B66" w14:textId="77777777" w:rsidR="003824F4" w:rsidRPr="00A8517E" w:rsidRDefault="003824F4" w:rsidP="00300A09">
            <w:pPr>
              <w:jc w:val="center"/>
              <w:rPr>
                <w:color w:val="000000"/>
                <w:sz w:val="20"/>
                <w:szCs w:val="20"/>
                <w:lang w:val="en-MY"/>
              </w:rPr>
            </w:pPr>
            <w:r w:rsidRPr="00A8517E">
              <w:rPr>
                <w:color w:val="000000"/>
                <w:sz w:val="20"/>
                <w:szCs w:val="20"/>
                <w:lang w:val="en-US"/>
              </w:rPr>
              <w:t>1.5</w:t>
            </w:r>
          </w:p>
        </w:tc>
        <w:tc>
          <w:tcPr>
            <w:tcW w:w="0" w:type="auto"/>
            <w:shd w:val="clear" w:color="auto" w:fill="auto"/>
            <w:vAlign w:val="center"/>
            <w:hideMark/>
          </w:tcPr>
          <w:p w14:paraId="0DB5B454" w14:textId="77777777" w:rsidR="003824F4" w:rsidRPr="00A8517E" w:rsidRDefault="003824F4" w:rsidP="00300A09">
            <w:pPr>
              <w:jc w:val="center"/>
              <w:rPr>
                <w:color w:val="000000"/>
                <w:sz w:val="20"/>
                <w:szCs w:val="20"/>
                <w:lang w:val="en-MY"/>
              </w:rPr>
            </w:pPr>
            <w:r w:rsidRPr="00A8517E">
              <w:rPr>
                <w:color w:val="000000"/>
                <w:sz w:val="20"/>
                <w:szCs w:val="20"/>
                <w:lang w:val="en-US"/>
              </w:rPr>
              <w:t>1.3</w:t>
            </w:r>
          </w:p>
        </w:tc>
        <w:tc>
          <w:tcPr>
            <w:tcW w:w="0" w:type="auto"/>
            <w:shd w:val="clear" w:color="auto" w:fill="auto"/>
            <w:vAlign w:val="center"/>
            <w:hideMark/>
          </w:tcPr>
          <w:p w14:paraId="0ED3C00D" w14:textId="77777777" w:rsidR="003824F4" w:rsidRPr="00A8517E" w:rsidRDefault="003824F4" w:rsidP="00300A09">
            <w:pPr>
              <w:jc w:val="center"/>
              <w:rPr>
                <w:color w:val="000000"/>
                <w:sz w:val="20"/>
                <w:szCs w:val="20"/>
                <w:lang w:val="en-MY"/>
              </w:rPr>
            </w:pPr>
            <w:r w:rsidRPr="00A8517E">
              <w:rPr>
                <w:color w:val="000000"/>
                <w:sz w:val="20"/>
                <w:szCs w:val="20"/>
                <w:lang w:val="en-US"/>
              </w:rPr>
              <w:t>0.9</w:t>
            </w:r>
          </w:p>
        </w:tc>
        <w:tc>
          <w:tcPr>
            <w:tcW w:w="0" w:type="auto"/>
            <w:shd w:val="clear" w:color="auto" w:fill="auto"/>
            <w:vAlign w:val="center"/>
            <w:hideMark/>
          </w:tcPr>
          <w:p w14:paraId="6C7B7BC6" w14:textId="77777777" w:rsidR="003824F4" w:rsidRPr="00A8517E" w:rsidRDefault="003824F4" w:rsidP="00300A09">
            <w:pPr>
              <w:jc w:val="center"/>
              <w:rPr>
                <w:color w:val="000000"/>
                <w:sz w:val="20"/>
                <w:szCs w:val="20"/>
                <w:lang w:val="en-MY"/>
              </w:rPr>
            </w:pPr>
            <w:r w:rsidRPr="00A8517E">
              <w:rPr>
                <w:color w:val="000000"/>
                <w:sz w:val="20"/>
                <w:szCs w:val="20"/>
                <w:lang w:val="en-US"/>
              </w:rPr>
              <w:t>0.0</w:t>
            </w:r>
          </w:p>
        </w:tc>
        <w:tc>
          <w:tcPr>
            <w:tcW w:w="0" w:type="auto"/>
            <w:shd w:val="clear" w:color="auto" w:fill="auto"/>
            <w:vAlign w:val="center"/>
            <w:hideMark/>
          </w:tcPr>
          <w:p w14:paraId="58485EF4" w14:textId="77777777" w:rsidR="003824F4" w:rsidRPr="00A8517E" w:rsidRDefault="003824F4" w:rsidP="00300A09">
            <w:pPr>
              <w:jc w:val="center"/>
              <w:rPr>
                <w:color w:val="000000"/>
                <w:sz w:val="20"/>
                <w:szCs w:val="20"/>
                <w:lang w:val="en-MY"/>
              </w:rPr>
            </w:pPr>
            <w:r w:rsidRPr="00A8517E">
              <w:rPr>
                <w:color w:val="000000"/>
                <w:sz w:val="20"/>
                <w:szCs w:val="20"/>
                <w:lang w:val="en-US"/>
              </w:rPr>
              <w:t>0.0</w:t>
            </w:r>
          </w:p>
        </w:tc>
      </w:tr>
      <w:tr w:rsidR="003824F4" w:rsidRPr="00A8517E" w14:paraId="1957905A" w14:textId="77777777" w:rsidTr="00A8517E">
        <w:trPr>
          <w:trHeight w:val="170"/>
        </w:trPr>
        <w:tc>
          <w:tcPr>
            <w:tcW w:w="1757" w:type="dxa"/>
            <w:shd w:val="clear" w:color="auto" w:fill="auto"/>
            <w:vAlign w:val="center"/>
            <w:hideMark/>
          </w:tcPr>
          <w:p w14:paraId="32570CBC" w14:textId="77777777" w:rsidR="003824F4" w:rsidRPr="00A8517E" w:rsidRDefault="003824F4" w:rsidP="00300A09">
            <w:pPr>
              <w:rPr>
                <w:color w:val="000000"/>
                <w:sz w:val="20"/>
                <w:szCs w:val="20"/>
                <w:lang w:val="en-MY"/>
              </w:rPr>
            </w:pPr>
            <w:r w:rsidRPr="00A8517E">
              <w:rPr>
                <w:color w:val="000000"/>
                <w:sz w:val="20"/>
                <w:szCs w:val="20"/>
                <w:lang w:val="en-MY"/>
              </w:rPr>
              <w:t xml:space="preserve">Melaka </w:t>
            </w:r>
          </w:p>
        </w:tc>
        <w:tc>
          <w:tcPr>
            <w:tcW w:w="0" w:type="auto"/>
            <w:shd w:val="clear" w:color="auto" w:fill="auto"/>
            <w:noWrap/>
            <w:vAlign w:val="bottom"/>
            <w:hideMark/>
          </w:tcPr>
          <w:p w14:paraId="50906189" w14:textId="77777777" w:rsidR="003824F4" w:rsidRPr="00A8517E" w:rsidRDefault="003824F4" w:rsidP="00300A09">
            <w:pPr>
              <w:jc w:val="center"/>
              <w:rPr>
                <w:color w:val="000000"/>
                <w:sz w:val="20"/>
                <w:szCs w:val="20"/>
                <w:lang w:val="en-MY"/>
              </w:rPr>
            </w:pPr>
            <w:r w:rsidRPr="00A8517E">
              <w:rPr>
                <w:color w:val="000000"/>
                <w:sz w:val="20"/>
                <w:szCs w:val="20"/>
                <w:lang w:val="en-MY"/>
              </w:rPr>
              <w:t>44.9</w:t>
            </w:r>
          </w:p>
        </w:tc>
        <w:tc>
          <w:tcPr>
            <w:tcW w:w="0" w:type="auto"/>
            <w:shd w:val="clear" w:color="auto" w:fill="auto"/>
            <w:noWrap/>
            <w:vAlign w:val="bottom"/>
            <w:hideMark/>
          </w:tcPr>
          <w:p w14:paraId="4DFAAB6C" w14:textId="77777777" w:rsidR="003824F4" w:rsidRPr="00A8517E" w:rsidRDefault="003824F4" w:rsidP="00300A09">
            <w:pPr>
              <w:jc w:val="center"/>
              <w:rPr>
                <w:color w:val="000000"/>
                <w:sz w:val="20"/>
                <w:szCs w:val="20"/>
                <w:lang w:val="en-MY"/>
              </w:rPr>
            </w:pPr>
            <w:r w:rsidRPr="00A8517E">
              <w:rPr>
                <w:color w:val="000000"/>
                <w:sz w:val="20"/>
                <w:szCs w:val="20"/>
                <w:lang w:val="en-MY"/>
              </w:rPr>
              <w:t>20.4</w:t>
            </w:r>
          </w:p>
        </w:tc>
        <w:tc>
          <w:tcPr>
            <w:tcW w:w="0" w:type="auto"/>
            <w:shd w:val="clear" w:color="auto" w:fill="auto"/>
            <w:noWrap/>
            <w:vAlign w:val="bottom"/>
            <w:hideMark/>
          </w:tcPr>
          <w:p w14:paraId="248F223B" w14:textId="77777777" w:rsidR="003824F4" w:rsidRPr="00A8517E" w:rsidRDefault="003824F4" w:rsidP="00300A09">
            <w:pPr>
              <w:jc w:val="center"/>
              <w:rPr>
                <w:color w:val="000000"/>
                <w:sz w:val="20"/>
                <w:szCs w:val="20"/>
                <w:lang w:val="en-MY"/>
              </w:rPr>
            </w:pPr>
            <w:r w:rsidRPr="00A8517E">
              <w:rPr>
                <w:color w:val="000000"/>
                <w:sz w:val="20"/>
                <w:szCs w:val="20"/>
                <w:lang w:val="en-MY"/>
              </w:rPr>
              <w:t>15.8</w:t>
            </w:r>
          </w:p>
        </w:tc>
        <w:tc>
          <w:tcPr>
            <w:tcW w:w="0" w:type="auto"/>
            <w:shd w:val="clear" w:color="auto" w:fill="auto"/>
            <w:noWrap/>
            <w:vAlign w:val="bottom"/>
            <w:hideMark/>
          </w:tcPr>
          <w:p w14:paraId="2220FCAA" w14:textId="77777777" w:rsidR="003824F4" w:rsidRPr="00A8517E" w:rsidRDefault="003824F4" w:rsidP="00300A09">
            <w:pPr>
              <w:jc w:val="center"/>
              <w:rPr>
                <w:color w:val="000000"/>
                <w:sz w:val="20"/>
                <w:szCs w:val="20"/>
                <w:lang w:val="en-MY"/>
              </w:rPr>
            </w:pPr>
            <w:r w:rsidRPr="00A8517E">
              <w:rPr>
                <w:color w:val="000000"/>
                <w:sz w:val="20"/>
                <w:szCs w:val="20"/>
                <w:lang w:val="en-MY"/>
              </w:rPr>
              <w:t>12.4</w:t>
            </w:r>
          </w:p>
        </w:tc>
        <w:tc>
          <w:tcPr>
            <w:tcW w:w="0" w:type="auto"/>
            <w:shd w:val="clear" w:color="auto" w:fill="auto"/>
            <w:noWrap/>
            <w:vAlign w:val="bottom"/>
            <w:hideMark/>
          </w:tcPr>
          <w:p w14:paraId="6689C751" w14:textId="77777777" w:rsidR="003824F4" w:rsidRPr="00A8517E" w:rsidRDefault="003824F4" w:rsidP="00300A09">
            <w:pPr>
              <w:jc w:val="center"/>
              <w:rPr>
                <w:color w:val="000000"/>
                <w:sz w:val="20"/>
                <w:szCs w:val="20"/>
                <w:lang w:val="en-MY"/>
              </w:rPr>
            </w:pPr>
            <w:r w:rsidRPr="00A8517E">
              <w:rPr>
                <w:color w:val="000000"/>
                <w:sz w:val="20"/>
                <w:szCs w:val="20"/>
                <w:lang w:val="en-MY"/>
              </w:rPr>
              <w:t>8.5</w:t>
            </w:r>
          </w:p>
        </w:tc>
        <w:tc>
          <w:tcPr>
            <w:tcW w:w="0" w:type="auto"/>
            <w:shd w:val="clear" w:color="auto" w:fill="auto"/>
            <w:noWrap/>
            <w:vAlign w:val="bottom"/>
            <w:hideMark/>
          </w:tcPr>
          <w:p w14:paraId="4EB06C28" w14:textId="77777777" w:rsidR="003824F4" w:rsidRPr="00A8517E" w:rsidRDefault="003824F4" w:rsidP="00300A09">
            <w:pPr>
              <w:jc w:val="center"/>
              <w:rPr>
                <w:color w:val="000000"/>
                <w:sz w:val="20"/>
                <w:szCs w:val="20"/>
                <w:lang w:val="en-MY"/>
              </w:rPr>
            </w:pPr>
            <w:r w:rsidRPr="00A8517E">
              <w:rPr>
                <w:color w:val="000000"/>
                <w:sz w:val="20"/>
                <w:szCs w:val="20"/>
                <w:lang w:val="en-MY"/>
              </w:rPr>
              <w:t>3.5</w:t>
            </w:r>
          </w:p>
        </w:tc>
        <w:tc>
          <w:tcPr>
            <w:tcW w:w="0" w:type="auto"/>
            <w:shd w:val="clear" w:color="auto" w:fill="auto"/>
            <w:noWrap/>
            <w:vAlign w:val="bottom"/>
            <w:hideMark/>
          </w:tcPr>
          <w:p w14:paraId="61320C6D" w14:textId="77777777" w:rsidR="003824F4" w:rsidRPr="00A8517E" w:rsidRDefault="003824F4" w:rsidP="00300A09">
            <w:pPr>
              <w:jc w:val="center"/>
              <w:rPr>
                <w:color w:val="000000"/>
                <w:sz w:val="20"/>
                <w:szCs w:val="20"/>
                <w:lang w:val="en-MY"/>
              </w:rPr>
            </w:pPr>
            <w:r w:rsidRPr="00A8517E">
              <w:rPr>
                <w:color w:val="000000"/>
                <w:sz w:val="20"/>
                <w:szCs w:val="20"/>
                <w:lang w:val="en-MY"/>
              </w:rPr>
              <w:t>2.9</w:t>
            </w:r>
          </w:p>
        </w:tc>
        <w:tc>
          <w:tcPr>
            <w:tcW w:w="0" w:type="auto"/>
            <w:shd w:val="clear" w:color="auto" w:fill="auto"/>
            <w:noWrap/>
            <w:vAlign w:val="bottom"/>
            <w:hideMark/>
          </w:tcPr>
          <w:p w14:paraId="58139FE4" w14:textId="77777777" w:rsidR="003824F4" w:rsidRPr="00A8517E" w:rsidRDefault="003824F4" w:rsidP="00300A09">
            <w:pPr>
              <w:jc w:val="center"/>
              <w:rPr>
                <w:color w:val="000000"/>
                <w:sz w:val="20"/>
                <w:szCs w:val="20"/>
                <w:lang w:val="en-MY"/>
              </w:rPr>
            </w:pPr>
            <w:r w:rsidRPr="00A8517E">
              <w:rPr>
                <w:color w:val="000000"/>
                <w:sz w:val="20"/>
                <w:szCs w:val="20"/>
                <w:lang w:val="en-MY"/>
              </w:rPr>
              <w:t>1.8</w:t>
            </w:r>
          </w:p>
        </w:tc>
        <w:tc>
          <w:tcPr>
            <w:tcW w:w="0" w:type="auto"/>
            <w:shd w:val="clear" w:color="auto" w:fill="auto"/>
            <w:noWrap/>
            <w:vAlign w:val="bottom"/>
            <w:hideMark/>
          </w:tcPr>
          <w:p w14:paraId="03E9D60F" w14:textId="77777777" w:rsidR="003824F4" w:rsidRPr="00A8517E" w:rsidRDefault="003824F4" w:rsidP="00300A09">
            <w:pPr>
              <w:jc w:val="center"/>
              <w:rPr>
                <w:color w:val="000000"/>
                <w:sz w:val="20"/>
                <w:szCs w:val="20"/>
                <w:lang w:val="en-MY"/>
              </w:rPr>
            </w:pPr>
            <w:r w:rsidRPr="00A8517E">
              <w:rPr>
                <w:color w:val="000000"/>
                <w:sz w:val="20"/>
                <w:szCs w:val="20"/>
                <w:lang w:val="en-MY"/>
              </w:rPr>
              <w:t>1.8</w:t>
            </w:r>
          </w:p>
        </w:tc>
        <w:tc>
          <w:tcPr>
            <w:tcW w:w="0" w:type="auto"/>
            <w:shd w:val="clear" w:color="auto" w:fill="auto"/>
            <w:noWrap/>
            <w:vAlign w:val="bottom"/>
            <w:hideMark/>
          </w:tcPr>
          <w:p w14:paraId="3CC5A3F6" w14:textId="77777777" w:rsidR="003824F4" w:rsidRPr="00A8517E" w:rsidRDefault="003824F4" w:rsidP="00300A09">
            <w:pPr>
              <w:jc w:val="center"/>
              <w:rPr>
                <w:color w:val="000000"/>
                <w:sz w:val="20"/>
                <w:szCs w:val="20"/>
                <w:lang w:val="en-MY"/>
              </w:rPr>
            </w:pPr>
            <w:r w:rsidRPr="00A8517E">
              <w:rPr>
                <w:color w:val="000000"/>
                <w:sz w:val="20"/>
                <w:szCs w:val="20"/>
                <w:lang w:val="en-MY"/>
              </w:rPr>
              <w:t>0.5</w:t>
            </w:r>
          </w:p>
        </w:tc>
        <w:tc>
          <w:tcPr>
            <w:tcW w:w="0" w:type="auto"/>
            <w:shd w:val="clear" w:color="auto" w:fill="auto"/>
            <w:noWrap/>
            <w:vAlign w:val="bottom"/>
            <w:hideMark/>
          </w:tcPr>
          <w:p w14:paraId="052FFC26" w14:textId="77777777" w:rsidR="003824F4" w:rsidRPr="00A8517E" w:rsidRDefault="003824F4" w:rsidP="00300A09">
            <w:pPr>
              <w:jc w:val="center"/>
              <w:rPr>
                <w:color w:val="000000"/>
                <w:sz w:val="20"/>
                <w:szCs w:val="20"/>
                <w:lang w:val="en-MY"/>
              </w:rPr>
            </w:pPr>
            <w:r w:rsidRPr="00A8517E">
              <w:rPr>
                <w:color w:val="000000"/>
                <w:sz w:val="20"/>
                <w:szCs w:val="20"/>
                <w:lang w:val="en-MY"/>
              </w:rPr>
              <w:t>0.1</w:t>
            </w:r>
          </w:p>
        </w:tc>
        <w:tc>
          <w:tcPr>
            <w:tcW w:w="0" w:type="auto"/>
            <w:shd w:val="clear" w:color="auto" w:fill="auto"/>
            <w:noWrap/>
            <w:vAlign w:val="bottom"/>
            <w:hideMark/>
          </w:tcPr>
          <w:p w14:paraId="1CE8E0E0" w14:textId="77777777" w:rsidR="003824F4" w:rsidRPr="00A8517E" w:rsidRDefault="003824F4" w:rsidP="00300A09">
            <w:pPr>
              <w:jc w:val="center"/>
              <w:rPr>
                <w:color w:val="000000"/>
                <w:sz w:val="20"/>
                <w:szCs w:val="20"/>
                <w:lang w:val="en-MY"/>
              </w:rPr>
            </w:pPr>
            <w:r w:rsidRPr="00A8517E">
              <w:rPr>
                <w:color w:val="000000"/>
                <w:sz w:val="20"/>
                <w:szCs w:val="20"/>
                <w:lang w:val="en-MY"/>
              </w:rPr>
              <w:t>0.1</w:t>
            </w:r>
          </w:p>
        </w:tc>
        <w:tc>
          <w:tcPr>
            <w:tcW w:w="0" w:type="auto"/>
            <w:shd w:val="clear" w:color="auto" w:fill="auto"/>
            <w:noWrap/>
            <w:vAlign w:val="bottom"/>
            <w:hideMark/>
          </w:tcPr>
          <w:p w14:paraId="2D07A527"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r>
      <w:tr w:rsidR="003824F4" w:rsidRPr="00A8517E" w14:paraId="01D5B79E" w14:textId="77777777" w:rsidTr="00A8517E">
        <w:trPr>
          <w:trHeight w:val="170"/>
        </w:trPr>
        <w:tc>
          <w:tcPr>
            <w:tcW w:w="1757" w:type="dxa"/>
            <w:shd w:val="clear" w:color="auto" w:fill="auto"/>
            <w:vAlign w:val="center"/>
            <w:hideMark/>
          </w:tcPr>
          <w:p w14:paraId="4F49959A" w14:textId="77777777" w:rsidR="003824F4" w:rsidRPr="00A8517E" w:rsidRDefault="003824F4" w:rsidP="00300A09">
            <w:pPr>
              <w:rPr>
                <w:color w:val="000000"/>
                <w:sz w:val="20"/>
                <w:szCs w:val="20"/>
                <w:lang w:val="en-MY"/>
              </w:rPr>
            </w:pPr>
            <w:r w:rsidRPr="00A8517E">
              <w:rPr>
                <w:color w:val="000000"/>
                <w:sz w:val="20"/>
                <w:szCs w:val="20"/>
                <w:lang w:val="en-MY"/>
              </w:rPr>
              <w:t>Selangor</w:t>
            </w:r>
          </w:p>
        </w:tc>
        <w:tc>
          <w:tcPr>
            <w:tcW w:w="0" w:type="auto"/>
            <w:shd w:val="clear" w:color="auto" w:fill="auto"/>
            <w:noWrap/>
            <w:vAlign w:val="bottom"/>
            <w:hideMark/>
          </w:tcPr>
          <w:p w14:paraId="54FD04AB" w14:textId="77777777" w:rsidR="003824F4" w:rsidRPr="00A8517E" w:rsidRDefault="003824F4" w:rsidP="00300A09">
            <w:pPr>
              <w:jc w:val="center"/>
              <w:rPr>
                <w:color w:val="000000"/>
                <w:sz w:val="20"/>
                <w:szCs w:val="20"/>
                <w:lang w:val="en-MY"/>
              </w:rPr>
            </w:pPr>
            <w:r w:rsidRPr="00A8517E">
              <w:rPr>
                <w:color w:val="000000"/>
                <w:sz w:val="20"/>
                <w:szCs w:val="20"/>
                <w:lang w:val="en-MY"/>
              </w:rPr>
              <w:t>29.2</w:t>
            </w:r>
          </w:p>
        </w:tc>
        <w:tc>
          <w:tcPr>
            <w:tcW w:w="0" w:type="auto"/>
            <w:shd w:val="clear" w:color="auto" w:fill="auto"/>
            <w:noWrap/>
            <w:vAlign w:val="bottom"/>
            <w:hideMark/>
          </w:tcPr>
          <w:p w14:paraId="09A8F827" w14:textId="77777777" w:rsidR="003824F4" w:rsidRPr="00A8517E" w:rsidRDefault="003824F4" w:rsidP="00300A09">
            <w:pPr>
              <w:jc w:val="center"/>
              <w:rPr>
                <w:color w:val="000000"/>
                <w:sz w:val="20"/>
                <w:szCs w:val="20"/>
                <w:lang w:val="en-MY"/>
              </w:rPr>
            </w:pPr>
            <w:r w:rsidRPr="00A8517E">
              <w:rPr>
                <w:color w:val="000000"/>
                <w:sz w:val="20"/>
                <w:szCs w:val="20"/>
                <w:lang w:val="en-MY"/>
              </w:rPr>
              <w:t>14.5</w:t>
            </w:r>
          </w:p>
        </w:tc>
        <w:tc>
          <w:tcPr>
            <w:tcW w:w="0" w:type="auto"/>
            <w:shd w:val="clear" w:color="auto" w:fill="auto"/>
            <w:noWrap/>
            <w:vAlign w:val="bottom"/>
            <w:hideMark/>
          </w:tcPr>
          <w:p w14:paraId="3244B674" w14:textId="77777777" w:rsidR="003824F4" w:rsidRPr="00A8517E" w:rsidRDefault="003824F4" w:rsidP="00300A09">
            <w:pPr>
              <w:jc w:val="center"/>
              <w:rPr>
                <w:color w:val="000000"/>
                <w:sz w:val="20"/>
                <w:szCs w:val="20"/>
                <w:lang w:val="en-MY"/>
              </w:rPr>
            </w:pPr>
            <w:r w:rsidRPr="00A8517E">
              <w:rPr>
                <w:color w:val="000000"/>
                <w:sz w:val="20"/>
                <w:szCs w:val="20"/>
                <w:lang w:val="en-MY"/>
              </w:rPr>
              <w:t>8.6</w:t>
            </w:r>
          </w:p>
        </w:tc>
        <w:tc>
          <w:tcPr>
            <w:tcW w:w="0" w:type="auto"/>
            <w:shd w:val="clear" w:color="auto" w:fill="auto"/>
            <w:noWrap/>
            <w:vAlign w:val="bottom"/>
            <w:hideMark/>
          </w:tcPr>
          <w:p w14:paraId="11184228" w14:textId="77777777" w:rsidR="003824F4" w:rsidRPr="00A8517E" w:rsidRDefault="003824F4" w:rsidP="00300A09">
            <w:pPr>
              <w:jc w:val="center"/>
              <w:rPr>
                <w:color w:val="000000"/>
                <w:sz w:val="20"/>
                <w:szCs w:val="20"/>
                <w:lang w:val="en-MY"/>
              </w:rPr>
            </w:pPr>
            <w:r w:rsidRPr="00A8517E">
              <w:rPr>
                <w:color w:val="000000"/>
                <w:sz w:val="20"/>
                <w:szCs w:val="20"/>
                <w:lang w:val="en-MY"/>
              </w:rPr>
              <w:t>7.6</w:t>
            </w:r>
          </w:p>
        </w:tc>
        <w:tc>
          <w:tcPr>
            <w:tcW w:w="0" w:type="auto"/>
            <w:shd w:val="clear" w:color="auto" w:fill="auto"/>
            <w:noWrap/>
            <w:vAlign w:val="bottom"/>
            <w:hideMark/>
          </w:tcPr>
          <w:p w14:paraId="6AAEACFB" w14:textId="77777777" w:rsidR="003824F4" w:rsidRPr="00A8517E" w:rsidRDefault="003824F4" w:rsidP="00300A09">
            <w:pPr>
              <w:jc w:val="center"/>
              <w:rPr>
                <w:color w:val="000000"/>
                <w:sz w:val="20"/>
                <w:szCs w:val="20"/>
                <w:lang w:val="en-MY"/>
              </w:rPr>
            </w:pPr>
            <w:r w:rsidRPr="00A8517E">
              <w:rPr>
                <w:color w:val="000000"/>
                <w:sz w:val="20"/>
                <w:szCs w:val="20"/>
                <w:lang w:val="en-MY"/>
              </w:rPr>
              <w:t>4.3</w:t>
            </w:r>
          </w:p>
        </w:tc>
        <w:tc>
          <w:tcPr>
            <w:tcW w:w="0" w:type="auto"/>
            <w:shd w:val="clear" w:color="auto" w:fill="auto"/>
            <w:noWrap/>
            <w:vAlign w:val="bottom"/>
            <w:hideMark/>
          </w:tcPr>
          <w:p w14:paraId="4A2EF8B8" w14:textId="77777777" w:rsidR="003824F4" w:rsidRPr="00A8517E" w:rsidRDefault="003824F4" w:rsidP="00300A09">
            <w:pPr>
              <w:jc w:val="center"/>
              <w:rPr>
                <w:color w:val="000000"/>
                <w:sz w:val="20"/>
                <w:szCs w:val="20"/>
                <w:lang w:val="en-MY"/>
              </w:rPr>
            </w:pPr>
            <w:r w:rsidRPr="00A8517E">
              <w:rPr>
                <w:color w:val="000000"/>
                <w:sz w:val="20"/>
                <w:szCs w:val="20"/>
                <w:lang w:val="en-MY"/>
              </w:rPr>
              <w:t>1.3</w:t>
            </w:r>
          </w:p>
        </w:tc>
        <w:tc>
          <w:tcPr>
            <w:tcW w:w="0" w:type="auto"/>
            <w:shd w:val="clear" w:color="auto" w:fill="auto"/>
            <w:noWrap/>
            <w:vAlign w:val="bottom"/>
            <w:hideMark/>
          </w:tcPr>
          <w:p w14:paraId="07087507" w14:textId="77777777" w:rsidR="003824F4" w:rsidRPr="00A8517E" w:rsidRDefault="003824F4" w:rsidP="00300A09">
            <w:pPr>
              <w:jc w:val="center"/>
              <w:rPr>
                <w:color w:val="000000"/>
                <w:sz w:val="20"/>
                <w:szCs w:val="20"/>
                <w:lang w:val="en-MY"/>
              </w:rPr>
            </w:pPr>
            <w:r w:rsidRPr="00A8517E">
              <w:rPr>
                <w:color w:val="000000"/>
                <w:sz w:val="20"/>
                <w:szCs w:val="20"/>
                <w:lang w:val="en-MY"/>
              </w:rPr>
              <w:t>1.9</w:t>
            </w:r>
          </w:p>
        </w:tc>
        <w:tc>
          <w:tcPr>
            <w:tcW w:w="0" w:type="auto"/>
            <w:shd w:val="clear" w:color="auto" w:fill="auto"/>
            <w:noWrap/>
            <w:vAlign w:val="bottom"/>
            <w:hideMark/>
          </w:tcPr>
          <w:p w14:paraId="6A7E3A46" w14:textId="77777777" w:rsidR="003824F4" w:rsidRPr="00A8517E" w:rsidRDefault="003824F4" w:rsidP="00300A09">
            <w:pPr>
              <w:jc w:val="center"/>
              <w:rPr>
                <w:color w:val="000000"/>
                <w:sz w:val="20"/>
                <w:szCs w:val="20"/>
                <w:lang w:val="en-MY"/>
              </w:rPr>
            </w:pPr>
            <w:r w:rsidRPr="00A8517E">
              <w:rPr>
                <w:color w:val="000000"/>
                <w:sz w:val="20"/>
                <w:szCs w:val="20"/>
                <w:lang w:val="en-MY"/>
              </w:rPr>
              <w:t>1.1</w:t>
            </w:r>
          </w:p>
        </w:tc>
        <w:tc>
          <w:tcPr>
            <w:tcW w:w="0" w:type="auto"/>
            <w:shd w:val="clear" w:color="auto" w:fill="auto"/>
            <w:noWrap/>
            <w:vAlign w:val="bottom"/>
            <w:hideMark/>
          </w:tcPr>
          <w:p w14:paraId="078E7A22"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7FF010A3"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37BB3673" w14:textId="77777777" w:rsidR="003824F4" w:rsidRPr="00A8517E" w:rsidRDefault="003824F4" w:rsidP="00300A09">
            <w:pPr>
              <w:jc w:val="center"/>
              <w:rPr>
                <w:color w:val="000000"/>
                <w:sz w:val="20"/>
                <w:szCs w:val="20"/>
                <w:lang w:val="en-MY"/>
              </w:rPr>
            </w:pPr>
            <w:r w:rsidRPr="00A8517E">
              <w:rPr>
                <w:color w:val="000000"/>
                <w:sz w:val="20"/>
                <w:szCs w:val="20"/>
                <w:lang w:val="en-MY"/>
              </w:rPr>
              <w:t>0.4</w:t>
            </w:r>
          </w:p>
        </w:tc>
        <w:tc>
          <w:tcPr>
            <w:tcW w:w="0" w:type="auto"/>
            <w:shd w:val="clear" w:color="auto" w:fill="auto"/>
            <w:noWrap/>
            <w:vAlign w:val="bottom"/>
            <w:hideMark/>
          </w:tcPr>
          <w:p w14:paraId="2424AFB9" w14:textId="77777777" w:rsidR="003824F4" w:rsidRPr="00A8517E" w:rsidRDefault="003824F4" w:rsidP="00300A09">
            <w:pPr>
              <w:jc w:val="center"/>
              <w:rPr>
                <w:color w:val="000000"/>
                <w:sz w:val="20"/>
                <w:szCs w:val="20"/>
                <w:lang w:val="en-MY"/>
              </w:rPr>
            </w:pPr>
            <w:r w:rsidRPr="00A8517E">
              <w:rPr>
                <w:color w:val="000000"/>
                <w:sz w:val="20"/>
                <w:szCs w:val="20"/>
                <w:lang w:val="en-MY"/>
              </w:rPr>
              <w:t>0.2</w:t>
            </w:r>
          </w:p>
        </w:tc>
        <w:tc>
          <w:tcPr>
            <w:tcW w:w="0" w:type="auto"/>
            <w:shd w:val="clear" w:color="auto" w:fill="auto"/>
            <w:noWrap/>
            <w:vAlign w:val="bottom"/>
            <w:hideMark/>
          </w:tcPr>
          <w:p w14:paraId="2E760CCC"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r>
      <w:tr w:rsidR="003824F4" w:rsidRPr="00A8517E" w14:paraId="2D6C9AF9" w14:textId="77777777" w:rsidTr="00A8517E">
        <w:trPr>
          <w:trHeight w:val="170"/>
        </w:trPr>
        <w:tc>
          <w:tcPr>
            <w:tcW w:w="1757" w:type="dxa"/>
            <w:shd w:val="clear" w:color="auto" w:fill="auto"/>
            <w:vAlign w:val="center"/>
            <w:hideMark/>
          </w:tcPr>
          <w:p w14:paraId="7EF1E324" w14:textId="77777777" w:rsidR="003824F4" w:rsidRPr="00A8517E" w:rsidRDefault="003824F4" w:rsidP="00300A09">
            <w:pPr>
              <w:rPr>
                <w:color w:val="000000"/>
                <w:sz w:val="20"/>
                <w:szCs w:val="20"/>
                <w:lang w:val="en-MY"/>
              </w:rPr>
            </w:pPr>
            <w:r w:rsidRPr="00A8517E">
              <w:rPr>
                <w:color w:val="000000"/>
                <w:sz w:val="20"/>
                <w:szCs w:val="20"/>
                <w:lang w:val="en-MY"/>
              </w:rPr>
              <w:t>F.T Kuala Lumpur</w:t>
            </w:r>
          </w:p>
        </w:tc>
        <w:tc>
          <w:tcPr>
            <w:tcW w:w="0" w:type="auto"/>
            <w:shd w:val="clear" w:color="auto" w:fill="auto"/>
            <w:noWrap/>
            <w:vAlign w:val="bottom"/>
            <w:hideMark/>
          </w:tcPr>
          <w:p w14:paraId="20A3C582" w14:textId="77777777" w:rsidR="003824F4" w:rsidRPr="00A8517E" w:rsidRDefault="003824F4" w:rsidP="00300A09">
            <w:pPr>
              <w:jc w:val="center"/>
              <w:rPr>
                <w:color w:val="000000"/>
                <w:sz w:val="20"/>
                <w:szCs w:val="20"/>
                <w:lang w:val="en-MY"/>
              </w:rPr>
            </w:pPr>
            <w:r w:rsidRPr="00A8517E">
              <w:rPr>
                <w:color w:val="000000"/>
                <w:sz w:val="20"/>
                <w:szCs w:val="20"/>
                <w:lang w:val="en-MY"/>
              </w:rPr>
              <w:t>n.a</w:t>
            </w:r>
          </w:p>
        </w:tc>
        <w:tc>
          <w:tcPr>
            <w:tcW w:w="0" w:type="auto"/>
            <w:shd w:val="clear" w:color="auto" w:fill="auto"/>
            <w:noWrap/>
            <w:vAlign w:val="bottom"/>
            <w:hideMark/>
          </w:tcPr>
          <w:p w14:paraId="45DCC625" w14:textId="77777777" w:rsidR="003824F4" w:rsidRPr="00A8517E" w:rsidRDefault="003824F4" w:rsidP="00300A09">
            <w:pPr>
              <w:jc w:val="center"/>
              <w:rPr>
                <w:color w:val="000000"/>
                <w:sz w:val="20"/>
                <w:szCs w:val="20"/>
                <w:lang w:val="en-MY"/>
              </w:rPr>
            </w:pPr>
            <w:r w:rsidRPr="00A8517E">
              <w:rPr>
                <w:color w:val="000000"/>
                <w:sz w:val="20"/>
                <w:szCs w:val="20"/>
                <w:lang w:val="en-MY"/>
              </w:rPr>
              <w:t>n.a</w:t>
            </w:r>
          </w:p>
        </w:tc>
        <w:tc>
          <w:tcPr>
            <w:tcW w:w="0" w:type="auto"/>
            <w:shd w:val="clear" w:color="auto" w:fill="auto"/>
            <w:noWrap/>
            <w:vAlign w:val="bottom"/>
            <w:hideMark/>
          </w:tcPr>
          <w:p w14:paraId="41AA62F1" w14:textId="77777777" w:rsidR="003824F4" w:rsidRPr="00A8517E" w:rsidRDefault="003824F4" w:rsidP="00300A09">
            <w:pPr>
              <w:jc w:val="center"/>
              <w:rPr>
                <w:color w:val="000000"/>
                <w:sz w:val="20"/>
                <w:szCs w:val="20"/>
                <w:lang w:val="en-MY"/>
              </w:rPr>
            </w:pPr>
            <w:r w:rsidRPr="00A8517E">
              <w:rPr>
                <w:color w:val="000000"/>
                <w:sz w:val="20"/>
                <w:szCs w:val="20"/>
                <w:lang w:val="en-MY"/>
              </w:rPr>
              <w:t>4.9</w:t>
            </w:r>
          </w:p>
        </w:tc>
        <w:tc>
          <w:tcPr>
            <w:tcW w:w="0" w:type="auto"/>
            <w:shd w:val="clear" w:color="auto" w:fill="auto"/>
            <w:noWrap/>
            <w:vAlign w:val="bottom"/>
            <w:hideMark/>
          </w:tcPr>
          <w:p w14:paraId="40A287CD" w14:textId="77777777" w:rsidR="003824F4" w:rsidRPr="00A8517E" w:rsidRDefault="003824F4" w:rsidP="00300A09">
            <w:pPr>
              <w:jc w:val="center"/>
              <w:rPr>
                <w:color w:val="000000"/>
                <w:sz w:val="20"/>
                <w:szCs w:val="20"/>
                <w:lang w:val="en-MY"/>
              </w:rPr>
            </w:pPr>
            <w:r w:rsidRPr="00A8517E">
              <w:rPr>
                <w:color w:val="000000"/>
                <w:sz w:val="20"/>
                <w:szCs w:val="20"/>
                <w:lang w:val="en-MY"/>
              </w:rPr>
              <w:t>3.7</w:t>
            </w:r>
          </w:p>
        </w:tc>
        <w:tc>
          <w:tcPr>
            <w:tcW w:w="0" w:type="auto"/>
            <w:shd w:val="clear" w:color="auto" w:fill="auto"/>
            <w:noWrap/>
            <w:vAlign w:val="bottom"/>
            <w:hideMark/>
          </w:tcPr>
          <w:p w14:paraId="36408B8E" w14:textId="77777777" w:rsidR="003824F4" w:rsidRPr="00A8517E" w:rsidRDefault="003824F4" w:rsidP="00300A09">
            <w:pPr>
              <w:jc w:val="center"/>
              <w:rPr>
                <w:color w:val="000000"/>
                <w:sz w:val="20"/>
                <w:szCs w:val="20"/>
                <w:lang w:val="en-MY"/>
              </w:rPr>
            </w:pPr>
            <w:r w:rsidRPr="00A8517E">
              <w:rPr>
                <w:color w:val="000000"/>
                <w:sz w:val="20"/>
                <w:szCs w:val="20"/>
                <w:lang w:val="en-MY"/>
              </w:rPr>
              <w:t>1.7</w:t>
            </w:r>
          </w:p>
        </w:tc>
        <w:tc>
          <w:tcPr>
            <w:tcW w:w="0" w:type="auto"/>
            <w:shd w:val="clear" w:color="auto" w:fill="auto"/>
            <w:noWrap/>
            <w:vAlign w:val="bottom"/>
            <w:hideMark/>
          </w:tcPr>
          <w:p w14:paraId="65369662" w14:textId="77777777" w:rsidR="003824F4" w:rsidRPr="00A8517E" w:rsidRDefault="003824F4" w:rsidP="00300A09">
            <w:pPr>
              <w:jc w:val="center"/>
              <w:rPr>
                <w:color w:val="000000"/>
                <w:sz w:val="20"/>
                <w:szCs w:val="20"/>
                <w:lang w:val="en-MY"/>
              </w:rPr>
            </w:pPr>
            <w:r w:rsidRPr="00A8517E">
              <w:rPr>
                <w:color w:val="000000"/>
                <w:sz w:val="20"/>
                <w:szCs w:val="20"/>
                <w:lang w:val="en-MY"/>
              </w:rPr>
              <w:t>0.1</w:t>
            </w:r>
          </w:p>
        </w:tc>
        <w:tc>
          <w:tcPr>
            <w:tcW w:w="0" w:type="auto"/>
            <w:shd w:val="clear" w:color="auto" w:fill="auto"/>
            <w:noWrap/>
            <w:vAlign w:val="bottom"/>
            <w:hideMark/>
          </w:tcPr>
          <w:p w14:paraId="7A341899" w14:textId="77777777" w:rsidR="003824F4" w:rsidRPr="00A8517E" w:rsidRDefault="003824F4" w:rsidP="00300A09">
            <w:pPr>
              <w:jc w:val="center"/>
              <w:rPr>
                <w:color w:val="000000"/>
                <w:sz w:val="20"/>
                <w:szCs w:val="20"/>
                <w:lang w:val="en-MY"/>
              </w:rPr>
            </w:pPr>
            <w:r w:rsidRPr="00A8517E">
              <w:rPr>
                <w:color w:val="000000"/>
                <w:sz w:val="20"/>
                <w:szCs w:val="20"/>
                <w:lang w:val="en-MY"/>
              </w:rPr>
              <w:t>0.4</w:t>
            </w:r>
          </w:p>
        </w:tc>
        <w:tc>
          <w:tcPr>
            <w:tcW w:w="0" w:type="auto"/>
            <w:shd w:val="clear" w:color="auto" w:fill="auto"/>
            <w:noWrap/>
            <w:vAlign w:val="bottom"/>
            <w:hideMark/>
          </w:tcPr>
          <w:p w14:paraId="3BA08E1C" w14:textId="77777777" w:rsidR="003824F4" w:rsidRPr="00A8517E" w:rsidRDefault="003824F4" w:rsidP="00300A09">
            <w:pPr>
              <w:jc w:val="center"/>
              <w:rPr>
                <w:color w:val="000000"/>
                <w:sz w:val="20"/>
                <w:szCs w:val="20"/>
                <w:lang w:val="en-MY"/>
              </w:rPr>
            </w:pPr>
            <w:r w:rsidRPr="00A8517E">
              <w:rPr>
                <w:color w:val="000000"/>
                <w:sz w:val="20"/>
                <w:szCs w:val="20"/>
                <w:lang w:val="en-MY"/>
              </w:rPr>
              <w:t>0.5</w:t>
            </w:r>
          </w:p>
        </w:tc>
        <w:tc>
          <w:tcPr>
            <w:tcW w:w="0" w:type="auto"/>
            <w:shd w:val="clear" w:color="auto" w:fill="auto"/>
            <w:noWrap/>
            <w:vAlign w:val="bottom"/>
            <w:hideMark/>
          </w:tcPr>
          <w:p w14:paraId="19788AA3" w14:textId="77777777" w:rsidR="003824F4" w:rsidRPr="00A8517E" w:rsidRDefault="003824F4" w:rsidP="00300A09">
            <w:pPr>
              <w:jc w:val="center"/>
              <w:rPr>
                <w:color w:val="000000"/>
                <w:sz w:val="20"/>
                <w:szCs w:val="20"/>
                <w:lang w:val="en-MY"/>
              </w:rPr>
            </w:pPr>
            <w:r w:rsidRPr="00A8517E">
              <w:rPr>
                <w:color w:val="000000"/>
                <w:sz w:val="20"/>
                <w:szCs w:val="20"/>
                <w:lang w:val="en-MY"/>
              </w:rPr>
              <w:t>1.5</w:t>
            </w:r>
          </w:p>
        </w:tc>
        <w:tc>
          <w:tcPr>
            <w:tcW w:w="0" w:type="auto"/>
            <w:shd w:val="clear" w:color="auto" w:fill="auto"/>
            <w:noWrap/>
            <w:vAlign w:val="bottom"/>
            <w:hideMark/>
          </w:tcPr>
          <w:p w14:paraId="406B471D" w14:textId="77777777" w:rsidR="003824F4" w:rsidRPr="00A8517E" w:rsidRDefault="003824F4" w:rsidP="00300A09">
            <w:pPr>
              <w:jc w:val="center"/>
              <w:rPr>
                <w:color w:val="000000"/>
                <w:sz w:val="20"/>
                <w:szCs w:val="20"/>
                <w:lang w:val="en-MY"/>
              </w:rPr>
            </w:pPr>
            <w:r w:rsidRPr="00A8517E">
              <w:rPr>
                <w:color w:val="000000"/>
                <w:sz w:val="20"/>
                <w:szCs w:val="20"/>
                <w:lang w:val="en-MY"/>
              </w:rPr>
              <w:t>0.7</w:t>
            </w:r>
          </w:p>
        </w:tc>
        <w:tc>
          <w:tcPr>
            <w:tcW w:w="0" w:type="auto"/>
            <w:shd w:val="clear" w:color="auto" w:fill="auto"/>
            <w:noWrap/>
            <w:vAlign w:val="bottom"/>
            <w:hideMark/>
          </w:tcPr>
          <w:p w14:paraId="6E93EA57" w14:textId="77777777" w:rsidR="003824F4" w:rsidRPr="00A8517E" w:rsidRDefault="003824F4" w:rsidP="00300A09">
            <w:pPr>
              <w:jc w:val="center"/>
              <w:rPr>
                <w:color w:val="000000"/>
                <w:sz w:val="20"/>
                <w:szCs w:val="20"/>
                <w:lang w:val="en-MY"/>
              </w:rPr>
            </w:pPr>
            <w:r w:rsidRPr="00A8517E">
              <w:rPr>
                <w:color w:val="000000"/>
                <w:sz w:val="20"/>
                <w:szCs w:val="20"/>
                <w:lang w:val="en-MY"/>
              </w:rPr>
              <w:t>0.8</w:t>
            </w:r>
          </w:p>
        </w:tc>
        <w:tc>
          <w:tcPr>
            <w:tcW w:w="0" w:type="auto"/>
            <w:shd w:val="clear" w:color="auto" w:fill="auto"/>
            <w:noWrap/>
            <w:vAlign w:val="bottom"/>
            <w:hideMark/>
          </w:tcPr>
          <w:p w14:paraId="3B91FE65" w14:textId="77777777" w:rsidR="003824F4" w:rsidRPr="00A8517E" w:rsidRDefault="003824F4" w:rsidP="00300A09">
            <w:pPr>
              <w:jc w:val="center"/>
              <w:rPr>
                <w:color w:val="000000"/>
                <w:sz w:val="20"/>
                <w:szCs w:val="20"/>
                <w:lang w:val="en-MY"/>
              </w:rPr>
            </w:pPr>
            <w:r w:rsidRPr="00A8517E">
              <w:rPr>
                <w:color w:val="000000"/>
                <w:sz w:val="20"/>
                <w:szCs w:val="20"/>
                <w:lang w:val="en-MY"/>
              </w:rPr>
              <w:t>0.1</w:t>
            </w:r>
          </w:p>
        </w:tc>
        <w:tc>
          <w:tcPr>
            <w:tcW w:w="0" w:type="auto"/>
            <w:shd w:val="clear" w:color="auto" w:fill="auto"/>
            <w:noWrap/>
            <w:vAlign w:val="bottom"/>
            <w:hideMark/>
          </w:tcPr>
          <w:p w14:paraId="6AD94D05"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r>
      <w:tr w:rsidR="003824F4" w:rsidRPr="00A8517E" w14:paraId="0197B433" w14:textId="77777777" w:rsidTr="00A8517E">
        <w:trPr>
          <w:trHeight w:val="170"/>
        </w:trPr>
        <w:tc>
          <w:tcPr>
            <w:tcW w:w="1757" w:type="dxa"/>
            <w:tcBorders>
              <w:bottom w:val="single" w:sz="4" w:space="0" w:color="auto"/>
            </w:tcBorders>
            <w:shd w:val="clear" w:color="auto" w:fill="auto"/>
            <w:vAlign w:val="center"/>
            <w:hideMark/>
          </w:tcPr>
          <w:p w14:paraId="3A821A80" w14:textId="77777777" w:rsidR="003824F4" w:rsidRPr="00A8517E" w:rsidRDefault="003824F4" w:rsidP="00300A09">
            <w:pPr>
              <w:rPr>
                <w:color w:val="000000"/>
                <w:sz w:val="20"/>
                <w:szCs w:val="20"/>
                <w:lang w:val="en-MY"/>
              </w:rPr>
            </w:pPr>
            <w:r w:rsidRPr="00A8517E">
              <w:rPr>
                <w:color w:val="000000"/>
                <w:sz w:val="20"/>
                <w:szCs w:val="20"/>
                <w:lang w:val="en-MY"/>
              </w:rPr>
              <w:t>F.T Putrajaya</w:t>
            </w:r>
          </w:p>
        </w:tc>
        <w:tc>
          <w:tcPr>
            <w:tcW w:w="0" w:type="auto"/>
            <w:tcBorders>
              <w:bottom w:val="single" w:sz="4" w:space="0" w:color="auto"/>
            </w:tcBorders>
            <w:shd w:val="clear" w:color="auto" w:fill="auto"/>
            <w:noWrap/>
            <w:vAlign w:val="bottom"/>
            <w:hideMark/>
          </w:tcPr>
          <w:p w14:paraId="2C3F6463"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16FAF32C"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344FA438"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6E5BCBE3"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52A9B19C"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530F881C"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15E57D3B"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2001F8DB" w14:textId="77777777" w:rsidR="003824F4" w:rsidRPr="00A8517E" w:rsidRDefault="003824F4" w:rsidP="00300A09">
            <w:pPr>
              <w:jc w:val="center"/>
              <w:rPr>
                <w:color w:val="000000"/>
                <w:sz w:val="20"/>
                <w:szCs w:val="20"/>
                <w:lang w:val="en-MY"/>
              </w:rPr>
            </w:pPr>
            <w:r w:rsidRPr="00A8517E">
              <w:rPr>
                <w:color w:val="000000"/>
                <w:sz w:val="20"/>
                <w:szCs w:val="20"/>
                <w:lang w:val="en-MY"/>
              </w:rPr>
              <w:t>-</w:t>
            </w:r>
          </w:p>
        </w:tc>
        <w:tc>
          <w:tcPr>
            <w:tcW w:w="0" w:type="auto"/>
            <w:tcBorders>
              <w:bottom w:val="single" w:sz="4" w:space="0" w:color="auto"/>
            </w:tcBorders>
            <w:shd w:val="clear" w:color="auto" w:fill="auto"/>
            <w:noWrap/>
            <w:vAlign w:val="bottom"/>
            <w:hideMark/>
          </w:tcPr>
          <w:p w14:paraId="06B4BAC9"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c>
          <w:tcPr>
            <w:tcW w:w="0" w:type="auto"/>
            <w:tcBorders>
              <w:bottom w:val="single" w:sz="4" w:space="0" w:color="auto"/>
            </w:tcBorders>
            <w:shd w:val="clear" w:color="auto" w:fill="auto"/>
            <w:noWrap/>
            <w:vAlign w:val="bottom"/>
            <w:hideMark/>
          </w:tcPr>
          <w:p w14:paraId="5E6E6099"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c>
          <w:tcPr>
            <w:tcW w:w="0" w:type="auto"/>
            <w:tcBorders>
              <w:bottom w:val="single" w:sz="4" w:space="0" w:color="auto"/>
            </w:tcBorders>
            <w:shd w:val="clear" w:color="auto" w:fill="auto"/>
            <w:noWrap/>
            <w:vAlign w:val="bottom"/>
            <w:hideMark/>
          </w:tcPr>
          <w:p w14:paraId="4B7CB488"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c>
          <w:tcPr>
            <w:tcW w:w="0" w:type="auto"/>
            <w:tcBorders>
              <w:bottom w:val="single" w:sz="4" w:space="0" w:color="auto"/>
            </w:tcBorders>
            <w:shd w:val="clear" w:color="auto" w:fill="auto"/>
            <w:noWrap/>
            <w:vAlign w:val="bottom"/>
            <w:hideMark/>
          </w:tcPr>
          <w:p w14:paraId="0A26B547"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c>
          <w:tcPr>
            <w:tcW w:w="0" w:type="auto"/>
            <w:tcBorders>
              <w:bottom w:val="single" w:sz="4" w:space="0" w:color="auto"/>
            </w:tcBorders>
            <w:shd w:val="clear" w:color="auto" w:fill="auto"/>
            <w:noWrap/>
            <w:vAlign w:val="bottom"/>
            <w:hideMark/>
          </w:tcPr>
          <w:p w14:paraId="0A051F8A" w14:textId="77777777" w:rsidR="003824F4" w:rsidRPr="00A8517E" w:rsidRDefault="003824F4" w:rsidP="00300A09">
            <w:pPr>
              <w:jc w:val="center"/>
              <w:rPr>
                <w:color w:val="000000"/>
                <w:sz w:val="20"/>
                <w:szCs w:val="20"/>
                <w:lang w:val="en-MY"/>
              </w:rPr>
            </w:pPr>
            <w:r w:rsidRPr="00A8517E">
              <w:rPr>
                <w:color w:val="000000"/>
                <w:sz w:val="20"/>
                <w:szCs w:val="20"/>
                <w:lang w:val="en-MY"/>
              </w:rPr>
              <w:t>0.0</w:t>
            </w:r>
          </w:p>
        </w:tc>
      </w:tr>
    </w:tbl>
    <w:p w14:paraId="33E8AB72" w14:textId="77777777" w:rsidR="003824F4" w:rsidRPr="00A8517E" w:rsidRDefault="003824F4" w:rsidP="00300A09">
      <w:pPr>
        <w:jc w:val="both"/>
        <w:rPr>
          <w:sz w:val="20"/>
          <w:szCs w:val="20"/>
        </w:rPr>
      </w:pPr>
      <w:r w:rsidRPr="00A8517E">
        <w:rPr>
          <w:sz w:val="20"/>
          <w:szCs w:val="20"/>
        </w:rPr>
        <w:t xml:space="preserve">n.a. data not available </w:t>
      </w:r>
    </w:p>
    <w:p w14:paraId="0006009F" w14:textId="52F6A9CC" w:rsidR="003824F4" w:rsidRPr="00A8517E" w:rsidRDefault="003824F4" w:rsidP="00300A09">
      <w:pPr>
        <w:jc w:val="both"/>
        <w:rPr>
          <w:sz w:val="20"/>
          <w:szCs w:val="20"/>
        </w:rPr>
      </w:pPr>
      <w:r w:rsidRPr="00A8517E">
        <w:rPr>
          <w:sz w:val="20"/>
          <w:szCs w:val="20"/>
        </w:rPr>
        <w:t>Source: Dep</w:t>
      </w:r>
      <w:r w:rsidR="00380D44">
        <w:rPr>
          <w:sz w:val="20"/>
          <w:szCs w:val="20"/>
        </w:rPr>
        <w:t>artment of Statistics Malaysia, 2017a</w:t>
      </w:r>
    </w:p>
    <w:p w14:paraId="01528854" w14:textId="77777777" w:rsidR="003824F4" w:rsidRDefault="003824F4" w:rsidP="00300A09">
      <w:pPr>
        <w:pStyle w:val="ListParagraph"/>
        <w:spacing w:after="0" w:line="240" w:lineRule="auto"/>
        <w:ind w:left="0"/>
        <w:jc w:val="both"/>
        <w:rPr>
          <w:rFonts w:ascii="Times New Roman" w:hAnsi="Times New Roman" w:cs="Times New Roman"/>
          <w:bCs/>
          <w:sz w:val="24"/>
          <w:szCs w:val="24"/>
        </w:rPr>
      </w:pPr>
    </w:p>
    <w:p w14:paraId="1A667360" w14:textId="77777777" w:rsidR="00856B60" w:rsidRDefault="00856B60" w:rsidP="00300A09">
      <w:pPr>
        <w:pStyle w:val="Caption"/>
        <w:spacing w:after="0"/>
        <w:jc w:val="center"/>
        <w:rPr>
          <w:rFonts w:ascii="Times New Roman" w:hAnsi="Times New Roman" w:cs="Times New Roman"/>
          <w:b/>
          <w:i w:val="0"/>
          <w:iCs w:val="0"/>
          <w:color w:val="auto"/>
          <w:sz w:val="20"/>
          <w:szCs w:val="20"/>
        </w:rPr>
      </w:pPr>
      <w:bookmarkStart w:id="5" w:name="_Toc426323730"/>
    </w:p>
    <w:p w14:paraId="5644AEF5" w14:textId="50D51A80" w:rsidR="003824F4" w:rsidRDefault="003824F4" w:rsidP="00300A09">
      <w:pPr>
        <w:pStyle w:val="Caption"/>
        <w:spacing w:after="0"/>
        <w:jc w:val="center"/>
        <w:rPr>
          <w:rFonts w:ascii="Times New Roman" w:hAnsi="Times New Roman" w:cs="Times New Roman"/>
          <w:i w:val="0"/>
          <w:iCs w:val="0"/>
          <w:color w:val="auto"/>
          <w:sz w:val="20"/>
          <w:szCs w:val="20"/>
        </w:rPr>
      </w:pPr>
      <w:r w:rsidRPr="00832DCD">
        <w:rPr>
          <w:rFonts w:ascii="Times New Roman" w:hAnsi="Times New Roman" w:cs="Times New Roman"/>
          <w:b/>
          <w:i w:val="0"/>
          <w:iCs w:val="0"/>
          <w:color w:val="auto"/>
          <w:sz w:val="20"/>
          <w:szCs w:val="20"/>
        </w:rPr>
        <w:t>Table 2.</w:t>
      </w:r>
      <w:r w:rsidRPr="00832DCD">
        <w:rPr>
          <w:rFonts w:ascii="Times New Roman" w:hAnsi="Times New Roman" w:cs="Times New Roman"/>
          <w:i w:val="0"/>
          <w:iCs w:val="0"/>
          <w:color w:val="auto"/>
          <w:sz w:val="20"/>
          <w:szCs w:val="20"/>
        </w:rPr>
        <w:t xml:space="preserve"> Poverty incidence in Malaysia, by strata (percent)</w:t>
      </w:r>
      <w:bookmarkEnd w:id="5"/>
    </w:p>
    <w:p w14:paraId="7B280C87" w14:textId="77777777" w:rsidR="00832DCD" w:rsidRPr="00832DCD" w:rsidRDefault="00832DCD" w:rsidP="00300A09">
      <w:pPr>
        <w:rPr>
          <w:lang w:val="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604"/>
        <w:gridCol w:w="681"/>
        <w:gridCol w:w="605"/>
        <w:gridCol w:w="605"/>
        <w:gridCol w:w="606"/>
        <w:gridCol w:w="606"/>
        <w:gridCol w:w="606"/>
        <w:gridCol w:w="606"/>
        <w:gridCol w:w="606"/>
        <w:gridCol w:w="606"/>
        <w:gridCol w:w="606"/>
        <w:gridCol w:w="606"/>
        <w:gridCol w:w="606"/>
        <w:gridCol w:w="596"/>
      </w:tblGrid>
      <w:tr w:rsidR="003824F4" w:rsidRPr="00832DCD" w14:paraId="7103304B" w14:textId="77777777" w:rsidTr="00832DCD">
        <w:trPr>
          <w:cantSplit/>
          <w:trHeight w:val="176"/>
          <w:jc w:val="center"/>
        </w:trPr>
        <w:tc>
          <w:tcPr>
            <w:tcW w:w="331" w:type="pct"/>
            <w:tcBorders>
              <w:top w:val="single" w:sz="4" w:space="0" w:color="auto"/>
              <w:bottom w:val="single" w:sz="4" w:space="0" w:color="auto"/>
            </w:tcBorders>
            <w:shd w:val="clear" w:color="auto" w:fill="BDD6EE" w:themeFill="accent5" w:themeFillTint="66"/>
            <w:vAlign w:val="center"/>
          </w:tcPr>
          <w:p w14:paraId="23F8D1D7"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Year</w:t>
            </w:r>
          </w:p>
        </w:tc>
        <w:tc>
          <w:tcPr>
            <w:tcW w:w="331" w:type="pct"/>
            <w:tcBorders>
              <w:top w:val="single" w:sz="4" w:space="0" w:color="auto"/>
              <w:bottom w:val="single" w:sz="4" w:space="0" w:color="auto"/>
            </w:tcBorders>
            <w:shd w:val="clear" w:color="auto" w:fill="BDD6EE" w:themeFill="accent5" w:themeFillTint="66"/>
            <w:vAlign w:val="center"/>
          </w:tcPr>
          <w:p w14:paraId="1B96E7A5"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1970</w:t>
            </w:r>
          </w:p>
        </w:tc>
        <w:tc>
          <w:tcPr>
            <w:tcW w:w="372" w:type="pct"/>
            <w:tcBorders>
              <w:top w:val="single" w:sz="4" w:space="0" w:color="auto"/>
              <w:bottom w:val="single" w:sz="4" w:space="0" w:color="auto"/>
            </w:tcBorders>
            <w:shd w:val="clear" w:color="auto" w:fill="BDD6EE" w:themeFill="accent5" w:themeFillTint="66"/>
            <w:vAlign w:val="center"/>
          </w:tcPr>
          <w:p w14:paraId="074163CF"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1979</w:t>
            </w:r>
          </w:p>
        </w:tc>
        <w:tc>
          <w:tcPr>
            <w:tcW w:w="331" w:type="pct"/>
            <w:tcBorders>
              <w:top w:val="single" w:sz="4" w:space="0" w:color="auto"/>
              <w:bottom w:val="single" w:sz="4" w:space="0" w:color="auto"/>
            </w:tcBorders>
            <w:shd w:val="clear" w:color="auto" w:fill="BDD6EE" w:themeFill="accent5" w:themeFillTint="66"/>
            <w:vAlign w:val="center"/>
          </w:tcPr>
          <w:p w14:paraId="729EBEE2"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1980</w:t>
            </w:r>
          </w:p>
        </w:tc>
        <w:tc>
          <w:tcPr>
            <w:tcW w:w="331" w:type="pct"/>
            <w:tcBorders>
              <w:top w:val="single" w:sz="4" w:space="0" w:color="auto"/>
              <w:bottom w:val="single" w:sz="4" w:space="0" w:color="auto"/>
            </w:tcBorders>
            <w:shd w:val="clear" w:color="auto" w:fill="BDD6EE" w:themeFill="accent5" w:themeFillTint="66"/>
            <w:vAlign w:val="center"/>
          </w:tcPr>
          <w:p w14:paraId="4F0DD744"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1983</w:t>
            </w:r>
          </w:p>
        </w:tc>
        <w:tc>
          <w:tcPr>
            <w:tcW w:w="331" w:type="pct"/>
            <w:tcBorders>
              <w:top w:val="single" w:sz="4" w:space="0" w:color="auto"/>
              <w:bottom w:val="single" w:sz="4" w:space="0" w:color="auto"/>
            </w:tcBorders>
            <w:shd w:val="clear" w:color="auto" w:fill="BDD6EE" w:themeFill="accent5" w:themeFillTint="66"/>
            <w:vAlign w:val="center"/>
          </w:tcPr>
          <w:p w14:paraId="61082C95"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1984</w:t>
            </w:r>
          </w:p>
        </w:tc>
        <w:tc>
          <w:tcPr>
            <w:tcW w:w="331" w:type="pct"/>
            <w:tcBorders>
              <w:top w:val="single" w:sz="4" w:space="0" w:color="auto"/>
              <w:bottom w:val="single" w:sz="4" w:space="0" w:color="auto"/>
            </w:tcBorders>
            <w:shd w:val="clear" w:color="auto" w:fill="BDD6EE" w:themeFill="accent5" w:themeFillTint="66"/>
            <w:vAlign w:val="center"/>
          </w:tcPr>
          <w:p w14:paraId="11A34B04"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1989</w:t>
            </w:r>
          </w:p>
        </w:tc>
        <w:tc>
          <w:tcPr>
            <w:tcW w:w="331" w:type="pct"/>
            <w:tcBorders>
              <w:top w:val="single" w:sz="4" w:space="0" w:color="auto"/>
              <w:bottom w:val="single" w:sz="4" w:space="0" w:color="auto"/>
            </w:tcBorders>
            <w:shd w:val="clear" w:color="auto" w:fill="BDD6EE" w:themeFill="accent5" w:themeFillTint="66"/>
            <w:vAlign w:val="center"/>
          </w:tcPr>
          <w:p w14:paraId="408187BC"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1992</w:t>
            </w:r>
          </w:p>
        </w:tc>
        <w:tc>
          <w:tcPr>
            <w:tcW w:w="331" w:type="pct"/>
            <w:tcBorders>
              <w:top w:val="single" w:sz="4" w:space="0" w:color="auto"/>
              <w:bottom w:val="single" w:sz="4" w:space="0" w:color="auto"/>
            </w:tcBorders>
            <w:shd w:val="clear" w:color="auto" w:fill="BDD6EE" w:themeFill="accent5" w:themeFillTint="66"/>
            <w:vAlign w:val="center"/>
          </w:tcPr>
          <w:p w14:paraId="44410260"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1997</w:t>
            </w:r>
          </w:p>
        </w:tc>
        <w:tc>
          <w:tcPr>
            <w:tcW w:w="331" w:type="pct"/>
            <w:tcBorders>
              <w:top w:val="single" w:sz="4" w:space="0" w:color="auto"/>
              <w:bottom w:val="single" w:sz="4" w:space="0" w:color="auto"/>
            </w:tcBorders>
            <w:shd w:val="clear" w:color="auto" w:fill="BDD6EE" w:themeFill="accent5" w:themeFillTint="66"/>
            <w:vAlign w:val="center"/>
          </w:tcPr>
          <w:p w14:paraId="0D04F6DE"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2002</w:t>
            </w:r>
          </w:p>
        </w:tc>
        <w:tc>
          <w:tcPr>
            <w:tcW w:w="331" w:type="pct"/>
            <w:tcBorders>
              <w:top w:val="single" w:sz="4" w:space="0" w:color="auto"/>
              <w:bottom w:val="single" w:sz="4" w:space="0" w:color="auto"/>
            </w:tcBorders>
            <w:shd w:val="clear" w:color="auto" w:fill="BDD6EE" w:themeFill="accent5" w:themeFillTint="66"/>
            <w:vAlign w:val="center"/>
          </w:tcPr>
          <w:p w14:paraId="127F5BE6"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2007</w:t>
            </w:r>
          </w:p>
        </w:tc>
        <w:tc>
          <w:tcPr>
            <w:tcW w:w="331" w:type="pct"/>
            <w:tcBorders>
              <w:top w:val="single" w:sz="4" w:space="0" w:color="auto"/>
              <w:bottom w:val="single" w:sz="4" w:space="0" w:color="auto"/>
            </w:tcBorders>
            <w:shd w:val="clear" w:color="auto" w:fill="BDD6EE" w:themeFill="accent5" w:themeFillTint="66"/>
            <w:vAlign w:val="center"/>
          </w:tcPr>
          <w:p w14:paraId="3AF53157"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2009</w:t>
            </w:r>
          </w:p>
        </w:tc>
        <w:tc>
          <w:tcPr>
            <w:tcW w:w="331" w:type="pct"/>
            <w:tcBorders>
              <w:top w:val="single" w:sz="4" w:space="0" w:color="auto"/>
              <w:bottom w:val="single" w:sz="4" w:space="0" w:color="auto"/>
            </w:tcBorders>
            <w:shd w:val="clear" w:color="auto" w:fill="BDD6EE" w:themeFill="accent5" w:themeFillTint="66"/>
            <w:vAlign w:val="center"/>
          </w:tcPr>
          <w:p w14:paraId="6B72A594"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2012</w:t>
            </w:r>
          </w:p>
        </w:tc>
        <w:tc>
          <w:tcPr>
            <w:tcW w:w="331" w:type="pct"/>
            <w:tcBorders>
              <w:top w:val="single" w:sz="4" w:space="0" w:color="auto"/>
              <w:bottom w:val="single" w:sz="4" w:space="0" w:color="auto"/>
            </w:tcBorders>
            <w:shd w:val="clear" w:color="auto" w:fill="BDD6EE" w:themeFill="accent5" w:themeFillTint="66"/>
          </w:tcPr>
          <w:p w14:paraId="284709D7"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2014</w:t>
            </w:r>
          </w:p>
        </w:tc>
        <w:tc>
          <w:tcPr>
            <w:tcW w:w="331" w:type="pct"/>
            <w:tcBorders>
              <w:top w:val="single" w:sz="4" w:space="0" w:color="auto"/>
              <w:bottom w:val="single" w:sz="4" w:space="0" w:color="auto"/>
            </w:tcBorders>
            <w:shd w:val="clear" w:color="auto" w:fill="BDD6EE" w:themeFill="accent5" w:themeFillTint="66"/>
          </w:tcPr>
          <w:p w14:paraId="4851464F"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2016</w:t>
            </w:r>
          </w:p>
        </w:tc>
      </w:tr>
      <w:tr w:rsidR="003824F4" w:rsidRPr="00832DCD" w14:paraId="52E79B17" w14:textId="77777777" w:rsidTr="00832DCD">
        <w:trPr>
          <w:cantSplit/>
          <w:trHeight w:val="176"/>
          <w:jc w:val="center"/>
        </w:trPr>
        <w:tc>
          <w:tcPr>
            <w:tcW w:w="331" w:type="pct"/>
            <w:tcBorders>
              <w:top w:val="single" w:sz="4" w:space="0" w:color="auto"/>
            </w:tcBorders>
            <w:vAlign w:val="center"/>
          </w:tcPr>
          <w:p w14:paraId="2260A728"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Urban</w:t>
            </w:r>
          </w:p>
        </w:tc>
        <w:tc>
          <w:tcPr>
            <w:tcW w:w="331" w:type="pct"/>
            <w:tcBorders>
              <w:top w:val="single" w:sz="4" w:space="0" w:color="auto"/>
            </w:tcBorders>
            <w:vAlign w:val="center"/>
          </w:tcPr>
          <w:p w14:paraId="70F97163"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21.3</w:t>
            </w:r>
          </w:p>
        </w:tc>
        <w:tc>
          <w:tcPr>
            <w:tcW w:w="372" w:type="pct"/>
            <w:tcBorders>
              <w:top w:val="single" w:sz="4" w:space="0" w:color="auto"/>
            </w:tcBorders>
            <w:vAlign w:val="center"/>
          </w:tcPr>
          <w:p w14:paraId="2C7FC439"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17.5</w:t>
            </w:r>
          </w:p>
        </w:tc>
        <w:tc>
          <w:tcPr>
            <w:tcW w:w="331" w:type="pct"/>
            <w:tcBorders>
              <w:top w:val="single" w:sz="4" w:space="0" w:color="auto"/>
            </w:tcBorders>
            <w:vAlign w:val="center"/>
          </w:tcPr>
          <w:p w14:paraId="3C978FDB"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12.6</w:t>
            </w:r>
          </w:p>
        </w:tc>
        <w:tc>
          <w:tcPr>
            <w:tcW w:w="331" w:type="pct"/>
            <w:tcBorders>
              <w:top w:val="single" w:sz="4" w:space="0" w:color="auto"/>
            </w:tcBorders>
            <w:vAlign w:val="center"/>
          </w:tcPr>
          <w:p w14:paraId="1D769389"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11.1</w:t>
            </w:r>
          </w:p>
        </w:tc>
        <w:tc>
          <w:tcPr>
            <w:tcW w:w="331" w:type="pct"/>
            <w:tcBorders>
              <w:top w:val="single" w:sz="4" w:space="0" w:color="auto"/>
            </w:tcBorders>
            <w:vAlign w:val="center"/>
          </w:tcPr>
          <w:p w14:paraId="6906B37A"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8.5</w:t>
            </w:r>
          </w:p>
        </w:tc>
        <w:tc>
          <w:tcPr>
            <w:tcW w:w="331" w:type="pct"/>
            <w:tcBorders>
              <w:top w:val="single" w:sz="4" w:space="0" w:color="auto"/>
            </w:tcBorders>
            <w:vAlign w:val="center"/>
          </w:tcPr>
          <w:p w14:paraId="41203ED0"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7.1</w:t>
            </w:r>
          </w:p>
        </w:tc>
        <w:tc>
          <w:tcPr>
            <w:tcW w:w="331" w:type="pct"/>
            <w:tcBorders>
              <w:top w:val="single" w:sz="4" w:space="0" w:color="auto"/>
            </w:tcBorders>
            <w:vAlign w:val="center"/>
          </w:tcPr>
          <w:p w14:paraId="0D169632"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4.7</w:t>
            </w:r>
          </w:p>
        </w:tc>
        <w:tc>
          <w:tcPr>
            <w:tcW w:w="331" w:type="pct"/>
            <w:tcBorders>
              <w:top w:val="single" w:sz="4" w:space="0" w:color="auto"/>
            </w:tcBorders>
            <w:vAlign w:val="center"/>
          </w:tcPr>
          <w:p w14:paraId="368CAD78"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2.1</w:t>
            </w:r>
          </w:p>
        </w:tc>
        <w:tc>
          <w:tcPr>
            <w:tcW w:w="331" w:type="pct"/>
            <w:tcBorders>
              <w:top w:val="single" w:sz="4" w:space="0" w:color="auto"/>
            </w:tcBorders>
            <w:vAlign w:val="center"/>
          </w:tcPr>
          <w:p w14:paraId="4DE79C00"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2.3</w:t>
            </w:r>
          </w:p>
        </w:tc>
        <w:tc>
          <w:tcPr>
            <w:tcW w:w="331" w:type="pct"/>
            <w:tcBorders>
              <w:top w:val="single" w:sz="4" w:space="0" w:color="auto"/>
            </w:tcBorders>
            <w:vAlign w:val="center"/>
          </w:tcPr>
          <w:p w14:paraId="495889CF"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2.0</w:t>
            </w:r>
          </w:p>
        </w:tc>
        <w:tc>
          <w:tcPr>
            <w:tcW w:w="331" w:type="pct"/>
            <w:tcBorders>
              <w:top w:val="single" w:sz="4" w:space="0" w:color="auto"/>
            </w:tcBorders>
            <w:vAlign w:val="center"/>
          </w:tcPr>
          <w:p w14:paraId="64ABB3EC"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1.7</w:t>
            </w:r>
          </w:p>
        </w:tc>
        <w:tc>
          <w:tcPr>
            <w:tcW w:w="331" w:type="pct"/>
            <w:tcBorders>
              <w:top w:val="single" w:sz="4" w:space="0" w:color="auto"/>
            </w:tcBorders>
            <w:vAlign w:val="center"/>
          </w:tcPr>
          <w:p w14:paraId="2A2249E4"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1.0</w:t>
            </w:r>
          </w:p>
        </w:tc>
        <w:tc>
          <w:tcPr>
            <w:tcW w:w="331" w:type="pct"/>
            <w:tcBorders>
              <w:top w:val="single" w:sz="4" w:space="0" w:color="auto"/>
            </w:tcBorders>
          </w:tcPr>
          <w:p w14:paraId="00796B8D"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0.3</w:t>
            </w:r>
          </w:p>
        </w:tc>
        <w:tc>
          <w:tcPr>
            <w:tcW w:w="331" w:type="pct"/>
            <w:tcBorders>
              <w:top w:val="single" w:sz="4" w:space="0" w:color="auto"/>
            </w:tcBorders>
          </w:tcPr>
          <w:p w14:paraId="4D1FAAC8"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0.2</w:t>
            </w:r>
          </w:p>
        </w:tc>
      </w:tr>
      <w:tr w:rsidR="003824F4" w:rsidRPr="00832DCD" w14:paraId="405BA7C2" w14:textId="77777777" w:rsidTr="00832DCD">
        <w:trPr>
          <w:cantSplit/>
          <w:trHeight w:val="176"/>
          <w:jc w:val="center"/>
        </w:trPr>
        <w:tc>
          <w:tcPr>
            <w:tcW w:w="331" w:type="pct"/>
            <w:tcBorders>
              <w:bottom w:val="single" w:sz="4" w:space="0" w:color="auto"/>
            </w:tcBorders>
            <w:vAlign w:val="center"/>
          </w:tcPr>
          <w:p w14:paraId="1A359DE5"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Rural</w:t>
            </w:r>
          </w:p>
        </w:tc>
        <w:tc>
          <w:tcPr>
            <w:tcW w:w="331" w:type="pct"/>
            <w:tcBorders>
              <w:bottom w:val="single" w:sz="4" w:space="0" w:color="auto"/>
            </w:tcBorders>
            <w:vAlign w:val="center"/>
          </w:tcPr>
          <w:p w14:paraId="15F71A2F"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58.7</w:t>
            </w:r>
          </w:p>
        </w:tc>
        <w:tc>
          <w:tcPr>
            <w:tcW w:w="372" w:type="pct"/>
            <w:tcBorders>
              <w:bottom w:val="single" w:sz="4" w:space="0" w:color="auto"/>
            </w:tcBorders>
            <w:vAlign w:val="center"/>
          </w:tcPr>
          <w:p w14:paraId="43B43532"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45.8</w:t>
            </w:r>
          </w:p>
        </w:tc>
        <w:tc>
          <w:tcPr>
            <w:tcW w:w="331" w:type="pct"/>
            <w:tcBorders>
              <w:bottom w:val="single" w:sz="4" w:space="0" w:color="auto"/>
            </w:tcBorders>
            <w:vAlign w:val="center"/>
          </w:tcPr>
          <w:p w14:paraId="73699AE0"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37.4</w:t>
            </w:r>
          </w:p>
        </w:tc>
        <w:tc>
          <w:tcPr>
            <w:tcW w:w="331" w:type="pct"/>
            <w:tcBorders>
              <w:bottom w:val="single" w:sz="4" w:space="0" w:color="auto"/>
            </w:tcBorders>
            <w:vAlign w:val="center"/>
          </w:tcPr>
          <w:p w14:paraId="356769CE"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41.6</w:t>
            </w:r>
          </w:p>
        </w:tc>
        <w:tc>
          <w:tcPr>
            <w:tcW w:w="331" w:type="pct"/>
            <w:tcBorders>
              <w:bottom w:val="single" w:sz="4" w:space="0" w:color="auto"/>
            </w:tcBorders>
            <w:vAlign w:val="center"/>
          </w:tcPr>
          <w:p w14:paraId="5B52C300"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27.3</w:t>
            </w:r>
          </w:p>
        </w:tc>
        <w:tc>
          <w:tcPr>
            <w:tcW w:w="331" w:type="pct"/>
            <w:tcBorders>
              <w:bottom w:val="single" w:sz="4" w:space="0" w:color="auto"/>
            </w:tcBorders>
            <w:vAlign w:val="center"/>
          </w:tcPr>
          <w:p w14:paraId="110FB590"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21.1</w:t>
            </w:r>
          </w:p>
        </w:tc>
        <w:tc>
          <w:tcPr>
            <w:tcW w:w="331" w:type="pct"/>
            <w:tcBorders>
              <w:bottom w:val="single" w:sz="4" w:space="0" w:color="auto"/>
            </w:tcBorders>
            <w:vAlign w:val="center"/>
          </w:tcPr>
          <w:p w14:paraId="22B511A2"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21.2</w:t>
            </w:r>
          </w:p>
        </w:tc>
        <w:tc>
          <w:tcPr>
            <w:tcW w:w="331" w:type="pct"/>
            <w:tcBorders>
              <w:bottom w:val="single" w:sz="4" w:space="0" w:color="auto"/>
            </w:tcBorders>
            <w:vAlign w:val="center"/>
          </w:tcPr>
          <w:p w14:paraId="17722FCC"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10.9</w:t>
            </w:r>
          </w:p>
        </w:tc>
        <w:tc>
          <w:tcPr>
            <w:tcW w:w="331" w:type="pct"/>
            <w:tcBorders>
              <w:bottom w:val="single" w:sz="4" w:space="0" w:color="auto"/>
            </w:tcBorders>
            <w:vAlign w:val="center"/>
          </w:tcPr>
          <w:p w14:paraId="12A06494"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13.5</w:t>
            </w:r>
          </w:p>
        </w:tc>
        <w:tc>
          <w:tcPr>
            <w:tcW w:w="331" w:type="pct"/>
            <w:tcBorders>
              <w:bottom w:val="single" w:sz="4" w:space="0" w:color="auto"/>
            </w:tcBorders>
            <w:vAlign w:val="center"/>
          </w:tcPr>
          <w:p w14:paraId="2E3F2F79"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7.1</w:t>
            </w:r>
          </w:p>
        </w:tc>
        <w:tc>
          <w:tcPr>
            <w:tcW w:w="331" w:type="pct"/>
            <w:tcBorders>
              <w:bottom w:val="single" w:sz="4" w:space="0" w:color="auto"/>
            </w:tcBorders>
            <w:vAlign w:val="center"/>
          </w:tcPr>
          <w:p w14:paraId="490D0727"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8.4</w:t>
            </w:r>
          </w:p>
        </w:tc>
        <w:tc>
          <w:tcPr>
            <w:tcW w:w="331" w:type="pct"/>
            <w:tcBorders>
              <w:bottom w:val="single" w:sz="4" w:space="0" w:color="auto"/>
            </w:tcBorders>
            <w:vAlign w:val="center"/>
          </w:tcPr>
          <w:p w14:paraId="13D846FA"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3.4</w:t>
            </w:r>
          </w:p>
        </w:tc>
        <w:tc>
          <w:tcPr>
            <w:tcW w:w="331" w:type="pct"/>
            <w:tcBorders>
              <w:bottom w:val="single" w:sz="4" w:space="0" w:color="auto"/>
            </w:tcBorders>
          </w:tcPr>
          <w:p w14:paraId="6B279632"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1.6</w:t>
            </w:r>
          </w:p>
        </w:tc>
        <w:tc>
          <w:tcPr>
            <w:tcW w:w="331" w:type="pct"/>
            <w:tcBorders>
              <w:bottom w:val="single" w:sz="4" w:space="0" w:color="auto"/>
            </w:tcBorders>
          </w:tcPr>
          <w:p w14:paraId="68B9F0E6" w14:textId="77777777" w:rsidR="003824F4" w:rsidRPr="00832DCD" w:rsidRDefault="003824F4" w:rsidP="00300A09">
            <w:pPr>
              <w:jc w:val="both"/>
              <w:rPr>
                <w:rFonts w:ascii="Times New Roman" w:hAnsi="Times New Roman" w:cs="Times New Roman"/>
                <w:sz w:val="19"/>
                <w:szCs w:val="19"/>
              </w:rPr>
            </w:pPr>
            <w:r w:rsidRPr="00832DCD">
              <w:rPr>
                <w:rFonts w:ascii="Times New Roman" w:hAnsi="Times New Roman" w:cs="Times New Roman"/>
                <w:sz w:val="19"/>
                <w:szCs w:val="19"/>
              </w:rPr>
              <w:t>1.0</w:t>
            </w:r>
          </w:p>
        </w:tc>
      </w:tr>
    </w:tbl>
    <w:p w14:paraId="173F8F27" w14:textId="7DE3C2E3" w:rsidR="003824F4" w:rsidRPr="00832DCD" w:rsidRDefault="003824F4" w:rsidP="00300A09">
      <w:pPr>
        <w:jc w:val="both"/>
        <w:rPr>
          <w:sz w:val="20"/>
          <w:szCs w:val="20"/>
        </w:rPr>
      </w:pPr>
      <w:bookmarkStart w:id="6" w:name="_Toc426323731"/>
      <w:r w:rsidRPr="00832DCD">
        <w:rPr>
          <w:sz w:val="20"/>
          <w:szCs w:val="20"/>
        </w:rPr>
        <w:t>Source: Dep</w:t>
      </w:r>
      <w:r w:rsidR="00380D44">
        <w:rPr>
          <w:sz w:val="20"/>
          <w:szCs w:val="20"/>
        </w:rPr>
        <w:t>artment of Statistics Malaysia, 2017a</w:t>
      </w:r>
    </w:p>
    <w:bookmarkEnd w:id="6"/>
    <w:p w14:paraId="7C637E31" w14:textId="77777777" w:rsidR="003824F4" w:rsidRPr="00C54985" w:rsidRDefault="003824F4" w:rsidP="00300A09">
      <w:pPr>
        <w:jc w:val="both"/>
      </w:pPr>
    </w:p>
    <w:p w14:paraId="0FED1264" w14:textId="16C3B8C2" w:rsidR="003824F4" w:rsidRDefault="003824F4" w:rsidP="00300A09">
      <w:pPr>
        <w:pStyle w:val="Caption"/>
        <w:spacing w:after="0"/>
        <w:jc w:val="center"/>
        <w:rPr>
          <w:rFonts w:ascii="Times New Roman" w:hAnsi="Times New Roman" w:cs="Times New Roman"/>
          <w:i w:val="0"/>
          <w:iCs w:val="0"/>
          <w:color w:val="auto"/>
          <w:sz w:val="20"/>
          <w:szCs w:val="20"/>
        </w:rPr>
      </w:pPr>
      <w:r w:rsidRPr="00832DCD">
        <w:rPr>
          <w:rFonts w:ascii="Times New Roman" w:hAnsi="Times New Roman" w:cs="Times New Roman"/>
          <w:b/>
          <w:i w:val="0"/>
          <w:iCs w:val="0"/>
          <w:color w:val="auto"/>
          <w:sz w:val="20"/>
          <w:szCs w:val="20"/>
        </w:rPr>
        <w:lastRenderedPageBreak/>
        <w:t>Table 3.</w:t>
      </w:r>
      <w:r w:rsidRPr="00832DCD">
        <w:rPr>
          <w:rFonts w:ascii="Times New Roman" w:hAnsi="Times New Roman" w:cs="Times New Roman"/>
          <w:i w:val="0"/>
          <w:iCs w:val="0"/>
          <w:color w:val="auto"/>
          <w:sz w:val="20"/>
          <w:szCs w:val="20"/>
        </w:rPr>
        <w:t xml:space="preserve"> </w:t>
      </w:r>
      <w:r w:rsidR="00380D44">
        <w:rPr>
          <w:rFonts w:ascii="Times New Roman" w:hAnsi="Times New Roman" w:cs="Times New Roman"/>
          <w:i w:val="0"/>
          <w:iCs w:val="0"/>
          <w:color w:val="auto"/>
          <w:sz w:val="20"/>
          <w:szCs w:val="20"/>
        </w:rPr>
        <w:t xml:space="preserve"> </w:t>
      </w:r>
      <w:r w:rsidRPr="00832DCD">
        <w:rPr>
          <w:rFonts w:ascii="Times New Roman" w:hAnsi="Times New Roman" w:cs="Times New Roman"/>
          <w:i w:val="0"/>
          <w:iCs w:val="0"/>
          <w:color w:val="auto"/>
          <w:sz w:val="20"/>
          <w:szCs w:val="20"/>
        </w:rPr>
        <w:t>Poverty incidence in Malaysia, by ethnic group (percent)</w:t>
      </w:r>
    </w:p>
    <w:p w14:paraId="24CC086C" w14:textId="77777777" w:rsidR="00832DCD" w:rsidRPr="00832DCD" w:rsidRDefault="00832DCD" w:rsidP="00300A09">
      <w:pPr>
        <w:rPr>
          <w:lang w:val="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680"/>
        <w:gridCol w:w="616"/>
        <w:gridCol w:w="616"/>
        <w:gridCol w:w="616"/>
        <w:gridCol w:w="616"/>
        <w:gridCol w:w="616"/>
        <w:gridCol w:w="616"/>
        <w:gridCol w:w="616"/>
        <w:gridCol w:w="616"/>
        <w:gridCol w:w="616"/>
        <w:gridCol w:w="616"/>
        <w:gridCol w:w="616"/>
        <w:gridCol w:w="616"/>
      </w:tblGrid>
      <w:tr w:rsidR="003824F4" w:rsidRPr="00832DCD" w14:paraId="64E608AD" w14:textId="77777777" w:rsidTr="00832DCD">
        <w:trPr>
          <w:trHeight w:val="187"/>
          <w:jc w:val="center"/>
        </w:trPr>
        <w:tc>
          <w:tcPr>
            <w:tcW w:w="680" w:type="pct"/>
            <w:tcBorders>
              <w:top w:val="single" w:sz="4" w:space="0" w:color="auto"/>
              <w:bottom w:val="single" w:sz="4" w:space="0" w:color="auto"/>
            </w:tcBorders>
            <w:shd w:val="clear" w:color="auto" w:fill="BDD6EE" w:themeFill="accent5" w:themeFillTint="66"/>
            <w:noWrap/>
            <w:vAlign w:val="center"/>
            <w:hideMark/>
          </w:tcPr>
          <w:p w14:paraId="14E7521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Year</w:t>
            </w:r>
          </w:p>
        </w:tc>
        <w:tc>
          <w:tcPr>
            <w:tcW w:w="418" w:type="pct"/>
            <w:tcBorders>
              <w:top w:val="single" w:sz="4" w:space="0" w:color="auto"/>
              <w:bottom w:val="single" w:sz="4" w:space="0" w:color="auto"/>
            </w:tcBorders>
            <w:shd w:val="clear" w:color="auto" w:fill="BDD6EE" w:themeFill="accent5" w:themeFillTint="66"/>
            <w:noWrap/>
            <w:vAlign w:val="center"/>
            <w:hideMark/>
          </w:tcPr>
          <w:p w14:paraId="0944BB9C"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1970</w:t>
            </w:r>
          </w:p>
        </w:tc>
        <w:tc>
          <w:tcPr>
            <w:tcW w:w="359" w:type="pct"/>
            <w:tcBorders>
              <w:top w:val="single" w:sz="4" w:space="0" w:color="auto"/>
              <w:bottom w:val="single" w:sz="4" w:space="0" w:color="auto"/>
            </w:tcBorders>
            <w:shd w:val="clear" w:color="auto" w:fill="BDD6EE" w:themeFill="accent5" w:themeFillTint="66"/>
            <w:noWrap/>
            <w:vAlign w:val="center"/>
            <w:hideMark/>
          </w:tcPr>
          <w:p w14:paraId="2CDE0A31"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1979</w:t>
            </w:r>
          </w:p>
        </w:tc>
        <w:tc>
          <w:tcPr>
            <w:tcW w:w="359" w:type="pct"/>
            <w:tcBorders>
              <w:top w:val="single" w:sz="4" w:space="0" w:color="auto"/>
              <w:bottom w:val="single" w:sz="4" w:space="0" w:color="auto"/>
            </w:tcBorders>
            <w:shd w:val="clear" w:color="auto" w:fill="BDD6EE" w:themeFill="accent5" w:themeFillTint="66"/>
            <w:noWrap/>
            <w:vAlign w:val="center"/>
            <w:hideMark/>
          </w:tcPr>
          <w:p w14:paraId="5D39CE52"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1984</w:t>
            </w:r>
          </w:p>
        </w:tc>
        <w:tc>
          <w:tcPr>
            <w:tcW w:w="359" w:type="pct"/>
            <w:tcBorders>
              <w:top w:val="single" w:sz="4" w:space="0" w:color="auto"/>
              <w:bottom w:val="single" w:sz="4" w:space="0" w:color="auto"/>
            </w:tcBorders>
            <w:shd w:val="clear" w:color="auto" w:fill="BDD6EE" w:themeFill="accent5" w:themeFillTint="66"/>
            <w:noWrap/>
            <w:vAlign w:val="center"/>
            <w:hideMark/>
          </w:tcPr>
          <w:p w14:paraId="0DACF56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1989</w:t>
            </w:r>
          </w:p>
        </w:tc>
        <w:tc>
          <w:tcPr>
            <w:tcW w:w="359" w:type="pct"/>
            <w:tcBorders>
              <w:top w:val="single" w:sz="4" w:space="0" w:color="auto"/>
              <w:bottom w:val="single" w:sz="4" w:space="0" w:color="auto"/>
            </w:tcBorders>
            <w:shd w:val="clear" w:color="auto" w:fill="BDD6EE" w:themeFill="accent5" w:themeFillTint="66"/>
            <w:noWrap/>
            <w:vAlign w:val="center"/>
            <w:hideMark/>
          </w:tcPr>
          <w:p w14:paraId="3F506E67"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1992</w:t>
            </w:r>
          </w:p>
        </w:tc>
        <w:tc>
          <w:tcPr>
            <w:tcW w:w="359" w:type="pct"/>
            <w:tcBorders>
              <w:top w:val="single" w:sz="4" w:space="0" w:color="auto"/>
              <w:bottom w:val="single" w:sz="4" w:space="0" w:color="auto"/>
            </w:tcBorders>
            <w:shd w:val="clear" w:color="auto" w:fill="BDD6EE" w:themeFill="accent5" w:themeFillTint="66"/>
            <w:noWrap/>
            <w:vAlign w:val="center"/>
            <w:hideMark/>
          </w:tcPr>
          <w:p w14:paraId="0BA83F69"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1997</w:t>
            </w:r>
          </w:p>
        </w:tc>
        <w:tc>
          <w:tcPr>
            <w:tcW w:w="359" w:type="pct"/>
            <w:tcBorders>
              <w:top w:val="single" w:sz="4" w:space="0" w:color="auto"/>
              <w:bottom w:val="single" w:sz="4" w:space="0" w:color="auto"/>
            </w:tcBorders>
            <w:shd w:val="clear" w:color="auto" w:fill="BDD6EE" w:themeFill="accent5" w:themeFillTint="66"/>
            <w:noWrap/>
            <w:vAlign w:val="center"/>
            <w:hideMark/>
          </w:tcPr>
          <w:p w14:paraId="50955864"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1999</w:t>
            </w:r>
          </w:p>
        </w:tc>
        <w:tc>
          <w:tcPr>
            <w:tcW w:w="359" w:type="pct"/>
            <w:tcBorders>
              <w:top w:val="single" w:sz="4" w:space="0" w:color="auto"/>
              <w:bottom w:val="single" w:sz="4" w:space="0" w:color="auto"/>
            </w:tcBorders>
            <w:shd w:val="clear" w:color="auto" w:fill="BDD6EE" w:themeFill="accent5" w:themeFillTint="66"/>
            <w:noWrap/>
            <w:vAlign w:val="center"/>
            <w:hideMark/>
          </w:tcPr>
          <w:p w14:paraId="0C6CC57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2002</w:t>
            </w:r>
          </w:p>
        </w:tc>
        <w:tc>
          <w:tcPr>
            <w:tcW w:w="359" w:type="pct"/>
            <w:tcBorders>
              <w:top w:val="single" w:sz="4" w:space="0" w:color="auto"/>
              <w:bottom w:val="single" w:sz="4" w:space="0" w:color="auto"/>
            </w:tcBorders>
            <w:shd w:val="clear" w:color="auto" w:fill="BDD6EE" w:themeFill="accent5" w:themeFillTint="66"/>
            <w:noWrap/>
            <w:vAlign w:val="center"/>
            <w:hideMark/>
          </w:tcPr>
          <w:p w14:paraId="43E0A84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2004</w:t>
            </w:r>
          </w:p>
        </w:tc>
        <w:tc>
          <w:tcPr>
            <w:tcW w:w="359" w:type="pct"/>
            <w:tcBorders>
              <w:top w:val="single" w:sz="4" w:space="0" w:color="auto"/>
              <w:bottom w:val="single" w:sz="4" w:space="0" w:color="auto"/>
            </w:tcBorders>
            <w:shd w:val="clear" w:color="auto" w:fill="BDD6EE" w:themeFill="accent5" w:themeFillTint="66"/>
            <w:noWrap/>
            <w:vAlign w:val="center"/>
            <w:hideMark/>
          </w:tcPr>
          <w:p w14:paraId="1CA53052"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2009</w:t>
            </w:r>
          </w:p>
        </w:tc>
        <w:tc>
          <w:tcPr>
            <w:tcW w:w="359" w:type="pct"/>
            <w:tcBorders>
              <w:top w:val="single" w:sz="4" w:space="0" w:color="auto"/>
              <w:bottom w:val="single" w:sz="4" w:space="0" w:color="auto"/>
            </w:tcBorders>
            <w:shd w:val="clear" w:color="auto" w:fill="BDD6EE" w:themeFill="accent5" w:themeFillTint="66"/>
            <w:noWrap/>
            <w:vAlign w:val="center"/>
            <w:hideMark/>
          </w:tcPr>
          <w:p w14:paraId="083B82EC"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2012</w:t>
            </w:r>
          </w:p>
        </w:tc>
        <w:tc>
          <w:tcPr>
            <w:tcW w:w="156" w:type="pct"/>
            <w:tcBorders>
              <w:top w:val="single" w:sz="4" w:space="0" w:color="auto"/>
              <w:bottom w:val="single" w:sz="4" w:space="0" w:color="auto"/>
            </w:tcBorders>
            <w:shd w:val="clear" w:color="auto" w:fill="BDD6EE" w:themeFill="accent5" w:themeFillTint="66"/>
          </w:tcPr>
          <w:p w14:paraId="6E1A55F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2014</w:t>
            </w:r>
          </w:p>
        </w:tc>
        <w:tc>
          <w:tcPr>
            <w:tcW w:w="156" w:type="pct"/>
            <w:tcBorders>
              <w:top w:val="single" w:sz="4" w:space="0" w:color="auto"/>
              <w:bottom w:val="single" w:sz="4" w:space="0" w:color="auto"/>
            </w:tcBorders>
            <w:shd w:val="clear" w:color="auto" w:fill="BDD6EE" w:themeFill="accent5" w:themeFillTint="66"/>
          </w:tcPr>
          <w:p w14:paraId="036215AC"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2016</w:t>
            </w:r>
          </w:p>
        </w:tc>
      </w:tr>
      <w:tr w:rsidR="003824F4" w:rsidRPr="00832DCD" w14:paraId="319BBB61" w14:textId="77777777" w:rsidTr="00832DCD">
        <w:trPr>
          <w:trHeight w:val="187"/>
          <w:jc w:val="center"/>
        </w:trPr>
        <w:tc>
          <w:tcPr>
            <w:tcW w:w="680" w:type="pct"/>
            <w:tcBorders>
              <w:top w:val="single" w:sz="4" w:space="0" w:color="auto"/>
            </w:tcBorders>
            <w:noWrap/>
            <w:vAlign w:val="center"/>
            <w:hideMark/>
          </w:tcPr>
          <w:p w14:paraId="67E7C098"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Bumiputera</w:t>
            </w:r>
          </w:p>
        </w:tc>
        <w:tc>
          <w:tcPr>
            <w:tcW w:w="418" w:type="pct"/>
            <w:tcBorders>
              <w:top w:val="single" w:sz="4" w:space="0" w:color="auto"/>
            </w:tcBorders>
            <w:noWrap/>
            <w:vAlign w:val="center"/>
            <w:hideMark/>
          </w:tcPr>
          <w:p w14:paraId="40D468B3"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64.8</w:t>
            </w:r>
          </w:p>
        </w:tc>
        <w:tc>
          <w:tcPr>
            <w:tcW w:w="359" w:type="pct"/>
            <w:tcBorders>
              <w:top w:val="single" w:sz="4" w:space="0" w:color="auto"/>
            </w:tcBorders>
            <w:noWrap/>
            <w:vAlign w:val="center"/>
            <w:hideMark/>
          </w:tcPr>
          <w:p w14:paraId="2FC180EE"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49.2</w:t>
            </w:r>
          </w:p>
        </w:tc>
        <w:tc>
          <w:tcPr>
            <w:tcW w:w="359" w:type="pct"/>
            <w:tcBorders>
              <w:top w:val="single" w:sz="4" w:space="0" w:color="auto"/>
            </w:tcBorders>
            <w:noWrap/>
            <w:vAlign w:val="center"/>
            <w:hideMark/>
          </w:tcPr>
          <w:p w14:paraId="2D7C0580"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28.7</w:t>
            </w:r>
          </w:p>
        </w:tc>
        <w:tc>
          <w:tcPr>
            <w:tcW w:w="359" w:type="pct"/>
            <w:tcBorders>
              <w:top w:val="single" w:sz="4" w:space="0" w:color="auto"/>
            </w:tcBorders>
            <w:noWrap/>
            <w:vAlign w:val="center"/>
            <w:hideMark/>
          </w:tcPr>
          <w:p w14:paraId="09EBCD94"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23.0</w:t>
            </w:r>
          </w:p>
        </w:tc>
        <w:tc>
          <w:tcPr>
            <w:tcW w:w="359" w:type="pct"/>
            <w:tcBorders>
              <w:top w:val="single" w:sz="4" w:space="0" w:color="auto"/>
            </w:tcBorders>
            <w:noWrap/>
            <w:vAlign w:val="center"/>
            <w:hideMark/>
          </w:tcPr>
          <w:p w14:paraId="363A649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17.5</w:t>
            </w:r>
          </w:p>
        </w:tc>
        <w:tc>
          <w:tcPr>
            <w:tcW w:w="359" w:type="pct"/>
            <w:tcBorders>
              <w:top w:val="single" w:sz="4" w:space="0" w:color="auto"/>
            </w:tcBorders>
            <w:noWrap/>
            <w:vAlign w:val="center"/>
            <w:hideMark/>
          </w:tcPr>
          <w:p w14:paraId="79317C58"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9.0</w:t>
            </w:r>
          </w:p>
        </w:tc>
        <w:tc>
          <w:tcPr>
            <w:tcW w:w="359" w:type="pct"/>
            <w:tcBorders>
              <w:top w:val="single" w:sz="4" w:space="0" w:color="auto"/>
            </w:tcBorders>
            <w:noWrap/>
            <w:vAlign w:val="center"/>
            <w:hideMark/>
          </w:tcPr>
          <w:p w14:paraId="7A7C4276"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12.3</w:t>
            </w:r>
          </w:p>
        </w:tc>
        <w:tc>
          <w:tcPr>
            <w:tcW w:w="359" w:type="pct"/>
            <w:tcBorders>
              <w:top w:val="single" w:sz="4" w:space="0" w:color="auto"/>
            </w:tcBorders>
            <w:noWrap/>
            <w:vAlign w:val="center"/>
            <w:hideMark/>
          </w:tcPr>
          <w:p w14:paraId="0C0EAAD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9.0</w:t>
            </w:r>
          </w:p>
        </w:tc>
        <w:tc>
          <w:tcPr>
            <w:tcW w:w="359" w:type="pct"/>
            <w:tcBorders>
              <w:top w:val="single" w:sz="4" w:space="0" w:color="auto"/>
            </w:tcBorders>
            <w:noWrap/>
            <w:vAlign w:val="center"/>
            <w:hideMark/>
          </w:tcPr>
          <w:p w14:paraId="29BDE62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8.3</w:t>
            </w:r>
          </w:p>
        </w:tc>
        <w:tc>
          <w:tcPr>
            <w:tcW w:w="359" w:type="pct"/>
            <w:tcBorders>
              <w:top w:val="single" w:sz="4" w:space="0" w:color="auto"/>
            </w:tcBorders>
            <w:noWrap/>
            <w:vAlign w:val="center"/>
            <w:hideMark/>
          </w:tcPr>
          <w:p w14:paraId="75346340"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5.3</w:t>
            </w:r>
          </w:p>
        </w:tc>
        <w:tc>
          <w:tcPr>
            <w:tcW w:w="359" w:type="pct"/>
            <w:tcBorders>
              <w:top w:val="single" w:sz="4" w:space="0" w:color="auto"/>
            </w:tcBorders>
            <w:noWrap/>
            <w:vAlign w:val="center"/>
            <w:hideMark/>
          </w:tcPr>
          <w:p w14:paraId="75D087B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2.2</w:t>
            </w:r>
          </w:p>
        </w:tc>
        <w:tc>
          <w:tcPr>
            <w:tcW w:w="156" w:type="pct"/>
            <w:tcBorders>
              <w:top w:val="single" w:sz="4" w:space="0" w:color="auto"/>
            </w:tcBorders>
          </w:tcPr>
          <w:p w14:paraId="5BF31586"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0.8</w:t>
            </w:r>
          </w:p>
        </w:tc>
        <w:tc>
          <w:tcPr>
            <w:tcW w:w="156" w:type="pct"/>
            <w:tcBorders>
              <w:top w:val="single" w:sz="4" w:space="0" w:color="auto"/>
            </w:tcBorders>
          </w:tcPr>
          <w:p w14:paraId="178DAFBE"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0.5</w:t>
            </w:r>
          </w:p>
        </w:tc>
      </w:tr>
      <w:tr w:rsidR="003824F4" w:rsidRPr="00832DCD" w14:paraId="6F4DE72D" w14:textId="77777777" w:rsidTr="00832DCD">
        <w:trPr>
          <w:trHeight w:val="187"/>
          <w:jc w:val="center"/>
        </w:trPr>
        <w:tc>
          <w:tcPr>
            <w:tcW w:w="680" w:type="pct"/>
            <w:noWrap/>
            <w:vAlign w:val="center"/>
            <w:hideMark/>
          </w:tcPr>
          <w:p w14:paraId="3E704A49"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Chinese</w:t>
            </w:r>
          </w:p>
        </w:tc>
        <w:tc>
          <w:tcPr>
            <w:tcW w:w="418" w:type="pct"/>
            <w:noWrap/>
            <w:vAlign w:val="center"/>
            <w:hideMark/>
          </w:tcPr>
          <w:p w14:paraId="74DEA862"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26.0</w:t>
            </w:r>
          </w:p>
        </w:tc>
        <w:tc>
          <w:tcPr>
            <w:tcW w:w="359" w:type="pct"/>
            <w:noWrap/>
            <w:vAlign w:val="center"/>
            <w:hideMark/>
          </w:tcPr>
          <w:p w14:paraId="1CEEBDF3"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16.5</w:t>
            </w:r>
          </w:p>
        </w:tc>
        <w:tc>
          <w:tcPr>
            <w:tcW w:w="359" w:type="pct"/>
            <w:noWrap/>
            <w:vAlign w:val="center"/>
            <w:hideMark/>
          </w:tcPr>
          <w:p w14:paraId="0DF9E0F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7.8</w:t>
            </w:r>
          </w:p>
        </w:tc>
        <w:tc>
          <w:tcPr>
            <w:tcW w:w="359" w:type="pct"/>
            <w:noWrap/>
            <w:vAlign w:val="center"/>
            <w:hideMark/>
          </w:tcPr>
          <w:p w14:paraId="4638BE8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5.4</w:t>
            </w:r>
          </w:p>
        </w:tc>
        <w:tc>
          <w:tcPr>
            <w:tcW w:w="359" w:type="pct"/>
            <w:noWrap/>
            <w:vAlign w:val="center"/>
            <w:hideMark/>
          </w:tcPr>
          <w:p w14:paraId="09F1DD2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3.2</w:t>
            </w:r>
          </w:p>
        </w:tc>
        <w:tc>
          <w:tcPr>
            <w:tcW w:w="359" w:type="pct"/>
            <w:noWrap/>
            <w:vAlign w:val="center"/>
            <w:hideMark/>
          </w:tcPr>
          <w:p w14:paraId="1EBD8C57"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1.1</w:t>
            </w:r>
          </w:p>
        </w:tc>
        <w:tc>
          <w:tcPr>
            <w:tcW w:w="359" w:type="pct"/>
            <w:noWrap/>
            <w:vAlign w:val="center"/>
            <w:hideMark/>
          </w:tcPr>
          <w:p w14:paraId="68BDAC69"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1.2</w:t>
            </w:r>
          </w:p>
        </w:tc>
        <w:tc>
          <w:tcPr>
            <w:tcW w:w="359" w:type="pct"/>
            <w:noWrap/>
            <w:vAlign w:val="center"/>
            <w:hideMark/>
          </w:tcPr>
          <w:p w14:paraId="4F8C2AE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1.0</w:t>
            </w:r>
          </w:p>
        </w:tc>
        <w:tc>
          <w:tcPr>
            <w:tcW w:w="359" w:type="pct"/>
            <w:noWrap/>
            <w:vAlign w:val="center"/>
            <w:hideMark/>
          </w:tcPr>
          <w:p w14:paraId="4F57F727"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0.6</w:t>
            </w:r>
          </w:p>
        </w:tc>
        <w:tc>
          <w:tcPr>
            <w:tcW w:w="359" w:type="pct"/>
            <w:noWrap/>
            <w:vAlign w:val="center"/>
            <w:hideMark/>
          </w:tcPr>
          <w:p w14:paraId="7CB17552"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0.6</w:t>
            </w:r>
          </w:p>
        </w:tc>
        <w:tc>
          <w:tcPr>
            <w:tcW w:w="359" w:type="pct"/>
            <w:noWrap/>
            <w:vAlign w:val="center"/>
            <w:hideMark/>
          </w:tcPr>
          <w:p w14:paraId="3EEEC90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0.3</w:t>
            </w:r>
          </w:p>
        </w:tc>
        <w:tc>
          <w:tcPr>
            <w:tcW w:w="156" w:type="pct"/>
          </w:tcPr>
          <w:p w14:paraId="69A38761"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0.1</w:t>
            </w:r>
          </w:p>
        </w:tc>
        <w:tc>
          <w:tcPr>
            <w:tcW w:w="156" w:type="pct"/>
          </w:tcPr>
          <w:p w14:paraId="418D9304"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0.1</w:t>
            </w:r>
          </w:p>
        </w:tc>
      </w:tr>
      <w:tr w:rsidR="003824F4" w:rsidRPr="00832DCD" w14:paraId="5CE34A4D" w14:textId="77777777" w:rsidTr="00832DCD">
        <w:trPr>
          <w:trHeight w:val="187"/>
          <w:jc w:val="center"/>
        </w:trPr>
        <w:tc>
          <w:tcPr>
            <w:tcW w:w="680" w:type="pct"/>
            <w:noWrap/>
            <w:vAlign w:val="center"/>
            <w:hideMark/>
          </w:tcPr>
          <w:p w14:paraId="1AAAAAAD"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Indians</w:t>
            </w:r>
          </w:p>
        </w:tc>
        <w:tc>
          <w:tcPr>
            <w:tcW w:w="418" w:type="pct"/>
            <w:noWrap/>
            <w:vAlign w:val="center"/>
            <w:hideMark/>
          </w:tcPr>
          <w:p w14:paraId="2062761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39.2</w:t>
            </w:r>
          </w:p>
        </w:tc>
        <w:tc>
          <w:tcPr>
            <w:tcW w:w="359" w:type="pct"/>
            <w:noWrap/>
            <w:vAlign w:val="center"/>
            <w:hideMark/>
          </w:tcPr>
          <w:p w14:paraId="7C59B9AE"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19.8</w:t>
            </w:r>
          </w:p>
        </w:tc>
        <w:tc>
          <w:tcPr>
            <w:tcW w:w="359" w:type="pct"/>
            <w:noWrap/>
            <w:vAlign w:val="center"/>
            <w:hideMark/>
          </w:tcPr>
          <w:p w14:paraId="19353A2E"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10.1</w:t>
            </w:r>
          </w:p>
        </w:tc>
        <w:tc>
          <w:tcPr>
            <w:tcW w:w="359" w:type="pct"/>
            <w:noWrap/>
            <w:vAlign w:val="center"/>
            <w:hideMark/>
          </w:tcPr>
          <w:p w14:paraId="2A05B4D4"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7.6</w:t>
            </w:r>
          </w:p>
        </w:tc>
        <w:tc>
          <w:tcPr>
            <w:tcW w:w="359" w:type="pct"/>
            <w:noWrap/>
            <w:vAlign w:val="center"/>
            <w:hideMark/>
          </w:tcPr>
          <w:p w14:paraId="37F6F2B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4.5</w:t>
            </w:r>
          </w:p>
        </w:tc>
        <w:tc>
          <w:tcPr>
            <w:tcW w:w="359" w:type="pct"/>
            <w:noWrap/>
            <w:vAlign w:val="center"/>
            <w:hideMark/>
          </w:tcPr>
          <w:p w14:paraId="17CB590A"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1.3</w:t>
            </w:r>
          </w:p>
        </w:tc>
        <w:tc>
          <w:tcPr>
            <w:tcW w:w="359" w:type="pct"/>
            <w:noWrap/>
            <w:vAlign w:val="center"/>
            <w:hideMark/>
          </w:tcPr>
          <w:p w14:paraId="6F238B54"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3.4</w:t>
            </w:r>
          </w:p>
        </w:tc>
        <w:tc>
          <w:tcPr>
            <w:tcW w:w="359" w:type="pct"/>
            <w:noWrap/>
            <w:vAlign w:val="center"/>
            <w:hideMark/>
          </w:tcPr>
          <w:p w14:paraId="41A50648"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2.7</w:t>
            </w:r>
          </w:p>
        </w:tc>
        <w:tc>
          <w:tcPr>
            <w:tcW w:w="359" w:type="pct"/>
            <w:noWrap/>
            <w:vAlign w:val="center"/>
            <w:hideMark/>
          </w:tcPr>
          <w:p w14:paraId="72EEE03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2.9</w:t>
            </w:r>
          </w:p>
        </w:tc>
        <w:tc>
          <w:tcPr>
            <w:tcW w:w="359" w:type="pct"/>
            <w:noWrap/>
            <w:vAlign w:val="center"/>
            <w:hideMark/>
          </w:tcPr>
          <w:p w14:paraId="511D1CBC"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2.5</w:t>
            </w:r>
          </w:p>
        </w:tc>
        <w:tc>
          <w:tcPr>
            <w:tcW w:w="359" w:type="pct"/>
            <w:noWrap/>
            <w:vAlign w:val="center"/>
            <w:hideMark/>
          </w:tcPr>
          <w:p w14:paraId="64E44850"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1.8</w:t>
            </w:r>
          </w:p>
        </w:tc>
        <w:tc>
          <w:tcPr>
            <w:tcW w:w="156" w:type="pct"/>
          </w:tcPr>
          <w:p w14:paraId="24B7141C"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0.6</w:t>
            </w:r>
          </w:p>
        </w:tc>
        <w:tc>
          <w:tcPr>
            <w:tcW w:w="156" w:type="pct"/>
          </w:tcPr>
          <w:p w14:paraId="1E8B30FE"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0.1</w:t>
            </w:r>
          </w:p>
        </w:tc>
      </w:tr>
      <w:tr w:rsidR="003824F4" w:rsidRPr="00832DCD" w14:paraId="64CC86FE" w14:textId="77777777" w:rsidTr="00832DCD">
        <w:trPr>
          <w:trHeight w:val="187"/>
          <w:jc w:val="center"/>
        </w:trPr>
        <w:tc>
          <w:tcPr>
            <w:tcW w:w="680" w:type="pct"/>
            <w:tcBorders>
              <w:bottom w:val="single" w:sz="4" w:space="0" w:color="auto"/>
            </w:tcBorders>
            <w:noWrap/>
            <w:vAlign w:val="center"/>
            <w:hideMark/>
          </w:tcPr>
          <w:p w14:paraId="16A6577F"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Others</w:t>
            </w:r>
          </w:p>
        </w:tc>
        <w:tc>
          <w:tcPr>
            <w:tcW w:w="418" w:type="pct"/>
            <w:tcBorders>
              <w:bottom w:val="single" w:sz="4" w:space="0" w:color="auto"/>
            </w:tcBorders>
            <w:noWrap/>
            <w:vAlign w:val="center"/>
            <w:hideMark/>
          </w:tcPr>
          <w:p w14:paraId="06776FB8"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44.8</w:t>
            </w:r>
          </w:p>
        </w:tc>
        <w:tc>
          <w:tcPr>
            <w:tcW w:w="359" w:type="pct"/>
            <w:tcBorders>
              <w:bottom w:val="single" w:sz="4" w:space="0" w:color="auto"/>
            </w:tcBorders>
            <w:noWrap/>
            <w:vAlign w:val="center"/>
            <w:hideMark/>
          </w:tcPr>
          <w:p w14:paraId="2F058B62"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28.9</w:t>
            </w:r>
          </w:p>
        </w:tc>
        <w:tc>
          <w:tcPr>
            <w:tcW w:w="359" w:type="pct"/>
            <w:tcBorders>
              <w:bottom w:val="single" w:sz="4" w:space="0" w:color="auto"/>
            </w:tcBorders>
            <w:noWrap/>
            <w:vAlign w:val="center"/>
            <w:hideMark/>
          </w:tcPr>
          <w:p w14:paraId="02C1088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18.8</w:t>
            </w:r>
          </w:p>
        </w:tc>
        <w:tc>
          <w:tcPr>
            <w:tcW w:w="359" w:type="pct"/>
            <w:tcBorders>
              <w:bottom w:val="single" w:sz="4" w:space="0" w:color="auto"/>
            </w:tcBorders>
            <w:noWrap/>
            <w:vAlign w:val="center"/>
            <w:hideMark/>
          </w:tcPr>
          <w:p w14:paraId="42708898"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22.8</w:t>
            </w:r>
          </w:p>
        </w:tc>
        <w:tc>
          <w:tcPr>
            <w:tcW w:w="359" w:type="pct"/>
            <w:tcBorders>
              <w:bottom w:val="single" w:sz="4" w:space="0" w:color="auto"/>
            </w:tcBorders>
            <w:noWrap/>
            <w:vAlign w:val="center"/>
            <w:hideMark/>
          </w:tcPr>
          <w:p w14:paraId="7235047D"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21.7</w:t>
            </w:r>
          </w:p>
        </w:tc>
        <w:tc>
          <w:tcPr>
            <w:tcW w:w="359" w:type="pct"/>
            <w:tcBorders>
              <w:bottom w:val="single" w:sz="4" w:space="0" w:color="auto"/>
            </w:tcBorders>
            <w:noWrap/>
            <w:vAlign w:val="center"/>
            <w:hideMark/>
          </w:tcPr>
          <w:p w14:paraId="76FA1503"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13.0</w:t>
            </w:r>
          </w:p>
        </w:tc>
        <w:tc>
          <w:tcPr>
            <w:tcW w:w="359" w:type="pct"/>
            <w:tcBorders>
              <w:bottom w:val="single" w:sz="4" w:space="0" w:color="auto"/>
            </w:tcBorders>
            <w:noWrap/>
            <w:vAlign w:val="center"/>
            <w:hideMark/>
          </w:tcPr>
          <w:p w14:paraId="7304F99D"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25.5</w:t>
            </w:r>
          </w:p>
        </w:tc>
        <w:tc>
          <w:tcPr>
            <w:tcW w:w="359" w:type="pct"/>
            <w:tcBorders>
              <w:bottom w:val="single" w:sz="4" w:space="0" w:color="auto"/>
            </w:tcBorders>
            <w:noWrap/>
            <w:vAlign w:val="center"/>
            <w:hideMark/>
          </w:tcPr>
          <w:p w14:paraId="20E90109"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8.5</w:t>
            </w:r>
          </w:p>
        </w:tc>
        <w:tc>
          <w:tcPr>
            <w:tcW w:w="359" w:type="pct"/>
            <w:tcBorders>
              <w:bottom w:val="single" w:sz="4" w:space="0" w:color="auto"/>
            </w:tcBorders>
            <w:noWrap/>
            <w:vAlign w:val="center"/>
            <w:hideMark/>
          </w:tcPr>
          <w:p w14:paraId="25D979A2"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6.9</w:t>
            </w:r>
          </w:p>
        </w:tc>
        <w:tc>
          <w:tcPr>
            <w:tcW w:w="359" w:type="pct"/>
            <w:tcBorders>
              <w:bottom w:val="single" w:sz="4" w:space="0" w:color="auto"/>
            </w:tcBorders>
            <w:noWrap/>
            <w:vAlign w:val="center"/>
            <w:hideMark/>
          </w:tcPr>
          <w:p w14:paraId="231BFAA5"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6.7</w:t>
            </w:r>
          </w:p>
        </w:tc>
        <w:tc>
          <w:tcPr>
            <w:tcW w:w="359" w:type="pct"/>
            <w:tcBorders>
              <w:bottom w:val="single" w:sz="4" w:space="0" w:color="auto"/>
            </w:tcBorders>
            <w:noWrap/>
            <w:vAlign w:val="center"/>
            <w:hideMark/>
          </w:tcPr>
          <w:p w14:paraId="036B47AA"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1.5</w:t>
            </w:r>
          </w:p>
        </w:tc>
        <w:tc>
          <w:tcPr>
            <w:tcW w:w="156" w:type="pct"/>
            <w:tcBorders>
              <w:bottom w:val="single" w:sz="4" w:space="0" w:color="auto"/>
            </w:tcBorders>
          </w:tcPr>
          <w:p w14:paraId="45A8EF51"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0.9</w:t>
            </w:r>
          </w:p>
        </w:tc>
        <w:tc>
          <w:tcPr>
            <w:tcW w:w="156" w:type="pct"/>
            <w:tcBorders>
              <w:bottom w:val="single" w:sz="4" w:space="0" w:color="auto"/>
            </w:tcBorders>
          </w:tcPr>
          <w:p w14:paraId="7CF1D6DB" w14:textId="77777777" w:rsidR="003824F4" w:rsidRPr="00832DCD" w:rsidRDefault="003824F4" w:rsidP="00300A09">
            <w:pPr>
              <w:jc w:val="both"/>
              <w:rPr>
                <w:rFonts w:ascii="Times New Roman" w:hAnsi="Times New Roman" w:cs="Times New Roman"/>
                <w:sz w:val="20"/>
                <w:szCs w:val="20"/>
              </w:rPr>
            </w:pPr>
            <w:r w:rsidRPr="00832DCD">
              <w:rPr>
                <w:rFonts w:ascii="Times New Roman" w:hAnsi="Times New Roman" w:cs="Times New Roman"/>
                <w:sz w:val="20"/>
                <w:szCs w:val="20"/>
              </w:rPr>
              <w:t>1.5</w:t>
            </w:r>
          </w:p>
        </w:tc>
      </w:tr>
    </w:tbl>
    <w:p w14:paraId="1563ACCC" w14:textId="38CE121A" w:rsidR="003824F4" w:rsidRPr="00832DCD" w:rsidRDefault="003824F4" w:rsidP="00300A09">
      <w:pPr>
        <w:jc w:val="both"/>
        <w:rPr>
          <w:sz w:val="20"/>
          <w:szCs w:val="20"/>
        </w:rPr>
      </w:pPr>
      <w:r w:rsidRPr="00832DCD">
        <w:rPr>
          <w:sz w:val="20"/>
          <w:szCs w:val="20"/>
        </w:rPr>
        <w:t>Source: Dep</w:t>
      </w:r>
      <w:r w:rsidR="00380D44">
        <w:rPr>
          <w:sz w:val="20"/>
          <w:szCs w:val="20"/>
        </w:rPr>
        <w:t>artment of Statistics Malaysia, 2017a</w:t>
      </w:r>
    </w:p>
    <w:p w14:paraId="73090478" w14:textId="77777777" w:rsidR="003824F4" w:rsidRPr="00C54985" w:rsidRDefault="003824F4" w:rsidP="00300A09">
      <w:pPr>
        <w:ind w:firstLine="720"/>
        <w:jc w:val="both"/>
      </w:pPr>
    </w:p>
    <w:p w14:paraId="5000D9D5" w14:textId="63E1FAF7" w:rsidR="00330EF6" w:rsidRPr="00C54985" w:rsidRDefault="00330EF6" w:rsidP="00300A09">
      <w:pPr>
        <w:jc w:val="both"/>
      </w:pPr>
    </w:p>
    <w:p w14:paraId="5AC59C7A" w14:textId="40A06B0C" w:rsidR="00D91EDA" w:rsidRDefault="00D91EDA" w:rsidP="00300A09">
      <w:pPr>
        <w:pStyle w:val="Heading2"/>
        <w:spacing w:before="0" w:line="240" w:lineRule="auto"/>
        <w:rPr>
          <w:rFonts w:ascii="Times New Roman" w:hAnsi="Times New Roman" w:cs="Times New Roman"/>
          <w:sz w:val="24"/>
          <w:szCs w:val="24"/>
        </w:rPr>
      </w:pPr>
      <w:r w:rsidRPr="00C54985">
        <w:rPr>
          <w:rFonts w:ascii="Times New Roman" w:hAnsi="Times New Roman" w:cs="Times New Roman"/>
          <w:sz w:val="24"/>
          <w:szCs w:val="24"/>
        </w:rPr>
        <w:t>Literature review</w:t>
      </w:r>
    </w:p>
    <w:p w14:paraId="27116FFF" w14:textId="77777777" w:rsidR="00A276B7" w:rsidRPr="00A276B7" w:rsidRDefault="00A276B7" w:rsidP="00300A09"/>
    <w:p w14:paraId="6A10C83D" w14:textId="02499EC1" w:rsidR="00D91EDA" w:rsidRPr="00C54985" w:rsidRDefault="00D91EDA" w:rsidP="00300A09">
      <w:pPr>
        <w:jc w:val="both"/>
      </w:pPr>
      <w:r w:rsidRPr="00C54985">
        <w:t>There are three different approach</w:t>
      </w:r>
      <w:r w:rsidR="00C31172" w:rsidRPr="00C54985">
        <w:t>es</w:t>
      </w:r>
      <w:r w:rsidRPr="00C54985">
        <w:t xml:space="preserve"> </w:t>
      </w:r>
      <w:r w:rsidR="006A183E" w:rsidRPr="00C54985">
        <w:t xml:space="preserve">for </w:t>
      </w:r>
      <w:r w:rsidRPr="00C54985">
        <w:t xml:space="preserve">measuring poverty. The approaches are basic needs approach, monetary approach and capability approach. Food, water, shelter and clothing, education opportunity, health, security of </w:t>
      </w:r>
      <w:r w:rsidR="00C4781C" w:rsidRPr="00C54985">
        <w:t xml:space="preserve">the </w:t>
      </w:r>
      <w:r w:rsidRPr="00C54985">
        <w:rPr>
          <w:noProof/>
        </w:rPr>
        <w:t>individual</w:t>
      </w:r>
      <w:r w:rsidRPr="00C54985">
        <w:t xml:space="preserve">, participation in </w:t>
      </w:r>
      <w:r w:rsidR="00C4781C" w:rsidRPr="00C54985">
        <w:t xml:space="preserve">the </w:t>
      </w:r>
      <w:r w:rsidRPr="00C54985">
        <w:rPr>
          <w:noProof/>
        </w:rPr>
        <w:t>political</w:t>
      </w:r>
      <w:r w:rsidRPr="00C54985">
        <w:t xml:space="preserve"> process and access to assets such as education </w:t>
      </w:r>
      <w:r w:rsidRPr="00C54985">
        <w:rPr>
          <w:noProof/>
        </w:rPr>
        <w:t>are defined</w:t>
      </w:r>
      <w:r w:rsidRPr="00C54985">
        <w:t xml:space="preserve"> </w:t>
      </w:r>
      <w:r w:rsidR="006A183E" w:rsidRPr="00C54985">
        <w:t xml:space="preserve">as </w:t>
      </w:r>
      <w:r w:rsidRPr="00C54985">
        <w:t>basic needs (Sen</w:t>
      </w:r>
      <w:r w:rsidR="00201A4D" w:rsidRPr="00C54985">
        <w:t>,</w:t>
      </w:r>
      <w:r w:rsidRPr="00C54985">
        <w:t xml:space="preserve"> 199</w:t>
      </w:r>
      <w:r w:rsidR="00554CAF" w:rsidRPr="00C54985">
        <w:t>7</w:t>
      </w:r>
      <w:r w:rsidRPr="00C54985">
        <w:t>). T</w:t>
      </w:r>
      <w:r w:rsidRPr="00C54985">
        <w:rPr>
          <w:lang w:bidi="fa-IR"/>
        </w:rPr>
        <w:t>o measur</w:t>
      </w:r>
      <w:r w:rsidR="006A183E" w:rsidRPr="00C54985">
        <w:rPr>
          <w:lang w:bidi="fa-IR"/>
        </w:rPr>
        <w:t>e</w:t>
      </w:r>
      <w:r w:rsidRPr="00C54985">
        <w:rPr>
          <w:lang w:bidi="fa-IR"/>
        </w:rPr>
        <w:t xml:space="preserve"> income to show the depth of deprivation across countries, </w:t>
      </w:r>
      <w:r w:rsidRPr="00C54985">
        <w:t>the United Nations Development Programme (UNDP)</w:t>
      </w:r>
      <w:r w:rsidR="006A183E" w:rsidRPr="00C54985">
        <w:t xml:space="preserve"> developed the </w:t>
      </w:r>
      <w:r w:rsidRPr="00C54985">
        <w:t xml:space="preserve">Human Poverty Index (HPI). HPI is a composite index which uses three components </w:t>
      </w:r>
      <w:r w:rsidR="006A183E" w:rsidRPr="00C54985">
        <w:t xml:space="preserve">to </w:t>
      </w:r>
      <w:r w:rsidRPr="00C54985">
        <w:t>measur</w:t>
      </w:r>
      <w:r w:rsidR="006A183E" w:rsidRPr="00C54985">
        <w:t>e</w:t>
      </w:r>
      <w:r w:rsidRPr="00C54985">
        <w:t xml:space="preserve"> poverty </w:t>
      </w:r>
      <w:r w:rsidR="006A183E" w:rsidRPr="00C54985">
        <w:t xml:space="preserve">based on a </w:t>
      </w:r>
      <w:r w:rsidRPr="00C54985">
        <w:t>basic need</w:t>
      </w:r>
      <w:r w:rsidR="006A183E" w:rsidRPr="00C54985">
        <w:t>s</w:t>
      </w:r>
      <w:r w:rsidRPr="00C54985">
        <w:t xml:space="preserve"> approach; a short life, lack of basic education and lack of access to public and private resources (UNDP, 1997). According to Sen (1999), the first component relates to survival and vulnerability to death at an early age. In developing countries, the expected maximum age is before 40, and in developed countries, this expected amount is before 60. The second component relates to knowledge acquisition and </w:t>
      </w:r>
      <w:r w:rsidRPr="00C54985">
        <w:rPr>
          <w:noProof/>
        </w:rPr>
        <w:t>is measured</w:t>
      </w:r>
      <w:r w:rsidRPr="00C54985">
        <w:t xml:space="preserve"> by the percentage of adults in the country who are illiterate. The final component of the index relates to </w:t>
      </w:r>
      <w:r w:rsidR="00C4781C" w:rsidRPr="00C54985">
        <w:t xml:space="preserve">the </w:t>
      </w:r>
      <w:r w:rsidRPr="00C54985">
        <w:rPr>
          <w:noProof/>
        </w:rPr>
        <w:t>overall</w:t>
      </w:r>
      <w:r w:rsidRPr="00C54985">
        <w:t xml:space="preserve"> standard of living and is a combination of three variables: the percentage of people with access to health services and safe water and the percentage of malnourished children below the age of 5.</w:t>
      </w:r>
    </w:p>
    <w:p w14:paraId="1B1702B5" w14:textId="65CFA329" w:rsidR="00D91EDA" w:rsidRPr="00C54985" w:rsidRDefault="006A183E" w:rsidP="00300A09">
      <w:pPr>
        <w:ind w:firstLine="720"/>
        <w:jc w:val="both"/>
      </w:pPr>
      <w:r w:rsidRPr="00C54985">
        <w:t>The m</w:t>
      </w:r>
      <w:r w:rsidR="00D91EDA" w:rsidRPr="00C54985">
        <w:t>onetary approach</w:t>
      </w:r>
      <w:r w:rsidRPr="00C54985">
        <w:t>,</w:t>
      </w:r>
      <w:r w:rsidR="00D91EDA" w:rsidRPr="00C54985">
        <w:t xml:space="preserve"> monetary income or consumption has been a common approach </w:t>
      </w:r>
      <w:r w:rsidRPr="00C54985">
        <w:t xml:space="preserve">to </w:t>
      </w:r>
      <w:r w:rsidR="00D91EDA" w:rsidRPr="00C54985">
        <w:t xml:space="preserve">measuring and identification of quantities </w:t>
      </w:r>
      <w:r w:rsidRPr="00C54985">
        <w:t xml:space="preserve">in </w:t>
      </w:r>
      <w:r w:rsidR="00D91EDA" w:rsidRPr="00C54985">
        <w:t>poverty analysis. In this approach</w:t>
      </w:r>
      <w:r w:rsidRPr="00C54985">
        <w:t>, the</w:t>
      </w:r>
      <w:r w:rsidR="00D91EDA" w:rsidRPr="00C54985">
        <w:t xml:space="preserve"> shortfall of income or consumption from </w:t>
      </w:r>
      <w:r w:rsidRPr="00C54985">
        <w:t xml:space="preserve">the </w:t>
      </w:r>
      <w:r w:rsidR="00D91EDA" w:rsidRPr="00C54985">
        <w:t xml:space="preserve">poverty line </w:t>
      </w:r>
      <w:r w:rsidR="00C4781C" w:rsidRPr="00C54985">
        <w:rPr>
          <w:noProof/>
        </w:rPr>
        <w:t>is</w:t>
      </w:r>
      <w:r w:rsidR="00D91EDA" w:rsidRPr="00C54985">
        <w:t xml:space="preserve"> used </w:t>
      </w:r>
      <w:r w:rsidRPr="00C54985">
        <w:t xml:space="preserve">to </w:t>
      </w:r>
      <w:r w:rsidR="00D91EDA" w:rsidRPr="00C54985">
        <w:t>identify poverty (Ravallion, 1998). It has several strengths</w:t>
      </w:r>
      <w:r w:rsidRPr="00C54985">
        <w:t xml:space="preserve">; the </w:t>
      </w:r>
      <w:r w:rsidR="00D91EDA" w:rsidRPr="00C54985">
        <w:t xml:space="preserve">monetary approach can measure poverty at the national level because it </w:t>
      </w:r>
      <w:r w:rsidR="00D91EDA" w:rsidRPr="00C54985">
        <w:rPr>
          <w:noProof/>
        </w:rPr>
        <w:t>is based</w:t>
      </w:r>
      <w:r w:rsidR="00D91EDA" w:rsidRPr="00C54985">
        <w:t xml:space="preserve"> on nationally representative samples</w:t>
      </w:r>
      <w:r w:rsidRPr="00C54985">
        <w:t>. It</w:t>
      </w:r>
      <w:r w:rsidR="00D91EDA" w:rsidRPr="00C54985">
        <w:t xml:space="preserve"> also allows inferences about the conditions and evolution of poverty (World Bank, 2000). </w:t>
      </w:r>
      <w:r w:rsidRPr="00C54985">
        <w:t>Nevertheless, the m</w:t>
      </w:r>
      <w:r w:rsidR="00D91EDA" w:rsidRPr="00C54985">
        <w:t xml:space="preserve">onetary approach </w:t>
      </w:r>
      <w:r w:rsidR="003529A0" w:rsidRPr="00C54985">
        <w:t>is</w:t>
      </w:r>
      <w:r w:rsidR="00D91EDA" w:rsidRPr="00C54985">
        <w:t xml:space="preserve"> not problem free</w:t>
      </w:r>
      <w:r w:rsidRPr="00C54985">
        <w:t xml:space="preserve"> as</w:t>
      </w:r>
      <w:r w:rsidR="00D91EDA" w:rsidRPr="00C54985">
        <w:t xml:space="preserve"> measuring poverty between countries and over time often mak</w:t>
      </w:r>
      <w:r w:rsidRPr="00C54985">
        <w:t>es</w:t>
      </w:r>
      <w:r w:rsidR="00D91EDA" w:rsidRPr="00C54985">
        <w:t xml:space="preserve"> comparisons difficult. For example, some countries ask respondents about their food spending over the past month, while others do so for the past week. </w:t>
      </w:r>
      <w:r w:rsidRPr="00C54985">
        <w:t>M</w:t>
      </w:r>
      <w:r w:rsidR="00D91EDA" w:rsidRPr="00C54985">
        <w:t>onth</w:t>
      </w:r>
      <w:r w:rsidRPr="00C54985">
        <w:t>ly</w:t>
      </w:r>
      <w:r w:rsidR="00D91EDA" w:rsidRPr="00C54985">
        <w:t xml:space="preserve"> recall data tend</w:t>
      </w:r>
      <w:r w:rsidRPr="00C54985">
        <w:t>s</w:t>
      </w:r>
      <w:r w:rsidR="00D91EDA" w:rsidRPr="00C54985">
        <w:t xml:space="preserve"> to result in higher poverty estimates than one week recall data (World Bank, 2000). </w:t>
      </w:r>
      <w:r w:rsidRPr="00C54985">
        <w:t>The v</w:t>
      </w:r>
      <w:r w:rsidR="00D91EDA" w:rsidRPr="00C54985">
        <w:t xml:space="preserve">aluation of the different components of income or consumption </w:t>
      </w:r>
      <w:r w:rsidR="00D91EDA" w:rsidRPr="00C54985">
        <w:rPr>
          <w:noProof/>
        </w:rPr>
        <w:t>is done</w:t>
      </w:r>
      <w:r w:rsidR="00D91EDA" w:rsidRPr="00C54985">
        <w:t xml:space="preserve"> at market prices that require imputing the monetary values for the items. For goods that cannot </w:t>
      </w:r>
      <w:r w:rsidR="00D91EDA" w:rsidRPr="00C54985">
        <w:rPr>
          <w:noProof/>
        </w:rPr>
        <w:t>be valued</w:t>
      </w:r>
      <w:r w:rsidR="00D91EDA" w:rsidRPr="00C54985">
        <w:t xml:space="preserve"> at market prices (such as subsistence production and public goods), imputing monetary values is crucial for measuring poverty. The appeal of this approach to economists lies in being compatible with </w:t>
      </w:r>
      <w:r w:rsidR="00C4781C" w:rsidRPr="00C54985">
        <w:t xml:space="preserve">the </w:t>
      </w:r>
      <w:r w:rsidR="00D91EDA" w:rsidRPr="00C54985">
        <w:rPr>
          <w:noProof/>
        </w:rPr>
        <w:t>utility</w:t>
      </w:r>
      <w:r w:rsidR="00D91EDA" w:rsidRPr="00C54985">
        <w:t xml:space="preserve"> maximi</w:t>
      </w:r>
      <w:r w:rsidR="00352945" w:rsidRPr="00C54985">
        <w:t>s</w:t>
      </w:r>
      <w:r w:rsidR="00D91EDA" w:rsidRPr="00C54985">
        <w:t>ing behaviour of households with expenditure reflecting the marginal value that individuals place on commodities (Sen, 1999).</w:t>
      </w:r>
    </w:p>
    <w:p w14:paraId="20FCA706" w14:textId="22205F18" w:rsidR="00D91EDA" w:rsidRPr="00C54985" w:rsidRDefault="00D91EDA" w:rsidP="00300A09">
      <w:pPr>
        <w:ind w:firstLine="720"/>
        <w:jc w:val="both"/>
      </w:pPr>
      <w:r w:rsidRPr="00C54985">
        <w:t>The capability approach developed by Sen (1985, 1999)</w:t>
      </w:r>
      <w:r w:rsidR="002515E4" w:rsidRPr="00C54985">
        <w:t xml:space="preserve"> list the </w:t>
      </w:r>
      <w:r w:rsidRPr="00C54985">
        <w:t xml:space="preserve">freedoms indicators. </w:t>
      </w:r>
      <w:r w:rsidR="002515E4" w:rsidRPr="00C54985">
        <w:t>T</w:t>
      </w:r>
      <w:r w:rsidRPr="00C54985">
        <w:t xml:space="preserve">his approach </w:t>
      </w:r>
      <w:r w:rsidR="002515E4" w:rsidRPr="00C54985">
        <w:t xml:space="preserve">defines </w:t>
      </w:r>
      <w:r w:rsidRPr="00C54985">
        <w:t xml:space="preserve">poverty as deprivation in the space of capabilities or failure to achieve certain minimal or basic capabilities. According to Sen (2004), the capability approach </w:t>
      </w:r>
      <w:r w:rsidRPr="00C54985">
        <w:rPr>
          <w:noProof/>
        </w:rPr>
        <w:t>is concerned</w:t>
      </w:r>
      <w:r w:rsidRPr="00C54985">
        <w:t xml:space="preserve"> with evaluating </w:t>
      </w:r>
      <w:r w:rsidR="002515E4" w:rsidRPr="00C54985">
        <w:t xml:space="preserve">a person’s </w:t>
      </w:r>
      <w:r w:rsidRPr="00C54985">
        <w:t xml:space="preserve">ability to </w:t>
      </w:r>
      <w:r w:rsidR="002515E4" w:rsidRPr="00C54985">
        <w:t>achieve a certain standard of living</w:t>
      </w:r>
      <w:r w:rsidRPr="00C54985">
        <w:t xml:space="preserve">. Well-being </w:t>
      </w:r>
      <w:r w:rsidRPr="00C54985">
        <w:rPr>
          <w:noProof/>
        </w:rPr>
        <w:t>is seen</w:t>
      </w:r>
      <w:r w:rsidRPr="00C54985">
        <w:t xml:space="preserve"> as the freedom of individuals to live lives that are valued </w:t>
      </w:r>
      <w:r w:rsidRPr="00C54985">
        <w:rPr>
          <w:noProof/>
        </w:rPr>
        <w:t>in terms of</w:t>
      </w:r>
      <w:r w:rsidRPr="00C54985">
        <w:t xml:space="preserve"> reali</w:t>
      </w:r>
      <w:r w:rsidR="00352945" w:rsidRPr="00C54985">
        <w:t>s</w:t>
      </w:r>
      <w:r w:rsidRPr="00C54985">
        <w:t>ation of the hum</w:t>
      </w:r>
      <w:r w:rsidR="003529A0" w:rsidRPr="00C54985">
        <w:t>an potential and is thus an end-based</w:t>
      </w:r>
      <w:r w:rsidRPr="00C54985">
        <w:t xml:space="preserve"> approach. Monetary resources are considered only as means to enhance well-being, rather than the actual outcome of interest. These resources may not be considered reliable indicators of capabilities since achievements can </w:t>
      </w:r>
      <w:r w:rsidRPr="00C54985">
        <w:lastRenderedPageBreak/>
        <w:t xml:space="preserve">differ based on individual characteristics or contexts (Ravallion, 1998). For example, </w:t>
      </w:r>
      <w:r w:rsidRPr="00C54985">
        <w:rPr>
          <w:noProof/>
        </w:rPr>
        <w:t>able-bodied</w:t>
      </w:r>
      <w:r w:rsidRPr="00C54985">
        <w:t xml:space="preserve"> and </w:t>
      </w:r>
      <w:r w:rsidRPr="00C54985">
        <w:rPr>
          <w:noProof/>
        </w:rPr>
        <w:t>handicapped</w:t>
      </w:r>
      <w:r w:rsidRPr="00C54985">
        <w:t xml:space="preserve"> individuals need different amounts of resources to obtain the same outcome. </w:t>
      </w:r>
      <w:r w:rsidR="002515E4" w:rsidRPr="00C54985">
        <w:t>The c</w:t>
      </w:r>
      <w:r w:rsidRPr="00C54985">
        <w:t xml:space="preserve">ontexts in which individuals live can also differ, such as areas where basic public services </w:t>
      </w:r>
      <w:r w:rsidRPr="00C54985">
        <w:rPr>
          <w:noProof/>
        </w:rPr>
        <w:t>are provided</w:t>
      </w:r>
      <w:r w:rsidRPr="00C54985">
        <w:t xml:space="preserve"> versus areas where such services are absent. Both monetary income and public goods along with </w:t>
      </w:r>
      <w:r w:rsidR="002515E4" w:rsidRPr="00C54985">
        <w:t xml:space="preserve">an </w:t>
      </w:r>
      <w:r w:rsidRPr="00C54985">
        <w:t>individual’s characteristics such as gender, age, and physical capacities, determine the capability set of the individual (Ravallion, 1998).</w:t>
      </w:r>
    </w:p>
    <w:p w14:paraId="7ADE2E0B" w14:textId="1ACAD644" w:rsidR="00D91EDA" w:rsidRPr="00C54985" w:rsidRDefault="002515E4" w:rsidP="00300A09">
      <w:pPr>
        <w:ind w:firstLine="720"/>
        <w:jc w:val="both"/>
      </w:pPr>
      <w:r w:rsidRPr="00C54985">
        <w:t xml:space="preserve">Several studies </w:t>
      </w:r>
      <w:r w:rsidR="00D91EDA" w:rsidRPr="00C54985">
        <w:t>investigated the incidence of poverty and the factors that influence poverty. Quisumbing</w:t>
      </w:r>
      <w:r w:rsidR="00A276B7">
        <w:t xml:space="preserve"> et al.</w:t>
      </w:r>
      <w:r w:rsidR="00D91EDA" w:rsidRPr="00C54985">
        <w:t xml:space="preserve"> (1995) presented new evidence on the association between gender and poverty based on an empirical analysis of 11 datasets from </w:t>
      </w:r>
      <w:r w:rsidR="00CB0452" w:rsidRPr="00C54985">
        <w:t>ten</w:t>
      </w:r>
      <w:r w:rsidR="00D91EDA" w:rsidRPr="00C54985">
        <w:t xml:space="preserve"> developing countries. They tested for differences in poverty incidence between individuals in male and female-headed households using stochastic dominance analysis. Their results suggested </w:t>
      </w:r>
      <w:r w:rsidR="00D91EDA" w:rsidRPr="00C54985">
        <w:rPr>
          <w:noProof/>
        </w:rPr>
        <w:t>that</w:t>
      </w:r>
      <w:r w:rsidR="00D91EDA" w:rsidRPr="00C54985">
        <w:t xml:space="preserve"> among the very poor, male and female-headed households did not differ significantly. The consistent and significant exceptions</w:t>
      </w:r>
      <w:r w:rsidRPr="00C54985">
        <w:t xml:space="preserve"> of</w:t>
      </w:r>
      <w:r w:rsidR="00D91EDA" w:rsidRPr="00C54985">
        <w:t xml:space="preserve"> rural Ghana and Bangladesh suggest that cultural and institutional factors may be responsible for higher poverty among women in these countries. A recent study that investigated the relationship between poverty</w:t>
      </w:r>
      <w:r w:rsidR="00522634" w:rsidRPr="00C54985">
        <w:t xml:space="preserve"> and gender was Vijaya</w:t>
      </w:r>
      <w:r w:rsidR="00A276B7">
        <w:t xml:space="preserve"> et al.</w:t>
      </w:r>
      <w:r w:rsidR="00522634" w:rsidRPr="00C54985">
        <w:t xml:space="preserve"> </w:t>
      </w:r>
      <w:r w:rsidR="00D91EDA" w:rsidRPr="00C54985">
        <w:t xml:space="preserve">(2014) who found an insignificant relationship between gender and poverty. Elmelech and Lu (2004) who studied the relationship between gender-specific demographic variations and the gender poverty gap among seven racial or ethnic groups found that racial or ethnic groups did not </w:t>
      </w:r>
      <w:r w:rsidR="003529A0" w:rsidRPr="00C54985">
        <w:t>affect</w:t>
      </w:r>
      <w:r w:rsidR="00D91EDA" w:rsidRPr="00C54985">
        <w:t xml:space="preserve"> the gender gap poverty and that poverty reduction should address the distinct determinants of poverty among any gender group.</w:t>
      </w:r>
    </w:p>
    <w:p w14:paraId="6E7AB1BD" w14:textId="0611114D" w:rsidR="00305189" w:rsidRPr="00C54985" w:rsidRDefault="00D91EDA" w:rsidP="00300A09">
      <w:pPr>
        <w:ind w:firstLine="720"/>
        <w:jc w:val="both"/>
        <w:rPr>
          <w:lang w:val="en-MY"/>
        </w:rPr>
      </w:pPr>
      <w:r w:rsidRPr="00C54985">
        <w:t>Christiaensen and Todo (2013)</w:t>
      </w:r>
      <w:r w:rsidR="002515E4" w:rsidRPr="00C54985">
        <w:t xml:space="preserve"> u</w:t>
      </w:r>
      <w:r w:rsidRPr="00C54985">
        <w:t xml:space="preserve">sing cross-country panel data for developing countries spanning </w:t>
      </w:r>
      <w:r w:rsidR="00A276B7">
        <w:t>1980-</w:t>
      </w:r>
      <w:r w:rsidRPr="00C54985">
        <w:t>2004</w:t>
      </w:r>
      <w:r w:rsidR="002515E4" w:rsidRPr="00C54985">
        <w:t xml:space="preserve"> </w:t>
      </w:r>
      <w:r w:rsidRPr="00C54985">
        <w:t>used poverty headcount ratios and GDP growth per capita using ordinary least squares. They found a positive relationship between rural area and poverty and a negative relationship between poverty and urbani</w:t>
      </w:r>
      <w:r w:rsidR="00352945" w:rsidRPr="00C54985">
        <w:t>s</w:t>
      </w:r>
      <w:r w:rsidRPr="00C54985">
        <w:t xml:space="preserve">ation and stated that migration out of agriculture into the missing middle (rural nonfarm economy and secondary towns) yields more inclusive growth patterns and faster poverty reduction than agglomeration in </w:t>
      </w:r>
      <w:r w:rsidRPr="00C54985">
        <w:rPr>
          <w:noProof/>
        </w:rPr>
        <w:t>megacities</w:t>
      </w:r>
      <w:r w:rsidRPr="00C54985">
        <w:t xml:space="preserve">. </w:t>
      </w:r>
      <w:r w:rsidR="00A73497" w:rsidRPr="00C54985">
        <w:t xml:space="preserve">Thomas and Gaspart (2015) investigated the persistently high poverty rates in rural Madagascar. They found that households in rural areas were more likely to be poor </w:t>
      </w:r>
      <w:r w:rsidR="00A73497" w:rsidRPr="00C54985">
        <w:rPr>
          <w:noProof/>
        </w:rPr>
        <w:t>tha</w:t>
      </w:r>
      <w:r w:rsidR="00C4781C" w:rsidRPr="00C54985">
        <w:rPr>
          <w:noProof/>
        </w:rPr>
        <w:t>n</w:t>
      </w:r>
      <w:r w:rsidR="00A73497" w:rsidRPr="00C54985">
        <w:t xml:space="preserve"> urban </w:t>
      </w:r>
      <w:r w:rsidR="00A73497" w:rsidRPr="00C54985">
        <w:rPr>
          <w:noProof/>
        </w:rPr>
        <w:t>areas</w:t>
      </w:r>
      <w:r w:rsidR="00A73497" w:rsidRPr="00C54985">
        <w:t xml:space="preserve"> and high poverty persistence rates observed in rural Malagasy household sample arise from both state </w:t>
      </w:r>
      <w:r w:rsidR="00A73497" w:rsidRPr="00C54985">
        <w:rPr>
          <w:noProof/>
        </w:rPr>
        <w:t>dependence</w:t>
      </w:r>
      <w:r w:rsidR="00C4781C" w:rsidRPr="00C54985">
        <w:rPr>
          <w:noProof/>
        </w:rPr>
        <w:t>-</w:t>
      </w:r>
      <w:r w:rsidR="00A73497" w:rsidRPr="00C54985">
        <w:rPr>
          <w:noProof/>
        </w:rPr>
        <w:t>creating</w:t>
      </w:r>
      <w:r w:rsidR="00A73497" w:rsidRPr="00C54985">
        <w:t xml:space="preserve"> poverty traps and </w:t>
      </w:r>
      <w:r w:rsidR="00C4781C" w:rsidRPr="00C54985">
        <w:rPr>
          <w:noProof/>
        </w:rPr>
        <w:t>adverse household</w:t>
      </w:r>
      <w:r w:rsidR="00A73497" w:rsidRPr="00C54985">
        <w:t xml:space="preserve"> characteristics making them more likely to be poor. </w:t>
      </w:r>
      <w:r w:rsidRPr="00C54985">
        <w:rPr>
          <w:rFonts w:eastAsiaTheme="minorHAnsi"/>
        </w:rPr>
        <w:t>Sy</w:t>
      </w:r>
      <w:r w:rsidR="00A73497" w:rsidRPr="00C54985">
        <w:t xml:space="preserve"> (2013) </w:t>
      </w:r>
      <w:r w:rsidRPr="00C54985">
        <w:t>analys</w:t>
      </w:r>
      <w:r w:rsidR="002515E4" w:rsidRPr="00C54985">
        <w:t>ed</w:t>
      </w:r>
      <w:r w:rsidRPr="00C54985">
        <w:t xml:space="preserve"> monetary poverty in Senegal between the years 2002-2006</w:t>
      </w:r>
      <w:r w:rsidR="002515E4" w:rsidRPr="00C54985">
        <w:t xml:space="preserve"> </w:t>
      </w:r>
      <w:r w:rsidRPr="00C54985">
        <w:t>us</w:t>
      </w:r>
      <w:r w:rsidR="002515E4" w:rsidRPr="00C54985">
        <w:t xml:space="preserve">ing </w:t>
      </w:r>
      <w:r w:rsidRPr="00C54985">
        <w:t>income or expenses to measure well-being</w:t>
      </w:r>
      <w:r w:rsidR="002515E4" w:rsidRPr="00C54985">
        <w:t xml:space="preserve"> based on the </w:t>
      </w:r>
      <w:r w:rsidRPr="00C54985">
        <w:t xml:space="preserve">survey data of </w:t>
      </w:r>
      <w:r w:rsidR="00305189" w:rsidRPr="00C54985">
        <w:rPr>
          <w:lang w:val="en-MY"/>
        </w:rPr>
        <w:t xml:space="preserve">Enquête de </w:t>
      </w:r>
      <w:r w:rsidR="00305189" w:rsidRPr="00C54985">
        <w:rPr>
          <w:i/>
          <w:lang w:val="en-MY"/>
        </w:rPr>
        <w:t>Suivi de la Pauvreté au Sénéga</w:t>
      </w:r>
      <w:r w:rsidR="00305189" w:rsidRPr="00C54985">
        <w:rPr>
          <w:lang w:val="en-MY"/>
        </w:rPr>
        <w:t xml:space="preserve"> (</w:t>
      </w:r>
      <w:r w:rsidR="00305189" w:rsidRPr="00C54985">
        <w:t>ESPS) - 2006 and Senegal’s Household Survey (ESAM)</w:t>
      </w:r>
      <w:r w:rsidR="00A276B7">
        <w:t xml:space="preserve"> II -</w:t>
      </w:r>
      <w:r w:rsidR="00305189" w:rsidRPr="00C54985">
        <w:t xml:space="preserve"> 2002. Poverty lines were estimated for each region, based on the approach by expenses generally used by the Poverty Reduction Strategy Paper (PRSP). Sy (2013) found that </w:t>
      </w:r>
      <w:r w:rsidR="00305189" w:rsidRPr="00C54985">
        <w:rPr>
          <w:noProof/>
        </w:rPr>
        <w:t>in order to</w:t>
      </w:r>
      <w:r w:rsidR="00305189" w:rsidRPr="00C54985">
        <w:t xml:space="preserve"> success rural and suburban’s requires such as poverty</w:t>
      </w:r>
      <w:r w:rsidR="00305189" w:rsidRPr="00C54985">
        <w:rPr>
          <w:noProof/>
        </w:rPr>
        <w:t>, their</w:t>
      </w:r>
      <w:r w:rsidR="00305189" w:rsidRPr="00C54985">
        <w:t xml:space="preserve"> geographical distribution can play an important role.</w:t>
      </w:r>
    </w:p>
    <w:p w14:paraId="0FC1927E" w14:textId="69D53F40" w:rsidR="00D91EDA" w:rsidRPr="00C54985" w:rsidRDefault="00EF4567" w:rsidP="00300A09">
      <w:pPr>
        <w:ind w:firstLine="720"/>
        <w:jc w:val="both"/>
      </w:pPr>
      <w:r w:rsidRPr="00C54985">
        <w:t>Solaymani and Kari (2014) s</w:t>
      </w:r>
      <w:r w:rsidR="00D91EDA" w:rsidRPr="00C54985">
        <w:t>tud</w:t>
      </w:r>
      <w:r w:rsidRPr="00C54985">
        <w:t xml:space="preserve">ied </w:t>
      </w:r>
      <w:r w:rsidR="00D91EDA" w:rsidRPr="00C54985">
        <w:t>the relationship between poverty and ethnic group of fisherme</w:t>
      </w:r>
      <w:r w:rsidRPr="00C54985">
        <w:t>n</w:t>
      </w:r>
      <w:r w:rsidR="00D91EDA" w:rsidRPr="00C54985">
        <w:t xml:space="preserve">. They found that </w:t>
      </w:r>
      <w:r w:rsidRPr="00C54985">
        <w:t xml:space="preserve">the </w:t>
      </w:r>
      <w:r w:rsidR="00D91EDA" w:rsidRPr="00C54985">
        <w:t xml:space="preserve">minority ethnic group of fishermen were deprived more compared to other ethnic groups </w:t>
      </w:r>
      <w:r w:rsidR="00D91EDA" w:rsidRPr="00C54985">
        <w:rPr>
          <w:noProof/>
        </w:rPr>
        <w:t>with regard to</w:t>
      </w:r>
      <w:r w:rsidR="00D91EDA" w:rsidRPr="00C54985">
        <w:t xml:space="preserve"> poverty. Agostini</w:t>
      </w:r>
      <w:r w:rsidR="00A276B7">
        <w:t xml:space="preserve"> et al.</w:t>
      </w:r>
      <w:r w:rsidR="00D91EDA" w:rsidRPr="00C54985">
        <w:t xml:space="preserve"> (2010) investigated </w:t>
      </w:r>
      <w:r w:rsidRPr="00C54985">
        <w:t>poverty and inequality</w:t>
      </w:r>
      <w:r w:rsidR="00D91EDA" w:rsidRPr="00C54985">
        <w:t xml:space="preserve"> among ethnic groups in Chile. They use</w:t>
      </w:r>
      <w:r w:rsidRPr="00C54985">
        <w:t>d</w:t>
      </w:r>
      <w:r w:rsidR="00D91EDA" w:rsidRPr="00C54985">
        <w:t xml:space="preserve"> poverty mapping methods proposed by </w:t>
      </w:r>
      <w:r w:rsidR="00310F81" w:rsidRPr="00C54985">
        <w:t>Hentschel</w:t>
      </w:r>
      <w:r w:rsidR="00A276B7">
        <w:t xml:space="preserve"> et al. </w:t>
      </w:r>
      <w:r w:rsidR="00554CAF" w:rsidRPr="00C54985">
        <w:t>(2000</w:t>
      </w:r>
      <w:r w:rsidR="00D91EDA" w:rsidRPr="00C54985">
        <w:t xml:space="preserve">) and </w:t>
      </w:r>
      <w:r w:rsidR="00554BFE" w:rsidRPr="00C54985">
        <w:t>Elbers</w:t>
      </w:r>
      <w:r w:rsidR="00A276B7">
        <w:t xml:space="preserve"> et al. </w:t>
      </w:r>
      <w:r w:rsidR="00554BFE" w:rsidRPr="00C54985">
        <w:t>(2003).</w:t>
      </w:r>
      <w:r w:rsidRPr="00C54985">
        <w:t xml:space="preserve"> </w:t>
      </w:r>
      <w:r w:rsidR="00D91EDA" w:rsidRPr="00C54985">
        <w:t>The da</w:t>
      </w:r>
      <w:r w:rsidR="00554BFE" w:rsidRPr="00C54985">
        <w:t xml:space="preserve">ta survey </w:t>
      </w:r>
      <w:r w:rsidRPr="00C54985">
        <w:t xml:space="preserve">was </w:t>
      </w:r>
      <w:r w:rsidR="00554BFE" w:rsidRPr="00C54985">
        <w:t xml:space="preserve">divided </w:t>
      </w:r>
      <w:r w:rsidR="00C4781C" w:rsidRPr="00C54985">
        <w:rPr>
          <w:noProof/>
        </w:rPr>
        <w:t>into</w:t>
      </w:r>
      <w:r w:rsidR="00554BFE" w:rsidRPr="00C54985">
        <w:t xml:space="preserve"> 13 region</w:t>
      </w:r>
      <w:r w:rsidRPr="00C54985">
        <w:t>s</w:t>
      </w:r>
      <w:r w:rsidR="00D91EDA" w:rsidRPr="00C54985">
        <w:t xml:space="preserve"> and disaggregate</w:t>
      </w:r>
      <w:r w:rsidR="00554BFE" w:rsidRPr="00C54985">
        <w:t>d</w:t>
      </w:r>
      <w:r w:rsidR="00D91EDA" w:rsidRPr="00C54985">
        <w:t xml:space="preserve"> the population with ethnicity. They found that indigenous Chileans are indeed poorer</w:t>
      </w:r>
      <w:r w:rsidRPr="00C54985">
        <w:t xml:space="preserve"> and there was </w:t>
      </w:r>
      <w:r w:rsidR="00D91EDA" w:rsidRPr="00C54985">
        <w:t>significant heterogeneity among ethnic groups.</w:t>
      </w:r>
    </w:p>
    <w:p w14:paraId="5F33F441" w14:textId="1FC0C80A" w:rsidR="00D91EDA" w:rsidRDefault="00D91EDA" w:rsidP="00300A09">
      <w:pPr>
        <w:ind w:firstLine="720"/>
        <w:jc w:val="both"/>
      </w:pPr>
      <w:r w:rsidRPr="00C54985">
        <w:t>Gounder and Xing (2012) examine</w:t>
      </w:r>
      <w:r w:rsidR="00EF4567" w:rsidRPr="00C54985">
        <w:t>d</w:t>
      </w:r>
      <w:r w:rsidRPr="00C54985">
        <w:t xml:space="preserve"> </w:t>
      </w:r>
      <w:r w:rsidR="00EF4567" w:rsidRPr="00C54985">
        <w:t xml:space="preserve">vital </w:t>
      </w:r>
      <w:r w:rsidRPr="00C54985">
        <w:t>economic and social factors such as education for poverty reduction</w:t>
      </w:r>
      <w:r w:rsidR="00EF4567" w:rsidRPr="00C54985">
        <w:t>. These re</w:t>
      </w:r>
      <w:r w:rsidRPr="00C54985">
        <w:t>present the economic modelling using Fiji</w:t>
      </w:r>
      <w:r w:rsidR="00EF4567" w:rsidRPr="00C54985">
        <w:t>’</w:t>
      </w:r>
      <w:r w:rsidRPr="00C54985">
        <w:t>s Household Income and Expenditure Survey 2002/03 dataset. They estimated the monetary and non-monetary effects of education against poverty prevalence. The monetary</w:t>
      </w:r>
      <w:r w:rsidR="00EF4567" w:rsidRPr="00C54985">
        <w:t xml:space="preserve"> effects</w:t>
      </w:r>
      <w:r w:rsidRPr="00C54985">
        <w:t xml:space="preserve"> benefit all households </w:t>
      </w:r>
      <w:r w:rsidR="00EF4567" w:rsidRPr="00C54985">
        <w:t>through</w:t>
      </w:r>
      <w:r w:rsidRPr="00C54985">
        <w:t xml:space="preserve"> additional skills obtained </w:t>
      </w:r>
      <w:r w:rsidR="00EF4567" w:rsidRPr="00C54985">
        <w:t xml:space="preserve">from </w:t>
      </w:r>
      <w:r w:rsidRPr="00C54985">
        <w:t xml:space="preserve">formal education. </w:t>
      </w:r>
      <w:r w:rsidRPr="00C54985">
        <w:rPr>
          <w:noProof/>
        </w:rPr>
        <w:t>While the lowest income households benefit</w:t>
      </w:r>
      <w:r w:rsidR="00EF4567" w:rsidRPr="00C54985">
        <w:rPr>
          <w:noProof/>
        </w:rPr>
        <w:t>ted</w:t>
      </w:r>
      <w:r w:rsidRPr="00C54985">
        <w:rPr>
          <w:noProof/>
        </w:rPr>
        <w:t xml:space="preserve"> from formal education.</w:t>
      </w:r>
      <w:r w:rsidRPr="00C54985">
        <w:t xml:space="preserve"> The results for non-monetary </w:t>
      </w:r>
      <w:r w:rsidRPr="00C54985">
        <w:lastRenderedPageBreak/>
        <w:t xml:space="preserve">models show that education has a positive and significant influence on </w:t>
      </w:r>
      <w:r w:rsidR="00EF4567" w:rsidRPr="00C54985">
        <w:t xml:space="preserve">people’s </w:t>
      </w:r>
      <w:r w:rsidRPr="00C54985">
        <w:t xml:space="preserve">tendency to engage in health prevention activities and in acquiring good housing facilities. Cremin and Nakabugo (2012) investigated the benefits of investing in education for poverty reduction. </w:t>
      </w:r>
      <w:r w:rsidR="00EF4567" w:rsidRPr="00C54985">
        <w:t>They u</w:t>
      </w:r>
      <w:r w:rsidRPr="00C54985">
        <w:t>sed cross-countr</w:t>
      </w:r>
      <w:r w:rsidR="00A276B7">
        <w:t>y data comparing long-run (1960-</w:t>
      </w:r>
      <w:r w:rsidRPr="00C54985">
        <w:t>85) growth rates in GDP per worker</w:t>
      </w:r>
      <w:r w:rsidR="00EF4567" w:rsidRPr="00C54985">
        <w:t xml:space="preserve">. The </w:t>
      </w:r>
      <w:r w:rsidRPr="00C54985">
        <w:t xml:space="preserve">estimates of the accumulation of physical capital and years of schooling of workers have </w:t>
      </w:r>
      <w:r w:rsidRPr="00C54985">
        <w:rPr>
          <w:noProof/>
        </w:rPr>
        <w:t>been studied</w:t>
      </w:r>
      <w:r w:rsidRPr="00C54985">
        <w:t xml:space="preserve"> </w:t>
      </w:r>
      <w:r w:rsidRPr="00C54985">
        <w:rPr>
          <w:noProof/>
        </w:rPr>
        <w:t>in relation to</w:t>
      </w:r>
      <w:r w:rsidRPr="00C54985">
        <w:t xml:space="preserve"> 63 low- and middle-income countries. They found </w:t>
      </w:r>
      <w:r w:rsidR="00EF4567" w:rsidRPr="00C54985">
        <w:t xml:space="preserve">a </w:t>
      </w:r>
      <w:r w:rsidRPr="00C54985">
        <w:t xml:space="preserve">significant </w:t>
      </w:r>
      <w:r w:rsidR="00EF4567" w:rsidRPr="00C54985">
        <w:t xml:space="preserve">positive relationship </w:t>
      </w:r>
      <w:r w:rsidRPr="00C54985">
        <w:t>between investment in education and poverty</w:t>
      </w:r>
      <w:r w:rsidR="00EF4567" w:rsidRPr="00C54985">
        <w:t xml:space="preserve"> reduction</w:t>
      </w:r>
      <w:r w:rsidRPr="00C54985">
        <w:t>.</w:t>
      </w:r>
    </w:p>
    <w:p w14:paraId="08FB02DE" w14:textId="77777777" w:rsidR="00A276B7" w:rsidRDefault="00A276B7" w:rsidP="00300A09">
      <w:pPr>
        <w:jc w:val="both"/>
      </w:pPr>
    </w:p>
    <w:p w14:paraId="672E4FC1" w14:textId="77777777" w:rsidR="00D91EDA" w:rsidRPr="00C54985" w:rsidRDefault="00D91EDA" w:rsidP="00300A09">
      <w:pPr>
        <w:jc w:val="both"/>
      </w:pPr>
    </w:p>
    <w:p w14:paraId="76B69FC3" w14:textId="55EAC113" w:rsidR="00D91EDA" w:rsidRDefault="00455196" w:rsidP="00300A09">
      <w:pPr>
        <w:pStyle w:val="Heading2"/>
        <w:spacing w:before="0" w:line="240" w:lineRule="auto"/>
        <w:rPr>
          <w:rFonts w:ascii="Times New Roman" w:hAnsi="Times New Roman" w:cs="Times New Roman"/>
          <w:sz w:val="24"/>
          <w:szCs w:val="24"/>
        </w:rPr>
      </w:pPr>
      <w:r w:rsidRPr="00C54985">
        <w:rPr>
          <w:rFonts w:ascii="Times New Roman" w:hAnsi="Times New Roman" w:cs="Times New Roman"/>
          <w:sz w:val="24"/>
          <w:szCs w:val="24"/>
        </w:rPr>
        <w:t>Methods</w:t>
      </w:r>
    </w:p>
    <w:p w14:paraId="29E99E60" w14:textId="77777777" w:rsidR="00A276B7" w:rsidRPr="00A276B7" w:rsidRDefault="00A276B7" w:rsidP="00300A09"/>
    <w:p w14:paraId="571BF752" w14:textId="73EFFD6E" w:rsidR="00D91EDA" w:rsidRDefault="00D91EDA" w:rsidP="00300A09">
      <w:pPr>
        <w:pStyle w:val="Heading3"/>
        <w:spacing w:before="0" w:line="240" w:lineRule="auto"/>
        <w:jc w:val="both"/>
        <w:rPr>
          <w:rFonts w:cs="Times New Roman"/>
          <w:b w:val="0"/>
          <w:i/>
          <w:shd w:val="clear" w:color="auto" w:fill="FFFFFF"/>
          <w:lang w:val="en-GB"/>
        </w:rPr>
      </w:pPr>
      <w:r w:rsidRPr="00C54985">
        <w:rPr>
          <w:rFonts w:cs="Times New Roman"/>
          <w:b w:val="0"/>
          <w:i/>
          <w:shd w:val="clear" w:color="auto" w:fill="FFFFFF"/>
          <w:lang w:val="en-GB"/>
        </w:rPr>
        <w:t>Data</w:t>
      </w:r>
    </w:p>
    <w:p w14:paraId="026D9275" w14:textId="77777777" w:rsidR="00A276B7" w:rsidRPr="00A276B7" w:rsidRDefault="00A276B7" w:rsidP="00300A09"/>
    <w:p w14:paraId="66EBEBD0" w14:textId="51FD112A" w:rsidR="00D91EDA" w:rsidRPr="00C54985" w:rsidRDefault="00D91EDA" w:rsidP="00300A09">
      <w:pPr>
        <w:jc w:val="both"/>
      </w:pPr>
      <w:r w:rsidRPr="00C54985">
        <w:rPr>
          <w:shd w:val="clear" w:color="auto" w:fill="FFFFFF"/>
        </w:rPr>
        <w:t>This study uses the Household Income Survey (HIS)</w:t>
      </w:r>
      <w:r w:rsidRPr="00C54985">
        <w:rPr>
          <w:shd w:val="clear" w:color="auto" w:fill="FFFFFF"/>
          <w:rtl/>
        </w:rPr>
        <w:t xml:space="preserve"> </w:t>
      </w:r>
      <w:r w:rsidRPr="00C54985">
        <w:rPr>
          <w:shd w:val="clear" w:color="auto" w:fill="FFFFFF"/>
        </w:rPr>
        <w:t xml:space="preserve">data </w:t>
      </w:r>
      <w:r w:rsidR="00EF4567" w:rsidRPr="00C54985">
        <w:rPr>
          <w:shd w:val="clear" w:color="auto" w:fill="FFFFFF"/>
        </w:rPr>
        <w:t>collected by</w:t>
      </w:r>
      <w:r w:rsidRPr="00C54985">
        <w:rPr>
          <w:shd w:val="clear" w:color="auto" w:fill="FFFFFF"/>
        </w:rPr>
        <w:t xml:space="preserve"> the Department of Statistics for 2009 and 2012 for </w:t>
      </w:r>
      <w:r w:rsidR="00EF4567" w:rsidRPr="00C54985">
        <w:rPr>
          <w:shd w:val="clear" w:color="auto" w:fill="FFFFFF"/>
        </w:rPr>
        <w:t>the n</w:t>
      </w:r>
      <w:r w:rsidRPr="00C54985">
        <w:rPr>
          <w:shd w:val="clear" w:color="auto" w:fill="FFFFFF"/>
        </w:rPr>
        <w:t xml:space="preserve">orthern region of Malaysia. </w:t>
      </w:r>
      <w:r w:rsidRPr="00C54985">
        <w:t xml:space="preserve">The study is only able to obtain 30 </w:t>
      </w:r>
      <w:r w:rsidRPr="00C54985">
        <w:rPr>
          <w:noProof/>
        </w:rPr>
        <w:t>percent</w:t>
      </w:r>
      <w:r w:rsidRPr="00C54985">
        <w:t xml:space="preserve"> of the comprehensive HIS observations. The number of </w:t>
      </w:r>
      <w:r w:rsidR="003529A0" w:rsidRPr="00C54985">
        <w:t>observations</w:t>
      </w:r>
      <w:r w:rsidRPr="00C54985">
        <w:t xml:space="preserve"> is 13,215 of households in 2009 and 11,074 f households in 2012. </w:t>
      </w:r>
      <w:r w:rsidR="00EF4567" w:rsidRPr="00C54985">
        <w:t>Malaysia’s n</w:t>
      </w:r>
      <w:r w:rsidRPr="00C54985">
        <w:t>orthern region consists of Kedah with 3,956 and 3,488 observations of household</w:t>
      </w:r>
      <w:r w:rsidR="00EF4567" w:rsidRPr="00C54985">
        <w:t>s</w:t>
      </w:r>
      <w:r w:rsidRPr="00C54985">
        <w:t xml:space="preserve"> for </w:t>
      </w:r>
      <w:r w:rsidR="00EF4567" w:rsidRPr="00C54985">
        <w:t xml:space="preserve">the </w:t>
      </w:r>
      <w:r w:rsidRPr="00C54985">
        <w:t>years 2009 and 2012</w:t>
      </w:r>
      <w:r w:rsidR="00EF4567" w:rsidRPr="00C54985">
        <w:t xml:space="preserve"> respectively</w:t>
      </w:r>
      <w:r w:rsidRPr="00C54985">
        <w:t>, Perlis with 1,400 and 1,304 observations, Penang with 3,930 and 2,739 observations</w:t>
      </w:r>
      <w:r w:rsidR="00EF4567" w:rsidRPr="00C54985">
        <w:t>,</w:t>
      </w:r>
      <w:r w:rsidRPr="00C54985">
        <w:t xml:space="preserve"> and Perak with 3,930 and 2,739 observations. The study stratifies the </w:t>
      </w:r>
      <w:r w:rsidR="00EF4567" w:rsidRPr="00C54985">
        <w:t>n</w:t>
      </w:r>
      <w:r w:rsidRPr="00C54985">
        <w:t xml:space="preserve">orthern region to urban and rural segments. The number of </w:t>
      </w:r>
      <w:r w:rsidR="003529A0" w:rsidRPr="00C54985">
        <w:t>observations</w:t>
      </w:r>
      <w:r w:rsidRPr="00C54985">
        <w:t xml:space="preserve"> collected for</w:t>
      </w:r>
      <w:r w:rsidR="00EF4567" w:rsidRPr="00C54985">
        <w:t xml:space="preserve"> the</w:t>
      </w:r>
      <w:r w:rsidRPr="00C54985">
        <w:t xml:space="preserve"> urban area </w:t>
      </w:r>
      <w:r w:rsidR="00C4781C" w:rsidRPr="00C54985">
        <w:rPr>
          <w:noProof/>
        </w:rPr>
        <w:t>is</w:t>
      </w:r>
      <w:r w:rsidRPr="00C54985">
        <w:t xml:space="preserve"> 6,712 and 6,659 household</w:t>
      </w:r>
      <w:r w:rsidR="00EF4567" w:rsidRPr="00C54985">
        <w:t>s</w:t>
      </w:r>
      <w:r w:rsidRPr="00C54985">
        <w:t xml:space="preserve"> for</w:t>
      </w:r>
      <w:r w:rsidR="00EF4567" w:rsidRPr="00C54985">
        <w:t xml:space="preserve"> the</w:t>
      </w:r>
      <w:r w:rsidRPr="00C54985">
        <w:t xml:space="preserve"> years 2009 and 2012</w:t>
      </w:r>
      <w:r w:rsidR="00EF4567" w:rsidRPr="00C54985">
        <w:t xml:space="preserve"> respectively</w:t>
      </w:r>
      <w:r w:rsidRPr="00C54985">
        <w:t xml:space="preserve">, and rural area </w:t>
      </w:r>
      <w:r w:rsidR="00C4781C" w:rsidRPr="00C54985">
        <w:rPr>
          <w:noProof/>
        </w:rPr>
        <w:t>is</w:t>
      </w:r>
      <w:r w:rsidRPr="00C54985">
        <w:t xml:space="preserve"> 6,503 and 4,415 for</w:t>
      </w:r>
      <w:r w:rsidR="00EF4567" w:rsidRPr="00C54985">
        <w:t xml:space="preserve"> the</w:t>
      </w:r>
      <w:r w:rsidRPr="00C54985">
        <w:t xml:space="preserve"> same years. The socio-demographic variables used in this study are age</w:t>
      </w:r>
      <w:r w:rsidRPr="00C54985">
        <w:rPr>
          <w:rFonts w:eastAsiaTheme="minorEastAsia"/>
        </w:rPr>
        <w:t xml:space="preserve">, gender ethnicity, </w:t>
      </w:r>
      <w:r w:rsidR="00C95FE0" w:rsidRPr="00C54985">
        <w:rPr>
          <w:rFonts w:eastAsiaTheme="minorEastAsia"/>
        </w:rPr>
        <w:t>strata</w:t>
      </w:r>
      <w:r w:rsidRPr="00C54985">
        <w:rPr>
          <w:rFonts w:eastAsiaTheme="minorEastAsia"/>
        </w:rPr>
        <w:t>, income inequality and geographical location.</w:t>
      </w:r>
      <w:r w:rsidRPr="00C54985">
        <w:t xml:space="preserve"> Gross income i</w:t>
      </w:r>
      <w:r w:rsidR="00EF4567" w:rsidRPr="00C54985">
        <w:t>s</w:t>
      </w:r>
      <w:r w:rsidRPr="00C54985">
        <w:t xml:space="preserve"> all income receive</w:t>
      </w:r>
      <w:r w:rsidR="00EF4567" w:rsidRPr="00C54985">
        <w:t>d</w:t>
      </w:r>
      <w:r w:rsidRPr="00C54985">
        <w:t xml:space="preserve"> in the form of money, goods, property, and services that </w:t>
      </w:r>
      <w:r w:rsidR="00EF4567" w:rsidRPr="00C54985">
        <w:t xml:space="preserve">are </w:t>
      </w:r>
      <w:r w:rsidRPr="00C54985">
        <w:t>not exempt from tax.</w:t>
      </w:r>
    </w:p>
    <w:p w14:paraId="03C28167" w14:textId="77777777" w:rsidR="00D91EDA" w:rsidRPr="00C54985" w:rsidRDefault="00D91EDA" w:rsidP="00300A09">
      <w:pPr>
        <w:ind w:firstLine="708"/>
        <w:jc w:val="both"/>
      </w:pPr>
    </w:p>
    <w:p w14:paraId="57EB030A" w14:textId="77777777" w:rsidR="00D91EDA" w:rsidRDefault="00D91EDA" w:rsidP="00300A09">
      <w:pPr>
        <w:pStyle w:val="Heading3"/>
        <w:spacing w:before="0" w:line="240" w:lineRule="auto"/>
        <w:jc w:val="both"/>
        <w:rPr>
          <w:rFonts w:cs="Times New Roman"/>
          <w:b w:val="0"/>
          <w:i/>
          <w:lang w:val="en-GB"/>
        </w:rPr>
      </w:pPr>
      <w:bookmarkStart w:id="7" w:name="_Toc404605059"/>
      <w:bookmarkStart w:id="8" w:name="_Toc426356176"/>
      <w:r w:rsidRPr="00C54985">
        <w:rPr>
          <w:rFonts w:cs="Times New Roman"/>
          <w:b w:val="0"/>
          <w:i/>
          <w:lang w:val="en-GB"/>
        </w:rPr>
        <w:t>Measurement of poverty</w:t>
      </w:r>
      <w:bookmarkEnd w:id="7"/>
      <w:bookmarkEnd w:id="8"/>
    </w:p>
    <w:p w14:paraId="40985437" w14:textId="77777777" w:rsidR="00A276B7" w:rsidRPr="00A276B7" w:rsidRDefault="00A276B7" w:rsidP="00300A09"/>
    <w:p w14:paraId="6DE0806E" w14:textId="06D863FC" w:rsidR="00D91EDA" w:rsidRPr="00C54985" w:rsidRDefault="007D0DE5" w:rsidP="00300A09">
      <w:pPr>
        <w:jc w:val="both"/>
      </w:pPr>
      <w:r w:rsidRPr="00C54985">
        <w:t>P</w:t>
      </w:r>
      <w:r w:rsidR="00FA1408" w:rsidRPr="00C54985">
        <w:t xml:space="preserve">overty </w:t>
      </w:r>
      <w:r w:rsidRPr="00C54985">
        <w:t xml:space="preserve">is measured using the </w:t>
      </w:r>
      <w:r w:rsidR="00CB0452" w:rsidRPr="00C54985">
        <w:t>m</w:t>
      </w:r>
      <w:r w:rsidR="00FA1408" w:rsidRPr="00C54985">
        <w:t xml:space="preserve">onetary </w:t>
      </w:r>
      <w:r w:rsidR="00CB0452" w:rsidRPr="00C54985">
        <w:t>a</w:t>
      </w:r>
      <w:r w:rsidR="00FA1408" w:rsidRPr="00C54985">
        <w:t xml:space="preserve">pproach whereby income is used as </w:t>
      </w:r>
      <w:r w:rsidRPr="00C54985">
        <w:t xml:space="preserve">a </w:t>
      </w:r>
      <w:r w:rsidR="00FA1408" w:rsidRPr="00C54985">
        <w:t>benchmark to decide if a household is poor or not. The benchmark is known as t</w:t>
      </w:r>
      <w:r w:rsidR="00D91EDA" w:rsidRPr="00C54985">
        <w:t>he Poverty Line Income (PLI)</w:t>
      </w:r>
      <w:r w:rsidR="00FA1408" w:rsidRPr="00C54985">
        <w:t>.</w:t>
      </w:r>
      <w:r w:rsidR="00D91EDA" w:rsidRPr="00C54985">
        <w:t xml:space="preserve"> In Malaysia, the PLI for household living in rural area</w:t>
      </w:r>
      <w:r w:rsidRPr="00C54985">
        <w:t>s</w:t>
      </w:r>
      <w:r w:rsidR="00D91EDA" w:rsidRPr="00C54985">
        <w:t xml:space="preserve"> is RM 740 and RM 770 for urban area</w:t>
      </w:r>
      <w:r w:rsidRPr="00C54985">
        <w:t>s</w:t>
      </w:r>
      <w:r w:rsidR="00D91EDA" w:rsidRPr="00C54985">
        <w:t xml:space="preserve"> in 2009. In 2012, the PLI in rural and urban areas </w:t>
      </w:r>
      <w:r w:rsidR="00C4781C" w:rsidRPr="00C54985">
        <w:rPr>
          <w:noProof/>
        </w:rPr>
        <w:t>was</w:t>
      </w:r>
      <w:r w:rsidR="00D91EDA" w:rsidRPr="00C54985">
        <w:t xml:space="preserve"> RM 790 and RM 840, respectively. This analysis uses the official PLI segregated urban and rural area because PLI is not available for state or region.</w:t>
      </w:r>
    </w:p>
    <w:p w14:paraId="58ABE815" w14:textId="77777777" w:rsidR="00D91EDA" w:rsidRPr="00C54985" w:rsidRDefault="00D91EDA" w:rsidP="00300A09">
      <w:pPr>
        <w:ind w:firstLine="708"/>
        <w:jc w:val="both"/>
      </w:pPr>
    </w:p>
    <w:p w14:paraId="55F34BAA" w14:textId="77777777" w:rsidR="00D91EDA" w:rsidRDefault="00D91EDA" w:rsidP="00300A09">
      <w:pPr>
        <w:pStyle w:val="Heading3"/>
        <w:spacing w:before="0" w:line="240" w:lineRule="auto"/>
        <w:jc w:val="both"/>
        <w:rPr>
          <w:rFonts w:cs="Times New Roman"/>
          <w:b w:val="0"/>
          <w:i/>
          <w:lang w:val="en-GB"/>
        </w:rPr>
      </w:pPr>
      <w:r w:rsidRPr="00C54985">
        <w:rPr>
          <w:rFonts w:cs="Times New Roman"/>
          <w:b w:val="0"/>
          <w:i/>
          <w:lang w:val="en-GB"/>
        </w:rPr>
        <w:t>Regression analysis</w:t>
      </w:r>
    </w:p>
    <w:p w14:paraId="2EE3A74A" w14:textId="77777777" w:rsidR="00A276B7" w:rsidRPr="00A276B7" w:rsidRDefault="00A276B7" w:rsidP="00300A09"/>
    <w:p w14:paraId="28E6B122" w14:textId="3E6F5F76" w:rsidR="00522634" w:rsidRPr="00C54985" w:rsidRDefault="00D91EDA" w:rsidP="00300A09">
      <w:pPr>
        <w:jc w:val="both"/>
      </w:pPr>
      <w:r w:rsidRPr="00C54985">
        <w:t>Given th</w:t>
      </w:r>
      <w:r w:rsidR="00D645D6" w:rsidRPr="00C54985">
        <w:t>e</w:t>
      </w:r>
      <w:r w:rsidRPr="00C54985">
        <w:t xml:space="preserve"> binary nature of the dependent variable, the most suitable measurement is the probability models. The probability models are suitable for analysis of cross</w:t>
      </w:r>
      <w:r w:rsidR="00D645D6" w:rsidRPr="00C54985">
        <w:t>-</w:t>
      </w:r>
      <w:r w:rsidRPr="00C54985">
        <w:t>section</w:t>
      </w:r>
      <w:r w:rsidR="00D645D6" w:rsidRPr="00C54985">
        <w:t>al</w:t>
      </w:r>
      <w:r w:rsidRPr="00C54985">
        <w:t xml:space="preserve"> data. The dependent variable takes the value of one if </w:t>
      </w:r>
      <w:r w:rsidR="00D645D6" w:rsidRPr="00C54985">
        <w:t xml:space="preserve">the </w:t>
      </w:r>
      <w:r w:rsidRPr="00C54985">
        <w:t>individual’s household income in the sample falls above the poverty line and 0 if otherwise. The sample data available consist</w:t>
      </w:r>
      <w:r w:rsidR="00D645D6" w:rsidRPr="00C54985">
        <w:t>s</w:t>
      </w:r>
      <w:r w:rsidRPr="00C54985">
        <w:t xml:space="preserve"> of two years. The first survey conducted in 2009 </w:t>
      </w:r>
      <w:r w:rsidR="00D645D6" w:rsidRPr="00C54985">
        <w:t xml:space="preserve">where the </w:t>
      </w:r>
      <w:r w:rsidRPr="00C54985">
        <w:t xml:space="preserve">rural poverty line was RM 740 and urban poverty line was RM 770, and in 2012, </w:t>
      </w:r>
      <w:r w:rsidR="00D645D6" w:rsidRPr="00C54985">
        <w:t xml:space="preserve">the </w:t>
      </w:r>
      <w:r w:rsidRPr="00C54985">
        <w:t>rural poverty line was RM 790</w:t>
      </w:r>
      <w:r w:rsidR="00C4781C" w:rsidRPr="00C54985">
        <w:t>,</w:t>
      </w:r>
      <w:r w:rsidRPr="00C54985">
        <w:t xml:space="preserve"> </w:t>
      </w:r>
      <w:r w:rsidRPr="00C54985">
        <w:rPr>
          <w:noProof/>
        </w:rPr>
        <w:t>and</w:t>
      </w:r>
      <w:r w:rsidRPr="00C54985">
        <w:t xml:space="preserve"> urban poverty line was RM 840. </w:t>
      </w:r>
      <w:r w:rsidR="00D645D6" w:rsidRPr="00C54985">
        <w:t>T</w:t>
      </w:r>
      <w:r w:rsidRPr="00C54985">
        <w:t xml:space="preserve">he sample data were </w:t>
      </w:r>
      <w:r w:rsidR="003529A0" w:rsidRPr="00C54985">
        <w:t>analysed</w:t>
      </w:r>
      <w:r w:rsidRPr="00C54985">
        <w:t xml:space="preserve"> separately based on the poverty line in that year. Logistic regression is the most suitable model for the binary choices of the dependent variable and is the logarithm of the probability of being under </w:t>
      </w:r>
      <w:r w:rsidR="00D645D6" w:rsidRPr="00C54985">
        <w:t>or over the</w:t>
      </w:r>
      <w:r w:rsidRPr="00C54985">
        <w:t xml:space="preserve"> poverty line. Unlike the regression analysis, the </w:t>
      </w:r>
      <w:r w:rsidR="00CB0452" w:rsidRPr="00C54985">
        <w:t>l</w:t>
      </w:r>
      <w:r w:rsidRPr="00C54985">
        <w:t xml:space="preserve">ogit model analysis </w:t>
      </w:r>
      <w:r w:rsidRPr="00C54985">
        <w:rPr>
          <w:noProof/>
        </w:rPr>
        <w:t>is able to</w:t>
      </w:r>
      <w:r w:rsidRPr="00C54985">
        <w:t xml:space="preserve"> generate the probability estimation within 0-1 interval</w:t>
      </w:r>
      <w:r w:rsidR="00D645D6" w:rsidRPr="00C54985">
        <w:t>s</w:t>
      </w:r>
      <w:r w:rsidRPr="00C54985">
        <w:t xml:space="preserve"> for all values of the independent variables. The </w:t>
      </w:r>
      <w:r w:rsidR="00CB0452" w:rsidRPr="00C54985">
        <w:t>l</w:t>
      </w:r>
      <w:r w:rsidRPr="00C54985">
        <w:t xml:space="preserve">ogit model can </w:t>
      </w:r>
      <w:r w:rsidRPr="00C54985">
        <w:rPr>
          <w:noProof/>
        </w:rPr>
        <w:t>be written</w:t>
      </w:r>
      <w:r w:rsidRPr="00C54985">
        <w:t xml:space="preserve"> as follows:</w:t>
      </w:r>
    </w:p>
    <w:p w14:paraId="51AE10BA" w14:textId="77777777" w:rsidR="00DF1538" w:rsidRPr="00C54985" w:rsidRDefault="00DF1538" w:rsidP="00300A09">
      <w:pPr>
        <w:jc w:val="both"/>
      </w:pPr>
    </w:p>
    <w:p w14:paraId="5061E67B" w14:textId="77777777" w:rsidR="003824F4" w:rsidRPr="00C54985" w:rsidRDefault="003824F4" w:rsidP="00300A09">
      <w:pPr>
        <w:jc w:val="both"/>
      </w:pPr>
      <m:oMathPara>
        <m:oMath>
          <m:r>
            <w:rPr>
              <w:rFonts w:ascii="Cambria Math" w:hAnsi="Cambria Math"/>
            </w:rPr>
            <m:t xml:space="preserve">Log </m:t>
          </m:r>
          <m:d>
            <m:dPr>
              <m:ctrlPr>
                <w:rPr>
                  <w:rFonts w:ascii="Cambria Math" w:hAnsi="Cambria Math"/>
                  <w:i/>
                </w:rPr>
              </m:ctrlPr>
            </m:dPr>
            <m:e>
              <m:f>
                <m:fPr>
                  <m:ctrlPr>
                    <w:rPr>
                      <w:rFonts w:ascii="Cambria Math" w:hAnsi="Cambria Math"/>
                      <w:i/>
                    </w:rPr>
                  </m:ctrlPr>
                </m:fPr>
                <m:num>
                  <m:r>
                    <w:rPr>
                      <w:rFonts w:ascii="Cambria Math" w:hAnsi="Cambria Math"/>
                    </w:rPr>
                    <m:t>P</m:t>
                  </m:r>
                </m:num>
                <m:den>
                  <m:r>
                    <w:rPr>
                      <w:rFonts w:ascii="Cambria Math" w:hAnsi="Cambria Math"/>
                    </w:rPr>
                    <m:t>1-P</m:t>
                  </m:r>
                </m:den>
              </m:f>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1 </m:t>
              </m:r>
            </m:sub>
          </m:sSub>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GEN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STR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EDU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ETH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MAR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STATE</m:t>
              </m:r>
            </m:e>
            <m:sub>
              <m:r>
                <w:rPr>
                  <w:rFonts w:ascii="Cambria Math" w:hAnsi="Cambria Math"/>
                </w:rPr>
                <m:t>i</m:t>
              </m:r>
            </m:sub>
          </m:sSub>
          <m:r>
            <w:rPr>
              <w:rFonts w:ascii="Cambria Math" w:hAnsi="Cambria Math"/>
            </w:rPr>
            <m:t>+ ε</m:t>
          </m:r>
        </m:oMath>
      </m:oMathPara>
    </w:p>
    <w:p w14:paraId="56D3D4B9" w14:textId="77777777" w:rsidR="003824F4" w:rsidRPr="00C54985" w:rsidRDefault="003824F4" w:rsidP="00300A09">
      <w:pPr>
        <w:jc w:val="both"/>
      </w:pPr>
    </w:p>
    <w:p w14:paraId="1794A775" w14:textId="77777777" w:rsidR="003824F4" w:rsidRPr="00C54985" w:rsidRDefault="003824F4" w:rsidP="00300A09">
      <w:pPr>
        <w:jc w:val="both"/>
      </w:pPr>
    </w:p>
    <w:p w14:paraId="3CE8FCB6" w14:textId="77777777" w:rsidR="003824F4" w:rsidRPr="00C54985" w:rsidRDefault="003824F4" w:rsidP="00300A09">
      <w:pPr>
        <w:ind w:firstLine="360"/>
        <w:jc w:val="both"/>
        <w:rPr>
          <w:lang w:eastAsia="zh-CN"/>
        </w:rPr>
      </w:pPr>
      <w:r w:rsidRPr="00C54985">
        <w:rPr>
          <w:lang w:eastAsia="zh-CN"/>
        </w:rPr>
        <w:t xml:space="preserve">where, </w:t>
      </w:r>
    </w:p>
    <w:p w14:paraId="5133975A" w14:textId="4D86FB26" w:rsidR="003824F4" w:rsidRPr="00C54985" w:rsidRDefault="003824F4" w:rsidP="00300A09">
      <w:pPr>
        <w:ind w:firstLine="360"/>
        <w:jc w:val="both"/>
        <w:rPr>
          <w:lang w:eastAsia="zh-CN"/>
        </w:rPr>
      </w:pPr>
      <w:r w:rsidRPr="00C54985">
        <w:rPr>
          <w:bCs/>
          <w:lang w:eastAsia="zh-CN"/>
        </w:rPr>
        <w:t xml:space="preserve"> P</w:t>
      </w:r>
      <w:r w:rsidRPr="00C54985">
        <w:rPr>
          <w:lang w:eastAsia="zh-CN"/>
        </w:rPr>
        <w:t xml:space="preserve"> </w:t>
      </w:r>
      <w:r w:rsidRPr="00C54985">
        <w:rPr>
          <w:lang w:eastAsia="zh-CN"/>
        </w:rPr>
        <w:tab/>
      </w:r>
      <w:r w:rsidR="00A276B7">
        <w:rPr>
          <w:lang w:eastAsia="zh-CN"/>
        </w:rPr>
        <w:tab/>
      </w:r>
      <w:r w:rsidRPr="00C54985">
        <w:rPr>
          <w:lang w:eastAsia="zh-CN"/>
        </w:rPr>
        <w:t>=   the probability of household falling under the poverty line</w:t>
      </w:r>
    </w:p>
    <w:p w14:paraId="43422B3E" w14:textId="79BFC8CB" w:rsidR="003824F4" w:rsidRPr="00C54985" w:rsidRDefault="003824F4" w:rsidP="00300A09">
      <w:pPr>
        <w:ind w:firstLine="360"/>
        <w:jc w:val="both"/>
        <w:rPr>
          <w:lang w:eastAsia="zh-CN"/>
        </w:rPr>
      </w:pPr>
      <w:r w:rsidRPr="00C54985">
        <w:rPr>
          <w:lang w:eastAsia="zh-CN"/>
        </w:rPr>
        <w:t>1-P</w:t>
      </w:r>
      <w:r w:rsidR="00A276B7">
        <w:rPr>
          <w:lang w:eastAsia="zh-CN"/>
        </w:rPr>
        <w:tab/>
      </w:r>
      <w:r w:rsidRPr="00C54985">
        <w:rPr>
          <w:lang w:eastAsia="zh-CN"/>
        </w:rPr>
        <w:tab/>
        <w:t xml:space="preserve">= the probability of household falling above the poverty line </w:t>
      </w:r>
    </w:p>
    <w:p w14:paraId="5C81B14E" w14:textId="77777777" w:rsidR="003824F4" w:rsidRPr="00C54985" w:rsidRDefault="003824F4" w:rsidP="00300A09">
      <w:pPr>
        <w:ind w:firstLine="360"/>
        <w:jc w:val="both"/>
        <w:rPr>
          <w:noProof/>
          <w:position w:val="-12"/>
        </w:rPr>
      </w:pPr>
      <w:r w:rsidRPr="00C54985">
        <w:rPr>
          <w:noProof/>
          <w:position w:val="-12"/>
        </w:rPr>
        <w:t xml:space="preserve">AGE </w:t>
      </w:r>
      <w:r w:rsidRPr="00C54985">
        <w:rPr>
          <w:noProof/>
          <w:position w:val="-12"/>
        </w:rPr>
        <w:tab/>
        <w:t>= Age of head of household</w:t>
      </w:r>
    </w:p>
    <w:p w14:paraId="767BD79F" w14:textId="77777777" w:rsidR="003824F4" w:rsidRPr="00C54985" w:rsidRDefault="003824F4" w:rsidP="00300A09">
      <w:pPr>
        <w:ind w:firstLine="360"/>
        <w:jc w:val="both"/>
        <w:rPr>
          <w:lang w:eastAsia="zh-CN"/>
        </w:rPr>
      </w:pPr>
      <w:r w:rsidRPr="00C54985">
        <w:rPr>
          <w:noProof/>
          <w:position w:val="-12"/>
        </w:rPr>
        <w:t xml:space="preserve">GEN </w:t>
      </w:r>
      <w:r w:rsidRPr="00C54985">
        <w:rPr>
          <w:noProof/>
          <w:position w:val="-12"/>
        </w:rPr>
        <w:tab/>
        <w:t>= Gender head of household</w:t>
      </w:r>
      <w:r w:rsidRPr="00C54985">
        <w:rPr>
          <w:lang w:eastAsia="zh-CN"/>
        </w:rPr>
        <w:t xml:space="preserve"> </w:t>
      </w:r>
    </w:p>
    <w:p w14:paraId="080BEA3F" w14:textId="77777777" w:rsidR="003824F4" w:rsidRPr="00C54985" w:rsidRDefault="003824F4" w:rsidP="00300A09">
      <w:pPr>
        <w:ind w:firstLine="360"/>
        <w:jc w:val="both"/>
        <w:rPr>
          <w:lang w:eastAsia="zh-CN"/>
        </w:rPr>
      </w:pPr>
      <w:r w:rsidRPr="00C54985">
        <w:rPr>
          <w:lang w:eastAsia="zh-CN"/>
        </w:rPr>
        <w:t xml:space="preserve">STR </w:t>
      </w:r>
      <w:r w:rsidRPr="00C54985">
        <w:rPr>
          <w:lang w:eastAsia="zh-CN"/>
        </w:rPr>
        <w:tab/>
        <w:t>= Strata</w:t>
      </w:r>
    </w:p>
    <w:p w14:paraId="4C26338D" w14:textId="77777777" w:rsidR="003824F4" w:rsidRPr="00C54985" w:rsidRDefault="003824F4" w:rsidP="00300A09">
      <w:pPr>
        <w:ind w:firstLine="360"/>
        <w:jc w:val="both"/>
        <w:rPr>
          <w:lang w:eastAsia="zh-CN"/>
        </w:rPr>
      </w:pPr>
      <w:r w:rsidRPr="00C54985">
        <w:rPr>
          <w:lang w:eastAsia="zh-CN"/>
        </w:rPr>
        <w:t>EDU</w:t>
      </w:r>
      <w:r w:rsidRPr="00C54985">
        <w:rPr>
          <w:lang w:eastAsia="zh-CN"/>
        </w:rPr>
        <w:tab/>
        <w:t>= Education head of household</w:t>
      </w:r>
    </w:p>
    <w:p w14:paraId="709478B1" w14:textId="77777777" w:rsidR="003824F4" w:rsidRPr="00C54985" w:rsidRDefault="003824F4" w:rsidP="00300A09">
      <w:pPr>
        <w:ind w:firstLine="360"/>
        <w:jc w:val="both"/>
        <w:rPr>
          <w:lang w:eastAsia="zh-CN"/>
        </w:rPr>
      </w:pPr>
      <w:r w:rsidRPr="00C54985">
        <w:rPr>
          <w:lang w:eastAsia="zh-CN"/>
        </w:rPr>
        <w:t xml:space="preserve">ETH </w:t>
      </w:r>
      <w:r w:rsidRPr="00C54985">
        <w:rPr>
          <w:lang w:eastAsia="zh-CN"/>
        </w:rPr>
        <w:tab/>
        <w:t>= Ethnicity head of household</w:t>
      </w:r>
    </w:p>
    <w:p w14:paraId="0AE721A7" w14:textId="77777777" w:rsidR="003824F4" w:rsidRPr="00C54985" w:rsidRDefault="003824F4" w:rsidP="00300A09">
      <w:pPr>
        <w:ind w:firstLine="360"/>
        <w:jc w:val="both"/>
        <w:rPr>
          <w:lang w:eastAsia="zh-CN"/>
        </w:rPr>
      </w:pPr>
      <w:r w:rsidRPr="00C54985">
        <w:rPr>
          <w:lang w:eastAsia="zh-CN"/>
        </w:rPr>
        <w:t xml:space="preserve">MAR </w:t>
      </w:r>
      <w:r w:rsidRPr="00C54985">
        <w:rPr>
          <w:lang w:eastAsia="zh-CN"/>
        </w:rPr>
        <w:tab/>
        <w:t>= Marital status head of household</w:t>
      </w:r>
    </w:p>
    <w:p w14:paraId="6002C72D" w14:textId="6E957C2D" w:rsidR="003824F4" w:rsidRPr="00C54985" w:rsidRDefault="003824F4" w:rsidP="00300A09">
      <w:pPr>
        <w:ind w:firstLine="360"/>
        <w:jc w:val="both"/>
        <w:rPr>
          <w:lang w:eastAsia="zh-CN"/>
        </w:rPr>
      </w:pPr>
      <w:r w:rsidRPr="00C54985">
        <w:rPr>
          <w:lang w:eastAsia="zh-CN"/>
        </w:rPr>
        <w:t xml:space="preserve">STATE </w:t>
      </w:r>
      <w:r w:rsidR="00A276B7">
        <w:rPr>
          <w:lang w:eastAsia="zh-CN"/>
        </w:rPr>
        <w:tab/>
      </w:r>
      <w:r w:rsidRPr="00C54985">
        <w:rPr>
          <w:lang w:eastAsia="zh-CN"/>
        </w:rPr>
        <w:t>= state</w:t>
      </w:r>
    </w:p>
    <w:p w14:paraId="659FFC6F" w14:textId="77C9B052" w:rsidR="003824F4" w:rsidRPr="00C54985" w:rsidRDefault="00E00E84" w:rsidP="00300A09">
      <w:pPr>
        <w:ind w:firstLine="360"/>
        <w:jc w:val="both"/>
        <w:rPr>
          <w:lang w:eastAsia="zh-CN"/>
        </w:rPr>
      </w:pPr>
      <m:oMath>
        <m:sSub>
          <m:sSubPr>
            <m:ctrlPr>
              <w:rPr>
                <w:rFonts w:ascii="Cambria Math" w:hAnsi="Cambria Math"/>
                <w:i/>
                <w:lang w:eastAsia="zh-CN"/>
              </w:rPr>
            </m:ctrlPr>
          </m:sSubPr>
          <m:e>
            <m:r>
              <w:rPr>
                <w:rFonts w:ascii="Cambria Math" w:hAnsi="Cambria Math"/>
                <w:lang w:eastAsia="zh-CN"/>
              </w:rPr>
              <m:t>β</m:t>
            </m:r>
          </m:e>
          <m:sub>
            <m:r>
              <w:rPr>
                <w:rFonts w:ascii="Cambria Math" w:hAnsi="Cambria Math"/>
                <w:lang w:eastAsia="zh-CN"/>
              </w:rPr>
              <m:t>i</m:t>
            </m:r>
          </m:sub>
        </m:sSub>
      </m:oMath>
      <w:r w:rsidR="003824F4" w:rsidRPr="00C54985">
        <w:rPr>
          <w:lang w:eastAsia="zh-CN"/>
        </w:rPr>
        <w:t xml:space="preserve">  </w:t>
      </w:r>
      <w:r w:rsidR="00A276B7">
        <w:rPr>
          <w:lang w:eastAsia="zh-CN"/>
        </w:rPr>
        <w:tab/>
      </w:r>
      <w:r w:rsidR="003824F4" w:rsidRPr="00C54985">
        <w:rPr>
          <w:lang w:eastAsia="zh-CN"/>
        </w:rPr>
        <w:tab/>
        <w:t>=   coefficients for explanatory variables; where i = 1,2,3,4,5,6,7</w:t>
      </w:r>
    </w:p>
    <w:p w14:paraId="45A42E87" w14:textId="0F7E423D" w:rsidR="003824F4" w:rsidRPr="00C54985" w:rsidRDefault="00E00E84" w:rsidP="00300A09">
      <w:pPr>
        <w:ind w:firstLine="360"/>
        <w:jc w:val="both"/>
        <w:rPr>
          <w:lang w:eastAsia="zh-CN"/>
        </w:rPr>
      </w:pPr>
      <m:oMath>
        <m:sSub>
          <m:sSubPr>
            <m:ctrlPr>
              <w:rPr>
                <w:rFonts w:ascii="Cambria Math" w:hAnsi="Cambria Math"/>
                <w:i/>
                <w:lang w:eastAsia="zh-CN"/>
              </w:rPr>
            </m:ctrlPr>
          </m:sSubPr>
          <m:e>
            <m:r>
              <w:rPr>
                <w:rFonts w:ascii="Cambria Math" w:hAnsi="Cambria Math"/>
                <w:lang w:eastAsia="zh-CN"/>
              </w:rPr>
              <m:t>ε</m:t>
            </m:r>
          </m:e>
          <m:sub>
            <m:r>
              <w:rPr>
                <w:rFonts w:ascii="Cambria Math" w:hAnsi="Cambria Math"/>
                <w:lang w:eastAsia="zh-CN"/>
              </w:rPr>
              <m:t>i</m:t>
            </m:r>
          </m:sub>
        </m:sSub>
      </m:oMath>
      <w:r w:rsidR="003824F4" w:rsidRPr="00C54985">
        <w:rPr>
          <w:lang w:eastAsia="zh-CN"/>
        </w:rPr>
        <w:t xml:space="preserve">  </w:t>
      </w:r>
      <w:r w:rsidR="003824F4" w:rsidRPr="00C54985">
        <w:rPr>
          <w:lang w:eastAsia="zh-CN"/>
        </w:rPr>
        <w:tab/>
      </w:r>
      <w:r w:rsidR="00A276B7">
        <w:rPr>
          <w:lang w:eastAsia="zh-CN"/>
        </w:rPr>
        <w:tab/>
      </w:r>
      <w:r w:rsidR="003824F4" w:rsidRPr="00C54985">
        <w:rPr>
          <w:lang w:eastAsia="zh-CN"/>
        </w:rPr>
        <w:t>=   stochastic disturbance term.</w:t>
      </w:r>
    </w:p>
    <w:p w14:paraId="7E44DB37" w14:textId="24009C3D" w:rsidR="00522634" w:rsidRDefault="00522634" w:rsidP="00300A09">
      <w:pPr>
        <w:pStyle w:val="Heading2"/>
        <w:spacing w:before="0" w:line="240" w:lineRule="auto"/>
        <w:ind w:firstLine="360"/>
        <w:rPr>
          <w:rFonts w:ascii="Times New Roman" w:hAnsi="Times New Roman" w:cs="Times New Roman"/>
          <w:sz w:val="24"/>
          <w:szCs w:val="24"/>
        </w:rPr>
      </w:pPr>
    </w:p>
    <w:p w14:paraId="4E5DADC1" w14:textId="77777777" w:rsidR="00A276B7" w:rsidRPr="00A276B7" w:rsidRDefault="00A276B7" w:rsidP="00300A09"/>
    <w:p w14:paraId="14823D42" w14:textId="4B3D7D24" w:rsidR="00522634" w:rsidRDefault="00455196" w:rsidP="00300A09">
      <w:pPr>
        <w:pStyle w:val="Heading2"/>
        <w:spacing w:before="0" w:line="240" w:lineRule="auto"/>
        <w:rPr>
          <w:rFonts w:ascii="Times New Roman" w:hAnsi="Times New Roman" w:cs="Times New Roman"/>
          <w:sz w:val="24"/>
          <w:szCs w:val="24"/>
        </w:rPr>
      </w:pPr>
      <w:r w:rsidRPr="00C54985">
        <w:rPr>
          <w:rFonts w:ascii="Times New Roman" w:hAnsi="Times New Roman" w:cs="Times New Roman"/>
          <w:sz w:val="24"/>
          <w:szCs w:val="24"/>
        </w:rPr>
        <w:t xml:space="preserve">Results </w:t>
      </w:r>
    </w:p>
    <w:p w14:paraId="7ADFB3DB" w14:textId="77777777" w:rsidR="00A276B7" w:rsidRPr="00A276B7" w:rsidRDefault="00A276B7" w:rsidP="00300A09"/>
    <w:p w14:paraId="6670789B" w14:textId="7E7FD59F" w:rsidR="00522634" w:rsidRPr="00C54985" w:rsidRDefault="00F75107" w:rsidP="00300A09">
      <w:pPr>
        <w:jc w:val="both"/>
        <w:rPr>
          <w:i/>
        </w:rPr>
      </w:pPr>
      <w:r w:rsidRPr="00C54985">
        <w:rPr>
          <w:i/>
        </w:rPr>
        <w:t>Poverty incidence in the Northern States</w:t>
      </w:r>
      <w:r w:rsidR="00C31172" w:rsidRPr="00C54985">
        <w:rPr>
          <w:i/>
        </w:rPr>
        <w:t xml:space="preserve"> of</w:t>
      </w:r>
      <w:r w:rsidRPr="00C54985">
        <w:rPr>
          <w:i/>
        </w:rPr>
        <w:t xml:space="preserve"> Malaysia</w:t>
      </w:r>
    </w:p>
    <w:p w14:paraId="0933423B" w14:textId="0E808284" w:rsidR="00E11F50" w:rsidRPr="00C54985" w:rsidRDefault="00E11F50" w:rsidP="00300A09">
      <w:pPr>
        <w:jc w:val="both"/>
        <w:rPr>
          <w:i/>
        </w:rPr>
      </w:pPr>
    </w:p>
    <w:p w14:paraId="08E6B051" w14:textId="165DB317" w:rsidR="00E11F50" w:rsidRPr="00C54985" w:rsidRDefault="00E11F50" w:rsidP="00300A09">
      <w:pPr>
        <w:jc w:val="both"/>
      </w:pPr>
      <w:r w:rsidRPr="00C54985">
        <w:t xml:space="preserve">Table 4 shows the poverty incidence of the households in the Northern </w:t>
      </w:r>
      <w:r w:rsidR="00CB0452" w:rsidRPr="00C54985">
        <w:t>S</w:t>
      </w:r>
      <w:r w:rsidRPr="00C54985">
        <w:t xml:space="preserve">tates of Malaysia. The poverty incidence is calculated based on </w:t>
      </w:r>
      <w:r w:rsidR="00526742" w:rsidRPr="00C54985">
        <w:t xml:space="preserve">the </w:t>
      </w:r>
      <w:r w:rsidRPr="00C54985">
        <w:t xml:space="preserve">Household Income Survey (HIS) data of </w:t>
      </w:r>
      <w:r w:rsidR="00526742" w:rsidRPr="00C54985">
        <w:t xml:space="preserve">a </w:t>
      </w:r>
      <w:r w:rsidRPr="00C54985">
        <w:t>particular year. In 2009, Perlis ha</w:t>
      </w:r>
      <w:r w:rsidR="00473E9E" w:rsidRPr="00C54985">
        <w:t>d</w:t>
      </w:r>
      <w:r w:rsidRPr="00C54985">
        <w:t xml:space="preserve"> the highest poverty incidence</w:t>
      </w:r>
      <w:r w:rsidR="00473E9E" w:rsidRPr="00C54985">
        <w:t xml:space="preserve"> with</w:t>
      </w:r>
      <w:r w:rsidRPr="00C54985">
        <w:t xml:space="preserve"> 5.67 and 7.26 </w:t>
      </w:r>
      <w:r w:rsidRPr="00C54985">
        <w:rPr>
          <w:noProof/>
        </w:rPr>
        <w:t>percent</w:t>
      </w:r>
      <w:r w:rsidRPr="00C54985">
        <w:t xml:space="preserve"> for female</w:t>
      </w:r>
      <w:r w:rsidR="00473E9E" w:rsidRPr="00C54985">
        <w:t>s</w:t>
      </w:r>
      <w:r w:rsidRPr="00C54985">
        <w:t xml:space="preserve"> and male</w:t>
      </w:r>
      <w:r w:rsidR="00473E9E" w:rsidRPr="00C54985">
        <w:t>s</w:t>
      </w:r>
      <w:r w:rsidRPr="00C54985">
        <w:t xml:space="preserve"> respectively. </w:t>
      </w:r>
      <w:r w:rsidRPr="00C54985">
        <w:rPr>
          <w:noProof/>
        </w:rPr>
        <w:t>This</w:t>
      </w:r>
      <w:r w:rsidRPr="00C54985">
        <w:t xml:space="preserve"> </w:t>
      </w:r>
      <w:r w:rsidR="00473E9E" w:rsidRPr="00C54985">
        <w:t xml:space="preserve">is </w:t>
      </w:r>
      <w:r w:rsidRPr="00C54985">
        <w:t>follow</w:t>
      </w:r>
      <w:r w:rsidR="00473E9E" w:rsidRPr="00C54985">
        <w:t>ed</w:t>
      </w:r>
      <w:r w:rsidRPr="00C54985">
        <w:t xml:space="preserve"> by Kedah, Perak and Penang. Perlis also has the highest poverty incidence for both urban and rural area</w:t>
      </w:r>
      <w:r w:rsidR="00473E9E" w:rsidRPr="00C54985">
        <w:t>s</w:t>
      </w:r>
      <w:r w:rsidRPr="00C54985">
        <w:t xml:space="preserve"> with 3.32 and 9.61</w:t>
      </w:r>
      <w:r w:rsidR="00473E9E" w:rsidRPr="00C54985">
        <w:t xml:space="preserve"> </w:t>
      </w:r>
      <w:r w:rsidR="00473E9E" w:rsidRPr="00C54985">
        <w:rPr>
          <w:noProof/>
        </w:rPr>
        <w:t>percent</w:t>
      </w:r>
      <w:r w:rsidRPr="00C54985">
        <w:t xml:space="preserve"> respectively, while Penang has the lowest poverty incidence</w:t>
      </w:r>
      <w:r w:rsidR="00473E9E" w:rsidRPr="00C54985">
        <w:t xml:space="preserve"> with </w:t>
      </w:r>
      <w:r w:rsidRPr="00C54985">
        <w:t xml:space="preserve">1.3 and 0.71 </w:t>
      </w:r>
      <w:r w:rsidRPr="00C54985">
        <w:rPr>
          <w:noProof/>
        </w:rPr>
        <w:t>percent</w:t>
      </w:r>
      <w:r w:rsidRPr="00C54985">
        <w:t>. Bumiputera households ha</w:t>
      </w:r>
      <w:r w:rsidR="00473E9E" w:rsidRPr="00C54985">
        <w:t>ve</w:t>
      </w:r>
      <w:r w:rsidRPr="00C54985">
        <w:t xml:space="preserve"> the highest poverty incidence for all Northern states</w:t>
      </w:r>
      <w:r w:rsidR="00473E9E" w:rsidRPr="00C54985">
        <w:t xml:space="preserve"> with </w:t>
      </w:r>
      <w:r w:rsidRPr="00C54985">
        <w:t xml:space="preserve">12.24, 7.24, 1.29 and 4.52 </w:t>
      </w:r>
      <w:r w:rsidR="00473E9E" w:rsidRPr="00C54985">
        <w:t xml:space="preserve">for Perlis, Kedah, Penang and Perak </w:t>
      </w:r>
      <w:r w:rsidRPr="00C54985">
        <w:t>respectively. For other ethnicit</w:t>
      </w:r>
      <w:r w:rsidR="00473E9E" w:rsidRPr="00C54985">
        <w:t>ies</w:t>
      </w:r>
      <w:r w:rsidRPr="00C54985">
        <w:t xml:space="preserve">, the poverty incidence of the households is either below 1 </w:t>
      </w:r>
      <w:r w:rsidRPr="00C54985">
        <w:rPr>
          <w:noProof/>
        </w:rPr>
        <w:t>percent</w:t>
      </w:r>
      <w:r w:rsidRPr="00C54985">
        <w:t xml:space="preserve"> or zero poverty. Besides that, </w:t>
      </w:r>
      <w:r w:rsidR="00473E9E" w:rsidRPr="00C54985">
        <w:t xml:space="preserve">the </w:t>
      </w:r>
      <w:r w:rsidRPr="00C54985">
        <w:t xml:space="preserve">head of households </w:t>
      </w:r>
      <w:r w:rsidR="00473E9E" w:rsidRPr="00C54985">
        <w:t>with</w:t>
      </w:r>
      <w:r w:rsidRPr="00C54985">
        <w:t xml:space="preserve"> primary education has the highest poverty incidence for all Northern states, and n</w:t>
      </w:r>
      <w:r w:rsidR="00473E9E" w:rsidRPr="00C54985">
        <w:t>o</w:t>
      </w:r>
      <w:r w:rsidRPr="00C54985">
        <w:t xml:space="preserve"> households </w:t>
      </w:r>
      <w:r w:rsidR="00473E9E" w:rsidRPr="00C54985">
        <w:t>with</w:t>
      </w:r>
      <w:r w:rsidRPr="00C54985">
        <w:t xml:space="preserve"> tertiary education </w:t>
      </w:r>
      <w:r w:rsidR="00473E9E" w:rsidRPr="00C54985">
        <w:t xml:space="preserve">are </w:t>
      </w:r>
      <w:r w:rsidRPr="00C54985">
        <w:t xml:space="preserve">living in poverty, except for households in Kedah where the poverty incidence is 0.1. For marital status, </w:t>
      </w:r>
      <w:r w:rsidR="00473E9E" w:rsidRPr="00C54985">
        <w:t xml:space="preserve">married </w:t>
      </w:r>
      <w:r w:rsidRPr="00C54985">
        <w:t xml:space="preserve">households </w:t>
      </w:r>
      <w:r w:rsidR="00473E9E" w:rsidRPr="00C54985">
        <w:t xml:space="preserve">have </w:t>
      </w:r>
      <w:r w:rsidRPr="00C54985">
        <w:t>the highest poverty incidence in Perlis and Penang</w:t>
      </w:r>
      <w:r w:rsidR="00473E9E" w:rsidRPr="00C54985">
        <w:t xml:space="preserve"> with </w:t>
      </w:r>
      <w:r w:rsidRPr="00C54985">
        <w:t xml:space="preserve">5.45 and 0.8 </w:t>
      </w:r>
      <w:r w:rsidRPr="00C54985">
        <w:rPr>
          <w:noProof/>
        </w:rPr>
        <w:t>percent</w:t>
      </w:r>
      <w:r w:rsidRPr="00C54985">
        <w:t xml:space="preserve"> respectively. Meanwhile, the highest poverty incidence based on marital status in Kedah and Perak is widowed head of household with 3.54 and 3.16 </w:t>
      </w:r>
      <w:r w:rsidR="00473E9E" w:rsidRPr="00C54985">
        <w:rPr>
          <w:noProof/>
        </w:rPr>
        <w:t>percent</w:t>
      </w:r>
      <w:r w:rsidRPr="00C54985">
        <w:t>.</w:t>
      </w:r>
    </w:p>
    <w:p w14:paraId="424283FC" w14:textId="78F81B18" w:rsidR="00E11F50" w:rsidRPr="00C54985" w:rsidRDefault="00E11F50" w:rsidP="00300A09">
      <w:pPr>
        <w:ind w:firstLine="720"/>
        <w:jc w:val="both"/>
      </w:pPr>
      <w:r w:rsidRPr="00C54985">
        <w:t>Head of household</w:t>
      </w:r>
      <w:r w:rsidR="00473E9E" w:rsidRPr="00C54985">
        <w:t>s</w:t>
      </w:r>
      <w:r w:rsidRPr="00C54985">
        <w:t xml:space="preserve"> age</w:t>
      </w:r>
      <w:r w:rsidR="00473E9E" w:rsidRPr="00C54985">
        <w:t>d</w:t>
      </w:r>
      <w:r w:rsidRPr="00C54985">
        <w:t xml:space="preserve"> 70-80 has the highest poverty incidence in Kedah and Perak</w:t>
      </w:r>
      <w:r w:rsidR="00473E9E" w:rsidRPr="00C54985">
        <w:t xml:space="preserve"> with</w:t>
      </w:r>
      <w:r w:rsidRPr="00C54985">
        <w:t xml:space="preserve"> 2.44 and 2.16 </w:t>
      </w:r>
      <w:r w:rsidRPr="00C54985">
        <w:rPr>
          <w:noProof/>
        </w:rPr>
        <w:t>percent</w:t>
      </w:r>
      <w:r w:rsidRPr="00C54985">
        <w:t xml:space="preserve">. On the other hand, households in Perlis </w:t>
      </w:r>
      <w:r w:rsidR="00473E9E" w:rsidRPr="00C54985">
        <w:t xml:space="preserve">with heads </w:t>
      </w:r>
      <w:r w:rsidRPr="00C54985">
        <w:t>age</w:t>
      </w:r>
      <w:r w:rsidR="00473E9E" w:rsidRPr="00C54985">
        <w:t>d</w:t>
      </w:r>
      <w:r w:rsidRPr="00C54985">
        <w:t xml:space="preserve"> 59-69 ha</w:t>
      </w:r>
      <w:r w:rsidR="00473E9E" w:rsidRPr="00C54985">
        <w:t>ve</w:t>
      </w:r>
      <w:r w:rsidRPr="00C54985">
        <w:t xml:space="preserve"> the highest poverty incidence (3.85 </w:t>
      </w:r>
      <w:r w:rsidRPr="00C54985">
        <w:rPr>
          <w:noProof/>
        </w:rPr>
        <w:t>percent</w:t>
      </w:r>
      <w:r w:rsidRPr="00C54985">
        <w:t>), while in Penang, households age</w:t>
      </w:r>
      <w:r w:rsidR="00473E9E" w:rsidRPr="00C54985">
        <w:t>d</w:t>
      </w:r>
      <w:r w:rsidRPr="00C54985">
        <w:t xml:space="preserve"> 37-47 has the highest po</w:t>
      </w:r>
      <w:r w:rsidR="004E3D35" w:rsidRPr="00C54985">
        <w:t xml:space="preserve">verty incidence (0.62 </w:t>
      </w:r>
      <w:r w:rsidR="004E3D35" w:rsidRPr="00C54985">
        <w:rPr>
          <w:noProof/>
        </w:rPr>
        <w:t>percent</w:t>
      </w:r>
      <w:r w:rsidR="004E3D35" w:rsidRPr="00C54985">
        <w:t>).</w:t>
      </w:r>
    </w:p>
    <w:p w14:paraId="60FDCB73" w14:textId="5D8D3371" w:rsidR="00C4781C" w:rsidRPr="00C54985" w:rsidRDefault="00E11F50" w:rsidP="00300A09">
      <w:pPr>
        <w:jc w:val="both"/>
        <w:rPr>
          <w:noProof/>
        </w:rPr>
      </w:pPr>
      <w:r w:rsidRPr="00C54985">
        <w:tab/>
        <w:t>Unlike in 2009, Perak has the highest poverty incidence according to gender in 2012</w:t>
      </w:r>
      <w:r w:rsidR="00473E9E" w:rsidRPr="00C54985">
        <w:t xml:space="preserve"> with</w:t>
      </w:r>
      <w:r w:rsidRPr="00C54985">
        <w:t xml:space="preserve"> 4.36 and 2.87 </w:t>
      </w:r>
      <w:r w:rsidRPr="00C54985">
        <w:rPr>
          <w:noProof/>
        </w:rPr>
        <w:t>percent</w:t>
      </w:r>
      <w:r w:rsidRPr="00C54985">
        <w:t xml:space="preserve"> for female</w:t>
      </w:r>
      <w:r w:rsidR="00473E9E" w:rsidRPr="00C54985">
        <w:t>s</w:t>
      </w:r>
      <w:r w:rsidRPr="00C54985">
        <w:t xml:space="preserve"> and male</w:t>
      </w:r>
      <w:r w:rsidR="00473E9E" w:rsidRPr="00C54985">
        <w:t>s</w:t>
      </w:r>
      <w:r w:rsidRPr="00C54985">
        <w:t xml:space="preserve"> respectively. </w:t>
      </w:r>
      <w:r w:rsidRPr="00C54985">
        <w:rPr>
          <w:noProof/>
        </w:rPr>
        <w:t>This</w:t>
      </w:r>
      <w:r w:rsidRPr="00C54985">
        <w:t xml:space="preserve"> </w:t>
      </w:r>
      <w:r w:rsidR="00473E9E" w:rsidRPr="00C54985">
        <w:t xml:space="preserve">is </w:t>
      </w:r>
      <w:r w:rsidRPr="00C54985">
        <w:t>follow</w:t>
      </w:r>
      <w:r w:rsidR="00473E9E" w:rsidRPr="00C54985">
        <w:t>ed</w:t>
      </w:r>
      <w:r w:rsidRPr="00C54985">
        <w:t xml:space="preserve"> by Perlis, Kedah and Penang. According to strata, Perak has the highest poverty incidence for both urban and rural area</w:t>
      </w:r>
      <w:r w:rsidR="00473E9E" w:rsidRPr="00C54985">
        <w:t>s</w:t>
      </w:r>
      <w:r w:rsidRPr="00C54985">
        <w:t xml:space="preserve"> with 3.63 and 3.6 </w:t>
      </w:r>
      <w:r w:rsidR="00473E9E" w:rsidRPr="00C54985">
        <w:rPr>
          <w:noProof/>
        </w:rPr>
        <w:t>percent</w:t>
      </w:r>
      <w:r w:rsidRPr="00C54985">
        <w:t>, while Perlis has the lowest poverty incidence for urban area</w:t>
      </w:r>
      <w:r w:rsidR="00473E9E" w:rsidRPr="00C54985">
        <w:t xml:space="preserve">s with </w:t>
      </w:r>
      <w:r w:rsidRPr="00C54985">
        <w:t xml:space="preserve">1.5 </w:t>
      </w:r>
      <w:r w:rsidRPr="00C54985">
        <w:rPr>
          <w:noProof/>
        </w:rPr>
        <w:t>percent</w:t>
      </w:r>
      <w:r w:rsidRPr="00C54985">
        <w:t xml:space="preserve"> and Penang</w:t>
      </w:r>
      <w:r w:rsidR="00473E9E" w:rsidRPr="00C54985">
        <w:t>’s</w:t>
      </w:r>
      <w:r w:rsidRPr="00C54985">
        <w:t xml:space="preserve"> rural area</w:t>
      </w:r>
      <w:r w:rsidR="00473E9E" w:rsidRPr="00C54985">
        <w:t xml:space="preserve"> with </w:t>
      </w:r>
      <w:r w:rsidRPr="00C54985">
        <w:t xml:space="preserve">0.23 </w:t>
      </w:r>
      <w:r w:rsidRPr="00C54985">
        <w:rPr>
          <w:noProof/>
        </w:rPr>
        <w:t>percent</w:t>
      </w:r>
      <w:r w:rsidRPr="00C54985">
        <w:t>. Bumiputera households ha</w:t>
      </w:r>
      <w:r w:rsidR="00EF19C1" w:rsidRPr="00C54985">
        <w:t>ve</w:t>
      </w:r>
      <w:r w:rsidRPr="00C54985">
        <w:t xml:space="preserve"> the highest poverty incidence for all Northern states. The poverty incidence of Bumiputera households in Perlis, Kedah and Perak </w:t>
      </w:r>
      <w:r w:rsidR="00EF19C1" w:rsidRPr="00C54985">
        <w:t xml:space="preserve">is </w:t>
      </w:r>
      <w:r w:rsidRPr="00C54985">
        <w:t>the highest</w:t>
      </w:r>
      <w:r w:rsidR="00EF19C1" w:rsidRPr="00C54985">
        <w:t xml:space="preserve"> </w:t>
      </w:r>
      <w:r w:rsidR="00EF19C1" w:rsidRPr="00C54985">
        <w:rPr>
          <w:noProof/>
        </w:rPr>
        <w:t>with</w:t>
      </w:r>
      <w:r w:rsidR="00EF19C1" w:rsidRPr="00C54985">
        <w:t xml:space="preserve"> </w:t>
      </w:r>
      <w:r w:rsidRPr="00C54985">
        <w:t xml:space="preserve">4.09, 3.39 and 4.03 </w:t>
      </w:r>
      <w:r w:rsidR="00EF19C1" w:rsidRPr="00C54985">
        <w:rPr>
          <w:noProof/>
        </w:rPr>
        <w:lastRenderedPageBreak/>
        <w:t>percent</w:t>
      </w:r>
      <w:r w:rsidR="00EF19C1" w:rsidRPr="00C54985">
        <w:t xml:space="preserve"> </w:t>
      </w:r>
      <w:r w:rsidRPr="00C54985">
        <w:t>respectively. For other ethnicit</w:t>
      </w:r>
      <w:r w:rsidR="00EF19C1" w:rsidRPr="00C54985">
        <w:t>ies</w:t>
      </w:r>
      <w:r w:rsidRPr="00C54985">
        <w:t xml:space="preserve">, the poverty incidence of the households is either below 1 </w:t>
      </w:r>
      <w:r w:rsidRPr="00C54985">
        <w:rPr>
          <w:noProof/>
        </w:rPr>
        <w:t>percent</w:t>
      </w:r>
      <w:r w:rsidRPr="00C54985">
        <w:t xml:space="preserve"> or zero poverty, except for Chinese households in Penang and Perak where the poverty incidence are 1.3 and 2.45 </w:t>
      </w:r>
      <w:r w:rsidRPr="00C54985">
        <w:rPr>
          <w:noProof/>
        </w:rPr>
        <w:t>percent</w:t>
      </w:r>
      <w:r w:rsidRPr="00C54985">
        <w:t xml:space="preserve"> respectively. For education, Perlis has the highest poverty incidence </w:t>
      </w:r>
      <w:r w:rsidRPr="00C54985">
        <w:rPr>
          <w:noProof/>
        </w:rPr>
        <w:t>on</w:t>
      </w:r>
      <w:r w:rsidRPr="00C54985">
        <w:t xml:space="preserve"> household</w:t>
      </w:r>
      <w:r w:rsidR="00EF19C1" w:rsidRPr="00C54985">
        <w:t>s</w:t>
      </w:r>
      <w:r w:rsidRPr="00C54985">
        <w:t xml:space="preserve"> </w:t>
      </w:r>
      <w:r w:rsidR="00EF19C1" w:rsidRPr="00C54985">
        <w:t>with</w:t>
      </w:r>
      <w:r w:rsidRPr="00C54985">
        <w:t xml:space="preserve"> secondary education </w:t>
      </w:r>
      <w:r w:rsidR="00EF19C1" w:rsidRPr="00C54985">
        <w:t>at</w:t>
      </w:r>
      <w:r w:rsidRPr="00C54985">
        <w:t xml:space="preserve"> 2.51 </w:t>
      </w:r>
      <w:r w:rsidRPr="00C54985">
        <w:rPr>
          <w:noProof/>
        </w:rPr>
        <w:t>percent</w:t>
      </w:r>
      <w:r w:rsidRPr="00C54985">
        <w:t>. Households in Perak</w:t>
      </w:r>
      <w:r w:rsidR="00EF19C1" w:rsidRPr="00C54985">
        <w:t xml:space="preserve"> with only </w:t>
      </w:r>
      <w:r w:rsidRPr="00C54985">
        <w:t xml:space="preserve">primary education has </w:t>
      </w:r>
      <w:r w:rsidR="00EF19C1" w:rsidRPr="00C54985">
        <w:t xml:space="preserve">a </w:t>
      </w:r>
      <w:r w:rsidRPr="00C54985">
        <w:t xml:space="preserve">poverty incidence of 4.46 </w:t>
      </w:r>
      <w:r w:rsidRPr="00C54985">
        <w:rPr>
          <w:noProof/>
        </w:rPr>
        <w:t>percent</w:t>
      </w:r>
      <w:r w:rsidRPr="00C54985">
        <w:t xml:space="preserve">, which is the highest. For marital status, households with </w:t>
      </w:r>
      <w:r w:rsidR="00EF19C1" w:rsidRPr="00C54985">
        <w:t xml:space="preserve">a </w:t>
      </w:r>
      <w:r w:rsidRPr="00C54985">
        <w:t>married head ha</w:t>
      </w:r>
      <w:r w:rsidR="00EF19C1" w:rsidRPr="00C54985">
        <w:t>ve</w:t>
      </w:r>
      <w:r w:rsidRPr="00C54985">
        <w:t xml:space="preserve"> the highest poverty incidence in Perlis and Kedah</w:t>
      </w:r>
      <w:r w:rsidR="00EF19C1" w:rsidRPr="00C54985">
        <w:t xml:space="preserve"> with</w:t>
      </w:r>
      <w:r w:rsidRPr="00C54985">
        <w:t xml:space="preserve"> 2.84 and 1.5 </w:t>
      </w:r>
      <w:r w:rsidRPr="00C54985">
        <w:rPr>
          <w:noProof/>
        </w:rPr>
        <w:t>percent.</w:t>
      </w:r>
    </w:p>
    <w:p w14:paraId="0CCE299A" w14:textId="5D873504" w:rsidR="00E11F50" w:rsidRPr="00C54985" w:rsidRDefault="00E11F50" w:rsidP="00300A09">
      <w:pPr>
        <w:ind w:firstLine="720"/>
        <w:jc w:val="both"/>
      </w:pPr>
      <w:r w:rsidRPr="00C54985">
        <w:rPr>
          <w:noProof/>
        </w:rPr>
        <w:t>Meanwhile</w:t>
      </w:r>
      <w:r w:rsidRPr="00C54985">
        <w:t xml:space="preserve">, the highest poverty incidence based on marital status in Penang and Perak is widowed head of household with 0.98 and 3.93 </w:t>
      </w:r>
      <w:r w:rsidR="00EF19C1" w:rsidRPr="00C54985">
        <w:rPr>
          <w:noProof/>
        </w:rPr>
        <w:t>percent</w:t>
      </w:r>
      <w:r w:rsidR="00EF19C1" w:rsidRPr="00C54985">
        <w:t xml:space="preserve"> </w:t>
      </w:r>
      <w:r w:rsidRPr="00C54985">
        <w:t xml:space="preserve">respectively. </w:t>
      </w:r>
      <w:r w:rsidR="00EF19C1" w:rsidRPr="00C54985">
        <w:t>I</w:t>
      </w:r>
      <w:r w:rsidRPr="00C54985">
        <w:t>n 2009, head of household</w:t>
      </w:r>
      <w:r w:rsidR="00EF19C1" w:rsidRPr="00C54985">
        <w:t>s</w:t>
      </w:r>
      <w:r w:rsidRPr="00C54985">
        <w:t xml:space="preserve"> age</w:t>
      </w:r>
      <w:r w:rsidR="00EF19C1" w:rsidRPr="00C54985">
        <w:t>d</w:t>
      </w:r>
      <w:r w:rsidRPr="00C54985">
        <w:t xml:space="preserve"> 70-80 ha</w:t>
      </w:r>
      <w:r w:rsidR="00EF19C1" w:rsidRPr="00C54985">
        <w:t>ve</w:t>
      </w:r>
      <w:r w:rsidRPr="00C54985">
        <w:t xml:space="preserve"> the highest poverty incidence in Kedah and Perak</w:t>
      </w:r>
      <w:r w:rsidR="00EF19C1" w:rsidRPr="00C54985">
        <w:t xml:space="preserve"> with</w:t>
      </w:r>
      <w:r w:rsidRPr="00C54985">
        <w:t xml:space="preserve"> 1.83 and 2.23 </w:t>
      </w:r>
      <w:r w:rsidRPr="00C54985">
        <w:rPr>
          <w:noProof/>
        </w:rPr>
        <w:t>percent</w:t>
      </w:r>
      <w:r w:rsidRPr="00C54985">
        <w:t>. On the other hand, households in Perlis and Penang age</w:t>
      </w:r>
      <w:r w:rsidR="00EF19C1" w:rsidRPr="00C54985">
        <w:t>d</w:t>
      </w:r>
      <w:r w:rsidRPr="00C54985">
        <w:t xml:space="preserve"> 59-69 has the highest poverty incidence </w:t>
      </w:r>
      <w:r w:rsidR="00EF19C1" w:rsidRPr="00C54985">
        <w:t>with</w:t>
      </w:r>
      <w:r w:rsidRPr="00C54985">
        <w:t xml:space="preserve"> 1.88 and 0.69 </w:t>
      </w:r>
      <w:r w:rsidRPr="00C54985">
        <w:rPr>
          <w:noProof/>
        </w:rPr>
        <w:t>percent</w:t>
      </w:r>
      <w:r w:rsidRPr="00C54985">
        <w:t>.</w:t>
      </w:r>
    </w:p>
    <w:p w14:paraId="6DD7EB87" w14:textId="36F7DA0F" w:rsidR="00C31172" w:rsidRPr="00C54985" w:rsidRDefault="00C31172" w:rsidP="00300A09">
      <w:pPr>
        <w:jc w:val="both"/>
      </w:pPr>
    </w:p>
    <w:p w14:paraId="785D4179" w14:textId="2A4E959D" w:rsidR="003824F4" w:rsidRDefault="003824F4" w:rsidP="00300A09">
      <w:pPr>
        <w:jc w:val="center"/>
        <w:rPr>
          <w:sz w:val="20"/>
          <w:szCs w:val="20"/>
          <w:lang w:val="en-US"/>
        </w:rPr>
      </w:pPr>
      <w:r w:rsidRPr="0002728B">
        <w:rPr>
          <w:b/>
          <w:sz w:val="20"/>
          <w:szCs w:val="20"/>
          <w:lang w:val="en-US"/>
        </w:rPr>
        <w:t>Table 4.</w:t>
      </w:r>
      <w:r w:rsidR="00380D44">
        <w:rPr>
          <w:b/>
          <w:sz w:val="20"/>
          <w:szCs w:val="20"/>
          <w:lang w:val="en-US"/>
        </w:rPr>
        <w:t xml:space="preserve"> </w:t>
      </w:r>
      <w:r w:rsidRPr="0002728B">
        <w:rPr>
          <w:sz w:val="20"/>
          <w:szCs w:val="20"/>
          <w:lang w:val="en-US"/>
        </w:rPr>
        <w:t xml:space="preserve"> Poverty </w:t>
      </w:r>
      <w:r w:rsidR="00380D44">
        <w:rPr>
          <w:sz w:val="20"/>
          <w:szCs w:val="20"/>
          <w:lang w:val="en-US"/>
        </w:rPr>
        <w:t>incidence of households in the northern s</w:t>
      </w:r>
      <w:r w:rsidRPr="0002728B">
        <w:rPr>
          <w:sz w:val="20"/>
          <w:szCs w:val="20"/>
          <w:lang w:val="en-US"/>
        </w:rPr>
        <w:t>tates of Malaysia</w:t>
      </w:r>
    </w:p>
    <w:p w14:paraId="2A3AD959" w14:textId="77777777" w:rsidR="0002728B" w:rsidRPr="0002728B" w:rsidRDefault="0002728B" w:rsidP="00300A09">
      <w:pPr>
        <w:jc w:val="center"/>
        <w:rPr>
          <w:sz w:val="20"/>
          <w:szCs w:val="20"/>
          <w:lang w:val="en-US"/>
        </w:rPr>
      </w:pPr>
    </w:p>
    <w:tbl>
      <w:tblPr>
        <w:tblW w:w="0" w:type="auto"/>
        <w:jc w:val="center"/>
        <w:tblLook w:val="04A0" w:firstRow="1" w:lastRow="0" w:firstColumn="1" w:lastColumn="0" w:noHBand="0" w:noVBand="1"/>
      </w:tblPr>
      <w:tblGrid>
        <w:gridCol w:w="1027"/>
        <w:gridCol w:w="1605"/>
        <w:gridCol w:w="672"/>
        <w:gridCol w:w="738"/>
        <w:gridCol w:w="805"/>
        <w:gridCol w:w="672"/>
        <w:gridCol w:w="672"/>
        <w:gridCol w:w="738"/>
        <w:gridCol w:w="805"/>
        <w:gridCol w:w="672"/>
      </w:tblGrid>
      <w:tr w:rsidR="003824F4" w:rsidRPr="0002728B" w14:paraId="47BA8979" w14:textId="77777777" w:rsidTr="00A52D0D">
        <w:trPr>
          <w:trHeight w:val="20"/>
          <w:jc w:val="center"/>
        </w:trPr>
        <w:tc>
          <w:tcPr>
            <w:tcW w:w="0" w:type="auto"/>
            <w:vMerge w:val="restart"/>
            <w:tcBorders>
              <w:top w:val="single" w:sz="4" w:space="0" w:color="auto"/>
              <w:left w:val="nil"/>
              <w:right w:val="nil"/>
            </w:tcBorders>
            <w:shd w:val="clear" w:color="auto" w:fill="BDD6EE" w:themeFill="accent5" w:themeFillTint="66"/>
            <w:vAlign w:val="center"/>
            <w:hideMark/>
          </w:tcPr>
          <w:p w14:paraId="2CA5BCD7" w14:textId="77777777" w:rsidR="003824F4" w:rsidRPr="0002728B" w:rsidRDefault="003824F4" w:rsidP="00300A09">
            <w:pPr>
              <w:jc w:val="both"/>
              <w:rPr>
                <w:color w:val="000000"/>
                <w:sz w:val="20"/>
                <w:szCs w:val="20"/>
              </w:rPr>
            </w:pPr>
            <w:r w:rsidRPr="0002728B">
              <w:rPr>
                <w:color w:val="000000"/>
                <w:sz w:val="20"/>
                <w:szCs w:val="20"/>
                <w:lang w:val="en-US"/>
              </w:rPr>
              <w:t> </w:t>
            </w:r>
          </w:p>
        </w:tc>
        <w:tc>
          <w:tcPr>
            <w:tcW w:w="0" w:type="auto"/>
            <w:vMerge w:val="restart"/>
            <w:tcBorders>
              <w:top w:val="single" w:sz="4" w:space="0" w:color="auto"/>
              <w:left w:val="nil"/>
              <w:right w:val="nil"/>
            </w:tcBorders>
            <w:shd w:val="clear" w:color="auto" w:fill="BDD6EE" w:themeFill="accent5" w:themeFillTint="66"/>
            <w:vAlign w:val="center"/>
            <w:hideMark/>
          </w:tcPr>
          <w:p w14:paraId="6D4A3D93" w14:textId="77777777" w:rsidR="003824F4" w:rsidRPr="0002728B" w:rsidRDefault="003824F4" w:rsidP="00300A09">
            <w:pPr>
              <w:jc w:val="both"/>
              <w:rPr>
                <w:color w:val="000000"/>
                <w:sz w:val="20"/>
                <w:szCs w:val="20"/>
              </w:rPr>
            </w:pPr>
            <w:r w:rsidRPr="0002728B">
              <w:rPr>
                <w:color w:val="000000"/>
                <w:sz w:val="20"/>
                <w:szCs w:val="20"/>
                <w:lang w:val="en-US"/>
              </w:rPr>
              <w:t> </w:t>
            </w:r>
          </w:p>
        </w:tc>
        <w:tc>
          <w:tcPr>
            <w:tcW w:w="0" w:type="auto"/>
            <w:gridSpan w:val="4"/>
            <w:tcBorders>
              <w:top w:val="single" w:sz="4" w:space="0" w:color="auto"/>
              <w:left w:val="nil"/>
            </w:tcBorders>
            <w:shd w:val="clear" w:color="auto" w:fill="BDD6EE" w:themeFill="accent5" w:themeFillTint="66"/>
            <w:vAlign w:val="center"/>
            <w:hideMark/>
          </w:tcPr>
          <w:p w14:paraId="54291674" w14:textId="4E5547AB" w:rsidR="003824F4" w:rsidRPr="0002728B" w:rsidRDefault="003824F4" w:rsidP="00300A09">
            <w:pPr>
              <w:jc w:val="center"/>
              <w:rPr>
                <w:color w:val="000000"/>
                <w:sz w:val="20"/>
                <w:szCs w:val="20"/>
              </w:rPr>
            </w:pPr>
            <w:r w:rsidRPr="0002728B">
              <w:rPr>
                <w:color w:val="000000"/>
                <w:sz w:val="20"/>
                <w:szCs w:val="20"/>
                <w:lang w:val="en-US"/>
              </w:rPr>
              <w:t>Poor</w:t>
            </w:r>
          </w:p>
        </w:tc>
        <w:tc>
          <w:tcPr>
            <w:tcW w:w="0" w:type="auto"/>
            <w:gridSpan w:val="4"/>
            <w:tcBorders>
              <w:top w:val="single" w:sz="4" w:space="0" w:color="auto"/>
              <w:right w:val="nil"/>
            </w:tcBorders>
            <w:shd w:val="clear" w:color="auto" w:fill="BDD6EE" w:themeFill="accent5" w:themeFillTint="66"/>
            <w:vAlign w:val="center"/>
            <w:hideMark/>
          </w:tcPr>
          <w:p w14:paraId="474F4944" w14:textId="38AB3DC5" w:rsidR="003824F4" w:rsidRPr="0002728B" w:rsidRDefault="003824F4" w:rsidP="00300A09">
            <w:pPr>
              <w:jc w:val="center"/>
              <w:rPr>
                <w:color w:val="000000"/>
                <w:sz w:val="20"/>
                <w:szCs w:val="20"/>
              </w:rPr>
            </w:pPr>
            <w:r w:rsidRPr="0002728B">
              <w:rPr>
                <w:color w:val="000000"/>
                <w:sz w:val="20"/>
                <w:szCs w:val="20"/>
                <w:lang w:val="en-US"/>
              </w:rPr>
              <w:t>Poor</w:t>
            </w:r>
          </w:p>
        </w:tc>
      </w:tr>
      <w:tr w:rsidR="003824F4" w:rsidRPr="0002728B" w14:paraId="399BC144" w14:textId="77777777" w:rsidTr="00A52D0D">
        <w:trPr>
          <w:trHeight w:val="20"/>
          <w:jc w:val="center"/>
        </w:trPr>
        <w:tc>
          <w:tcPr>
            <w:tcW w:w="0" w:type="auto"/>
            <w:vMerge/>
            <w:tcBorders>
              <w:left w:val="nil"/>
              <w:right w:val="nil"/>
            </w:tcBorders>
            <w:shd w:val="clear" w:color="auto" w:fill="BDD6EE" w:themeFill="accent5" w:themeFillTint="66"/>
            <w:vAlign w:val="center"/>
            <w:hideMark/>
          </w:tcPr>
          <w:p w14:paraId="5A38C3A4" w14:textId="77777777" w:rsidR="003824F4" w:rsidRPr="0002728B" w:rsidRDefault="003824F4" w:rsidP="00300A09">
            <w:pPr>
              <w:jc w:val="both"/>
              <w:rPr>
                <w:color w:val="000000"/>
                <w:sz w:val="20"/>
                <w:szCs w:val="20"/>
              </w:rPr>
            </w:pPr>
          </w:p>
        </w:tc>
        <w:tc>
          <w:tcPr>
            <w:tcW w:w="0" w:type="auto"/>
            <w:vMerge/>
            <w:tcBorders>
              <w:left w:val="nil"/>
              <w:right w:val="nil"/>
            </w:tcBorders>
            <w:shd w:val="clear" w:color="auto" w:fill="BDD6EE" w:themeFill="accent5" w:themeFillTint="66"/>
            <w:vAlign w:val="center"/>
            <w:hideMark/>
          </w:tcPr>
          <w:p w14:paraId="4EB65EDE" w14:textId="77777777" w:rsidR="003824F4" w:rsidRPr="0002728B" w:rsidRDefault="003824F4" w:rsidP="00300A09">
            <w:pPr>
              <w:jc w:val="both"/>
              <w:rPr>
                <w:color w:val="000000"/>
                <w:sz w:val="20"/>
                <w:szCs w:val="20"/>
              </w:rPr>
            </w:pPr>
          </w:p>
        </w:tc>
        <w:tc>
          <w:tcPr>
            <w:tcW w:w="0" w:type="auto"/>
            <w:gridSpan w:val="4"/>
            <w:tcBorders>
              <w:left w:val="nil"/>
            </w:tcBorders>
            <w:shd w:val="clear" w:color="auto" w:fill="BDD6EE" w:themeFill="accent5" w:themeFillTint="66"/>
            <w:vAlign w:val="center"/>
            <w:hideMark/>
          </w:tcPr>
          <w:p w14:paraId="456240E4" w14:textId="77777777" w:rsidR="003824F4" w:rsidRPr="0002728B" w:rsidRDefault="003824F4" w:rsidP="00300A09">
            <w:pPr>
              <w:jc w:val="center"/>
              <w:rPr>
                <w:color w:val="000000"/>
                <w:sz w:val="20"/>
                <w:szCs w:val="20"/>
              </w:rPr>
            </w:pPr>
            <w:r w:rsidRPr="0002728B">
              <w:rPr>
                <w:color w:val="000000"/>
                <w:sz w:val="20"/>
                <w:szCs w:val="20"/>
                <w:lang w:val="en-US"/>
              </w:rPr>
              <w:t>Households-2009</w:t>
            </w:r>
          </w:p>
        </w:tc>
        <w:tc>
          <w:tcPr>
            <w:tcW w:w="0" w:type="auto"/>
            <w:gridSpan w:val="4"/>
            <w:tcBorders>
              <w:right w:val="nil"/>
            </w:tcBorders>
            <w:shd w:val="clear" w:color="auto" w:fill="BDD6EE" w:themeFill="accent5" w:themeFillTint="66"/>
            <w:vAlign w:val="center"/>
            <w:hideMark/>
          </w:tcPr>
          <w:p w14:paraId="6560474A" w14:textId="77777777" w:rsidR="003824F4" w:rsidRPr="0002728B" w:rsidRDefault="003824F4" w:rsidP="00300A09">
            <w:pPr>
              <w:jc w:val="center"/>
              <w:rPr>
                <w:color w:val="000000"/>
                <w:sz w:val="20"/>
                <w:szCs w:val="20"/>
              </w:rPr>
            </w:pPr>
            <w:r w:rsidRPr="0002728B">
              <w:rPr>
                <w:color w:val="000000"/>
                <w:sz w:val="20"/>
                <w:szCs w:val="20"/>
                <w:lang w:val="en-US"/>
              </w:rPr>
              <w:t>Households-2012</w:t>
            </w:r>
          </w:p>
        </w:tc>
      </w:tr>
      <w:tr w:rsidR="003824F4" w:rsidRPr="0002728B" w14:paraId="35F2E1B9" w14:textId="77777777" w:rsidTr="0003527A">
        <w:trPr>
          <w:trHeight w:val="20"/>
          <w:jc w:val="center"/>
        </w:trPr>
        <w:tc>
          <w:tcPr>
            <w:tcW w:w="0" w:type="auto"/>
            <w:tcBorders>
              <w:top w:val="nil"/>
              <w:left w:val="nil"/>
              <w:bottom w:val="single" w:sz="4" w:space="0" w:color="auto"/>
              <w:right w:val="nil"/>
            </w:tcBorders>
            <w:shd w:val="clear" w:color="auto" w:fill="BDD6EE" w:themeFill="accent5" w:themeFillTint="66"/>
            <w:vAlign w:val="center"/>
            <w:hideMark/>
          </w:tcPr>
          <w:p w14:paraId="27523050" w14:textId="77777777" w:rsidR="003824F4" w:rsidRPr="0002728B" w:rsidRDefault="003824F4" w:rsidP="00300A09">
            <w:pPr>
              <w:jc w:val="both"/>
              <w:rPr>
                <w:color w:val="000000"/>
                <w:sz w:val="20"/>
                <w:szCs w:val="20"/>
              </w:rPr>
            </w:pPr>
            <w:r w:rsidRPr="0002728B">
              <w:rPr>
                <w:color w:val="000000"/>
                <w:sz w:val="20"/>
                <w:szCs w:val="20"/>
                <w:lang w:val="en-US"/>
              </w:rPr>
              <w:t> </w:t>
            </w:r>
          </w:p>
        </w:tc>
        <w:tc>
          <w:tcPr>
            <w:tcW w:w="0" w:type="auto"/>
            <w:tcBorders>
              <w:top w:val="nil"/>
              <w:left w:val="nil"/>
              <w:bottom w:val="single" w:sz="4" w:space="0" w:color="auto"/>
              <w:right w:val="nil"/>
            </w:tcBorders>
            <w:shd w:val="clear" w:color="auto" w:fill="BDD6EE" w:themeFill="accent5" w:themeFillTint="66"/>
            <w:vAlign w:val="center"/>
            <w:hideMark/>
          </w:tcPr>
          <w:p w14:paraId="1714220A" w14:textId="77777777" w:rsidR="003824F4" w:rsidRPr="0002728B" w:rsidRDefault="003824F4" w:rsidP="00300A09">
            <w:pPr>
              <w:jc w:val="both"/>
              <w:rPr>
                <w:color w:val="000000"/>
                <w:sz w:val="20"/>
                <w:szCs w:val="20"/>
              </w:rPr>
            </w:pPr>
            <w:r w:rsidRPr="0002728B">
              <w:rPr>
                <w:color w:val="000000"/>
                <w:sz w:val="20"/>
                <w:szCs w:val="20"/>
                <w:lang w:val="en-US"/>
              </w:rPr>
              <w:t> </w:t>
            </w:r>
          </w:p>
        </w:tc>
        <w:tc>
          <w:tcPr>
            <w:tcW w:w="0" w:type="auto"/>
            <w:tcBorders>
              <w:top w:val="nil"/>
              <w:left w:val="nil"/>
              <w:bottom w:val="single" w:sz="4" w:space="0" w:color="auto"/>
            </w:tcBorders>
            <w:shd w:val="clear" w:color="auto" w:fill="BDD6EE" w:themeFill="accent5" w:themeFillTint="66"/>
            <w:vAlign w:val="center"/>
            <w:hideMark/>
          </w:tcPr>
          <w:p w14:paraId="7A6A9D37" w14:textId="77777777" w:rsidR="003824F4" w:rsidRPr="0002728B" w:rsidRDefault="003824F4" w:rsidP="00300A09">
            <w:pPr>
              <w:jc w:val="both"/>
              <w:rPr>
                <w:color w:val="000000"/>
                <w:sz w:val="20"/>
                <w:szCs w:val="20"/>
              </w:rPr>
            </w:pPr>
            <w:r w:rsidRPr="0002728B">
              <w:rPr>
                <w:color w:val="000000"/>
                <w:sz w:val="20"/>
                <w:szCs w:val="20"/>
                <w:lang w:val="en-US"/>
              </w:rPr>
              <w:t>Perlis</w:t>
            </w:r>
          </w:p>
        </w:tc>
        <w:tc>
          <w:tcPr>
            <w:tcW w:w="0" w:type="auto"/>
            <w:tcBorders>
              <w:top w:val="nil"/>
              <w:bottom w:val="single" w:sz="4" w:space="0" w:color="auto"/>
            </w:tcBorders>
            <w:shd w:val="clear" w:color="auto" w:fill="BDD6EE" w:themeFill="accent5" w:themeFillTint="66"/>
            <w:vAlign w:val="center"/>
            <w:hideMark/>
          </w:tcPr>
          <w:p w14:paraId="671E4109" w14:textId="77777777" w:rsidR="003824F4" w:rsidRPr="0002728B" w:rsidRDefault="003824F4" w:rsidP="00300A09">
            <w:pPr>
              <w:jc w:val="both"/>
              <w:rPr>
                <w:color w:val="000000"/>
                <w:sz w:val="20"/>
                <w:szCs w:val="20"/>
              </w:rPr>
            </w:pPr>
            <w:r w:rsidRPr="0002728B">
              <w:rPr>
                <w:color w:val="000000"/>
                <w:sz w:val="20"/>
                <w:szCs w:val="20"/>
                <w:lang w:val="en-US"/>
              </w:rPr>
              <w:t>Kedah</w:t>
            </w:r>
          </w:p>
        </w:tc>
        <w:tc>
          <w:tcPr>
            <w:tcW w:w="0" w:type="auto"/>
            <w:tcBorders>
              <w:top w:val="nil"/>
              <w:bottom w:val="single" w:sz="4" w:space="0" w:color="auto"/>
            </w:tcBorders>
            <w:shd w:val="clear" w:color="auto" w:fill="BDD6EE" w:themeFill="accent5" w:themeFillTint="66"/>
            <w:vAlign w:val="center"/>
            <w:hideMark/>
          </w:tcPr>
          <w:p w14:paraId="0EB1F26E" w14:textId="77777777" w:rsidR="003824F4" w:rsidRPr="0002728B" w:rsidRDefault="003824F4" w:rsidP="00300A09">
            <w:pPr>
              <w:jc w:val="both"/>
              <w:rPr>
                <w:color w:val="000000"/>
                <w:sz w:val="20"/>
                <w:szCs w:val="20"/>
              </w:rPr>
            </w:pPr>
            <w:r w:rsidRPr="0002728B">
              <w:rPr>
                <w:color w:val="000000"/>
                <w:sz w:val="20"/>
                <w:szCs w:val="20"/>
                <w:lang w:val="en-US"/>
              </w:rPr>
              <w:t>Penang</w:t>
            </w:r>
          </w:p>
        </w:tc>
        <w:tc>
          <w:tcPr>
            <w:tcW w:w="0" w:type="auto"/>
            <w:tcBorders>
              <w:top w:val="nil"/>
              <w:bottom w:val="single" w:sz="4" w:space="0" w:color="auto"/>
            </w:tcBorders>
            <w:shd w:val="clear" w:color="auto" w:fill="BDD6EE" w:themeFill="accent5" w:themeFillTint="66"/>
            <w:vAlign w:val="center"/>
            <w:hideMark/>
          </w:tcPr>
          <w:p w14:paraId="5BAE189C" w14:textId="77777777" w:rsidR="003824F4" w:rsidRPr="0002728B" w:rsidRDefault="003824F4" w:rsidP="00300A09">
            <w:pPr>
              <w:jc w:val="both"/>
              <w:rPr>
                <w:color w:val="000000"/>
                <w:sz w:val="20"/>
                <w:szCs w:val="20"/>
              </w:rPr>
            </w:pPr>
            <w:r w:rsidRPr="0002728B">
              <w:rPr>
                <w:color w:val="000000"/>
                <w:sz w:val="20"/>
                <w:szCs w:val="20"/>
                <w:lang w:val="en-US"/>
              </w:rPr>
              <w:t>Perak</w:t>
            </w:r>
          </w:p>
        </w:tc>
        <w:tc>
          <w:tcPr>
            <w:tcW w:w="0" w:type="auto"/>
            <w:tcBorders>
              <w:top w:val="nil"/>
              <w:bottom w:val="single" w:sz="4" w:space="0" w:color="auto"/>
            </w:tcBorders>
            <w:shd w:val="clear" w:color="auto" w:fill="BDD6EE" w:themeFill="accent5" w:themeFillTint="66"/>
            <w:vAlign w:val="center"/>
            <w:hideMark/>
          </w:tcPr>
          <w:p w14:paraId="40F310C8" w14:textId="77777777" w:rsidR="003824F4" w:rsidRPr="0002728B" w:rsidRDefault="003824F4" w:rsidP="00300A09">
            <w:pPr>
              <w:jc w:val="both"/>
              <w:rPr>
                <w:color w:val="000000"/>
                <w:sz w:val="20"/>
                <w:szCs w:val="20"/>
              </w:rPr>
            </w:pPr>
            <w:r w:rsidRPr="0002728B">
              <w:rPr>
                <w:color w:val="000000"/>
                <w:sz w:val="20"/>
                <w:szCs w:val="20"/>
                <w:lang w:val="en-US"/>
              </w:rPr>
              <w:t>Perlis</w:t>
            </w:r>
          </w:p>
        </w:tc>
        <w:tc>
          <w:tcPr>
            <w:tcW w:w="0" w:type="auto"/>
            <w:tcBorders>
              <w:top w:val="nil"/>
              <w:bottom w:val="single" w:sz="4" w:space="0" w:color="auto"/>
            </w:tcBorders>
            <w:shd w:val="clear" w:color="auto" w:fill="BDD6EE" w:themeFill="accent5" w:themeFillTint="66"/>
            <w:vAlign w:val="center"/>
            <w:hideMark/>
          </w:tcPr>
          <w:p w14:paraId="47D7A904" w14:textId="77777777" w:rsidR="003824F4" w:rsidRPr="0002728B" w:rsidRDefault="003824F4" w:rsidP="00300A09">
            <w:pPr>
              <w:jc w:val="both"/>
              <w:rPr>
                <w:color w:val="000000"/>
                <w:sz w:val="20"/>
                <w:szCs w:val="20"/>
              </w:rPr>
            </w:pPr>
            <w:r w:rsidRPr="0002728B">
              <w:rPr>
                <w:color w:val="000000"/>
                <w:sz w:val="20"/>
                <w:szCs w:val="20"/>
                <w:lang w:val="en-US"/>
              </w:rPr>
              <w:t>Kedah</w:t>
            </w:r>
          </w:p>
        </w:tc>
        <w:tc>
          <w:tcPr>
            <w:tcW w:w="0" w:type="auto"/>
            <w:tcBorders>
              <w:top w:val="nil"/>
              <w:bottom w:val="single" w:sz="4" w:space="0" w:color="auto"/>
            </w:tcBorders>
            <w:shd w:val="clear" w:color="auto" w:fill="BDD6EE" w:themeFill="accent5" w:themeFillTint="66"/>
            <w:vAlign w:val="center"/>
            <w:hideMark/>
          </w:tcPr>
          <w:p w14:paraId="377BC88F" w14:textId="77777777" w:rsidR="003824F4" w:rsidRPr="0002728B" w:rsidRDefault="003824F4" w:rsidP="00300A09">
            <w:pPr>
              <w:jc w:val="both"/>
              <w:rPr>
                <w:color w:val="000000"/>
                <w:sz w:val="20"/>
                <w:szCs w:val="20"/>
              </w:rPr>
            </w:pPr>
            <w:r w:rsidRPr="0002728B">
              <w:rPr>
                <w:color w:val="000000"/>
                <w:sz w:val="20"/>
                <w:szCs w:val="20"/>
                <w:lang w:val="en-US"/>
              </w:rPr>
              <w:t>Penang</w:t>
            </w:r>
          </w:p>
        </w:tc>
        <w:tc>
          <w:tcPr>
            <w:tcW w:w="0" w:type="auto"/>
            <w:tcBorders>
              <w:top w:val="nil"/>
              <w:bottom w:val="single" w:sz="4" w:space="0" w:color="auto"/>
              <w:right w:val="nil"/>
            </w:tcBorders>
            <w:shd w:val="clear" w:color="auto" w:fill="BDD6EE" w:themeFill="accent5" w:themeFillTint="66"/>
            <w:vAlign w:val="center"/>
            <w:hideMark/>
          </w:tcPr>
          <w:p w14:paraId="22C9E214" w14:textId="77777777" w:rsidR="003824F4" w:rsidRPr="0002728B" w:rsidRDefault="003824F4" w:rsidP="00300A09">
            <w:pPr>
              <w:jc w:val="both"/>
              <w:rPr>
                <w:color w:val="000000"/>
                <w:sz w:val="20"/>
                <w:szCs w:val="20"/>
              </w:rPr>
            </w:pPr>
            <w:r w:rsidRPr="0002728B">
              <w:rPr>
                <w:color w:val="000000"/>
                <w:sz w:val="20"/>
                <w:szCs w:val="20"/>
                <w:lang w:val="en-US"/>
              </w:rPr>
              <w:t>Perak</w:t>
            </w:r>
          </w:p>
        </w:tc>
      </w:tr>
      <w:tr w:rsidR="003824F4" w:rsidRPr="0002728B" w14:paraId="466B95A6" w14:textId="77777777" w:rsidTr="0003527A">
        <w:trPr>
          <w:trHeight w:val="20"/>
          <w:jc w:val="center"/>
        </w:trPr>
        <w:tc>
          <w:tcPr>
            <w:tcW w:w="0" w:type="auto"/>
            <w:tcBorders>
              <w:top w:val="single" w:sz="4" w:space="0" w:color="auto"/>
              <w:left w:val="nil"/>
              <w:bottom w:val="nil"/>
            </w:tcBorders>
            <w:shd w:val="clear" w:color="auto" w:fill="auto"/>
            <w:vAlign w:val="center"/>
            <w:hideMark/>
          </w:tcPr>
          <w:p w14:paraId="41CA427C" w14:textId="77777777" w:rsidR="003824F4" w:rsidRPr="0002728B" w:rsidRDefault="003824F4" w:rsidP="00300A09">
            <w:pPr>
              <w:jc w:val="both"/>
              <w:rPr>
                <w:color w:val="000000"/>
                <w:sz w:val="20"/>
                <w:szCs w:val="20"/>
              </w:rPr>
            </w:pPr>
            <w:r w:rsidRPr="0002728B">
              <w:rPr>
                <w:color w:val="000000"/>
                <w:sz w:val="20"/>
                <w:szCs w:val="20"/>
                <w:lang w:val="en-US"/>
              </w:rPr>
              <w:t>Gender</w:t>
            </w:r>
          </w:p>
        </w:tc>
        <w:tc>
          <w:tcPr>
            <w:tcW w:w="0" w:type="auto"/>
            <w:tcBorders>
              <w:top w:val="single" w:sz="4" w:space="0" w:color="auto"/>
              <w:bottom w:val="nil"/>
            </w:tcBorders>
            <w:shd w:val="clear" w:color="auto" w:fill="auto"/>
            <w:vAlign w:val="center"/>
            <w:hideMark/>
          </w:tcPr>
          <w:p w14:paraId="07656571" w14:textId="77777777" w:rsidR="003824F4" w:rsidRPr="0002728B" w:rsidRDefault="003824F4" w:rsidP="00300A09">
            <w:pPr>
              <w:jc w:val="both"/>
              <w:rPr>
                <w:color w:val="000000"/>
                <w:sz w:val="20"/>
                <w:szCs w:val="20"/>
              </w:rPr>
            </w:pPr>
            <w:r w:rsidRPr="0002728B">
              <w:rPr>
                <w:color w:val="000000"/>
                <w:sz w:val="20"/>
                <w:szCs w:val="20"/>
                <w:lang w:val="en-US"/>
              </w:rPr>
              <w:t>Female</w:t>
            </w:r>
          </w:p>
        </w:tc>
        <w:tc>
          <w:tcPr>
            <w:tcW w:w="0" w:type="auto"/>
            <w:tcBorders>
              <w:top w:val="single" w:sz="4" w:space="0" w:color="auto"/>
              <w:bottom w:val="nil"/>
            </w:tcBorders>
            <w:shd w:val="clear" w:color="auto" w:fill="auto"/>
            <w:vAlign w:val="center"/>
            <w:hideMark/>
          </w:tcPr>
          <w:p w14:paraId="57F16416" w14:textId="77777777" w:rsidR="003824F4" w:rsidRPr="0002728B" w:rsidRDefault="003824F4" w:rsidP="00300A09">
            <w:pPr>
              <w:jc w:val="both"/>
              <w:rPr>
                <w:color w:val="000000"/>
                <w:sz w:val="20"/>
                <w:szCs w:val="20"/>
              </w:rPr>
            </w:pPr>
            <w:r w:rsidRPr="0002728B">
              <w:rPr>
                <w:color w:val="000000"/>
                <w:sz w:val="20"/>
                <w:szCs w:val="20"/>
              </w:rPr>
              <w:t>5.67</w:t>
            </w:r>
          </w:p>
        </w:tc>
        <w:tc>
          <w:tcPr>
            <w:tcW w:w="0" w:type="auto"/>
            <w:tcBorders>
              <w:top w:val="single" w:sz="4" w:space="0" w:color="auto"/>
              <w:bottom w:val="nil"/>
            </w:tcBorders>
            <w:shd w:val="clear" w:color="auto" w:fill="auto"/>
            <w:vAlign w:val="center"/>
            <w:hideMark/>
          </w:tcPr>
          <w:p w14:paraId="62997722" w14:textId="77777777" w:rsidR="003824F4" w:rsidRPr="0002728B" w:rsidRDefault="003824F4" w:rsidP="00300A09">
            <w:pPr>
              <w:jc w:val="both"/>
              <w:rPr>
                <w:color w:val="000000"/>
                <w:sz w:val="20"/>
                <w:szCs w:val="20"/>
              </w:rPr>
            </w:pPr>
            <w:r w:rsidRPr="0002728B">
              <w:rPr>
                <w:color w:val="000000"/>
                <w:sz w:val="20"/>
                <w:szCs w:val="20"/>
                <w:lang w:val="en-US"/>
              </w:rPr>
              <w:t>3.46</w:t>
            </w:r>
          </w:p>
        </w:tc>
        <w:tc>
          <w:tcPr>
            <w:tcW w:w="0" w:type="auto"/>
            <w:tcBorders>
              <w:top w:val="single" w:sz="4" w:space="0" w:color="auto"/>
              <w:bottom w:val="nil"/>
            </w:tcBorders>
            <w:shd w:val="clear" w:color="auto" w:fill="auto"/>
            <w:vAlign w:val="center"/>
            <w:hideMark/>
          </w:tcPr>
          <w:p w14:paraId="347C36B5" w14:textId="77777777" w:rsidR="003824F4" w:rsidRPr="0002728B" w:rsidRDefault="003824F4" w:rsidP="00300A09">
            <w:pPr>
              <w:jc w:val="both"/>
              <w:rPr>
                <w:color w:val="000000"/>
                <w:sz w:val="20"/>
                <w:szCs w:val="20"/>
              </w:rPr>
            </w:pPr>
            <w:r w:rsidRPr="0002728B">
              <w:rPr>
                <w:color w:val="000000"/>
                <w:sz w:val="20"/>
                <w:szCs w:val="20"/>
                <w:lang w:val="en-US"/>
              </w:rPr>
              <w:t>1.12</w:t>
            </w:r>
          </w:p>
        </w:tc>
        <w:tc>
          <w:tcPr>
            <w:tcW w:w="0" w:type="auto"/>
            <w:tcBorders>
              <w:top w:val="single" w:sz="4" w:space="0" w:color="auto"/>
              <w:bottom w:val="nil"/>
            </w:tcBorders>
            <w:shd w:val="clear" w:color="auto" w:fill="auto"/>
            <w:vAlign w:val="center"/>
            <w:hideMark/>
          </w:tcPr>
          <w:p w14:paraId="1C4B920D" w14:textId="77777777" w:rsidR="003824F4" w:rsidRPr="0002728B" w:rsidRDefault="003824F4" w:rsidP="00300A09">
            <w:pPr>
              <w:jc w:val="both"/>
              <w:rPr>
                <w:color w:val="000000"/>
                <w:sz w:val="20"/>
                <w:szCs w:val="20"/>
              </w:rPr>
            </w:pPr>
            <w:r w:rsidRPr="0002728B">
              <w:rPr>
                <w:color w:val="000000"/>
                <w:sz w:val="20"/>
                <w:szCs w:val="20"/>
                <w:lang w:val="en-US"/>
              </w:rPr>
              <w:t>2.98</w:t>
            </w:r>
          </w:p>
        </w:tc>
        <w:tc>
          <w:tcPr>
            <w:tcW w:w="0" w:type="auto"/>
            <w:tcBorders>
              <w:top w:val="single" w:sz="4" w:space="0" w:color="auto"/>
              <w:bottom w:val="nil"/>
            </w:tcBorders>
            <w:shd w:val="clear" w:color="auto" w:fill="auto"/>
            <w:vAlign w:val="center"/>
            <w:hideMark/>
          </w:tcPr>
          <w:p w14:paraId="1A2EBD77" w14:textId="77777777" w:rsidR="003824F4" w:rsidRPr="0002728B" w:rsidRDefault="003824F4" w:rsidP="00300A09">
            <w:pPr>
              <w:jc w:val="both"/>
              <w:rPr>
                <w:color w:val="000000"/>
                <w:sz w:val="20"/>
                <w:szCs w:val="20"/>
              </w:rPr>
            </w:pPr>
            <w:r w:rsidRPr="0002728B">
              <w:rPr>
                <w:color w:val="000000"/>
                <w:sz w:val="20"/>
                <w:szCs w:val="20"/>
                <w:lang w:val="en-US"/>
              </w:rPr>
              <w:t>2.18</w:t>
            </w:r>
          </w:p>
        </w:tc>
        <w:tc>
          <w:tcPr>
            <w:tcW w:w="0" w:type="auto"/>
            <w:tcBorders>
              <w:top w:val="single" w:sz="4" w:space="0" w:color="auto"/>
              <w:bottom w:val="nil"/>
            </w:tcBorders>
            <w:shd w:val="clear" w:color="auto" w:fill="auto"/>
            <w:vAlign w:val="center"/>
            <w:hideMark/>
          </w:tcPr>
          <w:p w14:paraId="0E272F50" w14:textId="77777777" w:rsidR="003824F4" w:rsidRPr="0002728B" w:rsidRDefault="003824F4" w:rsidP="00300A09">
            <w:pPr>
              <w:jc w:val="both"/>
              <w:rPr>
                <w:color w:val="000000"/>
                <w:sz w:val="20"/>
                <w:szCs w:val="20"/>
              </w:rPr>
            </w:pPr>
            <w:r w:rsidRPr="0002728B">
              <w:rPr>
                <w:color w:val="000000"/>
                <w:sz w:val="20"/>
                <w:szCs w:val="20"/>
                <w:lang w:val="en-US"/>
              </w:rPr>
              <w:t>2.01</w:t>
            </w:r>
          </w:p>
        </w:tc>
        <w:tc>
          <w:tcPr>
            <w:tcW w:w="0" w:type="auto"/>
            <w:tcBorders>
              <w:top w:val="single" w:sz="4" w:space="0" w:color="auto"/>
              <w:bottom w:val="nil"/>
            </w:tcBorders>
            <w:shd w:val="clear" w:color="auto" w:fill="auto"/>
            <w:vAlign w:val="center"/>
            <w:hideMark/>
          </w:tcPr>
          <w:p w14:paraId="104EC291" w14:textId="77777777" w:rsidR="003824F4" w:rsidRPr="0002728B" w:rsidRDefault="003824F4" w:rsidP="00300A09">
            <w:pPr>
              <w:jc w:val="both"/>
              <w:rPr>
                <w:color w:val="000000"/>
                <w:sz w:val="20"/>
                <w:szCs w:val="20"/>
              </w:rPr>
            </w:pPr>
            <w:r w:rsidRPr="0002728B">
              <w:rPr>
                <w:color w:val="000000"/>
                <w:sz w:val="20"/>
                <w:szCs w:val="20"/>
                <w:lang w:val="en-US"/>
              </w:rPr>
              <w:t>1.24</w:t>
            </w:r>
          </w:p>
        </w:tc>
        <w:tc>
          <w:tcPr>
            <w:tcW w:w="0" w:type="auto"/>
            <w:tcBorders>
              <w:top w:val="single" w:sz="4" w:space="0" w:color="auto"/>
              <w:bottom w:val="nil"/>
              <w:right w:val="nil"/>
            </w:tcBorders>
            <w:shd w:val="clear" w:color="auto" w:fill="auto"/>
            <w:vAlign w:val="center"/>
            <w:hideMark/>
          </w:tcPr>
          <w:p w14:paraId="388AF87D" w14:textId="77777777" w:rsidR="003824F4" w:rsidRPr="0002728B" w:rsidRDefault="003824F4" w:rsidP="00300A09">
            <w:pPr>
              <w:jc w:val="both"/>
              <w:rPr>
                <w:color w:val="000000"/>
                <w:sz w:val="20"/>
                <w:szCs w:val="20"/>
              </w:rPr>
            </w:pPr>
            <w:r w:rsidRPr="0002728B">
              <w:rPr>
                <w:color w:val="000000"/>
                <w:sz w:val="20"/>
                <w:szCs w:val="20"/>
              </w:rPr>
              <w:t>4.36</w:t>
            </w:r>
          </w:p>
        </w:tc>
      </w:tr>
      <w:tr w:rsidR="003824F4" w:rsidRPr="0002728B" w14:paraId="6D007B95" w14:textId="77777777" w:rsidTr="0002728B">
        <w:trPr>
          <w:trHeight w:val="20"/>
          <w:jc w:val="center"/>
        </w:trPr>
        <w:tc>
          <w:tcPr>
            <w:tcW w:w="0" w:type="auto"/>
            <w:tcBorders>
              <w:top w:val="nil"/>
              <w:left w:val="nil"/>
              <w:bottom w:val="nil"/>
            </w:tcBorders>
            <w:shd w:val="clear" w:color="auto" w:fill="auto"/>
            <w:vAlign w:val="center"/>
            <w:hideMark/>
          </w:tcPr>
          <w:p w14:paraId="2858CAA9"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71638890" w14:textId="77777777" w:rsidR="003824F4" w:rsidRPr="0002728B" w:rsidRDefault="003824F4" w:rsidP="00300A09">
            <w:pPr>
              <w:jc w:val="both"/>
              <w:rPr>
                <w:color w:val="000000"/>
                <w:sz w:val="20"/>
                <w:szCs w:val="20"/>
              </w:rPr>
            </w:pPr>
            <w:r w:rsidRPr="0002728B">
              <w:rPr>
                <w:color w:val="000000"/>
                <w:sz w:val="20"/>
                <w:szCs w:val="20"/>
                <w:lang w:val="en-US"/>
              </w:rPr>
              <w:t>Male</w:t>
            </w:r>
          </w:p>
        </w:tc>
        <w:tc>
          <w:tcPr>
            <w:tcW w:w="0" w:type="auto"/>
            <w:tcBorders>
              <w:top w:val="nil"/>
              <w:bottom w:val="nil"/>
            </w:tcBorders>
            <w:shd w:val="clear" w:color="auto" w:fill="auto"/>
            <w:vAlign w:val="center"/>
            <w:hideMark/>
          </w:tcPr>
          <w:p w14:paraId="127AEDFB" w14:textId="77777777" w:rsidR="003824F4" w:rsidRPr="0002728B" w:rsidRDefault="003824F4" w:rsidP="00300A09">
            <w:pPr>
              <w:jc w:val="both"/>
              <w:rPr>
                <w:color w:val="000000"/>
                <w:sz w:val="20"/>
                <w:szCs w:val="20"/>
              </w:rPr>
            </w:pPr>
            <w:r w:rsidRPr="0002728B">
              <w:rPr>
                <w:color w:val="000000"/>
                <w:sz w:val="20"/>
                <w:szCs w:val="20"/>
                <w:lang w:val="en-US"/>
              </w:rPr>
              <w:t>7.26</w:t>
            </w:r>
          </w:p>
        </w:tc>
        <w:tc>
          <w:tcPr>
            <w:tcW w:w="0" w:type="auto"/>
            <w:tcBorders>
              <w:top w:val="nil"/>
              <w:bottom w:val="nil"/>
            </w:tcBorders>
            <w:shd w:val="clear" w:color="auto" w:fill="auto"/>
            <w:vAlign w:val="center"/>
            <w:hideMark/>
          </w:tcPr>
          <w:p w14:paraId="11087ECB" w14:textId="77777777" w:rsidR="003824F4" w:rsidRPr="0002728B" w:rsidRDefault="003824F4" w:rsidP="00300A09">
            <w:pPr>
              <w:jc w:val="both"/>
              <w:rPr>
                <w:color w:val="000000"/>
                <w:sz w:val="20"/>
                <w:szCs w:val="20"/>
              </w:rPr>
            </w:pPr>
            <w:r w:rsidRPr="0002728B">
              <w:rPr>
                <w:color w:val="000000"/>
                <w:sz w:val="20"/>
                <w:szCs w:val="20"/>
                <w:lang w:val="en-US"/>
              </w:rPr>
              <w:t>4.75</w:t>
            </w:r>
          </w:p>
        </w:tc>
        <w:tc>
          <w:tcPr>
            <w:tcW w:w="0" w:type="auto"/>
            <w:tcBorders>
              <w:top w:val="nil"/>
              <w:bottom w:val="nil"/>
            </w:tcBorders>
            <w:shd w:val="clear" w:color="auto" w:fill="auto"/>
            <w:vAlign w:val="center"/>
            <w:hideMark/>
          </w:tcPr>
          <w:p w14:paraId="0DF4E59A" w14:textId="77777777" w:rsidR="003824F4" w:rsidRPr="0002728B" w:rsidRDefault="003824F4" w:rsidP="00300A09">
            <w:pPr>
              <w:jc w:val="both"/>
              <w:rPr>
                <w:color w:val="000000"/>
                <w:sz w:val="20"/>
                <w:szCs w:val="20"/>
              </w:rPr>
            </w:pPr>
            <w:r w:rsidRPr="0002728B">
              <w:rPr>
                <w:color w:val="000000"/>
                <w:sz w:val="20"/>
                <w:szCs w:val="20"/>
                <w:lang w:val="en-US"/>
              </w:rPr>
              <w:t>0.89</w:t>
            </w:r>
          </w:p>
        </w:tc>
        <w:tc>
          <w:tcPr>
            <w:tcW w:w="0" w:type="auto"/>
            <w:tcBorders>
              <w:top w:val="nil"/>
              <w:bottom w:val="nil"/>
            </w:tcBorders>
            <w:shd w:val="clear" w:color="auto" w:fill="auto"/>
            <w:vAlign w:val="center"/>
            <w:hideMark/>
          </w:tcPr>
          <w:p w14:paraId="0718ECBC" w14:textId="77777777" w:rsidR="003824F4" w:rsidRPr="0002728B" w:rsidRDefault="003824F4" w:rsidP="00300A09">
            <w:pPr>
              <w:jc w:val="both"/>
              <w:rPr>
                <w:color w:val="000000"/>
                <w:sz w:val="20"/>
                <w:szCs w:val="20"/>
              </w:rPr>
            </w:pPr>
            <w:r w:rsidRPr="0002728B">
              <w:rPr>
                <w:color w:val="000000"/>
                <w:sz w:val="20"/>
                <w:szCs w:val="20"/>
                <w:lang w:val="en-US"/>
              </w:rPr>
              <w:t>3.16</w:t>
            </w:r>
          </w:p>
        </w:tc>
        <w:tc>
          <w:tcPr>
            <w:tcW w:w="0" w:type="auto"/>
            <w:tcBorders>
              <w:top w:val="nil"/>
              <w:bottom w:val="nil"/>
            </w:tcBorders>
            <w:shd w:val="clear" w:color="auto" w:fill="auto"/>
            <w:vAlign w:val="center"/>
            <w:hideMark/>
          </w:tcPr>
          <w:p w14:paraId="623EAD14" w14:textId="77777777" w:rsidR="003824F4" w:rsidRPr="0002728B" w:rsidRDefault="003824F4" w:rsidP="00300A09">
            <w:pPr>
              <w:jc w:val="both"/>
              <w:rPr>
                <w:color w:val="000000"/>
                <w:sz w:val="20"/>
                <w:szCs w:val="20"/>
              </w:rPr>
            </w:pPr>
            <w:r w:rsidRPr="0002728B">
              <w:rPr>
                <w:color w:val="000000"/>
                <w:sz w:val="20"/>
                <w:szCs w:val="20"/>
                <w:lang w:val="en-US"/>
              </w:rPr>
              <w:t>2.52</w:t>
            </w:r>
          </w:p>
        </w:tc>
        <w:tc>
          <w:tcPr>
            <w:tcW w:w="0" w:type="auto"/>
            <w:tcBorders>
              <w:top w:val="nil"/>
              <w:bottom w:val="nil"/>
            </w:tcBorders>
            <w:shd w:val="clear" w:color="auto" w:fill="auto"/>
            <w:vAlign w:val="center"/>
            <w:hideMark/>
          </w:tcPr>
          <w:p w14:paraId="1982CEBB" w14:textId="77777777" w:rsidR="003824F4" w:rsidRPr="0002728B" w:rsidRDefault="003824F4" w:rsidP="00300A09">
            <w:pPr>
              <w:jc w:val="both"/>
              <w:rPr>
                <w:color w:val="000000"/>
                <w:sz w:val="20"/>
                <w:szCs w:val="20"/>
              </w:rPr>
            </w:pPr>
            <w:r w:rsidRPr="0002728B">
              <w:rPr>
                <w:color w:val="000000"/>
                <w:sz w:val="20"/>
                <w:szCs w:val="20"/>
                <w:lang w:val="en-US"/>
              </w:rPr>
              <w:t>2.27</w:t>
            </w:r>
          </w:p>
        </w:tc>
        <w:tc>
          <w:tcPr>
            <w:tcW w:w="0" w:type="auto"/>
            <w:tcBorders>
              <w:top w:val="nil"/>
              <w:bottom w:val="nil"/>
            </w:tcBorders>
            <w:shd w:val="clear" w:color="auto" w:fill="auto"/>
            <w:vAlign w:val="center"/>
            <w:hideMark/>
          </w:tcPr>
          <w:p w14:paraId="4A419614" w14:textId="77777777" w:rsidR="003824F4" w:rsidRPr="0002728B" w:rsidRDefault="003824F4" w:rsidP="00300A09">
            <w:pPr>
              <w:jc w:val="both"/>
              <w:rPr>
                <w:color w:val="000000"/>
                <w:sz w:val="20"/>
                <w:szCs w:val="20"/>
              </w:rPr>
            </w:pPr>
            <w:r w:rsidRPr="0002728B">
              <w:rPr>
                <w:color w:val="000000"/>
                <w:sz w:val="20"/>
                <w:szCs w:val="20"/>
                <w:lang w:val="en-US"/>
              </w:rPr>
              <w:t>0.87</w:t>
            </w:r>
          </w:p>
        </w:tc>
        <w:tc>
          <w:tcPr>
            <w:tcW w:w="0" w:type="auto"/>
            <w:tcBorders>
              <w:top w:val="nil"/>
              <w:bottom w:val="nil"/>
              <w:right w:val="nil"/>
            </w:tcBorders>
            <w:shd w:val="clear" w:color="auto" w:fill="auto"/>
            <w:vAlign w:val="center"/>
            <w:hideMark/>
          </w:tcPr>
          <w:p w14:paraId="5127554E" w14:textId="77777777" w:rsidR="003824F4" w:rsidRPr="0002728B" w:rsidRDefault="003824F4" w:rsidP="00300A09">
            <w:pPr>
              <w:jc w:val="both"/>
              <w:rPr>
                <w:color w:val="000000"/>
                <w:sz w:val="20"/>
                <w:szCs w:val="20"/>
              </w:rPr>
            </w:pPr>
            <w:r w:rsidRPr="0002728B">
              <w:rPr>
                <w:color w:val="000000"/>
                <w:sz w:val="20"/>
                <w:szCs w:val="20"/>
                <w:lang w:val="en-US"/>
              </w:rPr>
              <w:t>2.87</w:t>
            </w:r>
          </w:p>
        </w:tc>
      </w:tr>
      <w:tr w:rsidR="003824F4" w:rsidRPr="0002728B" w14:paraId="4A7CF4D0" w14:textId="77777777" w:rsidTr="0002728B">
        <w:trPr>
          <w:trHeight w:val="20"/>
          <w:jc w:val="center"/>
        </w:trPr>
        <w:tc>
          <w:tcPr>
            <w:tcW w:w="0" w:type="auto"/>
            <w:tcBorders>
              <w:left w:val="nil"/>
              <w:bottom w:val="nil"/>
            </w:tcBorders>
            <w:shd w:val="clear" w:color="auto" w:fill="auto"/>
            <w:vAlign w:val="center"/>
            <w:hideMark/>
          </w:tcPr>
          <w:p w14:paraId="4691F2B2" w14:textId="77777777" w:rsidR="003824F4" w:rsidRPr="0002728B" w:rsidRDefault="003824F4" w:rsidP="00300A09">
            <w:pPr>
              <w:jc w:val="both"/>
              <w:rPr>
                <w:color w:val="000000"/>
                <w:sz w:val="20"/>
                <w:szCs w:val="20"/>
              </w:rPr>
            </w:pPr>
            <w:r w:rsidRPr="0002728B">
              <w:rPr>
                <w:color w:val="000000"/>
                <w:sz w:val="20"/>
                <w:szCs w:val="20"/>
                <w:lang w:val="en-US"/>
              </w:rPr>
              <w:t>Strata</w:t>
            </w:r>
          </w:p>
        </w:tc>
        <w:tc>
          <w:tcPr>
            <w:tcW w:w="0" w:type="auto"/>
            <w:tcBorders>
              <w:bottom w:val="nil"/>
            </w:tcBorders>
            <w:shd w:val="clear" w:color="auto" w:fill="auto"/>
            <w:vAlign w:val="center"/>
            <w:hideMark/>
          </w:tcPr>
          <w:p w14:paraId="68188255" w14:textId="77777777" w:rsidR="003824F4" w:rsidRPr="0002728B" w:rsidRDefault="003824F4" w:rsidP="00300A09">
            <w:pPr>
              <w:jc w:val="both"/>
              <w:rPr>
                <w:color w:val="000000"/>
                <w:sz w:val="20"/>
                <w:szCs w:val="20"/>
              </w:rPr>
            </w:pPr>
            <w:r w:rsidRPr="0002728B">
              <w:rPr>
                <w:color w:val="000000"/>
                <w:sz w:val="20"/>
                <w:szCs w:val="20"/>
                <w:lang w:val="en-US"/>
              </w:rPr>
              <w:t>Urban</w:t>
            </w:r>
          </w:p>
        </w:tc>
        <w:tc>
          <w:tcPr>
            <w:tcW w:w="0" w:type="auto"/>
            <w:tcBorders>
              <w:bottom w:val="nil"/>
            </w:tcBorders>
            <w:shd w:val="clear" w:color="auto" w:fill="auto"/>
            <w:vAlign w:val="center"/>
            <w:hideMark/>
          </w:tcPr>
          <w:p w14:paraId="0F4CF7C2" w14:textId="77777777" w:rsidR="003824F4" w:rsidRPr="0002728B" w:rsidRDefault="003824F4" w:rsidP="00300A09">
            <w:pPr>
              <w:jc w:val="both"/>
              <w:rPr>
                <w:color w:val="000000"/>
                <w:sz w:val="20"/>
                <w:szCs w:val="20"/>
              </w:rPr>
            </w:pPr>
            <w:r w:rsidRPr="0002728B">
              <w:rPr>
                <w:color w:val="000000"/>
                <w:sz w:val="20"/>
                <w:szCs w:val="20"/>
                <w:lang w:val="en-US"/>
              </w:rPr>
              <w:t>3.32</w:t>
            </w:r>
          </w:p>
        </w:tc>
        <w:tc>
          <w:tcPr>
            <w:tcW w:w="0" w:type="auto"/>
            <w:tcBorders>
              <w:bottom w:val="nil"/>
            </w:tcBorders>
            <w:shd w:val="clear" w:color="auto" w:fill="auto"/>
            <w:vAlign w:val="center"/>
            <w:hideMark/>
          </w:tcPr>
          <w:p w14:paraId="16C99124" w14:textId="77777777" w:rsidR="003824F4" w:rsidRPr="0002728B" w:rsidRDefault="003824F4" w:rsidP="00300A09">
            <w:pPr>
              <w:jc w:val="both"/>
              <w:rPr>
                <w:color w:val="000000"/>
                <w:sz w:val="20"/>
                <w:szCs w:val="20"/>
              </w:rPr>
            </w:pPr>
            <w:r w:rsidRPr="0002728B">
              <w:rPr>
                <w:color w:val="000000"/>
                <w:sz w:val="20"/>
                <w:szCs w:val="20"/>
                <w:lang w:val="en-US"/>
              </w:rPr>
              <w:t>2.1</w:t>
            </w:r>
          </w:p>
        </w:tc>
        <w:tc>
          <w:tcPr>
            <w:tcW w:w="0" w:type="auto"/>
            <w:tcBorders>
              <w:bottom w:val="nil"/>
            </w:tcBorders>
            <w:shd w:val="clear" w:color="auto" w:fill="auto"/>
            <w:vAlign w:val="center"/>
            <w:hideMark/>
          </w:tcPr>
          <w:p w14:paraId="4DD1C661" w14:textId="77777777" w:rsidR="003824F4" w:rsidRPr="0002728B" w:rsidRDefault="003824F4" w:rsidP="00300A09">
            <w:pPr>
              <w:jc w:val="both"/>
              <w:rPr>
                <w:color w:val="000000"/>
                <w:sz w:val="20"/>
                <w:szCs w:val="20"/>
              </w:rPr>
            </w:pPr>
            <w:r w:rsidRPr="0002728B">
              <w:rPr>
                <w:color w:val="000000"/>
                <w:sz w:val="20"/>
                <w:szCs w:val="20"/>
                <w:lang w:val="en-US"/>
              </w:rPr>
              <w:t>1.3</w:t>
            </w:r>
          </w:p>
        </w:tc>
        <w:tc>
          <w:tcPr>
            <w:tcW w:w="0" w:type="auto"/>
            <w:tcBorders>
              <w:bottom w:val="nil"/>
            </w:tcBorders>
            <w:shd w:val="clear" w:color="auto" w:fill="auto"/>
            <w:vAlign w:val="center"/>
            <w:hideMark/>
          </w:tcPr>
          <w:p w14:paraId="03B448D7" w14:textId="77777777" w:rsidR="003824F4" w:rsidRPr="0002728B" w:rsidRDefault="003824F4" w:rsidP="00300A09">
            <w:pPr>
              <w:jc w:val="both"/>
              <w:rPr>
                <w:color w:val="000000"/>
                <w:sz w:val="20"/>
                <w:szCs w:val="20"/>
              </w:rPr>
            </w:pPr>
            <w:r w:rsidRPr="0002728B">
              <w:rPr>
                <w:color w:val="000000"/>
                <w:sz w:val="20"/>
                <w:szCs w:val="20"/>
                <w:lang w:val="en-US"/>
              </w:rPr>
              <w:t>2.52</w:t>
            </w:r>
          </w:p>
        </w:tc>
        <w:tc>
          <w:tcPr>
            <w:tcW w:w="0" w:type="auto"/>
            <w:tcBorders>
              <w:bottom w:val="nil"/>
            </w:tcBorders>
            <w:shd w:val="clear" w:color="auto" w:fill="auto"/>
            <w:vAlign w:val="center"/>
            <w:hideMark/>
          </w:tcPr>
          <w:p w14:paraId="365B0C2A" w14:textId="77777777" w:rsidR="003824F4" w:rsidRPr="0002728B" w:rsidRDefault="003824F4" w:rsidP="00300A09">
            <w:pPr>
              <w:jc w:val="both"/>
              <w:rPr>
                <w:color w:val="000000"/>
                <w:sz w:val="20"/>
                <w:szCs w:val="20"/>
              </w:rPr>
            </w:pPr>
            <w:r w:rsidRPr="0002728B">
              <w:rPr>
                <w:color w:val="000000"/>
                <w:sz w:val="20"/>
                <w:szCs w:val="20"/>
                <w:lang w:val="en-US"/>
              </w:rPr>
              <w:t>1.5</w:t>
            </w:r>
          </w:p>
        </w:tc>
        <w:tc>
          <w:tcPr>
            <w:tcW w:w="0" w:type="auto"/>
            <w:tcBorders>
              <w:bottom w:val="nil"/>
            </w:tcBorders>
            <w:shd w:val="clear" w:color="auto" w:fill="auto"/>
            <w:vAlign w:val="center"/>
            <w:hideMark/>
          </w:tcPr>
          <w:p w14:paraId="5DEE799A" w14:textId="77777777" w:rsidR="003824F4" w:rsidRPr="0002728B" w:rsidRDefault="003824F4" w:rsidP="00300A09">
            <w:pPr>
              <w:jc w:val="both"/>
              <w:rPr>
                <w:color w:val="000000"/>
                <w:sz w:val="20"/>
                <w:szCs w:val="20"/>
              </w:rPr>
            </w:pPr>
            <w:r w:rsidRPr="0002728B">
              <w:rPr>
                <w:color w:val="000000"/>
                <w:sz w:val="20"/>
                <w:szCs w:val="20"/>
                <w:lang w:val="en-US"/>
              </w:rPr>
              <w:t>1.9</w:t>
            </w:r>
          </w:p>
        </w:tc>
        <w:tc>
          <w:tcPr>
            <w:tcW w:w="0" w:type="auto"/>
            <w:tcBorders>
              <w:bottom w:val="nil"/>
            </w:tcBorders>
            <w:shd w:val="clear" w:color="auto" w:fill="auto"/>
            <w:vAlign w:val="center"/>
            <w:hideMark/>
          </w:tcPr>
          <w:p w14:paraId="20BBFAB0" w14:textId="77777777" w:rsidR="003824F4" w:rsidRPr="0002728B" w:rsidRDefault="003824F4" w:rsidP="00300A09">
            <w:pPr>
              <w:jc w:val="both"/>
              <w:rPr>
                <w:color w:val="000000"/>
                <w:sz w:val="20"/>
                <w:szCs w:val="20"/>
              </w:rPr>
            </w:pPr>
            <w:r w:rsidRPr="0002728B">
              <w:rPr>
                <w:color w:val="000000"/>
                <w:sz w:val="20"/>
                <w:szCs w:val="20"/>
                <w:lang w:val="en-US"/>
              </w:rPr>
              <w:t>1.88</w:t>
            </w:r>
          </w:p>
        </w:tc>
        <w:tc>
          <w:tcPr>
            <w:tcW w:w="0" w:type="auto"/>
            <w:tcBorders>
              <w:bottom w:val="nil"/>
              <w:right w:val="nil"/>
            </w:tcBorders>
            <w:shd w:val="clear" w:color="auto" w:fill="auto"/>
            <w:vAlign w:val="center"/>
            <w:hideMark/>
          </w:tcPr>
          <w:p w14:paraId="668D016F" w14:textId="77777777" w:rsidR="003824F4" w:rsidRPr="0002728B" w:rsidRDefault="003824F4" w:rsidP="00300A09">
            <w:pPr>
              <w:jc w:val="both"/>
              <w:rPr>
                <w:color w:val="000000"/>
                <w:sz w:val="20"/>
                <w:szCs w:val="20"/>
              </w:rPr>
            </w:pPr>
            <w:r w:rsidRPr="0002728B">
              <w:rPr>
                <w:color w:val="000000"/>
                <w:sz w:val="20"/>
                <w:szCs w:val="20"/>
                <w:lang w:val="en-US"/>
              </w:rPr>
              <w:t>3.63</w:t>
            </w:r>
          </w:p>
        </w:tc>
      </w:tr>
      <w:tr w:rsidR="003824F4" w:rsidRPr="0002728B" w14:paraId="50A42AA4" w14:textId="77777777" w:rsidTr="0002728B">
        <w:trPr>
          <w:trHeight w:val="20"/>
          <w:jc w:val="center"/>
        </w:trPr>
        <w:tc>
          <w:tcPr>
            <w:tcW w:w="0" w:type="auto"/>
            <w:tcBorders>
              <w:top w:val="nil"/>
              <w:left w:val="nil"/>
              <w:bottom w:val="nil"/>
            </w:tcBorders>
            <w:shd w:val="clear" w:color="auto" w:fill="auto"/>
            <w:vAlign w:val="center"/>
            <w:hideMark/>
          </w:tcPr>
          <w:p w14:paraId="36C8A236"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4A03B281" w14:textId="77777777" w:rsidR="003824F4" w:rsidRPr="0002728B" w:rsidRDefault="003824F4" w:rsidP="00300A09">
            <w:pPr>
              <w:jc w:val="both"/>
              <w:rPr>
                <w:color w:val="000000"/>
                <w:sz w:val="20"/>
                <w:szCs w:val="20"/>
              </w:rPr>
            </w:pPr>
            <w:r w:rsidRPr="0002728B">
              <w:rPr>
                <w:color w:val="000000"/>
                <w:sz w:val="20"/>
                <w:szCs w:val="20"/>
                <w:lang w:val="en-US"/>
              </w:rPr>
              <w:t>Rural</w:t>
            </w:r>
          </w:p>
        </w:tc>
        <w:tc>
          <w:tcPr>
            <w:tcW w:w="0" w:type="auto"/>
            <w:tcBorders>
              <w:top w:val="nil"/>
              <w:bottom w:val="nil"/>
            </w:tcBorders>
            <w:shd w:val="clear" w:color="auto" w:fill="auto"/>
            <w:vAlign w:val="center"/>
            <w:hideMark/>
          </w:tcPr>
          <w:p w14:paraId="0AE3E43F" w14:textId="77777777" w:rsidR="003824F4" w:rsidRPr="0002728B" w:rsidRDefault="003824F4" w:rsidP="00300A09">
            <w:pPr>
              <w:jc w:val="both"/>
              <w:rPr>
                <w:color w:val="000000"/>
                <w:sz w:val="20"/>
                <w:szCs w:val="20"/>
              </w:rPr>
            </w:pPr>
            <w:r w:rsidRPr="0002728B">
              <w:rPr>
                <w:color w:val="000000"/>
                <w:sz w:val="20"/>
                <w:szCs w:val="20"/>
                <w:lang w:val="en-US"/>
              </w:rPr>
              <w:t>9.61</w:t>
            </w:r>
          </w:p>
        </w:tc>
        <w:tc>
          <w:tcPr>
            <w:tcW w:w="0" w:type="auto"/>
            <w:tcBorders>
              <w:top w:val="nil"/>
              <w:bottom w:val="nil"/>
            </w:tcBorders>
            <w:shd w:val="clear" w:color="auto" w:fill="auto"/>
            <w:vAlign w:val="center"/>
            <w:hideMark/>
          </w:tcPr>
          <w:p w14:paraId="63B7EF25" w14:textId="77777777" w:rsidR="003824F4" w:rsidRPr="0002728B" w:rsidRDefault="003824F4" w:rsidP="00300A09">
            <w:pPr>
              <w:jc w:val="both"/>
              <w:rPr>
                <w:color w:val="000000"/>
                <w:sz w:val="20"/>
                <w:szCs w:val="20"/>
              </w:rPr>
            </w:pPr>
            <w:r w:rsidRPr="0002728B">
              <w:rPr>
                <w:color w:val="000000"/>
                <w:sz w:val="20"/>
                <w:szCs w:val="20"/>
                <w:lang w:val="en-US"/>
              </w:rPr>
              <w:t>6.12</w:t>
            </w:r>
          </w:p>
        </w:tc>
        <w:tc>
          <w:tcPr>
            <w:tcW w:w="0" w:type="auto"/>
            <w:tcBorders>
              <w:top w:val="nil"/>
              <w:bottom w:val="nil"/>
            </w:tcBorders>
            <w:shd w:val="clear" w:color="auto" w:fill="auto"/>
            <w:vAlign w:val="center"/>
            <w:hideMark/>
          </w:tcPr>
          <w:p w14:paraId="225E495E" w14:textId="77777777" w:rsidR="003824F4" w:rsidRPr="0002728B" w:rsidRDefault="003824F4" w:rsidP="00300A09">
            <w:pPr>
              <w:jc w:val="both"/>
              <w:rPr>
                <w:color w:val="000000"/>
                <w:sz w:val="20"/>
                <w:szCs w:val="20"/>
              </w:rPr>
            </w:pPr>
            <w:r w:rsidRPr="0002728B">
              <w:rPr>
                <w:color w:val="000000"/>
                <w:sz w:val="20"/>
                <w:szCs w:val="20"/>
                <w:lang w:val="en-US"/>
              </w:rPr>
              <w:t>0.71</w:t>
            </w:r>
          </w:p>
        </w:tc>
        <w:tc>
          <w:tcPr>
            <w:tcW w:w="0" w:type="auto"/>
            <w:tcBorders>
              <w:top w:val="nil"/>
              <w:bottom w:val="nil"/>
            </w:tcBorders>
            <w:shd w:val="clear" w:color="auto" w:fill="auto"/>
            <w:vAlign w:val="center"/>
            <w:hideMark/>
          </w:tcPr>
          <w:p w14:paraId="16315658" w14:textId="77777777" w:rsidR="003824F4" w:rsidRPr="0002728B" w:rsidRDefault="003824F4" w:rsidP="00300A09">
            <w:pPr>
              <w:jc w:val="both"/>
              <w:rPr>
                <w:color w:val="000000"/>
                <w:sz w:val="20"/>
                <w:szCs w:val="20"/>
              </w:rPr>
            </w:pPr>
            <w:r w:rsidRPr="0002728B">
              <w:rPr>
                <w:color w:val="000000"/>
                <w:sz w:val="20"/>
                <w:szCs w:val="20"/>
                <w:lang w:val="en-US"/>
              </w:rPr>
              <w:t>3.62</w:t>
            </w:r>
          </w:p>
        </w:tc>
        <w:tc>
          <w:tcPr>
            <w:tcW w:w="0" w:type="auto"/>
            <w:tcBorders>
              <w:top w:val="nil"/>
              <w:bottom w:val="nil"/>
            </w:tcBorders>
            <w:shd w:val="clear" w:color="auto" w:fill="auto"/>
            <w:vAlign w:val="center"/>
            <w:hideMark/>
          </w:tcPr>
          <w:p w14:paraId="7DCA3479" w14:textId="77777777" w:rsidR="003824F4" w:rsidRPr="0002728B" w:rsidRDefault="003824F4" w:rsidP="00300A09">
            <w:pPr>
              <w:jc w:val="both"/>
              <w:rPr>
                <w:color w:val="000000"/>
                <w:sz w:val="20"/>
                <w:szCs w:val="20"/>
              </w:rPr>
            </w:pPr>
            <w:r w:rsidRPr="0002728B">
              <w:rPr>
                <w:color w:val="000000"/>
                <w:sz w:val="20"/>
                <w:szCs w:val="20"/>
                <w:lang w:val="en-US"/>
              </w:rPr>
              <w:t>3.21</w:t>
            </w:r>
          </w:p>
        </w:tc>
        <w:tc>
          <w:tcPr>
            <w:tcW w:w="0" w:type="auto"/>
            <w:tcBorders>
              <w:top w:val="nil"/>
              <w:bottom w:val="nil"/>
            </w:tcBorders>
            <w:shd w:val="clear" w:color="auto" w:fill="auto"/>
            <w:vAlign w:val="center"/>
            <w:hideMark/>
          </w:tcPr>
          <w:p w14:paraId="514C033D" w14:textId="77777777" w:rsidR="003824F4" w:rsidRPr="0002728B" w:rsidRDefault="003824F4" w:rsidP="00300A09">
            <w:pPr>
              <w:jc w:val="both"/>
              <w:rPr>
                <w:color w:val="000000"/>
                <w:sz w:val="20"/>
                <w:szCs w:val="20"/>
              </w:rPr>
            </w:pPr>
            <w:r w:rsidRPr="0002728B">
              <w:rPr>
                <w:color w:val="000000"/>
                <w:sz w:val="20"/>
                <w:szCs w:val="20"/>
                <w:lang w:val="en-US"/>
              </w:rPr>
              <w:t>2.37</w:t>
            </w:r>
          </w:p>
        </w:tc>
        <w:tc>
          <w:tcPr>
            <w:tcW w:w="0" w:type="auto"/>
            <w:tcBorders>
              <w:top w:val="nil"/>
              <w:bottom w:val="nil"/>
            </w:tcBorders>
            <w:shd w:val="clear" w:color="auto" w:fill="auto"/>
            <w:vAlign w:val="center"/>
            <w:hideMark/>
          </w:tcPr>
          <w:p w14:paraId="6C25099C" w14:textId="77777777" w:rsidR="003824F4" w:rsidRPr="0002728B" w:rsidRDefault="003824F4" w:rsidP="00300A09">
            <w:pPr>
              <w:jc w:val="both"/>
              <w:rPr>
                <w:color w:val="000000"/>
                <w:sz w:val="20"/>
                <w:szCs w:val="20"/>
              </w:rPr>
            </w:pPr>
            <w:r w:rsidRPr="0002728B">
              <w:rPr>
                <w:color w:val="000000"/>
                <w:sz w:val="20"/>
                <w:szCs w:val="20"/>
                <w:lang w:val="en-US"/>
              </w:rPr>
              <w:t>0.23</w:t>
            </w:r>
          </w:p>
        </w:tc>
        <w:tc>
          <w:tcPr>
            <w:tcW w:w="0" w:type="auto"/>
            <w:tcBorders>
              <w:top w:val="nil"/>
              <w:bottom w:val="nil"/>
              <w:right w:val="nil"/>
            </w:tcBorders>
            <w:shd w:val="clear" w:color="auto" w:fill="auto"/>
            <w:vAlign w:val="center"/>
            <w:hideMark/>
          </w:tcPr>
          <w:p w14:paraId="63EE8654" w14:textId="77777777" w:rsidR="003824F4" w:rsidRPr="0002728B" w:rsidRDefault="003824F4" w:rsidP="00300A09">
            <w:pPr>
              <w:jc w:val="both"/>
              <w:rPr>
                <w:color w:val="000000"/>
                <w:sz w:val="20"/>
                <w:szCs w:val="20"/>
              </w:rPr>
            </w:pPr>
            <w:r w:rsidRPr="0002728B">
              <w:rPr>
                <w:color w:val="000000"/>
                <w:sz w:val="20"/>
                <w:szCs w:val="20"/>
                <w:lang w:val="en-US"/>
              </w:rPr>
              <w:t>3.6</w:t>
            </w:r>
          </w:p>
        </w:tc>
      </w:tr>
      <w:tr w:rsidR="003824F4" w:rsidRPr="0002728B" w14:paraId="5D0BC96D" w14:textId="77777777" w:rsidTr="0002728B">
        <w:trPr>
          <w:trHeight w:val="20"/>
          <w:jc w:val="center"/>
        </w:trPr>
        <w:tc>
          <w:tcPr>
            <w:tcW w:w="0" w:type="auto"/>
            <w:tcBorders>
              <w:left w:val="nil"/>
              <w:bottom w:val="nil"/>
            </w:tcBorders>
            <w:shd w:val="clear" w:color="auto" w:fill="auto"/>
            <w:vAlign w:val="center"/>
            <w:hideMark/>
          </w:tcPr>
          <w:p w14:paraId="4504C585" w14:textId="77777777" w:rsidR="003824F4" w:rsidRPr="0002728B" w:rsidRDefault="003824F4" w:rsidP="00300A09">
            <w:pPr>
              <w:jc w:val="both"/>
              <w:rPr>
                <w:color w:val="000000"/>
                <w:sz w:val="20"/>
                <w:szCs w:val="20"/>
              </w:rPr>
            </w:pPr>
            <w:r w:rsidRPr="0002728B">
              <w:rPr>
                <w:color w:val="000000"/>
                <w:sz w:val="20"/>
                <w:szCs w:val="20"/>
                <w:lang w:val="en-US"/>
              </w:rPr>
              <w:t>Ethnicity</w:t>
            </w:r>
          </w:p>
        </w:tc>
        <w:tc>
          <w:tcPr>
            <w:tcW w:w="0" w:type="auto"/>
            <w:tcBorders>
              <w:bottom w:val="nil"/>
            </w:tcBorders>
            <w:shd w:val="clear" w:color="auto" w:fill="auto"/>
            <w:vAlign w:val="center"/>
            <w:hideMark/>
          </w:tcPr>
          <w:p w14:paraId="631A6764" w14:textId="77777777" w:rsidR="003824F4" w:rsidRPr="0002728B" w:rsidRDefault="003824F4" w:rsidP="00300A09">
            <w:pPr>
              <w:jc w:val="both"/>
              <w:rPr>
                <w:color w:val="000000"/>
                <w:sz w:val="20"/>
                <w:szCs w:val="20"/>
              </w:rPr>
            </w:pPr>
            <w:r w:rsidRPr="0002728B">
              <w:rPr>
                <w:color w:val="000000"/>
                <w:sz w:val="20"/>
                <w:szCs w:val="20"/>
                <w:lang w:val="en-US"/>
              </w:rPr>
              <w:t>Bumiputera</w:t>
            </w:r>
          </w:p>
        </w:tc>
        <w:tc>
          <w:tcPr>
            <w:tcW w:w="0" w:type="auto"/>
            <w:tcBorders>
              <w:bottom w:val="nil"/>
            </w:tcBorders>
            <w:shd w:val="clear" w:color="auto" w:fill="auto"/>
            <w:vAlign w:val="center"/>
            <w:hideMark/>
          </w:tcPr>
          <w:p w14:paraId="06FD4CA3" w14:textId="77777777" w:rsidR="003824F4" w:rsidRPr="0002728B" w:rsidRDefault="003824F4" w:rsidP="00300A09">
            <w:pPr>
              <w:jc w:val="both"/>
              <w:rPr>
                <w:color w:val="000000"/>
                <w:sz w:val="20"/>
                <w:szCs w:val="20"/>
              </w:rPr>
            </w:pPr>
            <w:r w:rsidRPr="0002728B">
              <w:rPr>
                <w:color w:val="000000"/>
                <w:sz w:val="20"/>
                <w:szCs w:val="20"/>
                <w:lang w:val="en-US"/>
              </w:rPr>
              <w:t>12.24</w:t>
            </w:r>
          </w:p>
        </w:tc>
        <w:tc>
          <w:tcPr>
            <w:tcW w:w="0" w:type="auto"/>
            <w:tcBorders>
              <w:bottom w:val="nil"/>
            </w:tcBorders>
            <w:shd w:val="clear" w:color="auto" w:fill="auto"/>
            <w:vAlign w:val="center"/>
            <w:hideMark/>
          </w:tcPr>
          <w:p w14:paraId="3E71AC82" w14:textId="77777777" w:rsidR="003824F4" w:rsidRPr="0002728B" w:rsidRDefault="003824F4" w:rsidP="00300A09">
            <w:pPr>
              <w:jc w:val="both"/>
              <w:rPr>
                <w:color w:val="000000"/>
                <w:sz w:val="20"/>
                <w:szCs w:val="20"/>
              </w:rPr>
            </w:pPr>
            <w:r w:rsidRPr="0002728B">
              <w:rPr>
                <w:color w:val="000000"/>
                <w:sz w:val="20"/>
                <w:szCs w:val="20"/>
                <w:lang w:val="en-US"/>
              </w:rPr>
              <w:t>7.24</w:t>
            </w:r>
          </w:p>
        </w:tc>
        <w:tc>
          <w:tcPr>
            <w:tcW w:w="0" w:type="auto"/>
            <w:tcBorders>
              <w:bottom w:val="nil"/>
            </w:tcBorders>
            <w:shd w:val="clear" w:color="auto" w:fill="auto"/>
            <w:vAlign w:val="center"/>
            <w:hideMark/>
          </w:tcPr>
          <w:p w14:paraId="29F3BFE9" w14:textId="77777777" w:rsidR="003824F4" w:rsidRPr="0002728B" w:rsidRDefault="003824F4" w:rsidP="00300A09">
            <w:pPr>
              <w:jc w:val="both"/>
              <w:rPr>
                <w:color w:val="000000"/>
                <w:sz w:val="20"/>
                <w:szCs w:val="20"/>
              </w:rPr>
            </w:pPr>
            <w:r w:rsidRPr="0002728B">
              <w:rPr>
                <w:color w:val="000000"/>
                <w:sz w:val="20"/>
                <w:szCs w:val="20"/>
                <w:lang w:val="en-US"/>
              </w:rPr>
              <w:t>1.29</w:t>
            </w:r>
          </w:p>
        </w:tc>
        <w:tc>
          <w:tcPr>
            <w:tcW w:w="0" w:type="auto"/>
            <w:tcBorders>
              <w:bottom w:val="nil"/>
            </w:tcBorders>
            <w:shd w:val="clear" w:color="auto" w:fill="auto"/>
            <w:vAlign w:val="center"/>
            <w:hideMark/>
          </w:tcPr>
          <w:p w14:paraId="07160878" w14:textId="77777777" w:rsidR="003824F4" w:rsidRPr="0002728B" w:rsidRDefault="003824F4" w:rsidP="00300A09">
            <w:pPr>
              <w:jc w:val="both"/>
              <w:rPr>
                <w:color w:val="000000"/>
                <w:sz w:val="20"/>
                <w:szCs w:val="20"/>
              </w:rPr>
            </w:pPr>
            <w:r w:rsidRPr="0002728B">
              <w:rPr>
                <w:color w:val="000000"/>
                <w:sz w:val="20"/>
                <w:szCs w:val="20"/>
                <w:lang w:val="en-US"/>
              </w:rPr>
              <w:t>4.52</w:t>
            </w:r>
          </w:p>
        </w:tc>
        <w:tc>
          <w:tcPr>
            <w:tcW w:w="0" w:type="auto"/>
            <w:tcBorders>
              <w:bottom w:val="nil"/>
            </w:tcBorders>
            <w:shd w:val="clear" w:color="auto" w:fill="auto"/>
            <w:vAlign w:val="center"/>
            <w:hideMark/>
          </w:tcPr>
          <w:p w14:paraId="734F8742" w14:textId="77777777" w:rsidR="003824F4" w:rsidRPr="0002728B" w:rsidRDefault="003824F4" w:rsidP="00300A09">
            <w:pPr>
              <w:jc w:val="both"/>
              <w:rPr>
                <w:color w:val="000000"/>
                <w:sz w:val="20"/>
                <w:szCs w:val="20"/>
              </w:rPr>
            </w:pPr>
            <w:r w:rsidRPr="0002728B">
              <w:rPr>
                <w:color w:val="000000"/>
                <w:sz w:val="20"/>
                <w:szCs w:val="20"/>
                <w:lang w:val="en-US"/>
              </w:rPr>
              <w:t>4.09</w:t>
            </w:r>
          </w:p>
        </w:tc>
        <w:tc>
          <w:tcPr>
            <w:tcW w:w="0" w:type="auto"/>
            <w:tcBorders>
              <w:bottom w:val="nil"/>
            </w:tcBorders>
            <w:shd w:val="clear" w:color="auto" w:fill="auto"/>
            <w:vAlign w:val="center"/>
            <w:hideMark/>
          </w:tcPr>
          <w:p w14:paraId="4D04DA80" w14:textId="77777777" w:rsidR="003824F4" w:rsidRPr="0002728B" w:rsidRDefault="003824F4" w:rsidP="00300A09">
            <w:pPr>
              <w:jc w:val="both"/>
              <w:rPr>
                <w:color w:val="000000"/>
                <w:sz w:val="20"/>
                <w:szCs w:val="20"/>
              </w:rPr>
            </w:pPr>
            <w:r w:rsidRPr="0002728B">
              <w:rPr>
                <w:color w:val="000000"/>
                <w:sz w:val="20"/>
                <w:szCs w:val="20"/>
                <w:lang w:val="en-US"/>
              </w:rPr>
              <w:t>3.39</w:t>
            </w:r>
          </w:p>
        </w:tc>
        <w:tc>
          <w:tcPr>
            <w:tcW w:w="0" w:type="auto"/>
            <w:tcBorders>
              <w:bottom w:val="nil"/>
            </w:tcBorders>
            <w:shd w:val="clear" w:color="auto" w:fill="auto"/>
            <w:vAlign w:val="center"/>
            <w:hideMark/>
          </w:tcPr>
          <w:p w14:paraId="4E3F2D27" w14:textId="77777777" w:rsidR="003824F4" w:rsidRPr="0002728B" w:rsidRDefault="003824F4" w:rsidP="00300A09">
            <w:pPr>
              <w:jc w:val="both"/>
              <w:rPr>
                <w:color w:val="000000"/>
                <w:sz w:val="20"/>
                <w:szCs w:val="20"/>
              </w:rPr>
            </w:pPr>
            <w:r w:rsidRPr="0002728B">
              <w:rPr>
                <w:color w:val="000000"/>
                <w:sz w:val="20"/>
                <w:szCs w:val="20"/>
                <w:lang w:val="en-US"/>
              </w:rPr>
              <w:t>0.8</w:t>
            </w:r>
          </w:p>
        </w:tc>
        <w:tc>
          <w:tcPr>
            <w:tcW w:w="0" w:type="auto"/>
            <w:tcBorders>
              <w:bottom w:val="nil"/>
              <w:right w:val="nil"/>
            </w:tcBorders>
            <w:shd w:val="clear" w:color="auto" w:fill="auto"/>
            <w:vAlign w:val="center"/>
            <w:hideMark/>
          </w:tcPr>
          <w:p w14:paraId="68B40409" w14:textId="77777777" w:rsidR="003824F4" w:rsidRPr="0002728B" w:rsidRDefault="003824F4" w:rsidP="00300A09">
            <w:pPr>
              <w:jc w:val="both"/>
              <w:rPr>
                <w:color w:val="000000"/>
                <w:sz w:val="20"/>
                <w:szCs w:val="20"/>
              </w:rPr>
            </w:pPr>
            <w:r w:rsidRPr="0002728B">
              <w:rPr>
                <w:color w:val="000000"/>
                <w:sz w:val="20"/>
                <w:szCs w:val="20"/>
                <w:lang w:val="en-US"/>
              </w:rPr>
              <w:t>4.03</w:t>
            </w:r>
          </w:p>
        </w:tc>
      </w:tr>
      <w:tr w:rsidR="003824F4" w:rsidRPr="0002728B" w14:paraId="2CDFB920" w14:textId="77777777" w:rsidTr="0002728B">
        <w:trPr>
          <w:trHeight w:val="20"/>
          <w:jc w:val="center"/>
        </w:trPr>
        <w:tc>
          <w:tcPr>
            <w:tcW w:w="0" w:type="auto"/>
            <w:tcBorders>
              <w:top w:val="nil"/>
              <w:left w:val="nil"/>
              <w:bottom w:val="nil"/>
            </w:tcBorders>
            <w:shd w:val="clear" w:color="auto" w:fill="auto"/>
            <w:vAlign w:val="center"/>
            <w:hideMark/>
          </w:tcPr>
          <w:p w14:paraId="283B339D"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0237DFC9" w14:textId="77777777" w:rsidR="003824F4" w:rsidRPr="0002728B" w:rsidRDefault="003824F4" w:rsidP="00300A09">
            <w:pPr>
              <w:jc w:val="both"/>
              <w:rPr>
                <w:color w:val="000000"/>
                <w:sz w:val="20"/>
                <w:szCs w:val="20"/>
              </w:rPr>
            </w:pPr>
            <w:r w:rsidRPr="0002728B">
              <w:rPr>
                <w:color w:val="000000"/>
                <w:sz w:val="20"/>
                <w:szCs w:val="20"/>
                <w:lang w:val="en-US"/>
              </w:rPr>
              <w:t>Chinese</w:t>
            </w:r>
          </w:p>
        </w:tc>
        <w:tc>
          <w:tcPr>
            <w:tcW w:w="0" w:type="auto"/>
            <w:tcBorders>
              <w:top w:val="nil"/>
              <w:bottom w:val="nil"/>
            </w:tcBorders>
            <w:shd w:val="clear" w:color="auto" w:fill="auto"/>
            <w:vAlign w:val="center"/>
            <w:hideMark/>
          </w:tcPr>
          <w:p w14:paraId="3490DC04" w14:textId="77777777" w:rsidR="003824F4" w:rsidRPr="0002728B" w:rsidRDefault="003824F4" w:rsidP="00300A09">
            <w:pPr>
              <w:jc w:val="both"/>
              <w:rPr>
                <w:color w:val="000000"/>
                <w:sz w:val="20"/>
                <w:szCs w:val="20"/>
              </w:rPr>
            </w:pPr>
            <w:r w:rsidRPr="0002728B">
              <w:rPr>
                <w:color w:val="000000"/>
                <w:sz w:val="20"/>
                <w:szCs w:val="20"/>
                <w:lang w:val="en-US"/>
              </w:rPr>
              <w:t>0.69</w:t>
            </w:r>
          </w:p>
        </w:tc>
        <w:tc>
          <w:tcPr>
            <w:tcW w:w="0" w:type="auto"/>
            <w:tcBorders>
              <w:top w:val="nil"/>
              <w:bottom w:val="nil"/>
            </w:tcBorders>
            <w:shd w:val="clear" w:color="auto" w:fill="auto"/>
            <w:vAlign w:val="center"/>
            <w:hideMark/>
          </w:tcPr>
          <w:p w14:paraId="34554F90" w14:textId="77777777" w:rsidR="003824F4" w:rsidRPr="0002728B" w:rsidRDefault="003824F4" w:rsidP="00300A09">
            <w:pPr>
              <w:jc w:val="both"/>
              <w:rPr>
                <w:color w:val="000000"/>
                <w:sz w:val="20"/>
                <w:szCs w:val="20"/>
              </w:rPr>
            </w:pPr>
            <w:r w:rsidRPr="0002728B">
              <w:rPr>
                <w:color w:val="000000"/>
                <w:sz w:val="20"/>
                <w:szCs w:val="20"/>
                <w:lang w:val="en-US"/>
              </w:rPr>
              <w:t>0.45</w:t>
            </w:r>
          </w:p>
        </w:tc>
        <w:tc>
          <w:tcPr>
            <w:tcW w:w="0" w:type="auto"/>
            <w:tcBorders>
              <w:top w:val="nil"/>
              <w:bottom w:val="nil"/>
            </w:tcBorders>
            <w:shd w:val="clear" w:color="auto" w:fill="auto"/>
            <w:vAlign w:val="center"/>
            <w:hideMark/>
          </w:tcPr>
          <w:p w14:paraId="47DA0414" w14:textId="77777777" w:rsidR="003824F4" w:rsidRPr="0002728B" w:rsidRDefault="003824F4" w:rsidP="00300A09">
            <w:pPr>
              <w:jc w:val="both"/>
              <w:rPr>
                <w:color w:val="000000"/>
                <w:sz w:val="20"/>
                <w:szCs w:val="20"/>
              </w:rPr>
            </w:pPr>
            <w:r w:rsidRPr="0002728B">
              <w:rPr>
                <w:color w:val="000000"/>
                <w:sz w:val="20"/>
                <w:szCs w:val="20"/>
                <w:lang w:val="en-US"/>
              </w:rPr>
              <w:t>0.43</w:t>
            </w:r>
          </w:p>
        </w:tc>
        <w:tc>
          <w:tcPr>
            <w:tcW w:w="0" w:type="auto"/>
            <w:tcBorders>
              <w:top w:val="nil"/>
              <w:bottom w:val="nil"/>
            </w:tcBorders>
            <w:shd w:val="clear" w:color="auto" w:fill="auto"/>
            <w:vAlign w:val="center"/>
            <w:hideMark/>
          </w:tcPr>
          <w:p w14:paraId="11DB5905" w14:textId="77777777" w:rsidR="003824F4" w:rsidRPr="0002728B" w:rsidRDefault="003824F4" w:rsidP="00300A09">
            <w:pPr>
              <w:jc w:val="both"/>
              <w:rPr>
                <w:color w:val="000000"/>
                <w:sz w:val="20"/>
                <w:szCs w:val="20"/>
              </w:rPr>
            </w:pPr>
            <w:r w:rsidRPr="0002728B">
              <w:rPr>
                <w:color w:val="000000"/>
                <w:sz w:val="20"/>
                <w:szCs w:val="20"/>
                <w:lang w:val="en-US"/>
              </w:rPr>
              <w:t>0.82</w:t>
            </w:r>
          </w:p>
        </w:tc>
        <w:tc>
          <w:tcPr>
            <w:tcW w:w="0" w:type="auto"/>
            <w:tcBorders>
              <w:top w:val="nil"/>
              <w:bottom w:val="nil"/>
            </w:tcBorders>
            <w:shd w:val="clear" w:color="auto" w:fill="auto"/>
            <w:vAlign w:val="center"/>
            <w:hideMark/>
          </w:tcPr>
          <w:p w14:paraId="26F2E1EB" w14:textId="77777777" w:rsidR="003824F4" w:rsidRPr="0002728B" w:rsidRDefault="003824F4" w:rsidP="00300A09">
            <w:pPr>
              <w:jc w:val="both"/>
              <w:rPr>
                <w:color w:val="000000"/>
                <w:sz w:val="20"/>
                <w:szCs w:val="20"/>
              </w:rPr>
            </w:pPr>
            <w:r w:rsidRPr="0002728B">
              <w:rPr>
                <w:color w:val="000000"/>
                <w:sz w:val="20"/>
                <w:szCs w:val="20"/>
                <w:lang w:val="en-US"/>
              </w:rPr>
              <w:t>0.3</w:t>
            </w:r>
          </w:p>
        </w:tc>
        <w:tc>
          <w:tcPr>
            <w:tcW w:w="0" w:type="auto"/>
            <w:tcBorders>
              <w:top w:val="nil"/>
              <w:bottom w:val="nil"/>
            </w:tcBorders>
            <w:shd w:val="clear" w:color="auto" w:fill="auto"/>
            <w:vAlign w:val="center"/>
            <w:hideMark/>
          </w:tcPr>
          <w:p w14:paraId="4ED1CAB0" w14:textId="77777777" w:rsidR="003824F4" w:rsidRPr="0002728B" w:rsidRDefault="003824F4" w:rsidP="00300A09">
            <w:pPr>
              <w:jc w:val="both"/>
              <w:rPr>
                <w:color w:val="000000"/>
                <w:sz w:val="20"/>
                <w:szCs w:val="20"/>
              </w:rPr>
            </w:pPr>
            <w:r w:rsidRPr="0002728B">
              <w:rPr>
                <w:color w:val="000000"/>
                <w:sz w:val="20"/>
                <w:szCs w:val="20"/>
                <w:lang w:val="en-US"/>
              </w:rPr>
              <w:t>0.54</w:t>
            </w:r>
          </w:p>
        </w:tc>
        <w:tc>
          <w:tcPr>
            <w:tcW w:w="0" w:type="auto"/>
            <w:tcBorders>
              <w:top w:val="nil"/>
              <w:bottom w:val="nil"/>
            </w:tcBorders>
            <w:shd w:val="clear" w:color="auto" w:fill="auto"/>
            <w:vAlign w:val="center"/>
            <w:hideMark/>
          </w:tcPr>
          <w:p w14:paraId="6159A55E" w14:textId="77777777" w:rsidR="003824F4" w:rsidRPr="0002728B" w:rsidRDefault="003824F4" w:rsidP="00300A09">
            <w:pPr>
              <w:jc w:val="both"/>
              <w:rPr>
                <w:color w:val="000000"/>
                <w:sz w:val="20"/>
                <w:szCs w:val="20"/>
              </w:rPr>
            </w:pPr>
            <w:r w:rsidRPr="0002728B">
              <w:rPr>
                <w:color w:val="000000"/>
                <w:sz w:val="20"/>
                <w:szCs w:val="20"/>
                <w:lang w:val="en-US"/>
              </w:rPr>
              <w:t>1.3</w:t>
            </w:r>
          </w:p>
        </w:tc>
        <w:tc>
          <w:tcPr>
            <w:tcW w:w="0" w:type="auto"/>
            <w:tcBorders>
              <w:top w:val="nil"/>
              <w:bottom w:val="nil"/>
              <w:right w:val="nil"/>
            </w:tcBorders>
            <w:shd w:val="clear" w:color="auto" w:fill="auto"/>
            <w:vAlign w:val="center"/>
            <w:hideMark/>
          </w:tcPr>
          <w:p w14:paraId="4729E269" w14:textId="77777777" w:rsidR="003824F4" w:rsidRPr="0002728B" w:rsidRDefault="003824F4" w:rsidP="00300A09">
            <w:pPr>
              <w:jc w:val="both"/>
              <w:rPr>
                <w:color w:val="000000"/>
                <w:sz w:val="20"/>
                <w:szCs w:val="20"/>
              </w:rPr>
            </w:pPr>
            <w:r w:rsidRPr="0002728B">
              <w:rPr>
                <w:color w:val="000000"/>
                <w:sz w:val="20"/>
                <w:szCs w:val="20"/>
                <w:lang w:val="en-US"/>
              </w:rPr>
              <w:t>2.45</w:t>
            </w:r>
          </w:p>
        </w:tc>
      </w:tr>
      <w:tr w:rsidR="003824F4" w:rsidRPr="0002728B" w14:paraId="37CDD154" w14:textId="77777777" w:rsidTr="0002728B">
        <w:trPr>
          <w:trHeight w:val="20"/>
          <w:jc w:val="center"/>
        </w:trPr>
        <w:tc>
          <w:tcPr>
            <w:tcW w:w="0" w:type="auto"/>
            <w:tcBorders>
              <w:top w:val="nil"/>
              <w:left w:val="nil"/>
              <w:bottom w:val="nil"/>
            </w:tcBorders>
            <w:shd w:val="clear" w:color="auto" w:fill="auto"/>
            <w:vAlign w:val="center"/>
            <w:hideMark/>
          </w:tcPr>
          <w:p w14:paraId="1DCDD872"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7CF53C64" w14:textId="77777777" w:rsidR="003824F4" w:rsidRPr="0002728B" w:rsidRDefault="003824F4" w:rsidP="00300A09">
            <w:pPr>
              <w:jc w:val="both"/>
              <w:rPr>
                <w:color w:val="000000"/>
                <w:sz w:val="20"/>
                <w:szCs w:val="20"/>
              </w:rPr>
            </w:pPr>
            <w:r w:rsidRPr="0002728B">
              <w:rPr>
                <w:color w:val="000000"/>
                <w:sz w:val="20"/>
                <w:szCs w:val="20"/>
                <w:lang w:val="en-US"/>
              </w:rPr>
              <w:t>Indian</w:t>
            </w:r>
          </w:p>
        </w:tc>
        <w:tc>
          <w:tcPr>
            <w:tcW w:w="0" w:type="auto"/>
            <w:tcBorders>
              <w:top w:val="nil"/>
              <w:bottom w:val="nil"/>
            </w:tcBorders>
            <w:shd w:val="clear" w:color="auto" w:fill="auto"/>
            <w:vAlign w:val="center"/>
            <w:hideMark/>
          </w:tcPr>
          <w:p w14:paraId="671AC442"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08E8029A" w14:textId="77777777" w:rsidR="003824F4" w:rsidRPr="0002728B" w:rsidRDefault="003824F4" w:rsidP="00300A09">
            <w:pPr>
              <w:jc w:val="both"/>
              <w:rPr>
                <w:color w:val="000000"/>
                <w:sz w:val="20"/>
                <w:szCs w:val="20"/>
              </w:rPr>
            </w:pPr>
            <w:r w:rsidRPr="0002728B">
              <w:rPr>
                <w:color w:val="000000"/>
                <w:sz w:val="20"/>
                <w:szCs w:val="20"/>
                <w:lang w:val="en-US"/>
              </w:rPr>
              <w:t>0.53</w:t>
            </w:r>
          </w:p>
        </w:tc>
        <w:tc>
          <w:tcPr>
            <w:tcW w:w="0" w:type="auto"/>
            <w:tcBorders>
              <w:top w:val="nil"/>
              <w:bottom w:val="nil"/>
            </w:tcBorders>
            <w:shd w:val="clear" w:color="auto" w:fill="auto"/>
            <w:vAlign w:val="center"/>
            <w:hideMark/>
          </w:tcPr>
          <w:p w14:paraId="47B893A1" w14:textId="77777777" w:rsidR="003824F4" w:rsidRPr="0002728B" w:rsidRDefault="003824F4" w:rsidP="00300A09">
            <w:pPr>
              <w:jc w:val="both"/>
              <w:rPr>
                <w:color w:val="000000"/>
                <w:sz w:val="20"/>
                <w:szCs w:val="20"/>
              </w:rPr>
            </w:pPr>
            <w:r w:rsidRPr="0002728B">
              <w:rPr>
                <w:color w:val="000000"/>
                <w:sz w:val="20"/>
                <w:szCs w:val="20"/>
                <w:lang w:val="en-US"/>
              </w:rPr>
              <w:t>0.29</w:t>
            </w:r>
          </w:p>
        </w:tc>
        <w:tc>
          <w:tcPr>
            <w:tcW w:w="0" w:type="auto"/>
            <w:tcBorders>
              <w:top w:val="nil"/>
              <w:bottom w:val="nil"/>
            </w:tcBorders>
            <w:shd w:val="clear" w:color="auto" w:fill="auto"/>
            <w:vAlign w:val="center"/>
            <w:hideMark/>
          </w:tcPr>
          <w:p w14:paraId="0F045E7C" w14:textId="77777777" w:rsidR="003824F4" w:rsidRPr="0002728B" w:rsidRDefault="003824F4" w:rsidP="00300A09">
            <w:pPr>
              <w:jc w:val="both"/>
              <w:rPr>
                <w:color w:val="000000"/>
                <w:sz w:val="20"/>
                <w:szCs w:val="20"/>
              </w:rPr>
            </w:pPr>
            <w:r w:rsidRPr="0002728B">
              <w:rPr>
                <w:color w:val="000000"/>
                <w:sz w:val="20"/>
                <w:szCs w:val="20"/>
                <w:lang w:val="en-US"/>
              </w:rPr>
              <w:t>0.8</w:t>
            </w:r>
          </w:p>
        </w:tc>
        <w:tc>
          <w:tcPr>
            <w:tcW w:w="0" w:type="auto"/>
            <w:tcBorders>
              <w:top w:val="nil"/>
              <w:bottom w:val="nil"/>
            </w:tcBorders>
            <w:shd w:val="clear" w:color="auto" w:fill="auto"/>
            <w:vAlign w:val="center"/>
            <w:hideMark/>
          </w:tcPr>
          <w:p w14:paraId="35A96A1A"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3F5843FB" w14:textId="77777777" w:rsidR="003824F4" w:rsidRPr="0002728B" w:rsidRDefault="003824F4" w:rsidP="00300A09">
            <w:pPr>
              <w:jc w:val="both"/>
              <w:rPr>
                <w:color w:val="000000"/>
                <w:sz w:val="20"/>
                <w:szCs w:val="20"/>
              </w:rPr>
            </w:pPr>
            <w:r w:rsidRPr="0002728B">
              <w:rPr>
                <w:color w:val="000000"/>
                <w:sz w:val="20"/>
                <w:szCs w:val="20"/>
                <w:lang w:val="en-US"/>
              </w:rPr>
              <w:t>0.35</w:t>
            </w:r>
          </w:p>
        </w:tc>
        <w:tc>
          <w:tcPr>
            <w:tcW w:w="0" w:type="auto"/>
            <w:tcBorders>
              <w:top w:val="nil"/>
              <w:bottom w:val="nil"/>
            </w:tcBorders>
            <w:shd w:val="clear" w:color="auto" w:fill="auto"/>
            <w:vAlign w:val="center"/>
            <w:hideMark/>
          </w:tcPr>
          <w:p w14:paraId="3834DA89"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5EB09841" w14:textId="77777777" w:rsidR="003824F4" w:rsidRPr="0002728B" w:rsidRDefault="003824F4" w:rsidP="00300A09">
            <w:pPr>
              <w:jc w:val="both"/>
              <w:rPr>
                <w:color w:val="000000"/>
                <w:sz w:val="20"/>
                <w:szCs w:val="20"/>
              </w:rPr>
            </w:pPr>
            <w:r w:rsidRPr="0002728B">
              <w:rPr>
                <w:color w:val="000000"/>
                <w:sz w:val="20"/>
                <w:szCs w:val="20"/>
                <w:lang w:val="en-US"/>
              </w:rPr>
              <w:t>0.75</w:t>
            </w:r>
          </w:p>
        </w:tc>
      </w:tr>
      <w:tr w:rsidR="003824F4" w:rsidRPr="0002728B" w14:paraId="28D6A81B" w14:textId="77777777" w:rsidTr="0002728B">
        <w:trPr>
          <w:trHeight w:val="20"/>
          <w:jc w:val="center"/>
        </w:trPr>
        <w:tc>
          <w:tcPr>
            <w:tcW w:w="0" w:type="auto"/>
            <w:tcBorders>
              <w:top w:val="nil"/>
              <w:left w:val="nil"/>
              <w:bottom w:val="nil"/>
            </w:tcBorders>
            <w:shd w:val="clear" w:color="auto" w:fill="auto"/>
            <w:vAlign w:val="center"/>
            <w:hideMark/>
          </w:tcPr>
          <w:p w14:paraId="6DE44394"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69016A37" w14:textId="77777777" w:rsidR="003824F4" w:rsidRPr="0002728B" w:rsidRDefault="003824F4" w:rsidP="00300A09">
            <w:pPr>
              <w:jc w:val="both"/>
              <w:rPr>
                <w:color w:val="000000"/>
                <w:sz w:val="20"/>
                <w:szCs w:val="20"/>
              </w:rPr>
            </w:pPr>
            <w:r w:rsidRPr="0002728B">
              <w:rPr>
                <w:color w:val="000000"/>
                <w:sz w:val="20"/>
                <w:szCs w:val="20"/>
                <w:lang w:val="en-US"/>
              </w:rPr>
              <w:t>Others</w:t>
            </w:r>
          </w:p>
        </w:tc>
        <w:tc>
          <w:tcPr>
            <w:tcW w:w="0" w:type="auto"/>
            <w:tcBorders>
              <w:top w:val="nil"/>
              <w:bottom w:val="nil"/>
            </w:tcBorders>
            <w:shd w:val="clear" w:color="auto" w:fill="auto"/>
            <w:vAlign w:val="center"/>
            <w:hideMark/>
          </w:tcPr>
          <w:p w14:paraId="7654BE15"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2C0D205E"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0E9F8FFE"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1A63AE96"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7D2D6384"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514FB38A"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79A7A73F"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2FC80E3B" w14:textId="77777777" w:rsidR="003824F4" w:rsidRPr="0002728B" w:rsidRDefault="003824F4" w:rsidP="00300A09">
            <w:pPr>
              <w:jc w:val="both"/>
              <w:rPr>
                <w:color w:val="000000"/>
                <w:sz w:val="20"/>
                <w:szCs w:val="20"/>
              </w:rPr>
            </w:pPr>
            <w:r w:rsidRPr="0002728B">
              <w:rPr>
                <w:color w:val="000000"/>
                <w:sz w:val="20"/>
                <w:szCs w:val="20"/>
                <w:lang w:val="en-US"/>
              </w:rPr>
              <w:t>-</w:t>
            </w:r>
          </w:p>
        </w:tc>
      </w:tr>
      <w:tr w:rsidR="003824F4" w:rsidRPr="0002728B" w14:paraId="7F68760D" w14:textId="77777777" w:rsidTr="0002728B">
        <w:trPr>
          <w:trHeight w:val="20"/>
          <w:jc w:val="center"/>
        </w:trPr>
        <w:tc>
          <w:tcPr>
            <w:tcW w:w="0" w:type="auto"/>
            <w:tcBorders>
              <w:left w:val="nil"/>
              <w:bottom w:val="nil"/>
            </w:tcBorders>
            <w:shd w:val="clear" w:color="auto" w:fill="auto"/>
            <w:vAlign w:val="center"/>
            <w:hideMark/>
          </w:tcPr>
          <w:p w14:paraId="4DFBCFE7" w14:textId="77777777" w:rsidR="003824F4" w:rsidRPr="0002728B" w:rsidRDefault="003824F4" w:rsidP="00300A09">
            <w:pPr>
              <w:jc w:val="both"/>
              <w:rPr>
                <w:color w:val="000000"/>
                <w:sz w:val="20"/>
                <w:szCs w:val="20"/>
              </w:rPr>
            </w:pPr>
            <w:r w:rsidRPr="0002728B">
              <w:rPr>
                <w:color w:val="000000"/>
                <w:sz w:val="20"/>
                <w:szCs w:val="20"/>
                <w:lang w:val="en-US"/>
              </w:rPr>
              <w:t>Education</w:t>
            </w:r>
          </w:p>
        </w:tc>
        <w:tc>
          <w:tcPr>
            <w:tcW w:w="0" w:type="auto"/>
            <w:tcBorders>
              <w:bottom w:val="nil"/>
            </w:tcBorders>
            <w:shd w:val="clear" w:color="auto" w:fill="auto"/>
            <w:vAlign w:val="center"/>
            <w:hideMark/>
          </w:tcPr>
          <w:p w14:paraId="50639E51" w14:textId="77777777" w:rsidR="003824F4" w:rsidRPr="0002728B" w:rsidRDefault="003824F4" w:rsidP="00300A09">
            <w:pPr>
              <w:jc w:val="both"/>
              <w:rPr>
                <w:color w:val="000000"/>
                <w:sz w:val="20"/>
                <w:szCs w:val="20"/>
              </w:rPr>
            </w:pPr>
            <w:r w:rsidRPr="0002728B">
              <w:rPr>
                <w:color w:val="000000"/>
                <w:sz w:val="20"/>
                <w:szCs w:val="20"/>
                <w:lang w:val="en-US"/>
              </w:rPr>
              <w:t>Primary</w:t>
            </w:r>
          </w:p>
        </w:tc>
        <w:tc>
          <w:tcPr>
            <w:tcW w:w="0" w:type="auto"/>
            <w:tcBorders>
              <w:bottom w:val="nil"/>
            </w:tcBorders>
            <w:shd w:val="clear" w:color="auto" w:fill="auto"/>
            <w:vAlign w:val="center"/>
            <w:hideMark/>
          </w:tcPr>
          <w:p w14:paraId="18BD7B9F" w14:textId="77777777" w:rsidR="003824F4" w:rsidRPr="0002728B" w:rsidRDefault="003824F4" w:rsidP="00300A09">
            <w:pPr>
              <w:jc w:val="both"/>
              <w:rPr>
                <w:color w:val="000000"/>
                <w:sz w:val="20"/>
                <w:szCs w:val="20"/>
              </w:rPr>
            </w:pPr>
            <w:r w:rsidRPr="0002728B">
              <w:rPr>
                <w:color w:val="000000"/>
                <w:sz w:val="20"/>
                <w:szCs w:val="20"/>
                <w:lang w:val="en-US"/>
              </w:rPr>
              <w:t>6.03</w:t>
            </w:r>
          </w:p>
        </w:tc>
        <w:tc>
          <w:tcPr>
            <w:tcW w:w="0" w:type="auto"/>
            <w:tcBorders>
              <w:bottom w:val="nil"/>
            </w:tcBorders>
            <w:shd w:val="clear" w:color="auto" w:fill="auto"/>
            <w:vAlign w:val="center"/>
            <w:hideMark/>
          </w:tcPr>
          <w:p w14:paraId="383C2F58" w14:textId="77777777" w:rsidR="003824F4" w:rsidRPr="0002728B" w:rsidRDefault="003824F4" w:rsidP="00300A09">
            <w:pPr>
              <w:jc w:val="both"/>
              <w:rPr>
                <w:color w:val="000000"/>
                <w:sz w:val="20"/>
                <w:szCs w:val="20"/>
              </w:rPr>
            </w:pPr>
            <w:r w:rsidRPr="0002728B">
              <w:rPr>
                <w:color w:val="000000"/>
                <w:sz w:val="20"/>
                <w:szCs w:val="20"/>
                <w:lang w:val="en-US"/>
              </w:rPr>
              <w:t>2.97</w:t>
            </w:r>
          </w:p>
        </w:tc>
        <w:tc>
          <w:tcPr>
            <w:tcW w:w="0" w:type="auto"/>
            <w:tcBorders>
              <w:bottom w:val="nil"/>
            </w:tcBorders>
            <w:shd w:val="clear" w:color="auto" w:fill="auto"/>
            <w:vAlign w:val="center"/>
            <w:hideMark/>
          </w:tcPr>
          <w:p w14:paraId="77F11FBA" w14:textId="77777777" w:rsidR="003824F4" w:rsidRPr="0002728B" w:rsidRDefault="003824F4" w:rsidP="00300A09">
            <w:pPr>
              <w:jc w:val="both"/>
              <w:rPr>
                <w:color w:val="000000"/>
                <w:sz w:val="20"/>
                <w:szCs w:val="20"/>
              </w:rPr>
            </w:pPr>
            <w:r w:rsidRPr="0002728B">
              <w:rPr>
                <w:color w:val="000000"/>
                <w:sz w:val="20"/>
                <w:szCs w:val="20"/>
                <w:lang w:val="en-US"/>
              </w:rPr>
              <w:t>1.16</w:t>
            </w:r>
          </w:p>
        </w:tc>
        <w:tc>
          <w:tcPr>
            <w:tcW w:w="0" w:type="auto"/>
            <w:tcBorders>
              <w:bottom w:val="nil"/>
            </w:tcBorders>
            <w:shd w:val="clear" w:color="auto" w:fill="auto"/>
            <w:vAlign w:val="center"/>
            <w:hideMark/>
          </w:tcPr>
          <w:p w14:paraId="785B1DD3" w14:textId="77777777" w:rsidR="003824F4" w:rsidRPr="0002728B" w:rsidRDefault="003824F4" w:rsidP="00300A09">
            <w:pPr>
              <w:jc w:val="both"/>
              <w:rPr>
                <w:color w:val="000000"/>
                <w:sz w:val="20"/>
                <w:szCs w:val="20"/>
              </w:rPr>
            </w:pPr>
            <w:r w:rsidRPr="0002728B">
              <w:rPr>
                <w:color w:val="000000"/>
                <w:sz w:val="20"/>
                <w:szCs w:val="20"/>
                <w:lang w:val="en-US"/>
              </w:rPr>
              <w:t>2.85</w:t>
            </w:r>
          </w:p>
        </w:tc>
        <w:tc>
          <w:tcPr>
            <w:tcW w:w="0" w:type="auto"/>
            <w:tcBorders>
              <w:bottom w:val="nil"/>
            </w:tcBorders>
            <w:shd w:val="clear" w:color="auto" w:fill="auto"/>
            <w:vAlign w:val="center"/>
            <w:hideMark/>
          </w:tcPr>
          <w:p w14:paraId="5A942036" w14:textId="77777777" w:rsidR="003824F4" w:rsidRPr="0002728B" w:rsidRDefault="003824F4" w:rsidP="00300A09">
            <w:pPr>
              <w:jc w:val="both"/>
              <w:rPr>
                <w:color w:val="000000"/>
                <w:sz w:val="20"/>
                <w:szCs w:val="20"/>
              </w:rPr>
            </w:pPr>
            <w:r w:rsidRPr="0002728B">
              <w:rPr>
                <w:color w:val="000000"/>
                <w:sz w:val="20"/>
                <w:szCs w:val="20"/>
                <w:lang w:val="en-US"/>
              </w:rPr>
              <w:t>0.32</w:t>
            </w:r>
          </w:p>
        </w:tc>
        <w:tc>
          <w:tcPr>
            <w:tcW w:w="0" w:type="auto"/>
            <w:tcBorders>
              <w:bottom w:val="nil"/>
            </w:tcBorders>
            <w:shd w:val="clear" w:color="auto" w:fill="auto"/>
            <w:vAlign w:val="center"/>
            <w:hideMark/>
          </w:tcPr>
          <w:p w14:paraId="7FA49B7E" w14:textId="77777777" w:rsidR="003824F4" w:rsidRPr="0002728B" w:rsidRDefault="003824F4" w:rsidP="00300A09">
            <w:pPr>
              <w:jc w:val="both"/>
              <w:rPr>
                <w:color w:val="000000"/>
                <w:sz w:val="20"/>
                <w:szCs w:val="20"/>
              </w:rPr>
            </w:pPr>
            <w:r w:rsidRPr="0002728B">
              <w:rPr>
                <w:color w:val="000000"/>
                <w:sz w:val="20"/>
                <w:szCs w:val="20"/>
                <w:lang w:val="en-US"/>
              </w:rPr>
              <w:t>1.32</w:t>
            </w:r>
          </w:p>
        </w:tc>
        <w:tc>
          <w:tcPr>
            <w:tcW w:w="0" w:type="auto"/>
            <w:tcBorders>
              <w:bottom w:val="nil"/>
            </w:tcBorders>
            <w:shd w:val="clear" w:color="auto" w:fill="auto"/>
            <w:vAlign w:val="center"/>
            <w:hideMark/>
          </w:tcPr>
          <w:p w14:paraId="68EE35D8" w14:textId="77777777" w:rsidR="003824F4" w:rsidRPr="0002728B" w:rsidRDefault="003824F4" w:rsidP="00300A09">
            <w:pPr>
              <w:jc w:val="both"/>
              <w:rPr>
                <w:color w:val="000000"/>
                <w:sz w:val="20"/>
                <w:szCs w:val="20"/>
              </w:rPr>
            </w:pPr>
            <w:r w:rsidRPr="0002728B">
              <w:rPr>
                <w:color w:val="000000"/>
                <w:sz w:val="20"/>
                <w:szCs w:val="20"/>
                <w:lang w:val="en-US"/>
              </w:rPr>
              <w:t>0.95</w:t>
            </w:r>
          </w:p>
        </w:tc>
        <w:tc>
          <w:tcPr>
            <w:tcW w:w="0" w:type="auto"/>
            <w:tcBorders>
              <w:bottom w:val="nil"/>
              <w:right w:val="nil"/>
            </w:tcBorders>
            <w:shd w:val="clear" w:color="auto" w:fill="auto"/>
            <w:vAlign w:val="center"/>
            <w:hideMark/>
          </w:tcPr>
          <w:p w14:paraId="15949017" w14:textId="77777777" w:rsidR="003824F4" w:rsidRPr="0002728B" w:rsidRDefault="003824F4" w:rsidP="00300A09">
            <w:pPr>
              <w:jc w:val="both"/>
              <w:rPr>
                <w:color w:val="000000"/>
                <w:sz w:val="20"/>
                <w:szCs w:val="20"/>
              </w:rPr>
            </w:pPr>
            <w:r w:rsidRPr="0002728B">
              <w:rPr>
                <w:color w:val="000000"/>
                <w:sz w:val="20"/>
                <w:szCs w:val="20"/>
                <w:lang w:val="en-US"/>
              </w:rPr>
              <w:t>4.46</w:t>
            </w:r>
          </w:p>
        </w:tc>
      </w:tr>
      <w:tr w:rsidR="003824F4" w:rsidRPr="0002728B" w14:paraId="2983DAA4" w14:textId="77777777" w:rsidTr="0002728B">
        <w:trPr>
          <w:trHeight w:val="20"/>
          <w:jc w:val="center"/>
        </w:trPr>
        <w:tc>
          <w:tcPr>
            <w:tcW w:w="0" w:type="auto"/>
            <w:tcBorders>
              <w:top w:val="nil"/>
              <w:left w:val="nil"/>
              <w:bottom w:val="nil"/>
            </w:tcBorders>
            <w:shd w:val="clear" w:color="auto" w:fill="auto"/>
            <w:vAlign w:val="center"/>
            <w:hideMark/>
          </w:tcPr>
          <w:p w14:paraId="6585DDA9"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5B958FDC" w14:textId="77777777" w:rsidR="003824F4" w:rsidRPr="0002728B" w:rsidRDefault="003824F4" w:rsidP="00300A09">
            <w:pPr>
              <w:jc w:val="both"/>
              <w:rPr>
                <w:color w:val="000000"/>
                <w:sz w:val="20"/>
                <w:szCs w:val="20"/>
              </w:rPr>
            </w:pPr>
            <w:r w:rsidRPr="0002728B">
              <w:rPr>
                <w:color w:val="000000"/>
                <w:sz w:val="20"/>
                <w:szCs w:val="20"/>
                <w:lang w:val="en-US"/>
              </w:rPr>
              <w:t>Secondary</w:t>
            </w:r>
          </w:p>
        </w:tc>
        <w:tc>
          <w:tcPr>
            <w:tcW w:w="0" w:type="auto"/>
            <w:tcBorders>
              <w:top w:val="nil"/>
              <w:bottom w:val="nil"/>
            </w:tcBorders>
            <w:shd w:val="clear" w:color="auto" w:fill="auto"/>
            <w:vAlign w:val="center"/>
            <w:hideMark/>
          </w:tcPr>
          <w:p w14:paraId="13BCC13E" w14:textId="77777777" w:rsidR="003824F4" w:rsidRPr="0002728B" w:rsidRDefault="003824F4" w:rsidP="00300A09">
            <w:pPr>
              <w:jc w:val="both"/>
              <w:rPr>
                <w:color w:val="000000"/>
                <w:sz w:val="20"/>
                <w:szCs w:val="20"/>
              </w:rPr>
            </w:pPr>
            <w:r w:rsidRPr="0002728B">
              <w:rPr>
                <w:color w:val="000000"/>
                <w:sz w:val="20"/>
                <w:szCs w:val="20"/>
                <w:lang w:val="en-US"/>
              </w:rPr>
              <w:t>2.6</w:t>
            </w:r>
          </w:p>
        </w:tc>
        <w:tc>
          <w:tcPr>
            <w:tcW w:w="0" w:type="auto"/>
            <w:tcBorders>
              <w:top w:val="nil"/>
              <w:bottom w:val="nil"/>
            </w:tcBorders>
            <w:shd w:val="clear" w:color="auto" w:fill="auto"/>
            <w:vAlign w:val="center"/>
            <w:hideMark/>
          </w:tcPr>
          <w:p w14:paraId="4B4E2497" w14:textId="77777777" w:rsidR="003824F4" w:rsidRPr="0002728B" w:rsidRDefault="003824F4" w:rsidP="00300A09">
            <w:pPr>
              <w:jc w:val="both"/>
              <w:rPr>
                <w:color w:val="000000"/>
                <w:sz w:val="20"/>
                <w:szCs w:val="20"/>
              </w:rPr>
            </w:pPr>
            <w:r w:rsidRPr="0002728B">
              <w:rPr>
                <w:color w:val="000000"/>
                <w:sz w:val="20"/>
                <w:szCs w:val="20"/>
                <w:lang w:val="en-US"/>
              </w:rPr>
              <w:t>2.41</w:t>
            </w:r>
          </w:p>
        </w:tc>
        <w:tc>
          <w:tcPr>
            <w:tcW w:w="0" w:type="auto"/>
            <w:tcBorders>
              <w:top w:val="nil"/>
              <w:bottom w:val="nil"/>
            </w:tcBorders>
            <w:shd w:val="clear" w:color="auto" w:fill="auto"/>
            <w:vAlign w:val="center"/>
            <w:hideMark/>
          </w:tcPr>
          <w:p w14:paraId="0FDE901F" w14:textId="77777777" w:rsidR="003824F4" w:rsidRPr="0002728B" w:rsidRDefault="003824F4" w:rsidP="00300A09">
            <w:pPr>
              <w:jc w:val="both"/>
              <w:rPr>
                <w:color w:val="000000"/>
                <w:sz w:val="20"/>
                <w:szCs w:val="20"/>
              </w:rPr>
            </w:pPr>
            <w:r w:rsidRPr="0002728B">
              <w:rPr>
                <w:color w:val="000000"/>
                <w:sz w:val="20"/>
                <w:szCs w:val="20"/>
                <w:lang w:val="en-US"/>
              </w:rPr>
              <w:t>0.62</w:t>
            </w:r>
          </w:p>
        </w:tc>
        <w:tc>
          <w:tcPr>
            <w:tcW w:w="0" w:type="auto"/>
            <w:tcBorders>
              <w:top w:val="nil"/>
              <w:bottom w:val="nil"/>
            </w:tcBorders>
            <w:shd w:val="clear" w:color="auto" w:fill="auto"/>
            <w:vAlign w:val="center"/>
            <w:hideMark/>
          </w:tcPr>
          <w:p w14:paraId="684BB1E0" w14:textId="77777777" w:rsidR="003824F4" w:rsidRPr="0002728B" w:rsidRDefault="003824F4" w:rsidP="00300A09">
            <w:pPr>
              <w:jc w:val="both"/>
              <w:rPr>
                <w:color w:val="000000"/>
                <w:sz w:val="20"/>
                <w:szCs w:val="20"/>
              </w:rPr>
            </w:pPr>
            <w:r w:rsidRPr="0002728B">
              <w:rPr>
                <w:color w:val="000000"/>
                <w:sz w:val="20"/>
                <w:szCs w:val="20"/>
                <w:lang w:val="en-US"/>
              </w:rPr>
              <w:t>1.45</w:t>
            </w:r>
          </w:p>
        </w:tc>
        <w:tc>
          <w:tcPr>
            <w:tcW w:w="0" w:type="auto"/>
            <w:tcBorders>
              <w:top w:val="nil"/>
              <w:bottom w:val="nil"/>
            </w:tcBorders>
            <w:shd w:val="clear" w:color="auto" w:fill="auto"/>
            <w:vAlign w:val="center"/>
            <w:hideMark/>
          </w:tcPr>
          <w:p w14:paraId="3AF3DC8E" w14:textId="77777777" w:rsidR="003824F4" w:rsidRPr="0002728B" w:rsidRDefault="003824F4" w:rsidP="00300A09">
            <w:pPr>
              <w:jc w:val="both"/>
              <w:rPr>
                <w:color w:val="000000"/>
                <w:sz w:val="20"/>
                <w:szCs w:val="20"/>
              </w:rPr>
            </w:pPr>
            <w:r w:rsidRPr="0002728B">
              <w:rPr>
                <w:color w:val="000000"/>
                <w:sz w:val="20"/>
                <w:szCs w:val="20"/>
                <w:lang w:val="en-US"/>
              </w:rPr>
              <w:t>2.51</w:t>
            </w:r>
          </w:p>
        </w:tc>
        <w:tc>
          <w:tcPr>
            <w:tcW w:w="0" w:type="auto"/>
            <w:tcBorders>
              <w:top w:val="nil"/>
              <w:bottom w:val="nil"/>
            </w:tcBorders>
            <w:shd w:val="clear" w:color="auto" w:fill="auto"/>
            <w:vAlign w:val="center"/>
            <w:hideMark/>
          </w:tcPr>
          <w:p w14:paraId="386108EE" w14:textId="77777777" w:rsidR="003824F4" w:rsidRPr="0002728B" w:rsidRDefault="003824F4" w:rsidP="00300A09">
            <w:pPr>
              <w:jc w:val="both"/>
              <w:rPr>
                <w:color w:val="000000"/>
                <w:sz w:val="20"/>
                <w:szCs w:val="20"/>
              </w:rPr>
            </w:pPr>
            <w:r w:rsidRPr="0002728B">
              <w:rPr>
                <w:color w:val="000000"/>
                <w:sz w:val="20"/>
                <w:szCs w:val="20"/>
                <w:lang w:val="en-US"/>
              </w:rPr>
              <w:t>1.11</w:t>
            </w:r>
          </w:p>
        </w:tc>
        <w:tc>
          <w:tcPr>
            <w:tcW w:w="0" w:type="auto"/>
            <w:tcBorders>
              <w:top w:val="nil"/>
              <w:bottom w:val="nil"/>
            </w:tcBorders>
            <w:shd w:val="clear" w:color="auto" w:fill="auto"/>
            <w:vAlign w:val="center"/>
            <w:hideMark/>
          </w:tcPr>
          <w:p w14:paraId="7DA06807" w14:textId="77777777" w:rsidR="003824F4" w:rsidRPr="0002728B" w:rsidRDefault="003824F4" w:rsidP="00300A09">
            <w:pPr>
              <w:jc w:val="both"/>
              <w:rPr>
                <w:color w:val="000000"/>
                <w:sz w:val="20"/>
                <w:szCs w:val="20"/>
              </w:rPr>
            </w:pPr>
            <w:r w:rsidRPr="0002728B">
              <w:rPr>
                <w:color w:val="000000"/>
                <w:sz w:val="20"/>
                <w:szCs w:val="20"/>
                <w:lang w:val="en-US"/>
              </w:rPr>
              <w:t>0.14</w:t>
            </w:r>
          </w:p>
        </w:tc>
        <w:tc>
          <w:tcPr>
            <w:tcW w:w="0" w:type="auto"/>
            <w:tcBorders>
              <w:top w:val="nil"/>
              <w:bottom w:val="nil"/>
              <w:right w:val="nil"/>
            </w:tcBorders>
            <w:shd w:val="clear" w:color="auto" w:fill="auto"/>
            <w:vAlign w:val="center"/>
            <w:hideMark/>
          </w:tcPr>
          <w:p w14:paraId="0DC3BF05" w14:textId="77777777" w:rsidR="003824F4" w:rsidRPr="0002728B" w:rsidRDefault="003824F4" w:rsidP="00300A09">
            <w:pPr>
              <w:jc w:val="both"/>
              <w:rPr>
                <w:color w:val="000000"/>
                <w:sz w:val="20"/>
                <w:szCs w:val="20"/>
              </w:rPr>
            </w:pPr>
            <w:r w:rsidRPr="0002728B">
              <w:rPr>
                <w:color w:val="000000"/>
                <w:sz w:val="20"/>
                <w:szCs w:val="20"/>
                <w:lang w:val="en-US"/>
              </w:rPr>
              <w:t>1.06</w:t>
            </w:r>
          </w:p>
        </w:tc>
      </w:tr>
      <w:tr w:rsidR="003824F4" w:rsidRPr="0002728B" w14:paraId="776499AA" w14:textId="77777777" w:rsidTr="0002728B">
        <w:trPr>
          <w:trHeight w:val="20"/>
          <w:jc w:val="center"/>
        </w:trPr>
        <w:tc>
          <w:tcPr>
            <w:tcW w:w="0" w:type="auto"/>
            <w:tcBorders>
              <w:top w:val="nil"/>
              <w:left w:val="nil"/>
              <w:bottom w:val="nil"/>
            </w:tcBorders>
            <w:shd w:val="clear" w:color="auto" w:fill="auto"/>
            <w:vAlign w:val="center"/>
            <w:hideMark/>
          </w:tcPr>
          <w:p w14:paraId="4267856B"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18762A6C" w14:textId="77777777" w:rsidR="003824F4" w:rsidRPr="0002728B" w:rsidRDefault="003824F4" w:rsidP="00300A09">
            <w:pPr>
              <w:jc w:val="both"/>
              <w:rPr>
                <w:color w:val="000000"/>
                <w:sz w:val="20"/>
                <w:szCs w:val="20"/>
              </w:rPr>
            </w:pPr>
            <w:r w:rsidRPr="0002728B">
              <w:rPr>
                <w:color w:val="000000"/>
                <w:sz w:val="20"/>
                <w:szCs w:val="20"/>
                <w:lang w:val="en-US"/>
              </w:rPr>
              <w:t>Tertiary</w:t>
            </w:r>
          </w:p>
        </w:tc>
        <w:tc>
          <w:tcPr>
            <w:tcW w:w="0" w:type="auto"/>
            <w:tcBorders>
              <w:top w:val="nil"/>
              <w:bottom w:val="nil"/>
            </w:tcBorders>
            <w:shd w:val="clear" w:color="auto" w:fill="auto"/>
            <w:vAlign w:val="center"/>
            <w:hideMark/>
          </w:tcPr>
          <w:p w14:paraId="08462ED4"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077F3A55" w14:textId="77777777" w:rsidR="003824F4" w:rsidRPr="0002728B" w:rsidRDefault="003824F4" w:rsidP="00300A09">
            <w:pPr>
              <w:jc w:val="both"/>
              <w:rPr>
                <w:color w:val="000000"/>
                <w:sz w:val="20"/>
                <w:szCs w:val="20"/>
              </w:rPr>
            </w:pPr>
            <w:r w:rsidRPr="0002728B">
              <w:rPr>
                <w:color w:val="000000"/>
                <w:sz w:val="20"/>
                <w:szCs w:val="20"/>
                <w:lang w:val="en-US"/>
              </w:rPr>
              <w:t>0.1</w:t>
            </w:r>
          </w:p>
        </w:tc>
        <w:tc>
          <w:tcPr>
            <w:tcW w:w="0" w:type="auto"/>
            <w:tcBorders>
              <w:top w:val="nil"/>
              <w:bottom w:val="nil"/>
            </w:tcBorders>
            <w:shd w:val="clear" w:color="auto" w:fill="auto"/>
            <w:vAlign w:val="center"/>
            <w:hideMark/>
          </w:tcPr>
          <w:p w14:paraId="36ED9503"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537A6E87"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1AEF141A" w14:textId="77777777" w:rsidR="003824F4" w:rsidRPr="0002728B" w:rsidRDefault="003824F4" w:rsidP="00300A09">
            <w:pPr>
              <w:jc w:val="both"/>
              <w:rPr>
                <w:color w:val="000000"/>
                <w:sz w:val="20"/>
                <w:szCs w:val="20"/>
              </w:rPr>
            </w:pPr>
            <w:r w:rsidRPr="0002728B">
              <w:rPr>
                <w:color w:val="000000"/>
                <w:sz w:val="20"/>
                <w:szCs w:val="20"/>
                <w:lang w:val="en-US"/>
              </w:rPr>
              <w:t>0.94</w:t>
            </w:r>
          </w:p>
        </w:tc>
        <w:tc>
          <w:tcPr>
            <w:tcW w:w="0" w:type="auto"/>
            <w:tcBorders>
              <w:top w:val="nil"/>
              <w:bottom w:val="nil"/>
            </w:tcBorders>
            <w:shd w:val="clear" w:color="auto" w:fill="auto"/>
            <w:vAlign w:val="center"/>
            <w:hideMark/>
          </w:tcPr>
          <w:p w14:paraId="60E2E1DD" w14:textId="77777777" w:rsidR="003824F4" w:rsidRPr="0002728B" w:rsidRDefault="003824F4" w:rsidP="00300A09">
            <w:pPr>
              <w:jc w:val="both"/>
              <w:rPr>
                <w:color w:val="000000"/>
                <w:sz w:val="20"/>
                <w:szCs w:val="20"/>
              </w:rPr>
            </w:pPr>
            <w:r w:rsidRPr="0002728B">
              <w:rPr>
                <w:color w:val="000000"/>
                <w:sz w:val="20"/>
                <w:szCs w:val="20"/>
                <w:lang w:val="en-US"/>
              </w:rPr>
              <w:t>1.86</w:t>
            </w:r>
          </w:p>
        </w:tc>
        <w:tc>
          <w:tcPr>
            <w:tcW w:w="0" w:type="auto"/>
            <w:tcBorders>
              <w:top w:val="nil"/>
              <w:bottom w:val="nil"/>
            </w:tcBorders>
            <w:shd w:val="clear" w:color="auto" w:fill="auto"/>
            <w:vAlign w:val="center"/>
            <w:hideMark/>
          </w:tcPr>
          <w:p w14:paraId="7AFFD2DE" w14:textId="77777777" w:rsidR="003824F4" w:rsidRPr="0002728B" w:rsidRDefault="003824F4" w:rsidP="00300A09">
            <w:pPr>
              <w:jc w:val="both"/>
              <w:rPr>
                <w:color w:val="000000"/>
                <w:sz w:val="20"/>
                <w:szCs w:val="20"/>
              </w:rPr>
            </w:pPr>
            <w:r w:rsidRPr="0002728B">
              <w:rPr>
                <w:color w:val="000000"/>
                <w:sz w:val="20"/>
                <w:szCs w:val="20"/>
                <w:lang w:val="en-US"/>
              </w:rPr>
              <w:t>1.01</w:t>
            </w:r>
          </w:p>
        </w:tc>
        <w:tc>
          <w:tcPr>
            <w:tcW w:w="0" w:type="auto"/>
            <w:tcBorders>
              <w:top w:val="nil"/>
              <w:bottom w:val="nil"/>
              <w:right w:val="nil"/>
            </w:tcBorders>
            <w:shd w:val="clear" w:color="auto" w:fill="auto"/>
            <w:vAlign w:val="center"/>
            <w:hideMark/>
          </w:tcPr>
          <w:p w14:paraId="43498AF4" w14:textId="77777777" w:rsidR="003824F4" w:rsidRPr="0002728B" w:rsidRDefault="003824F4" w:rsidP="00300A09">
            <w:pPr>
              <w:jc w:val="both"/>
              <w:rPr>
                <w:color w:val="000000"/>
                <w:sz w:val="20"/>
                <w:szCs w:val="20"/>
              </w:rPr>
            </w:pPr>
            <w:r w:rsidRPr="0002728B">
              <w:rPr>
                <w:color w:val="000000"/>
                <w:sz w:val="20"/>
                <w:szCs w:val="20"/>
                <w:lang w:val="en-US"/>
              </w:rPr>
              <w:t>1.6</w:t>
            </w:r>
          </w:p>
        </w:tc>
      </w:tr>
      <w:tr w:rsidR="003824F4" w:rsidRPr="0002728B" w14:paraId="3E3A12EB" w14:textId="77777777" w:rsidTr="0002728B">
        <w:trPr>
          <w:trHeight w:val="20"/>
          <w:jc w:val="center"/>
        </w:trPr>
        <w:tc>
          <w:tcPr>
            <w:tcW w:w="0" w:type="auto"/>
            <w:tcBorders>
              <w:top w:val="nil"/>
              <w:left w:val="nil"/>
              <w:bottom w:val="nil"/>
            </w:tcBorders>
            <w:shd w:val="clear" w:color="auto" w:fill="auto"/>
            <w:vAlign w:val="center"/>
            <w:hideMark/>
          </w:tcPr>
          <w:p w14:paraId="69680598" w14:textId="7CEF2FCB"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56AB755B" w14:textId="77777777" w:rsidR="003824F4" w:rsidRPr="0002728B" w:rsidRDefault="003824F4" w:rsidP="00300A09">
            <w:pPr>
              <w:jc w:val="both"/>
              <w:rPr>
                <w:color w:val="000000"/>
                <w:sz w:val="20"/>
                <w:szCs w:val="20"/>
              </w:rPr>
            </w:pPr>
            <w:r w:rsidRPr="0002728B">
              <w:rPr>
                <w:color w:val="000000"/>
                <w:sz w:val="20"/>
                <w:szCs w:val="20"/>
                <w:lang w:val="en-US"/>
              </w:rPr>
              <w:t>Others</w:t>
            </w:r>
          </w:p>
        </w:tc>
        <w:tc>
          <w:tcPr>
            <w:tcW w:w="0" w:type="auto"/>
            <w:tcBorders>
              <w:top w:val="nil"/>
              <w:bottom w:val="nil"/>
            </w:tcBorders>
            <w:shd w:val="clear" w:color="auto" w:fill="auto"/>
            <w:vAlign w:val="center"/>
            <w:hideMark/>
          </w:tcPr>
          <w:p w14:paraId="0AC1F56F" w14:textId="77777777" w:rsidR="003824F4" w:rsidRPr="0002728B" w:rsidRDefault="003824F4" w:rsidP="00300A09">
            <w:pPr>
              <w:jc w:val="both"/>
              <w:rPr>
                <w:color w:val="000000"/>
                <w:sz w:val="20"/>
                <w:szCs w:val="20"/>
              </w:rPr>
            </w:pPr>
            <w:r w:rsidRPr="0002728B">
              <w:rPr>
                <w:color w:val="000000"/>
                <w:sz w:val="20"/>
                <w:szCs w:val="20"/>
                <w:lang w:val="en-US"/>
              </w:rPr>
              <w:t>4.29</w:t>
            </w:r>
          </w:p>
        </w:tc>
        <w:tc>
          <w:tcPr>
            <w:tcW w:w="0" w:type="auto"/>
            <w:tcBorders>
              <w:top w:val="nil"/>
              <w:bottom w:val="nil"/>
            </w:tcBorders>
            <w:shd w:val="clear" w:color="auto" w:fill="auto"/>
            <w:vAlign w:val="center"/>
            <w:hideMark/>
          </w:tcPr>
          <w:p w14:paraId="4DF160D7" w14:textId="77777777" w:rsidR="003824F4" w:rsidRPr="0002728B" w:rsidRDefault="003824F4" w:rsidP="00300A09">
            <w:pPr>
              <w:jc w:val="both"/>
              <w:rPr>
                <w:color w:val="000000"/>
                <w:sz w:val="20"/>
                <w:szCs w:val="20"/>
              </w:rPr>
            </w:pPr>
            <w:r w:rsidRPr="0002728B">
              <w:rPr>
                <w:color w:val="000000"/>
                <w:sz w:val="20"/>
                <w:szCs w:val="20"/>
                <w:lang w:val="en-US"/>
              </w:rPr>
              <w:t>2.74</w:t>
            </w:r>
          </w:p>
        </w:tc>
        <w:tc>
          <w:tcPr>
            <w:tcW w:w="0" w:type="auto"/>
            <w:tcBorders>
              <w:top w:val="nil"/>
              <w:bottom w:val="nil"/>
            </w:tcBorders>
            <w:shd w:val="clear" w:color="auto" w:fill="auto"/>
            <w:vAlign w:val="center"/>
            <w:hideMark/>
          </w:tcPr>
          <w:p w14:paraId="401CF6D1" w14:textId="77777777" w:rsidR="003824F4" w:rsidRPr="0002728B" w:rsidRDefault="003824F4" w:rsidP="00300A09">
            <w:pPr>
              <w:jc w:val="both"/>
              <w:rPr>
                <w:color w:val="000000"/>
                <w:sz w:val="20"/>
                <w:szCs w:val="20"/>
              </w:rPr>
            </w:pPr>
            <w:r w:rsidRPr="0002728B">
              <w:rPr>
                <w:color w:val="000000"/>
                <w:sz w:val="20"/>
                <w:szCs w:val="20"/>
                <w:lang w:val="en-US"/>
              </w:rPr>
              <w:t>0.22</w:t>
            </w:r>
          </w:p>
        </w:tc>
        <w:tc>
          <w:tcPr>
            <w:tcW w:w="0" w:type="auto"/>
            <w:tcBorders>
              <w:top w:val="nil"/>
              <w:bottom w:val="nil"/>
            </w:tcBorders>
            <w:shd w:val="clear" w:color="auto" w:fill="auto"/>
            <w:vAlign w:val="center"/>
            <w:hideMark/>
          </w:tcPr>
          <w:p w14:paraId="32357A2E" w14:textId="77777777" w:rsidR="003824F4" w:rsidRPr="0002728B" w:rsidRDefault="003824F4" w:rsidP="00300A09">
            <w:pPr>
              <w:jc w:val="both"/>
              <w:rPr>
                <w:color w:val="000000"/>
                <w:sz w:val="20"/>
                <w:szCs w:val="20"/>
              </w:rPr>
            </w:pPr>
            <w:r w:rsidRPr="0002728B">
              <w:rPr>
                <w:color w:val="000000"/>
                <w:sz w:val="20"/>
                <w:szCs w:val="20"/>
                <w:lang w:val="en-US"/>
              </w:rPr>
              <w:t>1.83</w:t>
            </w:r>
          </w:p>
        </w:tc>
        <w:tc>
          <w:tcPr>
            <w:tcW w:w="0" w:type="auto"/>
            <w:tcBorders>
              <w:top w:val="nil"/>
              <w:bottom w:val="nil"/>
            </w:tcBorders>
            <w:shd w:val="clear" w:color="auto" w:fill="auto"/>
            <w:vAlign w:val="center"/>
            <w:hideMark/>
          </w:tcPr>
          <w:p w14:paraId="489D10C6" w14:textId="77777777" w:rsidR="003824F4" w:rsidRPr="0002728B" w:rsidRDefault="003824F4" w:rsidP="00300A09">
            <w:pPr>
              <w:jc w:val="both"/>
              <w:rPr>
                <w:color w:val="000000"/>
                <w:sz w:val="20"/>
                <w:szCs w:val="20"/>
              </w:rPr>
            </w:pPr>
            <w:r w:rsidRPr="0002728B">
              <w:rPr>
                <w:color w:val="000000"/>
                <w:sz w:val="20"/>
                <w:szCs w:val="20"/>
                <w:lang w:val="en-US"/>
              </w:rPr>
              <w:t>0.94</w:t>
            </w:r>
          </w:p>
        </w:tc>
        <w:tc>
          <w:tcPr>
            <w:tcW w:w="0" w:type="auto"/>
            <w:tcBorders>
              <w:top w:val="nil"/>
              <w:bottom w:val="nil"/>
            </w:tcBorders>
            <w:shd w:val="clear" w:color="auto" w:fill="auto"/>
            <w:vAlign w:val="center"/>
            <w:hideMark/>
          </w:tcPr>
          <w:p w14:paraId="4C996282"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3364E241"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4048A6F6" w14:textId="77777777" w:rsidR="003824F4" w:rsidRPr="0002728B" w:rsidRDefault="003824F4" w:rsidP="00300A09">
            <w:pPr>
              <w:jc w:val="both"/>
              <w:rPr>
                <w:color w:val="000000"/>
                <w:sz w:val="20"/>
                <w:szCs w:val="20"/>
              </w:rPr>
            </w:pPr>
            <w:r w:rsidRPr="0002728B">
              <w:rPr>
                <w:color w:val="000000"/>
                <w:sz w:val="20"/>
                <w:szCs w:val="20"/>
                <w:lang w:val="en-US"/>
              </w:rPr>
              <w:t>0.11</w:t>
            </w:r>
          </w:p>
        </w:tc>
      </w:tr>
      <w:tr w:rsidR="003824F4" w:rsidRPr="0002728B" w14:paraId="4B2A1412" w14:textId="77777777" w:rsidTr="0002728B">
        <w:trPr>
          <w:trHeight w:val="20"/>
          <w:jc w:val="center"/>
        </w:trPr>
        <w:tc>
          <w:tcPr>
            <w:tcW w:w="0" w:type="auto"/>
            <w:tcBorders>
              <w:left w:val="nil"/>
              <w:bottom w:val="nil"/>
            </w:tcBorders>
            <w:shd w:val="clear" w:color="auto" w:fill="auto"/>
            <w:vAlign w:val="center"/>
            <w:hideMark/>
          </w:tcPr>
          <w:p w14:paraId="54F49C42" w14:textId="77777777" w:rsidR="003824F4" w:rsidRPr="0002728B" w:rsidRDefault="003824F4" w:rsidP="00300A09">
            <w:pPr>
              <w:jc w:val="both"/>
              <w:rPr>
                <w:color w:val="000000"/>
                <w:sz w:val="20"/>
                <w:szCs w:val="20"/>
              </w:rPr>
            </w:pPr>
            <w:r w:rsidRPr="0002728B">
              <w:rPr>
                <w:color w:val="000000"/>
                <w:sz w:val="20"/>
                <w:szCs w:val="20"/>
                <w:lang w:val="en-US"/>
              </w:rPr>
              <w:t>Marital</w:t>
            </w:r>
          </w:p>
        </w:tc>
        <w:tc>
          <w:tcPr>
            <w:tcW w:w="0" w:type="auto"/>
            <w:tcBorders>
              <w:bottom w:val="nil"/>
            </w:tcBorders>
            <w:shd w:val="clear" w:color="auto" w:fill="auto"/>
            <w:vAlign w:val="center"/>
            <w:hideMark/>
          </w:tcPr>
          <w:p w14:paraId="471B767A" w14:textId="77777777" w:rsidR="003824F4" w:rsidRPr="0002728B" w:rsidRDefault="003824F4" w:rsidP="00300A09">
            <w:pPr>
              <w:jc w:val="both"/>
              <w:rPr>
                <w:color w:val="000000"/>
                <w:sz w:val="20"/>
                <w:szCs w:val="20"/>
              </w:rPr>
            </w:pPr>
            <w:r w:rsidRPr="0002728B">
              <w:rPr>
                <w:color w:val="000000"/>
                <w:sz w:val="20"/>
                <w:szCs w:val="20"/>
                <w:lang w:val="en-US"/>
              </w:rPr>
              <w:t>Never married</w:t>
            </w:r>
          </w:p>
        </w:tc>
        <w:tc>
          <w:tcPr>
            <w:tcW w:w="0" w:type="auto"/>
            <w:tcBorders>
              <w:bottom w:val="nil"/>
            </w:tcBorders>
            <w:shd w:val="clear" w:color="auto" w:fill="auto"/>
            <w:vAlign w:val="center"/>
            <w:hideMark/>
          </w:tcPr>
          <w:p w14:paraId="039D12BF" w14:textId="77777777" w:rsidR="003824F4" w:rsidRPr="0002728B" w:rsidRDefault="003824F4" w:rsidP="00300A09">
            <w:pPr>
              <w:jc w:val="both"/>
              <w:rPr>
                <w:color w:val="000000"/>
                <w:sz w:val="20"/>
                <w:szCs w:val="20"/>
              </w:rPr>
            </w:pPr>
            <w:r w:rsidRPr="0002728B">
              <w:rPr>
                <w:color w:val="000000"/>
                <w:sz w:val="20"/>
                <w:szCs w:val="20"/>
                <w:lang w:val="en-US"/>
              </w:rPr>
              <w:t>1.25</w:t>
            </w:r>
          </w:p>
        </w:tc>
        <w:tc>
          <w:tcPr>
            <w:tcW w:w="0" w:type="auto"/>
            <w:tcBorders>
              <w:bottom w:val="nil"/>
            </w:tcBorders>
            <w:shd w:val="clear" w:color="auto" w:fill="auto"/>
            <w:vAlign w:val="center"/>
            <w:hideMark/>
          </w:tcPr>
          <w:p w14:paraId="3BE4D67E" w14:textId="77777777" w:rsidR="003824F4" w:rsidRPr="0002728B" w:rsidRDefault="003824F4" w:rsidP="00300A09">
            <w:pPr>
              <w:jc w:val="both"/>
              <w:rPr>
                <w:color w:val="000000"/>
                <w:sz w:val="20"/>
                <w:szCs w:val="20"/>
              </w:rPr>
            </w:pPr>
            <w:r w:rsidRPr="0002728B">
              <w:rPr>
                <w:color w:val="000000"/>
                <w:sz w:val="20"/>
                <w:szCs w:val="20"/>
                <w:lang w:val="en-US"/>
              </w:rPr>
              <w:t>0.68</w:t>
            </w:r>
          </w:p>
        </w:tc>
        <w:tc>
          <w:tcPr>
            <w:tcW w:w="0" w:type="auto"/>
            <w:tcBorders>
              <w:bottom w:val="nil"/>
            </w:tcBorders>
            <w:shd w:val="clear" w:color="auto" w:fill="auto"/>
            <w:vAlign w:val="center"/>
            <w:hideMark/>
          </w:tcPr>
          <w:p w14:paraId="550586F3" w14:textId="77777777" w:rsidR="003824F4" w:rsidRPr="0002728B" w:rsidRDefault="003824F4" w:rsidP="00300A09">
            <w:pPr>
              <w:jc w:val="both"/>
              <w:rPr>
                <w:color w:val="000000"/>
                <w:sz w:val="20"/>
                <w:szCs w:val="20"/>
              </w:rPr>
            </w:pPr>
            <w:r w:rsidRPr="0002728B">
              <w:rPr>
                <w:color w:val="000000"/>
                <w:sz w:val="20"/>
                <w:szCs w:val="20"/>
                <w:lang w:val="en-US"/>
              </w:rPr>
              <w:t>0.42</w:t>
            </w:r>
          </w:p>
        </w:tc>
        <w:tc>
          <w:tcPr>
            <w:tcW w:w="0" w:type="auto"/>
            <w:tcBorders>
              <w:bottom w:val="nil"/>
            </w:tcBorders>
            <w:shd w:val="clear" w:color="auto" w:fill="auto"/>
            <w:vAlign w:val="center"/>
            <w:hideMark/>
          </w:tcPr>
          <w:p w14:paraId="5016F6B0" w14:textId="77777777" w:rsidR="003824F4" w:rsidRPr="0002728B" w:rsidRDefault="003824F4" w:rsidP="00300A09">
            <w:pPr>
              <w:jc w:val="both"/>
              <w:rPr>
                <w:color w:val="000000"/>
                <w:sz w:val="20"/>
                <w:szCs w:val="20"/>
              </w:rPr>
            </w:pPr>
            <w:r w:rsidRPr="0002728B">
              <w:rPr>
                <w:color w:val="000000"/>
                <w:sz w:val="20"/>
                <w:szCs w:val="20"/>
                <w:lang w:val="en-US"/>
              </w:rPr>
              <w:t>0.29</w:t>
            </w:r>
          </w:p>
        </w:tc>
        <w:tc>
          <w:tcPr>
            <w:tcW w:w="0" w:type="auto"/>
            <w:tcBorders>
              <w:bottom w:val="nil"/>
            </w:tcBorders>
            <w:shd w:val="clear" w:color="auto" w:fill="auto"/>
            <w:vAlign w:val="center"/>
            <w:hideMark/>
          </w:tcPr>
          <w:p w14:paraId="1C0292AF"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bottom w:val="nil"/>
            </w:tcBorders>
            <w:shd w:val="clear" w:color="auto" w:fill="auto"/>
            <w:vAlign w:val="center"/>
            <w:hideMark/>
          </w:tcPr>
          <w:p w14:paraId="29C207C3" w14:textId="77777777" w:rsidR="003824F4" w:rsidRPr="0002728B" w:rsidRDefault="003824F4" w:rsidP="00300A09">
            <w:pPr>
              <w:jc w:val="both"/>
              <w:rPr>
                <w:color w:val="000000"/>
                <w:sz w:val="20"/>
                <w:szCs w:val="20"/>
              </w:rPr>
            </w:pPr>
            <w:r w:rsidRPr="0002728B">
              <w:rPr>
                <w:color w:val="000000"/>
                <w:sz w:val="20"/>
                <w:szCs w:val="20"/>
                <w:lang w:val="en-US"/>
              </w:rPr>
              <w:t>0.68</w:t>
            </w:r>
          </w:p>
        </w:tc>
        <w:tc>
          <w:tcPr>
            <w:tcW w:w="0" w:type="auto"/>
            <w:tcBorders>
              <w:bottom w:val="nil"/>
            </w:tcBorders>
            <w:shd w:val="clear" w:color="auto" w:fill="auto"/>
            <w:vAlign w:val="center"/>
            <w:hideMark/>
          </w:tcPr>
          <w:p w14:paraId="13B0828F" w14:textId="77777777" w:rsidR="003824F4" w:rsidRPr="0002728B" w:rsidRDefault="003824F4" w:rsidP="00300A09">
            <w:pPr>
              <w:jc w:val="both"/>
              <w:rPr>
                <w:color w:val="000000"/>
                <w:sz w:val="20"/>
                <w:szCs w:val="20"/>
              </w:rPr>
            </w:pPr>
            <w:r w:rsidRPr="0002728B">
              <w:rPr>
                <w:color w:val="000000"/>
                <w:sz w:val="20"/>
                <w:szCs w:val="20"/>
                <w:lang w:val="en-US"/>
              </w:rPr>
              <w:t>0.4</w:t>
            </w:r>
          </w:p>
        </w:tc>
        <w:tc>
          <w:tcPr>
            <w:tcW w:w="0" w:type="auto"/>
            <w:tcBorders>
              <w:bottom w:val="nil"/>
              <w:right w:val="nil"/>
            </w:tcBorders>
            <w:shd w:val="clear" w:color="auto" w:fill="auto"/>
            <w:vAlign w:val="center"/>
            <w:hideMark/>
          </w:tcPr>
          <w:p w14:paraId="758D5CB2" w14:textId="77777777" w:rsidR="003824F4" w:rsidRPr="0002728B" w:rsidRDefault="003824F4" w:rsidP="00300A09">
            <w:pPr>
              <w:jc w:val="both"/>
              <w:rPr>
                <w:color w:val="000000"/>
                <w:sz w:val="20"/>
                <w:szCs w:val="20"/>
              </w:rPr>
            </w:pPr>
            <w:r w:rsidRPr="0002728B">
              <w:rPr>
                <w:color w:val="000000"/>
                <w:sz w:val="20"/>
                <w:szCs w:val="20"/>
                <w:lang w:val="en-US"/>
              </w:rPr>
              <w:t>1.38</w:t>
            </w:r>
          </w:p>
        </w:tc>
      </w:tr>
      <w:tr w:rsidR="003824F4" w:rsidRPr="0002728B" w14:paraId="0908EA03" w14:textId="77777777" w:rsidTr="0002728B">
        <w:trPr>
          <w:trHeight w:val="20"/>
          <w:jc w:val="center"/>
        </w:trPr>
        <w:tc>
          <w:tcPr>
            <w:tcW w:w="0" w:type="auto"/>
            <w:tcBorders>
              <w:top w:val="nil"/>
              <w:left w:val="nil"/>
              <w:bottom w:val="nil"/>
            </w:tcBorders>
            <w:shd w:val="clear" w:color="auto" w:fill="auto"/>
            <w:vAlign w:val="center"/>
            <w:hideMark/>
          </w:tcPr>
          <w:p w14:paraId="2850D6AD"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4048600C" w14:textId="77777777" w:rsidR="003824F4" w:rsidRPr="0002728B" w:rsidRDefault="003824F4" w:rsidP="00300A09">
            <w:pPr>
              <w:jc w:val="both"/>
              <w:rPr>
                <w:color w:val="000000"/>
                <w:sz w:val="20"/>
                <w:szCs w:val="20"/>
              </w:rPr>
            </w:pPr>
            <w:r w:rsidRPr="0002728B">
              <w:rPr>
                <w:color w:val="000000"/>
                <w:sz w:val="20"/>
                <w:szCs w:val="20"/>
                <w:lang w:val="en-US"/>
              </w:rPr>
              <w:t>Married</w:t>
            </w:r>
          </w:p>
        </w:tc>
        <w:tc>
          <w:tcPr>
            <w:tcW w:w="0" w:type="auto"/>
            <w:tcBorders>
              <w:top w:val="nil"/>
              <w:bottom w:val="nil"/>
            </w:tcBorders>
            <w:shd w:val="clear" w:color="auto" w:fill="auto"/>
            <w:vAlign w:val="center"/>
            <w:hideMark/>
          </w:tcPr>
          <w:p w14:paraId="339984DA" w14:textId="77777777" w:rsidR="003824F4" w:rsidRPr="0002728B" w:rsidRDefault="003824F4" w:rsidP="00300A09">
            <w:pPr>
              <w:jc w:val="both"/>
              <w:rPr>
                <w:color w:val="000000"/>
                <w:sz w:val="20"/>
                <w:szCs w:val="20"/>
              </w:rPr>
            </w:pPr>
            <w:r w:rsidRPr="0002728B">
              <w:rPr>
                <w:color w:val="000000"/>
                <w:sz w:val="20"/>
                <w:szCs w:val="20"/>
                <w:lang w:val="en-US"/>
              </w:rPr>
              <w:t>5.45</w:t>
            </w:r>
          </w:p>
        </w:tc>
        <w:tc>
          <w:tcPr>
            <w:tcW w:w="0" w:type="auto"/>
            <w:tcBorders>
              <w:top w:val="nil"/>
              <w:bottom w:val="nil"/>
            </w:tcBorders>
            <w:shd w:val="clear" w:color="auto" w:fill="auto"/>
            <w:vAlign w:val="center"/>
            <w:hideMark/>
          </w:tcPr>
          <w:p w14:paraId="238A6687" w14:textId="77777777" w:rsidR="003824F4" w:rsidRPr="0002728B" w:rsidRDefault="003824F4" w:rsidP="00300A09">
            <w:pPr>
              <w:jc w:val="both"/>
              <w:rPr>
                <w:color w:val="000000"/>
                <w:sz w:val="20"/>
                <w:szCs w:val="20"/>
              </w:rPr>
            </w:pPr>
            <w:r w:rsidRPr="0002728B">
              <w:rPr>
                <w:color w:val="000000"/>
                <w:sz w:val="20"/>
                <w:szCs w:val="20"/>
                <w:lang w:val="en-US"/>
              </w:rPr>
              <w:t>3.25</w:t>
            </w:r>
          </w:p>
        </w:tc>
        <w:tc>
          <w:tcPr>
            <w:tcW w:w="0" w:type="auto"/>
            <w:tcBorders>
              <w:top w:val="nil"/>
              <w:bottom w:val="nil"/>
            </w:tcBorders>
            <w:shd w:val="clear" w:color="auto" w:fill="auto"/>
            <w:vAlign w:val="center"/>
            <w:hideMark/>
          </w:tcPr>
          <w:p w14:paraId="0F8C1FE3" w14:textId="77777777" w:rsidR="003824F4" w:rsidRPr="0002728B" w:rsidRDefault="003824F4" w:rsidP="00300A09">
            <w:pPr>
              <w:jc w:val="both"/>
              <w:rPr>
                <w:color w:val="000000"/>
                <w:sz w:val="20"/>
                <w:szCs w:val="20"/>
              </w:rPr>
            </w:pPr>
            <w:r w:rsidRPr="0002728B">
              <w:rPr>
                <w:color w:val="000000"/>
                <w:sz w:val="20"/>
                <w:szCs w:val="20"/>
                <w:lang w:val="en-US"/>
              </w:rPr>
              <w:t>0.8</w:t>
            </w:r>
          </w:p>
        </w:tc>
        <w:tc>
          <w:tcPr>
            <w:tcW w:w="0" w:type="auto"/>
            <w:tcBorders>
              <w:top w:val="nil"/>
              <w:bottom w:val="nil"/>
            </w:tcBorders>
            <w:shd w:val="clear" w:color="auto" w:fill="auto"/>
            <w:vAlign w:val="center"/>
            <w:hideMark/>
          </w:tcPr>
          <w:p w14:paraId="0DB00EF3" w14:textId="77777777" w:rsidR="003824F4" w:rsidRPr="0002728B" w:rsidRDefault="003824F4" w:rsidP="00300A09">
            <w:pPr>
              <w:jc w:val="both"/>
              <w:rPr>
                <w:color w:val="000000"/>
                <w:sz w:val="20"/>
                <w:szCs w:val="20"/>
              </w:rPr>
            </w:pPr>
            <w:r w:rsidRPr="0002728B">
              <w:rPr>
                <w:color w:val="000000"/>
                <w:sz w:val="20"/>
                <w:szCs w:val="20"/>
                <w:lang w:val="en-US"/>
              </w:rPr>
              <w:t>2.6</w:t>
            </w:r>
          </w:p>
        </w:tc>
        <w:tc>
          <w:tcPr>
            <w:tcW w:w="0" w:type="auto"/>
            <w:tcBorders>
              <w:top w:val="nil"/>
              <w:bottom w:val="nil"/>
            </w:tcBorders>
            <w:shd w:val="clear" w:color="auto" w:fill="auto"/>
            <w:vAlign w:val="center"/>
            <w:hideMark/>
          </w:tcPr>
          <w:p w14:paraId="363A3EB2" w14:textId="77777777" w:rsidR="003824F4" w:rsidRPr="0002728B" w:rsidRDefault="003824F4" w:rsidP="00300A09">
            <w:pPr>
              <w:jc w:val="both"/>
              <w:rPr>
                <w:color w:val="000000"/>
                <w:sz w:val="20"/>
                <w:szCs w:val="20"/>
              </w:rPr>
            </w:pPr>
            <w:r w:rsidRPr="0002728B">
              <w:rPr>
                <w:color w:val="000000"/>
                <w:sz w:val="20"/>
                <w:szCs w:val="20"/>
                <w:lang w:val="en-US"/>
              </w:rPr>
              <w:t>2.84</w:t>
            </w:r>
          </w:p>
        </w:tc>
        <w:tc>
          <w:tcPr>
            <w:tcW w:w="0" w:type="auto"/>
            <w:tcBorders>
              <w:top w:val="nil"/>
              <w:bottom w:val="nil"/>
            </w:tcBorders>
            <w:shd w:val="clear" w:color="auto" w:fill="auto"/>
            <w:vAlign w:val="center"/>
            <w:hideMark/>
          </w:tcPr>
          <w:p w14:paraId="7383F1E7" w14:textId="77777777" w:rsidR="003824F4" w:rsidRPr="0002728B" w:rsidRDefault="003824F4" w:rsidP="00300A09">
            <w:pPr>
              <w:jc w:val="both"/>
              <w:rPr>
                <w:color w:val="000000"/>
                <w:sz w:val="20"/>
                <w:szCs w:val="20"/>
              </w:rPr>
            </w:pPr>
            <w:r w:rsidRPr="0002728B">
              <w:rPr>
                <w:color w:val="000000"/>
                <w:sz w:val="20"/>
                <w:szCs w:val="20"/>
                <w:lang w:val="en-US"/>
              </w:rPr>
              <w:t>1.5</w:t>
            </w:r>
          </w:p>
        </w:tc>
        <w:tc>
          <w:tcPr>
            <w:tcW w:w="0" w:type="auto"/>
            <w:tcBorders>
              <w:top w:val="nil"/>
              <w:bottom w:val="nil"/>
            </w:tcBorders>
            <w:shd w:val="clear" w:color="auto" w:fill="auto"/>
            <w:vAlign w:val="center"/>
            <w:hideMark/>
          </w:tcPr>
          <w:p w14:paraId="27E41073" w14:textId="77777777" w:rsidR="003824F4" w:rsidRPr="0002728B" w:rsidRDefault="003824F4" w:rsidP="00300A09">
            <w:pPr>
              <w:jc w:val="both"/>
              <w:rPr>
                <w:color w:val="000000"/>
                <w:sz w:val="20"/>
                <w:szCs w:val="20"/>
              </w:rPr>
            </w:pPr>
            <w:r w:rsidRPr="0002728B">
              <w:rPr>
                <w:color w:val="000000"/>
                <w:sz w:val="20"/>
                <w:szCs w:val="20"/>
                <w:lang w:val="en-US"/>
              </w:rPr>
              <w:t>0.58</w:t>
            </w:r>
          </w:p>
        </w:tc>
        <w:tc>
          <w:tcPr>
            <w:tcW w:w="0" w:type="auto"/>
            <w:tcBorders>
              <w:top w:val="nil"/>
              <w:bottom w:val="nil"/>
              <w:right w:val="nil"/>
            </w:tcBorders>
            <w:shd w:val="clear" w:color="auto" w:fill="auto"/>
            <w:vAlign w:val="center"/>
            <w:hideMark/>
          </w:tcPr>
          <w:p w14:paraId="7357C40C" w14:textId="77777777" w:rsidR="003824F4" w:rsidRPr="0002728B" w:rsidRDefault="003824F4" w:rsidP="00300A09">
            <w:pPr>
              <w:jc w:val="both"/>
              <w:rPr>
                <w:color w:val="000000"/>
                <w:sz w:val="20"/>
                <w:szCs w:val="20"/>
              </w:rPr>
            </w:pPr>
            <w:r w:rsidRPr="0002728B">
              <w:rPr>
                <w:color w:val="000000"/>
                <w:sz w:val="20"/>
                <w:szCs w:val="20"/>
                <w:lang w:val="en-US"/>
              </w:rPr>
              <w:t>1.7</w:t>
            </w:r>
          </w:p>
        </w:tc>
      </w:tr>
      <w:tr w:rsidR="003824F4" w:rsidRPr="0002728B" w14:paraId="4ACC6DD4" w14:textId="77777777" w:rsidTr="0002728B">
        <w:trPr>
          <w:trHeight w:val="20"/>
          <w:jc w:val="center"/>
        </w:trPr>
        <w:tc>
          <w:tcPr>
            <w:tcW w:w="0" w:type="auto"/>
            <w:tcBorders>
              <w:top w:val="nil"/>
              <w:left w:val="nil"/>
              <w:bottom w:val="nil"/>
            </w:tcBorders>
            <w:shd w:val="clear" w:color="auto" w:fill="auto"/>
            <w:vAlign w:val="center"/>
            <w:hideMark/>
          </w:tcPr>
          <w:p w14:paraId="36062D10"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25FB8C97" w14:textId="77777777" w:rsidR="003824F4" w:rsidRPr="0002728B" w:rsidRDefault="003824F4" w:rsidP="00300A09">
            <w:pPr>
              <w:jc w:val="both"/>
              <w:rPr>
                <w:color w:val="000000"/>
                <w:sz w:val="20"/>
                <w:szCs w:val="20"/>
              </w:rPr>
            </w:pPr>
            <w:r w:rsidRPr="0002728B">
              <w:rPr>
                <w:color w:val="000000"/>
                <w:sz w:val="20"/>
                <w:szCs w:val="20"/>
                <w:lang w:val="en-US"/>
              </w:rPr>
              <w:t>Widow/Widower</w:t>
            </w:r>
          </w:p>
        </w:tc>
        <w:tc>
          <w:tcPr>
            <w:tcW w:w="0" w:type="auto"/>
            <w:tcBorders>
              <w:top w:val="nil"/>
              <w:bottom w:val="nil"/>
            </w:tcBorders>
            <w:shd w:val="clear" w:color="auto" w:fill="auto"/>
            <w:vAlign w:val="center"/>
            <w:hideMark/>
          </w:tcPr>
          <w:p w14:paraId="3E4D4529" w14:textId="77777777" w:rsidR="003824F4" w:rsidRPr="0002728B" w:rsidRDefault="003824F4" w:rsidP="00300A09">
            <w:pPr>
              <w:jc w:val="both"/>
              <w:rPr>
                <w:color w:val="000000"/>
                <w:sz w:val="20"/>
                <w:szCs w:val="20"/>
              </w:rPr>
            </w:pPr>
            <w:r w:rsidRPr="0002728B">
              <w:rPr>
                <w:color w:val="000000"/>
                <w:sz w:val="20"/>
                <w:szCs w:val="20"/>
                <w:lang w:val="en-US"/>
              </w:rPr>
              <w:t>4.76</w:t>
            </w:r>
          </w:p>
        </w:tc>
        <w:tc>
          <w:tcPr>
            <w:tcW w:w="0" w:type="auto"/>
            <w:tcBorders>
              <w:top w:val="nil"/>
              <w:bottom w:val="nil"/>
            </w:tcBorders>
            <w:shd w:val="clear" w:color="auto" w:fill="auto"/>
            <w:vAlign w:val="center"/>
            <w:hideMark/>
          </w:tcPr>
          <w:p w14:paraId="35631A99" w14:textId="77777777" w:rsidR="003824F4" w:rsidRPr="0002728B" w:rsidRDefault="003824F4" w:rsidP="00300A09">
            <w:pPr>
              <w:jc w:val="both"/>
              <w:rPr>
                <w:color w:val="000000"/>
                <w:sz w:val="20"/>
                <w:szCs w:val="20"/>
              </w:rPr>
            </w:pPr>
            <w:r w:rsidRPr="0002728B">
              <w:rPr>
                <w:color w:val="000000"/>
                <w:sz w:val="20"/>
                <w:szCs w:val="20"/>
                <w:lang w:val="en-US"/>
              </w:rPr>
              <w:t>3.54</w:t>
            </w:r>
          </w:p>
        </w:tc>
        <w:tc>
          <w:tcPr>
            <w:tcW w:w="0" w:type="auto"/>
            <w:tcBorders>
              <w:top w:val="nil"/>
              <w:bottom w:val="nil"/>
            </w:tcBorders>
            <w:shd w:val="clear" w:color="auto" w:fill="auto"/>
            <w:vAlign w:val="center"/>
            <w:hideMark/>
          </w:tcPr>
          <w:p w14:paraId="36003E38" w14:textId="77777777" w:rsidR="003824F4" w:rsidRPr="0002728B" w:rsidRDefault="003824F4" w:rsidP="00300A09">
            <w:pPr>
              <w:jc w:val="both"/>
              <w:rPr>
                <w:color w:val="000000"/>
                <w:sz w:val="20"/>
                <w:szCs w:val="20"/>
              </w:rPr>
            </w:pPr>
            <w:r w:rsidRPr="0002728B">
              <w:rPr>
                <w:color w:val="000000"/>
                <w:sz w:val="20"/>
                <w:szCs w:val="20"/>
                <w:lang w:val="en-US"/>
              </w:rPr>
              <w:t>0.5</w:t>
            </w:r>
          </w:p>
        </w:tc>
        <w:tc>
          <w:tcPr>
            <w:tcW w:w="0" w:type="auto"/>
            <w:tcBorders>
              <w:top w:val="nil"/>
              <w:bottom w:val="nil"/>
            </w:tcBorders>
            <w:shd w:val="clear" w:color="auto" w:fill="auto"/>
            <w:vAlign w:val="center"/>
            <w:hideMark/>
          </w:tcPr>
          <w:p w14:paraId="425FADA1" w14:textId="77777777" w:rsidR="003824F4" w:rsidRPr="0002728B" w:rsidRDefault="003824F4" w:rsidP="00300A09">
            <w:pPr>
              <w:jc w:val="both"/>
              <w:rPr>
                <w:color w:val="000000"/>
                <w:sz w:val="20"/>
                <w:szCs w:val="20"/>
              </w:rPr>
            </w:pPr>
            <w:r w:rsidRPr="0002728B">
              <w:rPr>
                <w:color w:val="000000"/>
                <w:sz w:val="20"/>
                <w:szCs w:val="20"/>
                <w:lang w:val="en-US"/>
              </w:rPr>
              <w:t>3.16</w:t>
            </w:r>
          </w:p>
        </w:tc>
        <w:tc>
          <w:tcPr>
            <w:tcW w:w="0" w:type="auto"/>
            <w:tcBorders>
              <w:top w:val="nil"/>
              <w:bottom w:val="nil"/>
            </w:tcBorders>
            <w:shd w:val="clear" w:color="auto" w:fill="auto"/>
            <w:vAlign w:val="center"/>
            <w:hideMark/>
          </w:tcPr>
          <w:p w14:paraId="6B94D7AC" w14:textId="77777777" w:rsidR="003824F4" w:rsidRPr="0002728B" w:rsidRDefault="003824F4" w:rsidP="00300A09">
            <w:pPr>
              <w:jc w:val="both"/>
              <w:rPr>
                <w:color w:val="000000"/>
                <w:sz w:val="20"/>
                <w:szCs w:val="20"/>
              </w:rPr>
            </w:pPr>
            <w:r w:rsidRPr="0002728B">
              <w:rPr>
                <w:color w:val="000000"/>
                <w:sz w:val="20"/>
                <w:szCs w:val="20"/>
                <w:lang w:val="en-US"/>
              </w:rPr>
              <w:t>1.86</w:t>
            </w:r>
          </w:p>
        </w:tc>
        <w:tc>
          <w:tcPr>
            <w:tcW w:w="0" w:type="auto"/>
            <w:tcBorders>
              <w:top w:val="nil"/>
              <w:bottom w:val="nil"/>
            </w:tcBorders>
            <w:shd w:val="clear" w:color="auto" w:fill="auto"/>
            <w:vAlign w:val="center"/>
            <w:hideMark/>
          </w:tcPr>
          <w:p w14:paraId="4822C7B0" w14:textId="77777777" w:rsidR="003824F4" w:rsidRPr="0002728B" w:rsidRDefault="003824F4" w:rsidP="00300A09">
            <w:pPr>
              <w:jc w:val="both"/>
              <w:rPr>
                <w:color w:val="000000"/>
                <w:sz w:val="20"/>
                <w:szCs w:val="20"/>
              </w:rPr>
            </w:pPr>
            <w:r w:rsidRPr="0002728B">
              <w:rPr>
                <w:color w:val="000000"/>
                <w:sz w:val="20"/>
                <w:szCs w:val="20"/>
                <w:lang w:val="en-US"/>
              </w:rPr>
              <w:t>1.36</w:t>
            </w:r>
          </w:p>
        </w:tc>
        <w:tc>
          <w:tcPr>
            <w:tcW w:w="0" w:type="auto"/>
            <w:tcBorders>
              <w:top w:val="nil"/>
              <w:bottom w:val="nil"/>
            </w:tcBorders>
            <w:shd w:val="clear" w:color="auto" w:fill="auto"/>
            <w:vAlign w:val="center"/>
            <w:hideMark/>
          </w:tcPr>
          <w:p w14:paraId="79537B7B" w14:textId="77777777" w:rsidR="003824F4" w:rsidRPr="0002728B" w:rsidRDefault="003824F4" w:rsidP="00300A09">
            <w:pPr>
              <w:jc w:val="both"/>
              <w:rPr>
                <w:color w:val="000000"/>
                <w:sz w:val="20"/>
                <w:szCs w:val="20"/>
              </w:rPr>
            </w:pPr>
            <w:r w:rsidRPr="0002728B">
              <w:rPr>
                <w:color w:val="000000"/>
                <w:sz w:val="20"/>
                <w:szCs w:val="20"/>
                <w:lang w:val="en-US"/>
              </w:rPr>
              <w:t>0.98</w:t>
            </w:r>
          </w:p>
        </w:tc>
        <w:tc>
          <w:tcPr>
            <w:tcW w:w="0" w:type="auto"/>
            <w:tcBorders>
              <w:top w:val="nil"/>
              <w:bottom w:val="nil"/>
              <w:right w:val="nil"/>
            </w:tcBorders>
            <w:shd w:val="clear" w:color="auto" w:fill="auto"/>
            <w:vAlign w:val="center"/>
            <w:hideMark/>
          </w:tcPr>
          <w:p w14:paraId="12B52801" w14:textId="77777777" w:rsidR="003824F4" w:rsidRPr="0002728B" w:rsidRDefault="003824F4" w:rsidP="00300A09">
            <w:pPr>
              <w:jc w:val="both"/>
              <w:rPr>
                <w:color w:val="000000"/>
                <w:sz w:val="20"/>
                <w:szCs w:val="20"/>
              </w:rPr>
            </w:pPr>
            <w:r w:rsidRPr="0002728B">
              <w:rPr>
                <w:color w:val="000000"/>
                <w:sz w:val="20"/>
                <w:szCs w:val="20"/>
                <w:lang w:val="en-US"/>
              </w:rPr>
              <w:t>3.93</w:t>
            </w:r>
          </w:p>
        </w:tc>
      </w:tr>
      <w:tr w:rsidR="003824F4" w:rsidRPr="0002728B" w14:paraId="70234F43" w14:textId="77777777" w:rsidTr="0002728B">
        <w:trPr>
          <w:trHeight w:val="20"/>
          <w:jc w:val="center"/>
        </w:trPr>
        <w:tc>
          <w:tcPr>
            <w:tcW w:w="0" w:type="auto"/>
            <w:tcBorders>
              <w:top w:val="nil"/>
              <w:left w:val="nil"/>
              <w:bottom w:val="nil"/>
            </w:tcBorders>
            <w:shd w:val="clear" w:color="auto" w:fill="auto"/>
            <w:vAlign w:val="center"/>
            <w:hideMark/>
          </w:tcPr>
          <w:p w14:paraId="1F9E3216"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12F44831" w14:textId="77777777" w:rsidR="003824F4" w:rsidRPr="0002728B" w:rsidRDefault="003824F4" w:rsidP="00300A09">
            <w:pPr>
              <w:jc w:val="both"/>
              <w:rPr>
                <w:color w:val="000000"/>
                <w:sz w:val="20"/>
                <w:szCs w:val="20"/>
              </w:rPr>
            </w:pPr>
            <w:r w:rsidRPr="0002728B">
              <w:rPr>
                <w:color w:val="000000"/>
                <w:sz w:val="20"/>
                <w:szCs w:val="20"/>
                <w:lang w:val="en-US"/>
              </w:rPr>
              <w:t>Divorced</w:t>
            </w:r>
          </w:p>
        </w:tc>
        <w:tc>
          <w:tcPr>
            <w:tcW w:w="0" w:type="auto"/>
            <w:tcBorders>
              <w:top w:val="nil"/>
              <w:bottom w:val="nil"/>
            </w:tcBorders>
            <w:shd w:val="clear" w:color="auto" w:fill="auto"/>
            <w:vAlign w:val="center"/>
            <w:hideMark/>
          </w:tcPr>
          <w:p w14:paraId="40823D3E" w14:textId="77777777" w:rsidR="003824F4" w:rsidRPr="0002728B" w:rsidRDefault="003824F4" w:rsidP="00300A09">
            <w:pPr>
              <w:jc w:val="both"/>
              <w:rPr>
                <w:color w:val="000000"/>
                <w:sz w:val="20"/>
                <w:szCs w:val="20"/>
              </w:rPr>
            </w:pPr>
            <w:r w:rsidRPr="0002728B">
              <w:rPr>
                <w:color w:val="000000"/>
                <w:sz w:val="20"/>
                <w:szCs w:val="20"/>
                <w:lang w:val="en-US"/>
              </w:rPr>
              <w:t>1.47</w:t>
            </w:r>
          </w:p>
        </w:tc>
        <w:tc>
          <w:tcPr>
            <w:tcW w:w="0" w:type="auto"/>
            <w:tcBorders>
              <w:top w:val="nil"/>
              <w:bottom w:val="nil"/>
            </w:tcBorders>
            <w:shd w:val="clear" w:color="auto" w:fill="auto"/>
            <w:vAlign w:val="center"/>
            <w:hideMark/>
          </w:tcPr>
          <w:p w14:paraId="5F744B43" w14:textId="77777777" w:rsidR="003824F4" w:rsidRPr="0002728B" w:rsidRDefault="003824F4" w:rsidP="00300A09">
            <w:pPr>
              <w:jc w:val="both"/>
              <w:rPr>
                <w:color w:val="000000"/>
                <w:sz w:val="20"/>
                <w:szCs w:val="20"/>
              </w:rPr>
            </w:pPr>
            <w:r w:rsidRPr="0002728B">
              <w:rPr>
                <w:color w:val="000000"/>
                <w:sz w:val="20"/>
                <w:szCs w:val="20"/>
                <w:lang w:val="en-US"/>
              </w:rPr>
              <w:t>0.53</w:t>
            </w:r>
          </w:p>
        </w:tc>
        <w:tc>
          <w:tcPr>
            <w:tcW w:w="0" w:type="auto"/>
            <w:tcBorders>
              <w:top w:val="nil"/>
              <w:bottom w:val="nil"/>
            </w:tcBorders>
            <w:shd w:val="clear" w:color="auto" w:fill="auto"/>
            <w:vAlign w:val="center"/>
            <w:hideMark/>
          </w:tcPr>
          <w:p w14:paraId="0B783E15" w14:textId="77777777" w:rsidR="003824F4" w:rsidRPr="0002728B" w:rsidRDefault="003824F4" w:rsidP="00300A09">
            <w:pPr>
              <w:jc w:val="both"/>
              <w:rPr>
                <w:color w:val="000000"/>
                <w:sz w:val="20"/>
                <w:szCs w:val="20"/>
              </w:rPr>
            </w:pPr>
            <w:r w:rsidRPr="0002728B">
              <w:rPr>
                <w:color w:val="000000"/>
                <w:sz w:val="20"/>
                <w:szCs w:val="20"/>
                <w:lang w:val="en-US"/>
              </w:rPr>
              <w:t>0.14</w:t>
            </w:r>
          </w:p>
        </w:tc>
        <w:tc>
          <w:tcPr>
            <w:tcW w:w="0" w:type="auto"/>
            <w:tcBorders>
              <w:top w:val="nil"/>
              <w:bottom w:val="nil"/>
            </w:tcBorders>
            <w:shd w:val="clear" w:color="auto" w:fill="auto"/>
            <w:vAlign w:val="center"/>
            <w:hideMark/>
          </w:tcPr>
          <w:p w14:paraId="1EF25EF5" w14:textId="77777777" w:rsidR="003824F4" w:rsidRPr="0002728B" w:rsidRDefault="003824F4" w:rsidP="00300A09">
            <w:pPr>
              <w:jc w:val="both"/>
              <w:rPr>
                <w:color w:val="000000"/>
                <w:sz w:val="20"/>
                <w:szCs w:val="20"/>
              </w:rPr>
            </w:pPr>
            <w:r w:rsidRPr="0002728B">
              <w:rPr>
                <w:color w:val="000000"/>
                <w:sz w:val="20"/>
                <w:szCs w:val="20"/>
                <w:lang w:val="en-US"/>
              </w:rPr>
              <w:t>0.09</w:t>
            </w:r>
          </w:p>
        </w:tc>
        <w:tc>
          <w:tcPr>
            <w:tcW w:w="0" w:type="auto"/>
            <w:tcBorders>
              <w:top w:val="nil"/>
              <w:bottom w:val="nil"/>
            </w:tcBorders>
            <w:shd w:val="clear" w:color="auto" w:fill="auto"/>
            <w:vAlign w:val="center"/>
            <w:hideMark/>
          </w:tcPr>
          <w:p w14:paraId="5331A0BD"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31F0544B" w14:textId="77777777" w:rsidR="003824F4" w:rsidRPr="0002728B" w:rsidRDefault="003824F4" w:rsidP="00300A09">
            <w:pPr>
              <w:jc w:val="both"/>
              <w:rPr>
                <w:color w:val="000000"/>
                <w:sz w:val="20"/>
                <w:szCs w:val="20"/>
              </w:rPr>
            </w:pPr>
            <w:r w:rsidRPr="0002728B">
              <w:rPr>
                <w:color w:val="000000"/>
                <w:sz w:val="20"/>
                <w:szCs w:val="20"/>
                <w:lang w:val="en-US"/>
              </w:rPr>
              <w:t>0.6</w:t>
            </w:r>
          </w:p>
        </w:tc>
        <w:tc>
          <w:tcPr>
            <w:tcW w:w="0" w:type="auto"/>
            <w:tcBorders>
              <w:top w:val="nil"/>
              <w:bottom w:val="nil"/>
            </w:tcBorders>
            <w:shd w:val="clear" w:color="auto" w:fill="auto"/>
            <w:vAlign w:val="center"/>
            <w:hideMark/>
          </w:tcPr>
          <w:p w14:paraId="6BDE8EB8"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54162200" w14:textId="77777777" w:rsidR="003824F4" w:rsidRPr="0002728B" w:rsidRDefault="003824F4" w:rsidP="00300A09">
            <w:pPr>
              <w:jc w:val="both"/>
              <w:rPr>
                <w:color w:val="000000"/>
                <w:sz w:val="20"/>
                <w:szCs w:val="20"/>
              </w:rPr>
            </w:pPr>
            <w:r w:rsidRPr="0002728B">
              <w:rPr>
                <w:color w:val="000000"/>
                <w:sz w:val="20"/>
                <w:szCs w:val="20"/>
                <w:lang w:val="en-US"/>
              </w:rPr>
              <w:t>0.21</w:t>
            </w:r>
          </w:p>
        </w:tc>
      </w:tr>
      <w:tr w:rsidR="003824F4" w:rsidRPr="0002728B" w14:paraId="1F0938F4" w14:textId="77777777" w:rsidTr="0002728B">
        <w:trPr>
          <w:trHeight w:val="20"/>
          <w:jc w:val="center"/>
        </w:trPr>
        <w:tc>
          <w:tcPr>
            <w:tcW w:w="0" w:type="auto"/>
            <w:tcBorders>
              <w:top w:val="nil"/>
              <w:left w:val="nil"/>
              <w:bottom w:val="nil"/>
            </w:tcBorders>
            <w:shd w:val="clear" w:color="auto" w:fill="auto"/>
            <w:vAlign w:val="center"/>
            <w:hideMark/>
          </w:tcPr>
          <w:p w14:paraId="15A4A172"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67D25FAA" w14:textId="77777777" w:rsidR="003824F4" w:rsidRPr="0002728B" w:rsidRDefault="003824F4" w:rsidP="00300A09">
            <w:pPr>
              <w:jc w:val="both"/>
              <w:rPr>
                <w:color w:val="000000"/>
                <w:sz w:val="20"/>
                <w:szCs w:val="20"/>
              </w:rPr>
            </w:pPr>
            <w:r w:rsidRPr="0002728B">
              <w:rPr>
                <w:color w:val="000000"/>
                <w:sz w:val="20"/>
                <w:szCs w:val="20"/>
                <w:lang w:val="en-US"/>
              </w:rPr>
              <w:t>Separated</w:t>
            </w:r>
          </w:p>
        </w:tc>
        <w:tc>
          <w:tcPr>
            <w:tcW w:w="0" w:type="auto"/>
            <w:tcBorders>
              <w:top w:val="nil"/>
              <w:bottom w:val="nil"/>
            </w:tcBorders>
            <w:shd w:val="clear" w:color="auto" w:fill="auto"/>
            <w:vAlign w:val="center"/>
            <w:hideMark/>
          </w:tcPr>
          <w:p w14:paraId="0CACE104"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5F410B47" w14:textId="77777777" w:rsidR="003824F4" w:rsidRPr="0002728B" w:rsidRDefault="003824F4" w:rsidP="00300A09">
            <w:pPr>
              <w:jc w:val="both"/>
              <w:rPr>
                <w:color w:val="000000"/>
                <w:sz w:val="20"/>
                <w:szCs w:val="20"/>
              </w:rPr>
            </w:pPr>
            <w:r w:rsidRPr="0002728B">
              <w:rPr>
                <w:color w:val="000000"/>
                <w:sz w:val="20"/>
                <w:szCs w:val="20"/>
                <w:lang w:val="en-US"/>
              </w:rPr>
              <w:t>0.22</w:t>
            </w:r>
          </w:p>
        </w:tc>
        <w:tc>
          <w:tcPr>
            <w:tcW w:w="0" w:type="auto"/>
            <w:tcBorders>
              <w:top w:val="nil"/>
              <w:bottom w:val="nil"/>
            </w:tcBorders>
            <w:shd w:val="clear" w:color="auto" w:fill="auto"/>
            <w:vAlign w:val="center"/>
            <w:hideMark/>
          </w:tcPr>
          <w:p w14:paraId="5D5A7ECE" w14:textId="77777777" w:rsidR="003824F4" w:rsidRPr="0002728B" w:rsidRDefault="003824F4" w:rsidP="00300A09">
            <w:pPr>
              <w:jc w:val="both"/>
              <w:rPr>
                <w:color w:val="000000"/>
                <w:sz w:val="20"/>
                <w:szCs w:val="20"/>
              </w:rPr>
            </w:pPr>
            <w:r w:rsidRPr="0002728B">
              <w:rPr>
                <w:color w:val="000000"/>
                <w:sz w:val="20"/>
                <w:szCs w:val="20"/>
                <w:lang w:val="en-US"/>
              </w:rPr>
              <w:t>0.14</w:t>
            </w:r>
          </w:p>
        </w:tc>
        <w:tc>
          <w:tcPr>
            <w:tcW w:w="0" w:type="auto"/>
            <w:tcBorders>
              <w:top w:val="nil"/>
              <w:bottom w:val="nil"/>
            </w:tcBorders>
            <w:shd w:val="clear" w:color="auto" w:fill="auto"/>
            <w:vAlign w:val="center"/>
            <w:hideMark/>
          </w:tcPr>
          <w:p w14:paraId="73BF80C5"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14BC00E7"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0B7B50CC" w14:textId="77777777" w:rsidR="003824F4" w:rsidRPr="0002728B" w:rsidRDefault="003824F4" w:rsidP="00300A09">
            <w:pPr>
              <w:jc w:val="both"/>
              <w:rPr>
                <w:color w:val="000000"/>
                <w:sz w:val="20"/>
                <w:szCs w:val="20"/>
              </w:rPr>
            </w:pPr>
            <w:r w:rsidRPr="0002728B">
              <w:rPr>
                <w:color w:val="000000"/>
                <w:sz w:val="20"/>
                <w:szCs w:val="20"/>
                <w:lang w:val="en-US"/>
              </w:rPr>
              <w:t>0.15</w:t>
            </w:r>
          </w:p>
        </w:tc>
        <w:tc>
          <w:tcPr>
            <w:tcW w:w="0" w:type="auto"/>
            <w:tcBorders>
              <w:top w:val="nil"/>
              <w:bottom w:val="nil"/>
            </w:tcBorders>
            <w:shd w:val="clear" w:color="auto" w:fill="auto"/>
            <w:vAlign w:val="center"/>
            <w:hideMark/>
          </w:tcPr>
          <w:p w14:paraId="14D76267" w14:textId="77777777" w:rsidR="003824F4" w:rsidRPr="0002728B" w:rsidRDefault="003824F4" w:rsidP="00300A09">
            <w:pPr>
              <w:jc w:val="both"/>
              <w:rPr>
                <w:color w:val="000000"/>
                <w:sz w:val="20"/>
                <w:szCs w:val="20"/>
              </w:rPr>
            </w:pPr>
            <w:r w:rsidRPr="0002728B">
              <w:rPr>
                <w:color w:val="000000"/>
                <w:sz w:val="20"/>
                <w:szCs w:val="20"/>
                <w:lang w:val="en-US"/>
              </w:rPr>
              <w:t>0.14</w:t>
            </w:r>
          </w:p>
        </w:tc>
        <w:tc>
          <w:tcPr>
            <w:tcW w:w="0" w:type="auto"/>
            <w:tcBorders>
              <w:top w:val="nil"/>
              <w:bottom w:val="nil"/>
              <w:right w:val="nil"/>
            </w:tcBorders>
            <w:shd w:val="clear" w:color="auto" w:fill="auto"/>
            <w:vAlign w:val="center"/>
            <w:hideMark/>
          </w:tcPr>
          <w:p w14:paraId="25E6B70D" w14:textId="77777777" w:rsidR="003824F4" w:rsidRPr="0002728B" w:rsidRDefault="003824F4" w:rsidP="00300A09">
            <w:pPr>
              <w:jc w:val="both"/>
              <w:rPr>
                <w:color w:val="000000"/>
                <w:sz w:val="20"/>
                <w:szCs w:val="20"/>
              </w:rPr>
            </w:pPr>
            <w:r w:rsidRPr="0002728B">
              <w:rPr>
                <w:color w:val="000000"/>
                <w:sz w:val="20"/>
                <w:szCs w:val="20"/>
                <w:lang w:val="en-US"/>
              </w:rPr>
              <w:t>-</w:t>
            </w:r>
          </w:p>
        </w:tc>
      </w:tr>
      <w:tr w:rsidR="003824F4" w:rsidRPr="0002728B" w14:paraId="7BD79320" w14:textId="77777777" w:rsidTr="0002728B">
        <w:trPr>
          <w:trHeight w:val="20"/>
          <w:jc w:val="center"/>
        </w:trPr>
        <w:tc>
          <w:tcPr>
            <w:tcW w:w="0" w:type="auto"/>
            <w:tcBorders>
              <w:top w:val="nil"/>
              <w:left w:val="nil"/>
            </w:tcBorders>
            <w:shd w:val="clear" w:color="auto" w:fill="auto"/>
            <w:vAlign w:val="center"/>
            <w:hideMark/>
          </w:tcPr>
          <w:p w14:paraId="3FDAAA34" w14:textId="77777777" w:rsidR="003824F4" w:rsidRPr="0002728B" w:rsidRDefault="003824F4" w:rsidP="00300A09">
            <w:pPr>
              <w:jc w:val="both"/>
              <w:rPr>
                <w:color w:val="000000"/>
                <w:sz w:val="20"/>
                <w:szCs w:val="20"/>
              </w:rPr>
            </w:pPr>
            <w:r w:rsidRPr="0002728B">
              <w:rPr>
                <w:color w:val="000000"/>
                <w:sz w:val="20"/>
                <w:szCs w:val="20"/>
                <w:lang w:val="en-US"/>
              </w:rPr>
              <w:t> </w:t>
            </w:r>
          </w:p>
        </w:tc>
        <w:tc>
          <w:tcPr>
            <w:tcW w:w="0" w:type="auto"/>
            <w:tcBorders>
              <w:top w:val="nil"/>
            </w:tcBorders>
            <w:shd w:val="clear" w:color="auto" w:fill="auto"/>
            <w:vAlign w:val="center"/>
            <w:hideMark/>
          </w:tcPr>
          <w:p w14:paraId="42C06442" w14:textId="34B5E5BF" w:rsidR="003824F4" w:rsidRPr="0002728B" w:rsidRDefault="00380D44" w:rsidP="00300A09">
            <w:pPr>
              <w:jc w:val="both"/>
              <w:rPr>
                <w:color w:val="000000"/>
                <w:sz w:val="20"/>
                <w:szCs w:val="20"/>
              </w:rPr>
            </w:pPr>
            <w:r>
              <w:rPr>
                <w:color w:val="000000"/>
                <w:sz w:val="20"/>
                <w:szCs w:val="20"/>
                <w:lang w:val="en-US"/>
              </w:rPr>
              <w:t>No-i</w:t>
            </w:r>
            <w:r w:rsidR="003824F4" w:rsidRPr="0002728B">
              <w:rPr>
                <w:color w:val="000000"/>
                <w:sz w:val="20"/>
                <w:szCs w:val="20"/>
                <w:lang w:val="en-US"/>
              </w:rPr>
              <w:t>nformation</w:t>
            </w:r>
          </w:p>
        </w:tc>
        <w:tc>
          <w:tcPr>
            <w:tcW w:w="0" w:type="auto"/>
            <w:tcBorders>
              <w:top w:val="nil"/>
            </w:tcBorders>
            <w:shd w:val="clear" w:color="auto" w:fill="auto"/>
            <w:vAlign w:val="center"/>
            <w:hideMark/>
          </w:tcPr>
          <w:p w14:paraId="69D309DF"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tcBorders>
            <w:shd w:val="clear" w:color="auto" w:fill="auto"/>
            <w:vAlign w:val="center"/>
            <w:hideMark/>
          </w:tcPr>
          <w:p w14:paraId="602E9E4E"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tcBorders>
            <w:shd w:val="clear" w:color="auto" w:fill="auto"/>
            <w:vAlign w:val="center"/>
            <w:hideMark/>
          </w:tcPr>
          <w:p w14:paraId="777BFE8F"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tcBorders>
            <w:shd w:val="clear" w:color="auto" w:fill="auto"/>
            <w:vAlign w:val="center"/>
            <w:hideMark/>
          </w:tcPr>
          <w:p w14:paraId="6AE1A730"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tcBorders>
            <w:shd w:val="clear" w:color="auto" w:fill="auto"/>
            <w:vAlign w:val="center"/>
            <w:hideMark/>
          </w:tcPr>
          <w:p w14:paraId="6DD7C45C"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tcBorders>
            <w:shd w:val="clear" w:color="auto" w:fill="auto"/>
            <w:vAlign w:val="center"/>
            <w:hideMark/>
          </w:tcPr>
          <w:p w14:paraId="0994FB3B"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tcBorders>
            <w:shd w:val="clear" w:color="auto" w:fill="auto"/>
            <w:vAlign w:val="center"/>
            <w:hideMark/>
          </w:tcPr>
          <w:p w14:paraId="3376B903"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right w:val="nil"/>
            </w:tcBorders>
            <w:shd w:val="clear" w:color="auto" w:fill="auto"/>
            <w:vAlign w:val="center"/>
            <w:hideMark/>
          </w:tcPr>
          <w:p w14:paraId="6CA472DE" w14:textId="77777777" w:rsidR="003824F4" w:rsidRPr="0002728B" w:rsidRDefault="003824F4" w:rsidP="00300A09">
            <w:pPr>
              <w:jc w:val="both"/>
              <w:rPr>
                <w:color w:val="000000"/>
                <w:sz w:val="20"/>
                <w:szCs w:val="20"/>
              </w:rPr>
            </w:pPr>
            <w:r w:rsidRPr="0002728B">
              <w:rPr>
                <w:color w:val="000000"/>
                <w:sz w:val="20"/>
                <w:szCs w:val="20"/>
                <w:lang w:val="en-US"/>
              </w:rPr>
              <w:t>-</w:t>
            </w:r>
          </w:p>
        </w:tc>
      </w:tr>
      <w:tr w:rsidR="003824F4" w:rsidRPr="0002728B" w14:paraId="6B030440" w14:textId="77777777" w:rsidTr="0002728B">
        <w:trPr>
          <w:trHeight w:val="20"/>
          <w:jc w:val="center"/>
        </w:trPr>
        <w:tc>
          <w:tcPr>
            <w:tcW w:w="0" w:type="auto"/>
            <w:tcBorders>
              <w:top w:val="nil"/>
              <w:left w:val="nil"/>
              <w:bottom w:val="nil"/>
            </w:tcBorders>
            <w:shd w:val="clear" w:color="auto" w:fill="auto"/>
            <w:vAlign w:val="center"/>
            <w:hideMark/>
          </w:tcPr>
          <w:p w14:paraId="183422CC" w14:textId="77777777" w:rsidR="003824F4" w:rsidRPr="0002728B" w:rsidRDefault="003824F4" w:rsidP="00300A09">
            <w:pPr>
              <w:jc w:val="both"/>
              <w:rPr>
                <w:color w:val="000000"/>
                <w:sz w:val="20"/>
                <w:szCs w:val="20"/>
              </w:rPr>
            </w:pPr>
            <w:r w:rsidRPr="0002728B">
              <w:rPr>
                <w:color w:val="000000"/>
                <w:sz w:val="20"/>
                <w:szCs w:val="20"/>
                <w:lang w:val="en-US"/>
              </w:rPr>
              <w:t>Age</w:t>
            </w:r>
          </w:p>
        </w:tc>
        <w:tc>
          <w:tcPr>
            <w:tcW w:w="0" w:type="auto"/>
            <w:tcBorders>
              <w:top w:val="nil"/>
              <w:bottom w:val="nil"/>
            </w:tcBorders>
            <w:shd w:val="clear" w:color="auto" w:fill="auto"/>
            <w:vAlign w:val="center"/>
            <w:hideMark/>
          </w:tcPr>
          <w:p w14:paraId="23279C71" w14:textId="77777777" w:rsidR="003824F4" w:rsidRPr="0002728B" w:rsidRDefault="003824F4" w:rsidP="00300A09">
            <w:pPr>
              <w:jc w:val="both"/>
              <w:rPr>
                <w:color w:val="000000"/>
                <w:sz w:val="20"/>
                <w:szCs w:val="20"/>
              </w:rPr>
            </w:pPr>
            <w:r w:rsidRPr="0002728B">
              <w:rPr>
                <w:color w:val="000000"/>
                <w:sz w:val="20"/>
                <w:szCs w:val="20"/>
                <w:lang w:val="en-US"/>
              </w:rPr>
              <w:t>15-25</w:t>
            </w:r>
          </w:p>
        </w:tc>
        <w:tc>
          <w:tcPr>
            <w:tcW w:w="0" w:type="auto"/>
            <w:tcBorders>
              <w:top w:val="nil"/>
              <w:bottom w:val="nil"/>
            </w:tcBorders>
            <w:shd w:val="clear" w:color="auto" w:fill="auto"/>
            <w:vAlign w:val="center"/>
            <w:hideMark/>
          </w:tcPr>
          <w:p w14:paraId="41A95499"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181F383E" w14:textId="77777777" w:rsidR="003824F4" w:rsidRPr="0002728B" w:rsidRDefault="003824F4" w:rsidP="00300A09">
            <w:pPr>
              <w:jc w:val="both"/>
              <w:rPr>
                <w:color w:val="000000"/>
                <w:sz w:val="20"/>
                <w:szCs w:val="20"/>
              </w:rPr>
            </w:pPr>
            <w:r w:rsidRPr="0002728B">
              <w:rPr>
                <w:color w:val="000000"/>
                <w:sz w:val="20"/>
                <w:szCs w:val="20"/>
                <w:lang w:val="en-US"/>
              </w:rPr>
              <w:t>0.33</w:t>
            </w:r>
          </w:p>
        </w:tc>
        <w:tc>
          <w:tcPr>
            <w:tcW w:w="0" w:type="auto"/>
            <w:tcBorders>
              <w:top w:val="nil"/>
              <w:bottom w:val="nil"/>
            </w:tcBorders>
            <w:shd w:val="clear" w:color="auto" w:fill="auto"/>
            <w:vAlign w:val="center"/>
            <w:hideMark/>
          </w:tcPr>
          <w:p w14:paraId="00BD6105"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7C3F9CA8"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2F69E0CE"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0BE202F3"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7897DC05"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74E0B169" w14:textId="77777777" w:rsidR="003824F4" w:rsidRPr="0002728B" w:rsidRDefault="003824F4" w:rsidP="00300A09">
            <w:pPr>
              <w:jc w:val="both"/>
              <w:rPr>
                <w:color w:val="000000"/>
                <w:sz w:val="20"/>
                <w:szCs w:val="20"/>
              </w:rPr>
            </w:pPr>
            <w:r w:rsidRPr="0002728B">
              <w:rPr>
                <w:color w:val="000000"/>
                <w:sz w:val="20"/>
                <w:szCs w:val="20"/>
                <w:lang w:val="en-US"/>
              </w:rPr>
              <w:t>-</w:t>
            </w:r>
          </w:p>
        </w:tc>
      </w:tr>
      <w:tr w:rsidR="003824F4" w:rsidRPr="0002728B" w14:paraId="31C6FA20" w14:textId="77777777" w:rsidTr="0002728B">
        <w:trPr>
          <w:trHeight w:val="20"/>
          <w:jc w:val="center"/>
        </w:trPr>
        <w:tc>
          <w:tcPr>
            <w:tcW w:w="0" w:type="auto"/>
            <w:tcBorders>
              <w:top w:val="nil"/>
              <w:left w:val="nil"/>
              <w:bottom w:val="nil"/>
            </w:tcBorders>
            <w:shd w:val="clear" w:color="auto" w:fill="auto"/>
            <w:vAlign w:val="center"/>
            <w:hideMark/>
          </w:tcPr>
          <w:p w14:paraId="6DC6F5DF"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04D35823" w14:textId="77777777" w:rsidR="003824F4" w:rsidRPr="0002728B" w:rsidRDefault="003824F4" w:rsidP="00300A09">
            <w:pPr>
              <w:jc w:val="both"/>
              <w:rPr>
                <w:color w:val="000000"/>
                <w:sz w:val="20"/>
                <w:szCs w:val="20"/>
              </w:rPr>
            </w:pPr>
            <w:r w:rsidRPr="0002728B">
              <w:rPr>
                <w:color w:val="000000"/>
                <w:sz w:val="20"/>
                <w:szCs w:val="20"/>
                <w:lang w:val="en-US"/>
              </w:rPr>
              <w:t>26-36</w:t>
            </w:r>
          </w:p>
        </w:tc>
        <w:tc>
          <w:tcPr>
            <w:tcW w:w="0" w:type="auto"/>
            <w:tcBorders>
              <w:top w:val="nil"/>
              <w:bottom w:val="nil"/>
            </w:tcBorders>
            <w:shd w:val="clear" w:color="auto" w:fill="auto"/>
            <w:vAlign w:val="center"/>
            <w:hideMark/>
          </w:tcPr>
          <w:p w14:paraId="3AE8EE63" w14:textId="77777777" w:rsidR="003824F4" w:rsidRPr="0002728B" w:rsidRDefault="003824F4" w:rsidP="00300A09">
            <w:pPr>
              <w:jc w:val="both"/>
              <w:rPr>
                <w:color w:val="000000"/>
                <w:sz w:val="20"/>
                <w:szCs w:val="20"/>
              </w:rPr>
            </w:pPr>
            <w:r w:rsidRPr="0002728B">
              <w:rPr>
                <w:color w:val="000000"/>
                <w:sz w:val="20"/>
                <w:szCs w:val="20"/>
                <w:lang w:val="en-US"/>
              </w:rPr>
              <w:t>1.23</w:t>
            </w:r>
          </w:p>
        </w:tc>
        <w:tc>
          <w:tcPr>
            <w:tcW w:w="0" w:type="auto"/>
            <w:tcBorders>
              <w:top w:val="nil"/>
              <w:bottom w:val="nil"/>
            </w:tcBorders>
            <w:shd w:val="clear" w:color="auto" w:fill="auto"/>
            <w:vAlign w:val="center"/>
            <w:hideMark/>
          </w:tcPr>
          <w:p w14:paraId="150E243C" w14:textId="77777777" w:rsidR="003824F4" w:rsidRPr="0002728B" w:rsidRDefault="003824F4" w:rsidP="00300A09">
            <w:pPr>
              <w:jc w:val="both"/>
              <w:rPr>
                <w:color w:val="000000"/>
                <w:sz w:val="20"/>
                <w:szCs w:val="20"/>
              </w:rPr>
            </w:pPr>
            <w:r w:rsidRPr="0002728B">
              <w:rPr>
                <w:color w:val="000000"/>
                <w:sz w:val="20"/>
                <w:szCs w:val="20"/>
                <w:lang w:val="en-US"/>
              </w:rPr>
              <w:t>1.1</w:t>
            </w:r>
          </w:p>
        </w:tc>
        <w:tc>
          <w:tcPr>
            <w:tcW w:w="0" w:type="auto"/>
            <w:tcBorders>
              <w:top w:val="nil"/>
              <w:bottom w:val="nil"/>
            </w:tcBorders>
            <w:shd w:val="clear" w:color="auto" w:fill="auto"/>
            <w:vAlign w:val="center"/>
            <w:hideMark/>
          </w:tcPr>
          <w:p w14:paraId="5A90C439" w14:textId="77777777" w:rsidR="003824F4" w:rsidRPr="0002728B" w:rsidRDefault="003824F4" w:rsidP="00300A09">
            <w:pPr>
              <w:jc w:val="both"/>
              <w:rPr>
                <w:color w:val="000000"/>
                <w:sz w:val="20"/>
                <w:szCs w:val="20"/>
              </w:rPr>
            </w:pPr>
            <w:r w:rsidRPr="0002728B">
              <w:rPr>
                <w:color w:val="000000"/>
                <w:sz w:val="20"/>
                <w:szCs w:val="20"/>
                <w:lang w:val="en-US"/>
              </w:rPr>
              <w:t>0.29</w:t>
            </w:r>
          </w:p>
        </w:tc>
        <w:tc>
          <w:tcPr>
            <w:tcW w:w="0" w:type="auto"/>
            <w:tcBorders>
              <w:top w:val="nil"/>
              <w:bottom w:val="nil"/>
            </w:tcBorders>
            <w:shd w:val="clear" w:color="auto" w:fill="auto"/>
            <w:vAlign w:val="center"/>
            <w:hideMark/>
          </w:tcPr>
          <w:p w14:paraId="7EC4A1E9" w14:textId="77777777" w:rsidR="003824F4" w:rsidRPr="0002728B" w:rsidRDefault="003824F4" w:rsidP="00300A09">
            <w:pPr>
              <w:jc w:val="both"/>
              <w:rPr>
                <w:color w:val="000000"/>
                <w:sz w:val="20"/>
                <w:szCs w:val="20"/>
              </w:rPr>
            </w:pPr>
            <w:r w:rsidRPr="0002728B">
              <w:rPr>
                <w:color w:val="000000"/>
                <w:sz w:val="20"/>
                <w:szCs w:val="20"/>
                <w:lang w:val="en-US"/>
              </w:rPr>
              <w:t>0.38</w:t>
            </w:r>
          </w:p>
        </w:tc>
        <w:tc>
          <w:tcPr>
            <w:tcW w:w="0" w:type="auto"/>
            <w:tcBorders>
              <w:top w:val="nil"/>
              <w:bottom w:val="nil"/>
            </w:tcBorders>
            <w:shd w:val="clear" w:color="auto" w:fill="auto"/>
            <w:vAlign w:val="center"/>
            <w:hideMark/>
          </w:tcPr>
          <w:p w14:paraId="5884545D"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67A56334" w14:textId="77777777" w:rsidR="003824F4" w:rsidRPr="0002728B" w:rsidRDefault="003824F4" w:rsidP="00300A09">
            <w:pPr>
              <w:jc w:val="both"/>
              <w:rPr>
                <w:color w:val="000000"/>
                <w:sz w:val="20"/>
                <w:szCs w:val="20"/>
              </w:rPr>
            </w:pPr>
            <w:r w:rsidRPr="0002728B">
              <w:rPr>
                <w:color w:val="000000"/>
                <w:sz w:val="20"/>
                <w:szCs w:val="20"/>
                <w:lang w:val="en-US"/>
              </w:rPr>
              <w:t>0.3</w:t>
            </w:r>
          </w:p>
        </w:tc>
        <w:tc>
          <w:tcPr>
            <w:tcW w:w="0" w:type="auto"/>
            <w:tcBorders>
              <w:top w:val="nil"/>
              <w:bottom w:val="nil"/>
            </w:tcBorders>
            <w:shd w:val="clear" w:color="auto" w:fill="auto"/>
            <w:vAlign w:val="center"/>
            <w:hideMark/>
          </w:tcPr>
          <w:p w14:paraId="4EDB9F8D"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5A84C002" w14:textId="77777777" w:rsidR="003824F4" w:rsidRPr="0002728B" w:rsidRDefault="003824F4" w:rsidP="00300A09">
            <w:pPr>
              <w:jc w:val="both"/>
              <w:rPr>
                <w:color w:val="000000"/>
                <w:sz w:val="20"/>
                <w:szCs w:val="20"/>
              </w:rPr>
            </w:pPr>
            <w:r w:rsidRPr="0002728B">
              <w:rPr>
                <w:color w:val="000000"/>
                <w:sz w:val="20"/>
                <w:szCs w:val="20"/>
                <w:lang w:val="en-US"/>
              </w:rPr>
              <w:t>0.53</w:t>
            </w:r>
          </w:p>
        </w:tc>
      </w:tr>
      <w:tr w:rsidR="003824F4" w:rsidRPr="0002728B" w14:paraId="4DF15151" w14:textId="77777777" w:rsidTr="0002728B">
        <w:trPr>
          <w:trHeight w:val="20"/>
          <w:jc w:val="center"/>
        </w:trPr>
        <w:tc>
          <w:tcPr>
            <w:tcW w:w="0" w:type="auto"/>
            <w:tcBorders>
              <w:top w:val="nil"/>
              <w:left w:val="nil"/>
              <w:bottom w:val="nil"/>
            </w:tcBorders>
            <w:shd w:val="clear" w:color="auto" w:fill="auto"/>
            <w:vAlign w:val="center"/>
            <w:hideMark/>
          </w:tcPr>
          <w:p w14:paraId="39765898"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0C319730" w14:textId="77777777" w:rsidR="003824F4" w:rsidRPr="0002728B" w:rsidRDefault="003824F4" w:rsidP="00300A09">
            <w:pPr>
              <w:jc w:val="both"/>
              <w:rPr>
                <w:color w:val="000000"/>
                <w:sz w:val="20"/>
                <w:szCs w:val="20"/>
              </w:rPr>
            </w:pPr>
            <w:r w:rsidRPr="0002728B">
              <w:rPr>
                <w:color w:val="000000"/>
                <w:sz w:val="20"/>
                <w:szCs w:val="20"/>
                <w:lang w:val="en-US"/>
              </w:rPr>
              <w:t>37-47</w:t>
            </w:r>
          </w:p>
        </w:tc>
        <w:tc>
          <w:tcPr>
            <w:tcW w:w="0" w:type="auto"/>
            <w:tcBorders>
              <w:top w:val="nil"/>
              <w:bottom w:val="nil"/>
            </w:tcBorders>
            <w:shd w:val="clear" w:color="auto" w:fill="auto"/>
            <w:vAlign w:val="center"/>
            <w:hideMark/>
          </w:tcPr>
          <w:p w14:paraId="6581C95A" w14:textId="77777777" w:rsidR="003824F4" w:rsidRPr="0002728B" w:rsidRDefault="003824F4" w:rsidP="00300A09">
            <w:pPr>
              <w:jc w:val="both"/>
              <w:rPr>
                <w:color w:val="000000"/>
                <w:sz w:val="20"/>
                <w:szCs w:val="20"/>
              </w:rPr>
            </w:pPr>
            <w:r w:rsidRPr="0002728B">
              <w:rPr>
                <w:color w:val="000000"/>
                <w:sz w:val="20"/>
                <w:szCs w:val="20"/>
                <w:lang w:val="en-US"/>
              </w:rPr>
              <w:t>1.72</w:t>
            </w:r>
          </w:p>
        </w:tc>
        <w:tc>
          <w:tcPr>
            <w:tcW w:w="0" w:type="auto"/>
            <w:tcBorders>
              <w:top w:val="nil"/>
              <w:bottom w:val="nil"/>
            </w:tcBorders>
            <w:shd w:val="clear" w:color="auto" w:fill="auto"/>
            <w:vAlign w:val="center"/>
            <w:hideMark/>
          </w:tcPr>
          <w:p w14:paraId="3F167563" w14:textId="77777777" w:rsidR="003824F4" w:rsidRPr="0002728B" w:rsidRDefault="003824F4" w:rsidP="00300A09">
            <w:pPr>
              <w:jc w:val="both"/>
              <w:rPr>
                <w:color w:val="000000"/>
                <w:sz w:val="20"/>
                <w:szCs w:val="20"/>
              </w:rPr>
            </w:pPr>
            <w:r w:rsidRPr="0002728B">
              <w:rPr>
                <w:color w:val="000000"/>
                <w:sz w:val="20"/>
                <w:szCs w:val="20"/>
                <w:lang w:val="en-US"/>
              </w:rPr>
              <w:t>1.17</w:t>
            </w:r>
          </w:p>
        </w:tc>
        <w:tc>
          <w:tcPr>
            <w:tcW w:w="0" w:type="auto"/>
            <w:tcBorders>
              <w:top w:val="nil"/>
              <w:bottom w:val="nil"/>
            </w:tcBorders>
            <w:shd w:val="clear" w:color="auto" w:fill="auto"/>
            <w:vAlign w:val="center"/>
            <w:hideMark/>
          </w:tcPr>
          <w:p w14:paraId="5BA21BD3" w14:textId="77777777" w:rsidR="003824F4" w:rsidRPr="0002728B" w:rsidRDefault="003824F4" w:rsidP="00300A09">
            <w:pPr>
              <w:jc w:val="both"/>
              <w:rPr>
                <w:color w:val="000000"/>
                <w:sz w:val="20"/>
                <w:szCs w:val="20"/>
              </w:rPr>
            </w:pPr>
            <w:r w:rsidRPr="0002728B">
              <w:rPr>
                <w:color w:val="000000"/>
                <w:sz w:val="20"/>
                <w:szCs w:val="20"/>
                <w:lang w:val="en-US"/>
              </w:rPr>
              <w:t>0.62</w:t>
            </w:r>
          </w:p>
        </w:tc>
        <w:tc>
          <w:tcPr>
            <w:tcW w:w="0" w:type="auto"/>
            <w:tcBorders>
              <w:top w:val="nil"/>
              <w:bottom w:val="nil"/>
            </w:tcBorders>
            <w:shd w:val="clear" w:color="auto" w:fill="auto"/>
            <w:vAlign w:val="center"/>
            <w:hideMark/>
          </w:tcPr>
          <w:p w14:paraId="751244B7" w14:textId="77777777" w:rsidR="003824F4" w:rsidRPr="0002728B" w:rsidRDefault="003824F4" w:rsidP="00300A09">
            <w:pPr>
              <w:jc w:val="both"/>
              <w:rPr>
                <w:color w:val="000000"/>
                <w:sz w:val="20"/>
                <w:szCs w:val="20"/>
              </w:rPr>
            </w:pPr>
            <w:r w:rsidRPr="0002728B">
              <w:rPr>
                <w:color w:val="000000"/>
                <w:sz w:val="20"/>
                <w:szCs w:val="20"/>
                <w:lang w:val="en-US"/>
              </w:rPr>
              <w:t>0.98</w:t>
            </w:r>
          </w:p>
        </w:tc>
        <w:tc>
          <w:tcPr>
            <w:tcW w:w="0" w:type="auto"/>
            <w:tcBorders>
              <w:top w:val="nil"/>
              <w:bottom w:val="nil"/>
            </w:tcBorders>
            <w:shd w:val="clear" w:color="auto" w:fill="auto"/>
            <w:vAlign w:val="center"/>
            <w:hideMark/>
          </w:tcPr>
          <w:p w14:paraId="58E3233B"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tcBorders>
            <w:shd w:val="clear" w:color="auto" w:fill="auto"/>
            <w:vAlign w:val="center"/>
            <w:hideMark/>
          </w:tcPr>
          <w:p w14:paraId="1CCB66ED" w14:textId="77777777" w:rsidR="003824F4" w:rsidRPr="0002728B" w:rsidRDefault="003824F4" w:rsidP="00300A09">
            <w:pPr>
              <w:jc w:val="both"/>
              <w:rPr>
                <w:color w:val="000000"/>
                <w:sz w:val="20"/>
                <w:szCs w:val="20"/>
              </w:rPr>
            </w:pPr>
            <w:r w:rsidRPr="0002728B">
              <w:rPr>
                <w:color w:val="000000"/>
                <w:sz w:val="20"/>
                <w:szCs w:val="20"/>
                <w:lang w:val="en-US"/>
              </w:rPr>
              <w:t>0.76</w:t>
            </w:r>
          </w:p>
        </w:tc>
        <w:tc>
          <w:tcPr>
            <w:tcW w:w="0" w:type="auto"/>
            <w:tcBorders>
              <w:top w:val="nil"/>
              <w:bottom w:val="nil"/>
            </w:tcBorders>
            <w:shd w:val="clear" w:color="auto" w:fill="auto"/>
            <w:vAlign w:val="center"/>
            <w:hideMark/>
          </w:tcPr>
          <w:p w14:paraId="4238596E"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nil"/>
              <w:right w:val="nil"/>
            </w:tcBorders>
            <w:shd w:val="clear" w:color="auto" w:fill="auto"/>
            <w:vAlign w:val="center"/>
            <w:hideMark/>
          </w:tcPr>
          <w:p w14:paraId="06CBA7CF" w14:textId="77777777" w:rsidR="003824F4" w:rsidRPr="0002728B" w:rsidRDefault="003824F4" w:rsidP="00300A09">
            <w:pPr>
              <w:jc w:val="both"/>
              <w:rPr>
                <w:color w:val="000000"/>
                <w:sz w:val="20"/>
                <w:szCs w:val="20"/>
              </w:rPr>
            </w:pPr>
            <w:r w:rsidRPr="0002728B">
              <w:rPr>
                <w:color w:val="000000"/>
                <w:sz w:val="20"/>
                <w:szCs w:val="20"/>
                <w:lang w:val="en-US"/>
              </w:rPr>
              <w:t>0.53</w:t>
            </w:r>
          </w:p>
        </w:tc>
      </w:tr>
      <w:tr w:rsidR="003824F4" w:rsidRPr="0002728B" w14:paraId="2D20264F" w14:textId="77777777" w:rsidTr="0002728B">
        <w:trPr>
          <w:trHeight w:val="20"/>
          <w:jc w:val="center"/>
        </w:trPr>
        <w:tc>
          <w:tcPr>
            <w:tcW w:w="0" w:type="auto"/>
            <w:tcBorders>
              <w:top w:val="nil"/>
              <w:left w:val="nil"/>
              <w:bottom w:val="nil"/>
            </w:tcBorders>
            <w:shd w:val="clear" w:color="auto" w:fill="auto"/>
            <w:vAlign w:val="center"/>
            <w:hideMark/>
          </w:tcPr>
          <w:p w14:paraId="3DC97534"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74A2317E" w14:textId="77777777" w:rsidR="003824F4" w:rsidRPr="0002728B" w:rsidRDefault="003824F4" w:rsidP="00300A09">
            <w:pPr>
              <w:jc w:val="both"/>
              <w:rPr>
                <w:color w:val="000000"/>
                <w:sz w:val="20"/>
                <w:szCs w:val="20"/>
              </w:rPr>
            </w:pPr>
            <w:r w:rsidRPr="0002728B">
              <w:rPr>
                <w:color w:val="000000"/>
                <w:sz w:val="20"/>
                <w:szCs w:val="20"/>
                <w:lang w:val="en-US"/>
              </w:rPr>
              <w:t>48-58</w:t>
            </w:r>
          </w:p>
        </w:tc>
        <w:tc>
          <w:tcPr>
            <w:tcW w:w="0" w:type="auto"/>
            <w:tcBorders>
              <w:top w:val="nil"/>
              <w:bottom w:val="nil"/>
            </w:tcBorders>
            <w:shd w:val="clear" w:color="auto" w:fill="auto"/>
            <w:vAlign w:val="center"/>
            <w:hideMark/>
          </w:tcPr>
          <w:p w14:paraId="0D51944E" w14:textId="77777777" w:rsidR="003824F4" w:rsidRPr="0002728B" w:rsidRDefault="003824F4" w:rsidP="00300A09">
            <w:pPr>
              <w:jc w:val="both"/>
              <w:rPr>
                <w:color w:val="000000"/>
                <w:sz w:val="20"/>
                <w:szCs w:val="20"/>
              </w:rPr>
            </w:pPr>
            <w:r w:rsidRPr="0002728B">
              <w:rPr>
                <w:color w:val="000000"/>
                <w:sz w:val="20"/>
                <w:szCs w:val="20"/>
                <w:lang w:val="en-US"/>
              </w:rPr>
              <w:t>1.69</w:t>
            </w:r>
          </w:p>
        </w:tc>
        <w:tc>
          <w:tcPr>
            <w:tcW w:w="0" w:type="auto"/>
            <w:tcBorders>
              <w:top w:val="nil"/>
              <w:bottom w:val="nil"/>
            </w:tcBorders>
            <w:shd w:val="clear" w:color="auto" w:fill="auto"/>
            <w:vAlign w:val="center"/>
            <w:hideMark/>
          </w:tcPr>
          <w:p w14:paraId="0DB32C9C" w14:textId="77777777" w:rsidR="003824F4" w:rsidRPr="0002728B" w:rsidRDefault="003824F4" w:rsidP="00300A09">
            <w:pPr>
              <w:jc w:val="both"/>
              <w:rPr>
                <w:color w:val="000000"/>
                <w:sz w:val="20"/>
                <w:szCs w:val="20"/>
              </w:rPr>
            </w:pPr>
            <w:r w:rsidRPr="0002728B">
              <w:rPr>
                <w:color w:val="000000"/>
                <w:sz w:val="20"/>
                <w:szCs w:val="20"/>
                <w:lang w:val="en-US"/>
              </w:rPr>
              <w:t>1</w:t>
            </w:r>
          </w:p>
        </w:tc>
        <w:tc>
          <w:tcPr>
            <w:tcW w:w="0" w:type="auto"/>
            <w:tcBorders>
              <w:top w:val="nil"/>
              <w:bottom w:val="nil"/>
            </w:tcBorders>
            <w:shd w:val="clear" w:color="auto" w:fill="auto"/>
            <w:vAlign w:val="center"/>
            <w:hideMark/>
          </w:tcPr>
          <w:p w14:paraId="2DC31FF5" w14:textId="77777777" w:rsidR="003824F4" w:rsidRPr="0002728B" w:rsidRDefault="003824F4" w:rsidP="00300A09">
            <w:pPr>
              <w:jc w:val="both"/>
              <w:rPr>
                <w:color w:val="000000"/>
                <w:sz w:val="20"/>
                <w:szCs w:val="20"/>
              </w:rPr>
            </w:pPr>
            <w:r w:rsidRPr="0002728B">
              <w:rPr>
                <w:color w:val="000000"/>
                <w:sz w:val="20"/>
                <w:szCs w:val="20"/>
                <w:lang w:val="en-US"/>
              </w:rPr>
              <w:t>0.13</w:t>
            </w:r>
          </w:p>
        </w:tc>
        <w:tc>
          <w:tcPr>
            <w:tcW w:w="0" w:type="auto"/>
            <w:tcBorders>
              <w:top w:val="nil"/>
              <w:bottom w:val="nil"/>
            </w:tcBorders>
            <w:shd w:val="clear" w:color="auto" w:fill="auto"/>
            <w:vAlign w:val="center"/>
            <w:hideMark/>
          </w:tcPr>
          <w:p w14:paraId="31ADD831" w14:textId="77777777" w:rsidR="003824F4" w:rsidRPr="0002728B" w:rsidRDefault="003824F4" w:rsidP="00300A09">
            <w:pPr>
              <w:jc w:val="both"/>
              <w:rPr>
                <w:color w:val="000000"/>
                <w:sz w:val="20"/>
                <w:szCs w:val="20"/>
              </w:rPr>
            </w:pPr>
            <w:r w:rsidRPr="0002728B">
              <w:rPr>
                <w:color w:val="000000"/>
                <w:sz w:val="20"/>
                <w:szCs w:val="20"/>
                <w:lang w:val="en-US"/>
              </w:rPr>
              <w:t>1.02</w:t>
            </w:r>
          </w:p>
        </w:tc>
        <w:tc>
          <w:tcPr>
            <w:tcW w:w="0" w:type="auto"/>
            <w:tcBorders>
              <w:top w:val="nil"/>
              <w:bottom w:val="nil"/>
            </w:tcBorders>
            <w:shd w:val="clear" w:color="auto" w:fill="auto"/>
            <w:vAlign w:val="center"/>
            <w:hideMark/>
          </w:tcPr>
          <w:p w14:paraId="754B8FA3" w14:textId="77777777" w:rsidR="003824F4" w:rsidRPr="0002728B" w:rsidRDefault="003824F4" w:rsidP="00300A09">
            <w:pPr>
              <w:jc w:val="both"/>
              <w:rPr>
                <w:color w:val="000000"/>
                <w:sz w:val="20"/>
                <w:szCs w:val="20"/>
              </w:rPr>
            </w:pPr>
            <w:r w:rsidRPr="0002728B">
              <w:rPr>
                <w:color w:val="000000"/>
                <w:sz w:val="20"/>
                <w:szCs w:val="20"/>
                <w:lang w:val="en-US"/>
              </w:rPr>
              <w:t>0.96</w:t>
            </w:r>
          </w:p>
        </w:tc>
        <w:tc>
          <w:tcPr>
            <w:tcW w:w="0" w:type="auto"/>
            <w:tcBorders>
              <w:top w:val="nil"/>
              <w:bottom w:val="nil"/>
            </w:tcBorders>
            <w:shd w:val="clear" w:color="auto" w:fill="auto"/>
            <w:vAlign w:val="center"/>
            <w:hideMark/>
          </w:tcPr>
          <w:p w14:paraId="6ED25720" w14:textId="77777777" w:rsidR="003824F4" w:rsidRPr="0002728B" w:rsidRDefault="003824F4" w:rsidP="00300A09">
            <w:pPr>
              <w:jc w:val="both"/>
              <w:rPr>
                <w:color w:val="000000"/>
                <w:sz w:val="20"/>
                <w:szCs w:val="20"/>
              </w:rPr>
            </w:pPr>
            <w:r w:rsidRPr="0002728B">
              <w:rPr>
                <w:color w:val="000000"/>
                <w:sz w:val="20"/>
                <w:szCs w:val="20"/>
                <w:lang w:val="en-US"/>
              </w:rPr>
              <w:t>0.2</w:t>
            </w:r>
          </w:p>
        </w:tc>
        <w:tc>
          <w:tcPr>
            <w:tcW w:w="0" w:type="auto"/>
            <w:tcBorders>
              <w:top w:val="nil"/>
              <w:bottom w:val="nil"/>
            </w:tcBorders>
            <w:shd w:val="clear" w:color="auto" w:fill="auto"/>
            <w:vAlign w:val="center"/>
            <w:hideMark/>
          </w:tcPr>
          <w:p w14:paraId="16654AA8" w14:textId="77777777" w:rsidR="003824F4" w:rsidRPr="0002728B" w:rsidRDefault="003824F4" w:rsidP="00300A09">
            <w:pPr>
              <w:jc w:val="both"/>
              <w:rPr>
                <w:color w:val="000000"/>
                <w:sz w:val="20"/>
                <w:szCs w:val="20"/>
              </w:rPr>
            </w:pPr>
            <w:r w:rsidRPr="0002728B">
              <w:rPr>
                <w:color w:val="000000"/>
                <w:sz w:val="20"/>
                <w:szCs w:val="20"/>
                <w:lang w:val="en-US"/>
              </w:rPr>
              <w:t>0.26</w:t>
            </w:r>
          </w:p>
        </w:tc>
        <w:tc>
          <w:tcPr>
            <w:tcW w:w="0" w:type="auto"/>
            <w:tcBorders>
              <w:top w:val="nil"/>
              <w:bottom w:val="nil"/>
              <w:right w:val="nil"/>
            </w:tcBorders>
            <w:shd w:val="clear" w:color="auto" w:fill="auto"/>
            <w:vAlign w:val="center"/>
            <w:hideMark/>
          </w:tcPr>
          <w:p w14:paraId="46EDD564" w14:textId="77777777" w:rsidR="003824F4" w:rsidRPr="0002728B" w:rsidRDefault="003824F4" w:rsidP="00300A09">
            <w:pPr>
              <w:jc w:val="both"/>
              <w:rPr>
                <w:color w:val="000000"/>
                <w:sz w:val="20"/>
                <w:szCs w:val="20"/>
              </w:rPr>
            </w:pPr>
            <w:r w:rsidRPr="0002728B">
              <w:rPr>
                <w:color w:val="000000"/>
                <w:sz w:val="20"/>
                <w:szCs w:val="20"/>
                <w:lang w:val="en-US"/>
              </w:rPr>
              <w:t>1.38</w:t>
            </w:r>
          </w:p>
        </w:tc>
      </w:tr>
      <w:tr w:rsidR="003824F4" w:rsidRPr="0002728B" w14:paraId="23305EC3" w14:textId="77777777" w:rsidTr="0002728B">
        <w:trPr>
          <w:trHeight w:val="20"/>
          <w:jc w:val="center"/>
        </w:trPr>
        <w:tc>
          <w:tcPr>
            <w:tcW w:w="0" w:type="auto"/>
            <w:tcBorders>
              <w:top w:val="nil"/>
              <w:left w:val="nil"/>
              <w:bottom w:val="nil"/>
            </w:tcBorders>
            <w:shd w:val="clear" w:color="auto" w:fill="auto"/>
            <w:vAlign w:val="center"/>
            <w:hideMark/>
          </w:tcPr>
          <w:p w14:paraId="456A7B64" w14:textId="77777777" w:rsidR="003824F4" w:rsidRPr="0002728B" w:rsidRDefault="003824F4" w:rsidP="00300A09">
            <w:pPr>
              <w:jc w:val="both"/>
              <w:rPr>
                <w:color w:val="000000"/>
                <w:sz w:val="20"/>
                <w:szCs w:val="20"/>
              </w:rPr>
            </w:pPr>
          </w:p>
        </w:tc>
        <w:tc>
          <w:tcPr>
            <w:tcW w:w="0" w:type="auto"/>
            <w:tcBorders>
              <w:top w:val="nil"/>
              <w:bottom w:val="nil"/>
            </w:tcBorders>
            <w:shd w:val="clear" w:color="auto" w:fill="auto"/>
            <w:vAlign w:val="center"/>
            <w:hideMark/>
          </w:tcPr>
          <w:p w14:paraId="210C8B3D" w14:textId="77777777" w:rsidR="003824F4" w:rsidRPr="0002728B" w:rsidRDefault="003824F4" w:rsidP="00300A09">
            <w:pPr>
              <w:jc w:val="both"/>
              <w:rPr>
                <w:color w:val="000000"/>
                <w:sz w:val="20"/>
                <w:szCs w:val="20"/>
              </w:rPr>
            </w:pPr>
            <w:r w:rsidRPr="0002728B">
              <w:rPr>
                <w:color w:val="000000"/>
                <w:sz w:val="20"/>
                <w:szCs w:val="20"/>
                <w:lang w:val="en-US"/>
              </w:rPr>
              <w:t>59-69</w:t>
            </w:r>
          </w:p>
        </w:tc>
        <w:tc>
          <w:tcPr>
            <w:tcW w:w="0" w:type="auto"/>
            <w:tcBorders>
              <w:top w:val="nil"/>
              <w:bottom w:val="nil"/>
            </w:tcBorders>
            <w:shd w:val="clear" w:color="auto" w:fill="auto"/>
            <w:vAlign w:val="center"/>
            <w:hideMark/>
          </w:tcPr>
          <w:p w14:paraId="794669D0" w14:textId="77777777" w:rsidR="003824F4" w:rsidRPr="0002728B" w:rsidRDefault="003824F4" w:rsidP="00300A09">
            <w:pPr>
              <w:jc w:val="both"/>
              <w:rPr>
                <w:color w:val="000000"/>
                <w:sz w:val="20"/>
                <w:szCs w:val="20"/>
              </w:rPr>
            </w:pPr>
            <w:r w:rsidRPr="0002728B">
              <w:rPr>
                <w:color w:val="000000"/>
                <w:sz w:val="20"/>
                <w:szCs w:val="20"/>
                <w:lang w:val="en-US"/>
              </w:rPr>
              <w:t>3.85</w:t>
            </w:r>
          </w:p>
        </w:tc>
        <w:tc>
          <w:tcPr>
            <w:tcW w:w="0" w:type="auto"/>
            <w:tcBorders>
              <w:top w:val="nil"/>
              <w:bottom w:val="nil"/>
            </w:tcBorders>
            <w:shd w:val="clear" w:color="auto" w:fill="auto"/>
            <w:vAlign w:val="center"/>
            <w:hideMark/>
          </w:tcPr>
          <w:p w14:paraId="1D565BC8" w14:textId="77777777" w:rsidR="003824F4" w:rsidRPr="0002728B" w:rsidRDefault="003824F4" w:rsidP="00300A09">
            <w:pPr>
              <w:jc w:val="both"/>
              <w:rPr>
                <w:color w:val="000000"/>
                <w:sz w:val="20"/>
                <w:szCs w:val="20"/>
              </w:rPr>
            </w:pPr>
            <w:r w:rsidRPr="0002728B">
              <w:rPr>
                <w:color w:val="000000"/>
                <w:sz w:val="20"/>
                <w:szCs w:val="20"/>
                <w:lang w:val="en-US"/>
              </w:rPr>
              <w:t>1.95</w:t>
            </w:r>
          </w:p>
        </w:tc>
        <w:tc>
          <w:tcPr>
            <w:tcW w:w="0" w:type="auto"/>
            <w:tcBorders>
              <w:top w:val="nil"/>
              <w:bottom w:val="nil"/>
            </w:tcBorders>
            <w:shd w:val="clear" w:color="auto" w:fill="auto"/>
            <w:vAlign w:val="center"/>
            <w:hideMark/>
          </w:tcPr>
          <w:p w14:paraId="150BCE04" w14:textId="77777777" w:rsidR="003824F4" w:rsidRPr="0002728B" w:rsidRDefault="003824F4" w:rsidP="00300A09">
            <w:pPr>
              <w:jc w:val="both"/>
              <w:rPr>
                <w:color w:val="000000"/>
                <w:sz w:val="20"/>
                <w:szCs w:val="20"/>
              </w:rPr>
            </w:pPr>
            <w:r w:rsidRPr="0002728B">
              <w:rPr>
                <w:color w:val="000000"/>
                <w:sz w:val="20"/>
                <w:szCs w:val="20"/>
                <w:lang w:val="en-US"/>
              </w:rPr>
              <w:t>0.32</w:t>
            </w:r>
          </w:p>
        </w:tc>
        <w:tc>
          <w:tcPr>
            <w:tcW w:w="0" w:type="auto"/>
            <w:tcBorders>
              <w:top w:val="nil"/>
              <w:bottom w:val="nil"/>
            </w:tcBorders>
            <w:shd w:val="clear" w:color="auto" w:fill="auto"/>
            <w:vAlign w:val="center"/>
            <w:hideMark/>
          </w:tcPr>
          <w:p w14:paraId="00EB3870" w14:textId="77777777" w:rsidR="003824F4" w:rsidRPr="0002728B" w:rsidRDefault="003824F4" w:rsidP="00300A09">
            <w:pPr>
              <w:jc w:val="both"/>
              <w:rPr>
                <w:color w:val="000000"/>
                <w:sz w:val="20"/>
                <w:szCs w:val="20"/>
              </w:rPr>
            </w:pPr>
            <w:r w:rsidRPr="0002728B">
              <w:rPr>
                <w:color w:val="000000"/>
                <w:sz w:val="20"/>
                <w:szCs w:val="20"/>
                <w:lang w:val="en-US"/>
              </w:rPr>
              <w:t>1.03</w:t>
            </w:r>
          </w:p>
        </w:tc>
        <w:tc>
          <w:tcPr>
            <w:tcW w:w="0" w:type="auto"/>
            <w:tcBorders>
              <w:top w:val="nil"/>
              <w:bottom w:val="nil"/>
            </w:tcBorders>
            <w:shd w:val="clear" w:color="auto" w:fill="auto"/>
            <w:vAlign w:val="center"/>
            <w:hideMark/>
          </w:tcPr>
          <w:p w14:paraId="5AE0D104" w14:textId="77777777" w:rsidR="003824F4" w:rsidRPr="0002728B" w:rsidRDefault="003824F4" w:rsidP="00300A09">
            <w:pPr>
              <w:jc w:val="both"/>
              <w:rPr>
                <w:color w:val="000000"/>
                <w:sz w:val="20"/>
                <w:szCs w:val="20"/>
              </w:rPr>
            </w:pPr>
            <w:r w:rsidRPr="0002728B">
              <w:rPr>
                <w:color w:val="000000"/>
                <w:sz w:val="20"/>
                <w:szCs w:val="20"/>
                <w:lang w:val="en-US"/>
              </w:rPr>
              <w:t>1.88</w:t>
            </w:r>
          </w:p>
        </w:tc>
        <w:tc>
          <w:tcPr>
            <w:tcW w:w="0" w:type="auto"/>
            <w:tcBorders>
              <w:top w:val="nil"/>
              <w:bottom w:val="nil"/>
            </w:tcBorders>
            <w:shd w:val="clear" w:color="auto" w:fill="auto"/>
            <w:vAlign w:val="center"/>
            <w:hideMark/>
          </w:tcPr>
          <w:p w14:paraId="7DBF665C" w14:textId="77777777" w:rsidR="003824F4" w:rsidRPr="0002728B" w:rsidRDefault="003824F4" w:rsidP="00300A09">
            <w:pPr>
              <w:jc w:val="both"/>
              <w:rPr>
                <w:color w:val="000000"/>
                <w:sz w:val="20"/>
                <w:szCs w:val="20"/>
              </w:rPr>
            </w:pPr>
            <w:r w:rsidRPr="0002728B">
              <w:rPr>
                <w:color w:val="000000"/>
                <w:sz w:val="20"/>
                <w:szCs w:val="20"/>
                <w:lang w:val="en-US"/>
              </w:rPr>
              <w:t>0.6</w:t>
            </w:r>
          </w:p>
        </w:tc>
        <w:tc>
          <w:tcPr>
            <w:tcW w:w="0" w:type="auto"/>
            <w:tcBorders>
              <w:top w:val="nil"/>
              <w:bottom w:val="nil"/>
            </w:tcBorders>
            <w:shd w:val="clear" w:color="auto" w:fill="auto"/>
            <w:vAlign w:val="center"/>
            <w:hideMark/>
          </w:tcPr>
          <w:p w14:paraId="32C6CFE8" w14:textId="77777777" w:rsidR="003824F4" w:rsidRPr="0002728B" w:rsidRDefault="003824F4" w:rsidP="00300A09">
            <w:pPr>
              <w:jc w:val="both"/>
              <w:rPr>
                <w:color w:val="000000"/>
                <w:sz w:val="20"/>
                <w:szCs w:val="20"/>
              </w:rPr>
            </w:pPr>
            <w:r w:rsidRPr="0002728B">
              <w:rPr>
                <w:color w:val="000000"/>
                <w:sz w:val="20"/>
                <w:szCs w:val="20"/>
                <w:lang w:val="en-US"/>
              </w:rPr>
              <w:t>0.69</w:t>
            </w:r>
          </w:p>
        </w:tc>
        <w:tc>
          <w:tcPr>
            <w:tcW w:w="0" w:type="auto"/>
            <w:tcBorders>
              <w:top w:val="nil"/>
              <w:bottom w:val="nil"/>
              <w:right w:val="nil"/>
            </w:tcBorders>
            <w:shd w:val="clear" w:color="auto" w:fill="auto"/>
            <w:vAlign w:val="center"/>
            <w:hideMark/>
          </w:tcPr>
          <w:p w14:paraId="1022D41F" w14:textId="77777777" w:rsidR="003824F4" w:rsidRPr="0002728B" w:rsidRDefault="003824F4" w:rsidP="00300A09">
            <w:pPr>
              <w:jc w:val="both"/>
              <w:rPr>
                <w:color w:val="000000"/>
                <w:sz w:val="20"/>
                <w:szCs w:val="20"/>
              </w:rPr>
            </w:pPr>
            <w:r w:rsidRPr="0002728B">
              <w:rPr>
                <w:color w:val="000000"/>
                <w:sz w:val="20"/>
                <w:szCs w:val="20"/>
                <w:lang w:val="en-US"/>
              </w:rPr>
              <w:t>1.81</w:t>
            </w:r>
          </w:p>
        </w:tc>
      </w:tr>
      <w:tr w:rsidR="003824F4" w:rsidRPr="0002728B" w14:paraId="3180458B" w14:textId="77777777" w:rsidTr="00F569E7">
        <w:trPr>
          <w:trHeight w:val="20"/>
          <w:jc w:val="center"/>
        </w:trPr>
        <w:tc>
          <w:tcPr>
            <w:tcW w:w="0" w:type="auto"/>
            <w:tcBorders>
              <w:top w:val="nil"/>
              <w:left w:val="nil"/>
            </w:tcBorders>
            <w:shd w:val="clear" w:color="auto" w:fill="auto"/>
            <w:vAlign w:val="center"/>
            <w:hideMark/>
          </w:tcPr>
          <w:p w14:paraId="11B02CD8" w14:textId="77777777" w:rsidR="003824F4" w:rsidRPr="0002728B" w:rsidRDefault="003824F4" w:rsidP="00300A09">
            <w:pPr>
              <w:jc w:val="both"/>
              <w:rPr>
                <w:color w:val="000000"/>
                <w:sz w:val="20"/>
                <w:szCs w:val="20"/>
              </w:rPr>
            </w:pPr>
          </w:p>
        </w:tc>
        <w:tc>
          <w:tcPr>
            <w:tcW w:w="0" w:type="auto"/>
            <w:tcBorders>
              <w:top w:val="nil"/>
            </w:tcBorders>
            <w:shd w:val="clear" w:color="auto" w:fill="auto"/>
            <w:vAlign w:val="center"/>
            <w:hideMark/>
          </w:tcPr>
          <w:p w14:paraId="2EB51151" w14:textId="77777777" w:rsidR="003824F4" w:rsidRPr="0002728B" w:rsidRDefault="003824F4" w:rsidP="00300A09">
            <w:pPr>
              <w:jc w:val="both"/>
              <w:rPr>
                <w:color w:val="000000"/>
                <w:sz w:val="20"/>
                <w:szCs w:val="20"/>
              </w:rPr>
            </w:pPr>
            <w:r w:rsidRPr="0002728B">
              <w:rPr>
                <w:color w:val="000000"/>
                <w:sz w:val="20"/>
                <w:szCs w:val="20"/>
                <w:lang w:val="en-US"/>
              </w:rPr>
              <w:t>70-80</w:t>
            </w:r>
          </w:p>
        </w:tc>
        <w:tc>
          <w:tcPr>
            <w:tcW w:w="0" w:type="auto"/>
            <w:tcBorders>
              <w:top w:val="nil"/>
            </w:tcBorders>
            <w:shd w:val="clear" w:color="auto" w:fill="auto"/>
            <w:vAlign w:val="center"/>
            <w:hideMark/>
          </w:tcPr>
          <w:p w14:paraId="736628C3" w14:textId="77777777" w:rsidR="003824F4" w:rsidRPr="0002728B" w:rsidRDefault="003824F4" w:rsidP="00300A09">
            <w:pPr>
              <w:jc w:val="both"/>
              <w:rPr>
                <w:color w:val="000000"/>
                <w:sz w:val="20"/>
                <w:szCs w:val="20"/>
              </w:rPr>
            </w:pPr>
            <w:r w:rsidRPr="0002728B">
              <w:rPr>
                <w:color w:val="000000"/>
                <w:sz w:val="20"/>
                <w:szCs w:val="20"/>
                <w:lang w:val="en-US"/>
              </w:rPr>
              <w:t>2.62</w:t>
            </w:r>
          </w:p>
        </w:tc>
        <w:tc>
          <w:tcPr>
            <w:tcW w:w="0" w:type="auto"/>
            <w:tcBorders>
              <w:top w:val="nil"/>
            </w:tcBorders>
            <w:shd w:val="clear" w:color="auto" w:fill="auto"/>
            <w:vAlign w:val="center"/>
            <w:hideMark/>
          </w:tcPr>
          <w:p w14:paraId="3136C6F6" w14:textId="77777777" w:rsidR="003824F4" w:rsidRPr="0002728B" w:rsidRDefault="003824F4" w:rsidP="00300A09">
            <w:pPr>
              <w:jc w:val="both"/>
              <w:rPr>
                <w:color w:val="000000"/>
                <w:sz w:val="20"/>
                <w:szCs w:val="20"/>
              </w:rPr>
            </w:pPr>
            <w:r w:rsidRPr="0002728B">
              <w:rPr>
                <w:color w:val="000000"/>
                <w:sz w:val="20"/>
                <w:szCs w:val="20"/>
                <w:lang w:val="en-US"/>
              </w:rPr>
              <w:t>2.44</w:t>
            </w:r>
          </w:p>
        </w:tc>
        <w:tc>
          <w:tcPr>
            <w:tcW w:w="0" w:type="auto"/>
            <w:tcBorders>
              <w:top w:val="nil"/>
            </w:tcBorders>
            <w:shd w:val="clear" w:color="auto" w:fill="auto"/>
            <w:vAlign w:val="center"/>
            <w:hideMark/>
          </w:tcPr>
          <w:p w14:paraId="1D7BAA9A" w14:textId="77777777" w:rsidR="003824F4" w:rsidRPr="0002728B" w:rsidRDefault="003824F4" w:rsidP="00300A09">
            <w:pPr>
              <w:jc w:val="both"/>
              <w:rPr>
                <w:color w:val="000000"/>
                <w:sz w:val="20"/>
                <w:szCs w:val="20"/>
              </w:rPr>
            </w:pPr>
            <w:r w:rsidRPr="0002728B">
              <w:rPr>
                <w:color w:val="000000"/>
                <w:sz w:val="20"/>
                <w:szCs w:val="20"/>
                <w:lang w:val="en-US"/>
              </w:rPr>
              <w:t>0.51</w:t>
            </w:r>
          </w:p>
        </w:tc>
        <w:tc>
          <w:tcPr>
            <w:tcW w:w="0" w:type="auto"/>
            <w:tcBorders>
              <w:top w:val="nil"/>
            </w:tcBorders>
            <w:shd w:val="clear" w:color="auto" w:fill="auto"/>
            <w:vAlign w:val="center"/>
            <w:hideMark/>
          </w:tcPr>
          <w:p w14:paraId="2C4CAA9E" w14:textId="77777777" w:rsidR="003824F4" w:rsidRPr="0002728B" w:rsidRDefault="003824F4" w:rsidP="00300A09">
            <w:pPr>
              <w:jc w:val="both"/>
              <w:rPr>
                <w:color w:val="000000"/>
                <w:sz w:val="20"/>
                <w:szCs w:val="20"/>
              </w:rPr>
            </w:pPr>
            <w:r w:rsidRPr="0002728B">
              <w:rPr>
                <w:color w:val="000000"/>
                <w:sz w:val="20"/>
                <w:szCs w:val="20"/>
                <w:lang w:val="en-US"/>
              </w:rPr>
              <w:t>2.16</w:t>
            </w:r>
          </w:p>
        </w:tc>
        <w:tc>
          <w:tcPr>
            <w:tcW w:w="0" w:type="auto"/>
            <w:tcBorders>
              <w:top w:val="nil"/>
            </w:tcBorders>
            <w:shd w:val="clear" w:color="auto" w:fill="auto"/>
            <w:vAlign w:val="center"/>
            <w:hideMark/>
          </w:tcPr>
          <w:p w14:paraId="143A2C9E" w14:textId="77777777" w:rsidR="003824F4" w:rsidRPr="0002728B" w:rsidRDefault="003824F4" w:rsidP="00300A09">
            <w:pPr>
              <w:jc w:val="both"/>
              <w:rPr>
                <w:color w:val="000000"/>
                <w:sz w:val="20"/>
                <w:szCs w:val="20"/>
              </w:rPr>
            </w:pPr>
            <w:r w:rsidRPr="0002728B">
              <w:rPr>
                <w:color w:val="000000"/>
                <w:sz w:val="20"/>
                <w:szCs w:val="20"/>
                <w:lang w:val="en-US"/>
              </w:rPr>
              <w:t>1.86</w:t>
            </w:r>
          </w:p>
        </w:tc>
        <w:tc>
          <w:tcPr>
            <w:tcW w:w="0" w:type="auto"/>
            <w:tcBorders>
              <w:top w:val="nil"/>
            </w:tcBorders>
            <w:shd w:val="clear" w:color="auto" w:fill="auto"/>
            <w:vAlign w:val="center"/>
            <w:hideMark/>
          </w:tcPr>
          <w:p w14:paraId="16CE6C3D" w14:textId="77777777" w:rsidR="003824F4" w:rsidRPr="0002728B" w:rsidRDefault="003824F4" w:rsidP="00300A09">
            <w:pPr>
              <w:jc w:val="both"/>
              <w:rPr>
                <w:color w:val="000000"/>
                <w:sz w:val="20"/>
                <w:szCs w:val="20"/>
              </w:rPr>
            </w:pPr>
            <w:r w:rsidRPr="0002728B">
              <w:rPr>
                <w:color w:val="000000"/>
                <w:sz w:val="20"/>
                <w:szCs w:val="20"/>
                <w:lang w:val="en-US"/>
              </w:rPr>
              <w:t>1.83</w:t>
            </w:r>
          </w:p>
        </w:tc>
        <w:tc>
          <w:tcPr>
            <w:tcW w:w="0" w:type="auto"/>
            <w:tcBorders>
              <w:top w:val="nil"/>
            </w:tcBorders>
            <w:shd w:val="clear" w:color="auto" w:fill="auto"/>
            <w:vAlign w:val="center"/>
            <w:hideMark/>
          </w:tcPr>
          <w:p w14:paraId="081B148A" w14:textId="77777777" w:rsidR="003824F4" w:rsidRPr="0002728B" w:rsidRDefault="003824F4" w:rsidP="00300A09">
            <w:pPr>
              <w:jc w:val="both"/>
              <w:rPr>
                <w:color w:val="000000"/>
                <w:sz w:val="20"/>
                <w:szCs w:val="20"/>
              </w:rPr>
            </w:pPr>
            <w:r w:rsidRPr="0002728B">
              <w:rPr>
                <w:color w:val="000000"/>
                <w:sz w:val="20"/>
                <w:szCs w:val="20"/>
                <w:lang w:val="en-US"/>
              </w:rPr>
              <w:t>0.58</w:t>
            </w:r>
          </w:p>
        </w:tc>
        <w:tc>
          <w:tcPr>
            <w:tcW w:w="0" w:type="auto"/>
            <w:tcBorders>
              <w:top w:val="nil"/>
              <w:right w:val="nil"/>
            </w:tcBorders>
            <w:shd w:val="clear" w:color="auto" w:fill="auto"/>
            <w:vAlign w:val="center"/>
            <w:hideMark/>
          </w:tcPr>
          <w:p w14:paraId="11EFA457" w14:textId="77777777" w:rsidR="003824F4" w:rsidRPr="0002728B" w:rsidRDefault="003824F4" w:rsidP="00300A09">
            <w:pPr>
              <w:jc w:val="both"/>
              <w:rPr>
                <w:color w:val="000000"/>
                <w:sz w:val="20"/>
                <w:szCs w:val="20"/>
              </w:rPr>
            </w:pPr>
            <w:r w:rsidRPr="0002728B">
              <w:rPr>
                <w:color w:val="000000"/>
                <w:sz w:val="20"/>
                <w:szCs w:val="20"/>
                <w:lang w:val="en-US"/>
              </w:rPr>
              <w:t>2.23</w:t>
            </w:r>
          </w:p>
        </w:tc>
      </w:tr>
      <w:tr w:rsidR="003824F4" w:rsidRPr="0002728B" w14:paraId="18B13729" w14:textId="77777777" w:rsidTr="00F569E7">
        <w:trPr>
          <w:trHeight w:val="20"/>
          <w:jc w:val="center"/>
        </w:trPr>
        <w:tc>
          <w:tcPr>
            <w:tcW w:w="0" w:type="auto"/>
            <w:tcBorders>
              <w:top w:val="nil"/>
              <w:left w:val="nil"/>
              <w:bottom w:val="single" w:sz="4" w:space="0" w:color="auto"/>
            </w:tcBorders>
            <w:shd w:val="clear" w:color="auto" w:fill="auto"/>
            <w:vAlign w:val="center"/>
            <w:hideMark/>
          </w:tcPr>
          <w:p w14:paraId="20F8B838" w14:textId="77777777" w:rsidR="003824F4" w:rsidRPr="0002728B" w:rsidRDefault="003824F4" w:rsidP="00300A09">
            <w:pPr>
              <w:jc w:val="both"/>
              <w:rPr>
                <w:color w:val="000000"/>
                <w:sz w:val="20"/>
                <w:szCs w:val="20"/>
              </w:rPr>
            </w:pPr>
          </w:p>
        </w:tc>
        <w:tc>
          <w:tcPr>
            <w:tcW w:w="0" w:type="auto"/>
            <w:tcBorders>
              <w:top w:val="nil"/>
              <w:bottom w:val="single" w:sz="4" w:space="0" w:color="auto"/>
            </w:tcBorders>
            <w:shd w:val="clear" w:color="auto" w:fill="auto"/>
            <w:vAlign w:val="center"/>
            <w:hideMark/>
          </w:tcPr>
          <w:p w14:paraId="00C00434" w14:textId="77777777" w:rsidR="003824F4" w:rsidRPr="0002728B" w:rsidRDefault="003824F4" w:rsidP="00300A09">
            <w:pPr>
              <w:jc w:val="both"/>
              <w:rPr>
                <w:color w:val="000000"/>
                <w:sz w:val="20"/>
                <w:szCs w:val="20"/>
              </w:rPr>
            </w:pPr>
            <w:r w:rsidRPr="0002728B">
              <w:rPr>
                <w:color w:val="000000"/>
                <w:sz w:val="20"/>
                <w:szCs w:val="20"/>
                <w:lang w:val="en-US"/>
              </w:rPr>
              <w:t>&gt;80</w:t>
            </w:r>
          </w:p>
        </w:tc>
        <w:tc>
          <w:tcPr>
            <w:tcW w:w="0" w:type="auto"/>
            <w:tcBorders>
              <w:top w:val="nil"/>
              <w:bottom w:val="single" w:sz="4" w:space="0" w:color="auto"/>
            </w:tcBorders>
            <w:shd w:val="clear" w:color="auto" w:fill="auto"/>
            <w:vAlign w:val="center"/>
            <w:hideMark/>
          </w:tcPr>
          <w:p w14:paraId="616DF9C8" w14:textId="77777777" w:rsidR="003824F4" w:rsidRPr="0002728B" w:rsidRDefault="003824F4" w:rsidP="00300A09">
            <w:pPr>
              <w:jc w:val="both"/>
              <w:rPr>
                <w:color w:val="000000"/>
                <w:sz w:val="20"/>
                <w:szCs w:val="20"/>
              </w:rPr>
            </w:pPr>
            <w:r w:rsidRPr="0002728B">
              <w:rPr>
                <w:color w:val="000000"/>
                <w:sz w:val="20"/>
                <w:szCs w:val="20"/>
                <w:lang w:val="en-US"/>
              </w:rPr>
              <w:t>1.82</w:t>
            </w:r>
          </w:p>
        </w:tc>
        <w:tc>
          <w:tcPr>
            <w:tcW w:w="0" w:type="auto"/>
            <w:tcBorders>
              <w:top w:val="nil"/>
              <w:bottom w:val="single" w:sz="4" w:space="0" w:color="auto"/>
            </w:tcBorders>
            <w:shd w:val="clear" w:color="auto" w:fill="auto"/>
            <w:vAlign w:val="center"/>
            <w:hideMark/>
          </w:tcPr>
          <w:p w14:paraId="53146504" w14:textId="77777777" w:rsidR="003824F4" w:rsidRPr="0002728B" w:rsidRDefault="003824F4" w:rsidP="00300A09">
            <w:pPr>
              <w:jc w:val="both"/>
              <w:rPr>
                <w:color w:val="000000"/>
                <w:sz w:val="20"/>
                <w:szCs w:val="20"/>
              </w:rPr>
            </w:pPr>
            <w:r w:rsidRPr="0002728B">
              <w:rPr>
                <w:color w:val="000000"/>
                <w:sz w:val="20"/>
                <w:szCs w:val="20"/>
                <w:lang w:val="en-US"/>
              </w:rPr>
              <w:t>0.22</w:t>
            </w:r>
          </w:p>
        </w:tc>
        <w:tc>
          <w:tcPr>
            <w:tcW w:w="0" w:type="auto"/>
            <w:tcBorders>
              <w:top w:val="nil"/>
              <w:bottom w:val="single" w:sz="4" w:space="0" w:color="auto"/>
            </w:tcBorders>
            <w:shd w:val="clear" w:color="auto" w:fill="auto"/>
            <w:vAlign w:val="center"/>
            <w:hideMark/>
          </w:tcPr>
          <w:p w14:paraId="50743D51" w14:textId="77777777" w:rsidR="003824F4" w:rsidRPr="0002728B" w:rsidRDefault="003824F4" w:rsidP="00300A09">
            <w:pPr>
              <w:jc w:val="both"/>
              <w:rPr>
                <w:color w:val="000000"/>
                <w:sz w:val="20"/>
                <w:szCs w:val="20"/>
              </w:rPr>
            </w:pPr>
            <w:r w:rsidRPr="0002728B">
              <w:rPr>
                <w:color w:val="000000"/>
                <w:sz w:val="20"/>
                <w:szCs w:val="20"/>
                <w:lang w:val="en-US"/>
              </w:rPr>
              <w:t>0.13</w:t>
            </w:r>
          </w:p>
        </w:tc>
        <w:tc>
          <w:tcPr>
            <w:tcW w:w="0" w:type="auto"/>
            <w:tcBorders>
              <w:top w:val="nil"/>
              <w:bottom w:val="single" w:sz="4" w:space="0" w:color="auto"/>
            </w:tcBorders>
            <w:shd w:val="clear" w:color="auto" w:fill="auto"/>
            <w:vAlign w:val="center"/>
            <w:hideMark/>
          </w:tcPr>
          <w:p w14:paraId="166137BA" w14:textId="77777777" w:rsidR="003824F4" w:rsidRPr="0002728B" w:rsidRDefault="003824F4" w:rsidP="00300A09">
            <w:pPr>
              <w:jc w:val="both"/>
              <w:rPr>
                <w:color w:val="000000"/>
                <w:sz w:val="20"/>
                <w:szCs w:val="20"/>
              </w:rPr>
            </w:pPr>
            <w:r w:rsidRPr="0002728B">
              <w:rPr>
                <w:color w:val="000000"/>
                <w:sz w:val="20"/>
                <w:szCs w:val="20"/>
                <w:lang w:val="en-US"/>
              </w:rPr>
              <w:t>0.56</w:t>
            </w:r>
          </w:p>
        </w:tc>
        <w:tc>
          <w:tcPr>
            <w:tcW w:w="0" w:type="auto"/>
            <w:tcBorders>
              <w:top w:val="nil"/>
              <w:bottom w:val="single" w:sz="4" w:space="0" w:color="auto"/>
            </w:tcBorders>
            <w:shd w:val="clear" w:color="auto" w:fill="auto"/>
            <w:vAlign w:val="center"/>
            <w:hideMark/>
          </w:tcPr>
          <w:p w14:paraId="2AA3923E" w14:textId="77777777" w:rsidR="003824F4" w:rsidRPr="0002728B" w:rsidRDefault="003824F4" w:rsidP="00300A09">
            <w:pPr>
              <w:jc w:val="both"/>
              <w:rPr>
                <w:color w:val="000000"/>
                <w:sz w:val="20"/>
                <w:szCs w:val="20"/>
              </w:rPr>
            </w:pPr>
            <w:r w:rsidRPr="0002728B">
              <w:rPr>
                <w:color w:val="000000"/>
                <w:sz w:val="20"/>
                <w:szCs w:val="20"/>
                <w:lang w:val="en-US"/>
              </w:rPr>
              <w:t>-</w:t>
            </w:r>
          </w:p>
        </w:tc>
        <w:tc>
          <w:tcPr>
            <w:tcW w:w="0" w:type="auto"/>
            <w:tcBorders>
              <w:top w:val="nil"/>
              <w:bottom w:val="single" w:sz="4" w:space="0" w:color="auto"/>
            </w:tcBorders>
            <w:shd w:val="clear" w:color="auto" w:fill="auto"/>
            <w:vAlign w:val="center"/>
            <w:hideMark/>
          </w:tcPr>
          <w:p w14:paraId="602E2CCA" w14:textId="77777777" w:rsidR="003824F4" w:rsidRPr="0002728B" w:rsidRDefault="003824F4" w:rsidP="00300A09">
            <w:pPr>
              <w:jc w:val="both"/>
              <w:rPr>
                <w:color w:val="000000"/>
                <w:sz w:val="20"/>
                <w:szCs w:val="20"/>
              </w:rPr>
            </w:pPr>
            <w:r w:rsidRPr="0002728B">
              <w:rPr>
                <w:color w:val="000000"/>
                <w:sz w:val="20"/>
                <w:szCs w:val="20"/>
                <w:lang w:val="en-US"/>
              </w:rPr>
              <w:t>0.6</w:t>
            </w:r>
          </w:p>
        </w:tc>
        <w:tc>
          <w:tcPr>
            <w:tcW w:w="0" w:type="auto"/>
            <w:tcBorders>
              <w:top w:val="nil"/>
              <w:bottom w:val="single" w:sz="4" w:space="0" w:color="auto"/>
            </w:tcBorders>
            <w:shd w:val="clear" w:color="auto" w:fill="auto"/>
            <w:vAlign w:val="center"/>
            <w:hideMark/>
          </w:tcPr>
          <w:p w14:paraId="66791A2C" w14:textId="77777777" w:rsidR="003824F4" w:rsidRPr="0002728B" w:rsidRDefault="003824F4" w:rsidP="00300A09">
            <w:pPr>
              <w:jc w:val="both"/>
              <w:rPr>
                <w:color w:val="000000"/>
                <w:sz w:val="20"/>
                <w:szCs w:val="20"/>
              </w:rPr>
            </w:pPr>
            <w:r w:rsidRPr="0002728B">
              <w:rPr>
                <w:color w:val="000000"/>
                <w:sz w:val="20"/>
                <w:szCs w:val="20"/>
                <w:lang w:val="en-US"/>
              </w:rPr>
              <w:t>0.58</w:t>
            </w:r>
          </w:p>
        </w:tc>
        <w:tc>
          <w:tcPr>
            <w:tcW w:w="0" w:type="auto"/>
            <w:tcBorders>
              <w:top w:val="nil"/>
              <w:bottom w:val="single" w:sz="4" w:space="0" w:color="auto"/>
              <w:right w:val="nil"/>
            </w:tcBorders>
            <w:shd w:val="clear" w:color="auto" w:fill="auto"/>
            <w:vAlign w:val="center"/>
            <w:hideMark/>
          </w:tcPr>
          <w:p w14:paraId="4EEDED30" w14:textId="77777777" w:rsidR="003824F4" w:rsidRPr="0002728B" w:rsidRDefault="003824F4" w:rsidP="00300A09">
            <w:pPr>
              <w:jc w:val="both"/>
              <w:rPr>
                <w:color w:val="000000"/>
                <w:sz w:val="20"/>
                <w:szCs w:val="20"/>
              </w:rPr>
            </w:pPr>
            <w:r w:rsidRPr="0002728B">
              <w:rPr>
                <w:color w:val="000000"/>
                <w:sz w:val="20"/>
                <w:szCs w:val="20"/>
                <w:lang w:val="en-US"/>
              </w:rPr>
              <w:t>0.75</w:t>
            </w:r>
          </w:p>
        </w:tc>
      </w:tr>
    </w:tbl>
    <w:p w14:paraId="5D754ECF" w14:textId="77777777" w:rsidR="003824F4" w:rsidRPr="00C54985" w:rsidRDefault="003824F4" w:rsidP="00300A09">
      <w:pPr>
        <w:jc w:val="both"/>
      </w:pPr>
    </w:p>
    <w:p w14:paraId="1E9B66AE" w14:textId="53BABF0F" w:rsidR="00522634" w:rsidRPr="00C54985" w:rsidRDefault="00522634" w:rsidP="00300A09">
      <w:pPr>
        <w:jc w:val="both"/>
        <w:rPr>
          <w:i/>
        </w:rPr>
      </w:pPr>
      <w:r w:rsidRPr="00C54985">
        <w:rPr>
          <w:i/>
        </w:rPr>
        <w:t>Results</w:t>
      </w:r>
      <w:r w:rsidR="00CD552C" w:rsidRPr="00C54985">
        <w:rPr>
          <w:i/>
        </w:rPr>
        <w:t xml:space="preserve"> of logistics analysis</w:t>
      </w:r>
    </w:p>
    <w:p w14:paraId="76187C62" w14:textId="77777777" w:rsidR="00522634" w:rsidRPr="00C54985" w:rsidRDefault="00522634" w:rsidP="00300A09">
      <w:pPr>
        <w:jc w:val="both"/>
      </w:pPr>
    </w:p>
    <w:p w14:paraId="40EB4057" w14:textId="6A01F178" w:rsidR="00D91EDA" w:rsidRPr="00C54985" w:rsidRDefault="00D821D7" w:rsidP="00300A09">
      <w:pPr>
        <w:jc w:val="both"/>
      </w:pPr>
      <w:r w:rsidRPr="00C54985">
        <w:t>Table 5</w:t>
      </w:r>
      <w:r w:rsidR="00BA42D2" w:rsidRPr="00C54985">
        <w:t xml:space="preserve"> shows the results of the </w:t>
      </w:r>
      <w:r w:rsidR="00CB0452" w:rsidRPr="00C54985">
        <w:t>logit</w:t>
      </w:r>
      <w:r w:rsidR="00BA42D2" w:rsidRPr="00C54985">
        <w:t xml:space="preserve"> analysis of 2009 and 2012 using national PLI. The results of this study show that in 2009 when the national PLI </w:t>
      </w:r>
      <w:r w:rsidR="00BA42D2" w:rsidRPr="00C54985">
        <w:rPr>
          <w:noProof/>
        </w:rPr>
        <w:t>was applied</w:t>
      </w:r>
      <w:r w:rsidR="00BA42D2" w:rsidRPr="00C54985">
        <w:t xml:space="preserve"> as </w:t>
      </w:r>
      <w:r w:rsidR="00C4781C" w:rsidRPr="00C54985">
        <w:t xml:space="preserve">the </w:t>
      </w:r>
      <w:r w:rsidR="00BA42D2" w:rsidRPr="00C54985">
        <w:rPr>
          <w:noProof/>
        </w:rPr>
        <w:t>dependent</w:t>
      </w:r>
      <w:r w:rsidR="00BA42D2" w:rsidRPr="00C54985">
        <w:t xml:space="preserve"> variable, age, gender,</w:t>
      </w:r>
      <w:r w:rsidR="002A63A2" w:rsidRPr="00C54985">
        <w:t xml:space="preserve"> strata,</w:t>
      </w:r>
      <w:r w:rsidR="00BA42D2" w:rsidRPr="00C54985">
        <w:t xml:space="preserve"> education in all levels, Penang and Perak, Chinese</w:t>
      </w:r>
      <w:r w:rsidR="002A63A2" w:rsidRPr="00C54985">
        <w:t xml:space="preserve"> ethnicity</w:t>
      </w:r>
      <w:r w:rsidR="00BA42D2" w:rsidRPr="00C54985">
        <w:t>,</w:t>
      </w:r>
      <w:r w:rsidR="00B16DA4" w:rsidRPr="00C54985">
        <w:t xml:space="preserve"> and</w:t>
      </w:r>
      <w:r w:rsidR="00BA42D2" w:rsidRPr="00C54985">
        <w:t xml:space="preserve"> </w:t>
      </w:r>
      <w:r w:rsidR="002A63A2" w:rsidRPr="00C54985">
        <w:t>married head</w:t>
      </w:r>
      <w:r w:rsidR="00BA42D2" w:rsidRPr="00C54985">
        <w:t xml:space="preserve"> of household are statistically significant in determining </w:t>
      </w:r>
      <w:r w:rsidR="00054DE6" w:rsidRPr="00C54985">
        <w:t xml:space="preserve">a </w:t>
      </w:r>
      <w:r w:rsidR="00BA42D2" w:rsidRPr="00C54985">
        <w:t>household’s likelihood of poverty. While in 2012</w:t>
      </w:r>
      <w:r w:rsidR="00054DE6" w:rsidRPr="00C54985">
        <w:t>,</w:t>
      </w:r>
      <w:r w:rsidR="00BA42D2" w:rsidRPr="00C54985">
        <w:t xml:space="preserve"> with</w:t>
      </w:r>
      <w:r w:rsidR="00054DE6" w:rsidRPr="00C54985">
        <w:t xml:space="preserve"> the</w:t>
      </w:r>
      <w:r w:rsidR="00BA42D2" w:rsidRPr="00C54985">
        <w:t xml:space="preserve"> same dependent variable, age, </w:t>
      </w:r>
      <w:r w:rsidR="00B84D6C" w:rsidRPr="00C54985">
        <w:t xml:space="preserve">strata, Penang and Perak, </w:t>
      </w:r>
      <w:r w:rsidR="00F411C6" w:rsidRPr="00C54985">
        <w:t xml:space="preserve">secondary </w:t>
      </w:r>
      <w:r w:rsidR="00BA42D2" w:rsidRPr="00C54985">
        <w:t xml:space="preserve">education, and </w:t>
      </w:r>
      <w:r w:rsidR="00B84D6C" w:rsidRPr="00C54985">
        <w:t xml:space="preserve">married and widowed head of household </w:t>
      </w:r>
      <w:r w:rsidR="00BA42D2" w:rsidRPr="00C54985">
        <w:t xml:space="preserve">are statistically significant in determining </w:t>
      </w:r>
      <w:r w:rsidR="00F411C6" w:rsidRPr="00C54985">
        <w:t xml:space="preserve">the </w:t>
      </w:r>
      <w:r w:rsidR="00BA42D2" w:rsidRPr="00C54985">
        <w:t>household’s likelihood of poverty.</w:t>
      </w:r>
    </w:p>
    <w:p w14:paraId="31F09B64" w14:textId="6C8ECF71" w:rsidR="00D91EDA" w:rsidRPr="00C54985" w:rsidRDefault="00F411C6" w:rsidP="00300A09">
      <w:pPr>
        <w:ind w:firstLine="720"/>
        <w:jc w:val="both"/>
      </w:pPr>
      <w:r w:rsidRPr="00C54985">
        <w:t>The d</w:t>
      </w:r>
      <w:r w:rsidR="007232D6" w:rsidRPr="00C54985">
        <w:t xml:space="preserve">iscussion of logistic analysis </w:t>
      </w:r>
      <w:r w:rsidRPr="00C54985">
        <w:rPr>
          <w:noProof/>
        </w:rPr>
        <w:t>is</w:t>
      </w:r>
      <w:r w:rsidR="007232D6" w:rsidRPr="00C54985">
        <w:rPr>
          <w:noProof/>
        </w:rPr>
        <w:t xml:space="preserve"> based</w:t>
      </w:r>
      <w:r w:rsidR="007232D6" w:rsidRPr="00C54985">
        <w:t xml:space="preserve"> on </w:t>
      </w:r>
      <w:r w:rsidRPr="00C54985">
        <w:t xml:space="preserve">the </w:t>
      </w:r>
      <w:r w:rsidR="007232D6" w:rsidRPr="00C54985">
        <w:t>marginal effects</w:t>
      </w:r>
      <w:r w:rsidR="005678BC" w:rsidRPr="00C54985">
        <w:t xml:space="preserve"> on statistically significant variables</w:t>
      </w:r>
      <w:r w:rsidR="007232D6" w:rsidRPr="00C54985">
        <w:t xml:space="preserve">. </w:t>
      </w:r>
      <w:r w:rsidR="007232D6" w:rsidRPr="00C54985">
        <w:rPr>
          <w:noProof/>
        </w:rPr>
        <w:t>This</w:t>
      </w:r>
      <w:r w:rsidR="007232D6" w:rsidRPr="00C54985">
        <w:t xml:space="preserve"> is because </w:t>
      </w:r>
      <w:r w:rsidRPr="00C54985">
        <w:t xml:space="preserve">the </w:t>
      </w:r>
      <w:r w:rsidR="007232D6" w:rsidRPr="00C54985">
        <w:t xml:space="preserve">odds ratio does not have a direct interpretation. </w:t>
      </w:r>
      <w:r w:rsidR="006F0B0B" w:rsidRPr="00C54985">
        <w:t xml:space="preserve">In </w:t>
      </w:r>
      <w:r w:rsidR="006F0B0B" w:rsidRPr="00C54985">
        <w:lastRenderedPageBreak/>
        <w:t>2009</w:t>
      </w:r>
      <w:r w:rsidR="00081336" w:rsidRPr="00C54985">
        <w:t xml:space="preserve">, an increase </w:t>
      </w:r>
      <w:r w:rsidRPr="00C54985">
        <w:t xml:space="preserve">in the </w:t>
      </w:r>
      <w:r w:rsidR="00D91EDA" w:rsidRPr="00C54985">
        <w:t>age</w:t>
      </w:r>
      <w:r w:rsidR="00497DFA" w:rsidRPr="00C54985">
        <w:t xml:space="preserve"> of </w:t>
      </w:r>
      <w:r w:rsidRPr="00C54985">
        <w:t xml:space="preserve">the </w:t>
      </w:r>
      <w:r w:rsidR="00497DFA" w:rsidRPr="00C54985">
        <w:t>head of household</w:t>
      </w:r>
      <w:r w:rsidR="00D91EDA" w:rsidRPr="00C54985">
        <w:t xml:space="preserve"> by one year</w:t>
      </w:r>
      <w:r w:rsidR="006F0B0B" w:rsidRPr="00C54985">
        <w:t xml:space="preserve"> </w:t>
      </w:r>
      <w:r w:rsidR="00081336" w:rsidRPr="00C54985">
        <w:t xml:space="preserve">will </w:t>
      </w:r>
      <w:r w:rsidR="00143C5C" w:rsidRPr="00C54985">
        <w:t xml:space="preserve">increase </w:t>
      </w:r>
      <w:r w:rsidRPr="00C54985">
        <w:t xml:space="preserve">the </w:t>
      </w:r>
      <w:r w:rsidR="006F0B0B" w:rsidRPr="00C54985">
        <w:t xml:space="preserve">probability of the household to be poor </w:t>
      </w:r>
      <w:r w:rsidR="00143C5C" w:rsidRPr="00C54985">
        <w:t>by 0.001</w:t>
      </w:r>
      <w:r w:rsidR="003B5042" w:rsidRPr="00C54985">
        <w:t>. The probability of male head</w:t>
      </w:r>
      <w:r w:rsidRPr="00C54985">
        <w:t>s</w:t>
      </w:r>
      <w:r w:rsidR="003B5042" w:rsidRPr="00C54985">
        <w:t xml:space="preserve"> of household</w:t>
      </w:r>
      <w:r w:rsidRPr="00C54985">
        <w:t>s</w:t>
      </w:r>
      <w:r w:rsidR="003B5042" w:rsidRPr="00C54985">
        <w:t xml:space="preserve"> to be living in poverty is 0.056 less than female head</w:t>
      </w:r>
      <w:r w:rsidRPr="00C54985">
        <w:t>s</w:t>
      </w:r>
      <w:r w:rsidR="003B5042" w:rsidRPr="00C54985">
        <w:t xml:space="preserve"> of household</w:t>
      </w:r>
      <w:r w:rsidRPr="00C54985">
        <w:t>s</w:t>
      </w:r>
      <w:r w:rsidR="00855249" w:rsidRPr="00C54985">
        <w:t>, while households living in rural area</w:t>
      </w:r>
      <w:r w:rsidRPr="00C54985">
        <w:t>s</w:t>
      </w:r>
      <w:r w:rsidR="00855249" w:rsidRPr="00C54985">
        <w:t xml:space="preserve"> have </w:t>
      </w:r>
      <w:r w:rsidRPr="00C54985">
        <w:t xml:space="preserve">the </w:t>
      </w:r>
      <w:r w:rsidR="00855249" w:rsidRPr="00C54985">
        <w:t>probability to be poor of 0.018 greater than households living in urban area</w:t>
      </w:r>
      <w:r w:rsidRPr="00C54985">
        <w:t>s</w:t>
      </w:r>
      <w:r w:rsidR="00855249" w:rsidRPr="00C54985">
        <w:t xml:space="preserve">. According to </w:t>
      </w:r>
      <w:r w:rsidR="00855249" w:rsidRPr="00C54985">
        <w:rPr>
          <w:noProof/>
        </w:rPr>
        <w:t>state</w:t>
      </w:r>
      <w:r w:rsidR="00855249" w:rsidRPr="00C54985">
        <w:t xml:space="preserve">, households in Penang and Perak have </w:t>
      </w:r>
      <w:r w:rsidRPr="00C54985">
        <w:t xml:space="preserve">a </w:t>
      </w:r>
      <w:r w:rsidR="00855249" w:rsidRPr="00C54985">
        <w:t>probability to live in poverty less by 0.059 and 0.02 respectively compared to households in Perlis.</w:t>
      </w:r>
    </w:p>
    <w:p w14:paraId="5DEFC767" w14:textId="28AED2D9" w:rsidR="00EF57D5" w:rsidRPr="00C54985" w:rsidRDefault="00EF57D5" w:rsidP="00300A09">
      <w:pPr>
        <w:ind w:firstLine="720"/>
        <w:jc w:val="both"/>
      </w:pPr>
      <w:r w:rsidRPr="00C54985">
        <w:t>Chinese households in 2009 ha</w:t>
      </w:r>
      <w:r w:rsidR="00F411C6" w:rsidRPr="00C54985">
        <w:t>ve the</w:t>
      </w:r>
      <w:r w:rsidRPr="00C54985">
        <w:t xml:space="preserve"> probability </w:t>
      </w:r>
      <w:r w:rsidR="00F411C6" w:rsidRPr="00C54985">
        <w:t xml:space="preserve">of 0.056 </w:t>
      </w:r>
      <w:r w:rsidRPr="00C54985">
        <w:t xml:space="preserve">to be poor less than </w:t>
      </w:r>
      <w:r w:rsidR="00017E0B" w:rsidRPr="00C54985">
        <w:t xml:space="preserve">Bumiputera households, while for households which the head is married, the probability to be poor is 0.104 less than never married head of household. </w:t>
      </w:r>
      <w:r w:rsidR="00DC5D3B" w:rsidRPr="00C54985">
        <w:t xml:space="preserve">The probability of household which the head of household received until secondary education to be living in poverty is 0.028 less than </w:t>
      </w:r>
      <w:r w:rsidR="00F411C6" w:rsidRPr="00C54985">
        <w:t>t</w:t>
      </w:r>
      <w:r w:rsidR="00DC5D3B" w:rsidRPr="00C54985">
        <w:t>hose who received primary education, and for head</w:t>
      </w:r>
      <w:r w:rsidR="00F411C6" w:rsidRPr="00C54985">
        <w:t>s</w:t>
      </w:r>
      <w:r w:rsidR="00DC5D3B" w:rsidRPr="00C54985">
        <w:t xml:space="preserve"> of household</w:t>
      </w:r>
      <w:r w:rsidR="00F411C6" w:rsidRPr="00C54985">
        <w:t>s</w:t>
      </w:r>
      <w:r w:rsidR="00DC5D3B" w:rsidRPr="00C54985">
        <w:t xml:space="preserve"> </w:t>
      </w:r>
      <w:r w:rsidR="00F411C6" w:rsidRPr="00C54985">
        <w:t xml:space="preserve">with </w:t>
      </w:r>
      <w:r w:rsidR="00DC5D3B" w:rsidRPr="00C54985">
        <w:t>tertiary education, the probability is 0.142 lesser. Meanwhile, for household</w:t>
      </w:r>
      <w:r w:rsidR="00F411C6" w:rsidRPr="00C54985">
        <w:t>s</w:t>
      </w:r>
      <w:r w:rsidR="00DC5D3B" w:rsidRPr="00C54985">
        <w:t xml:space="preserve"> with other types of education, the probability for them to be poor is 0.039 greater than </w:t>
      </w:r>
      <w:r w:rsidR="000D28EE" w:rsidRPr="00C54985">
        <w:t>those who received primary education.</w:t>
      </w:r>
    </w:p>
    <w:p w14:paraId="55DBA29A" w14:textId="77777777" w:rsidR="003824F4" w:rsidRPr="00C54985" w:rsidRDefault="003824F4" w:rsidP="00300A09">
      <w:pPr>
        <w:ind w:firstLine="720"/>
        <w:jc w:val="both"/>
      </w:pPr>
    </w:p>
    <w:p w14:paraId="028C0CFA" w14:textId="413BB2FE" w:rsidR="003824F4" w:rsidRDefault="003824F4" w:rsidP="00300A09">
      <w:pPr>
        <w:jc w:val="center"/>
        <w:rPr>
          <w:sz w:val="20"/>
          <w:szCs w:val="20"/>
          <w:lang w:val="en-US"/>
        </w:rPr>
      </w:pPr>
      <w:r w:rsidRPr="007B0ECB">
        <w:rPr>
          <w:sz w:val="20"/>
          <w:szCs w:val="20"/>
          <w:lang w:val="en-US"/>
        </w:rPr>
        <w:t xml:space="preserve">Table 5. </w:t>
      </w:r>
      <w:r w:rsidR="00380D44">
        <w:rPr>
          <w:sz w:val="20"/>
          <w:szCs w:val="20"/>
          <w:lang w:val="en-US"/>
        </w:rPr>
        <w:t xml:space="preserve"> </w:t>
      </w:r>
      <w:r w:rsidRPr="007B0ECB">
        <w:rPr>
          <w:sz w:val="20"/>
          <w:szCs w:val="20"/>
          <w:lang w:val="en-US"/>
        </w:rPr>
        <w:t>Results of the logit analysis 2009 &amp; 2012 national PLI</w:t>
      </w:r>
    </w:p>
    <w:p w14:paraId="21A642A7" w14:textId="77777777" w:rsidR="007B0ECB" w:rsidRPr="007B0ECB" w:rsidRDefault="007B0ECB" w:rsidP="00300A09">
      <w:pPr>
        <w:jc w:val="center"/>
        <w:rPr>
          <w:sz w:val="20"/>
          <w:szCs w:val="20"/>
          <w:lang w:val="en-US"/>
        </w:rPr>
      </w:pPr>
    </w:p>
    <w:tbl>
      <w:tblPr>
        <w:tblW w:w="8584" w:type="dxa"/>
        <w:jc w:val="center"/>
        <w:tblLook w:val="04A0" w:firstRow="1" w:lastRow="0" w:firstColumn="1" w:lastColumn="0" w:noHBand="0" w:noVBand="1"/>
      </w:tblPr>
      <w:tblGrid>
        <w:gridCol w:w="2842"/>
        <w:gridCol w:w="1440"/>
        <w:gridCol w:w="1440"/>
        <w:gridCol w:w="1440"/>
        <w:gridCol w:w="1422"/>
      </w:tblGrid>
      <w:tr w:rsidR="003824F4" w:rsidRPr="007B0ECB" w14:paraId="70603B7D" w14:textId="77777777" w:rsidTr="00AE6331">
        <w:trPr>
          <w:trHeight w:val="340"/>
          <w:jc w:val="center"/>
        </w:trPr>
        <w:tc>
          <w:tcPr>
            <w:tcW w:w="2842" w:type="dxa"/>
            <w:tcBorders>
              <w:top w:val="single" w:sz="4" w:space="0" w:color="auto"/>
            </w:tcBorders>
            <w:shd w:val="clear" w:color="auto" w:fill="BDD6EE" w:themeFill="accent5" w:themeFillTint="66"/>
            <w:vAlign w:val="center"/>
            <w:hideMark/>
          </w:tcPr>
          <w:p w14:paraId="51DA894B" w14:textId="77777777" w:rsidR="003824F4" w:rsidRPr="007B0ECB" w:rsidRDefault="003824F4" w:rsidP="00300A09">
            <w:pPr>
              <w:jc w:val="both"/>
              <w:rPr>
                <w:sz w:val="20"/>
                <w:szCs w:val="20"/>
                <w:lang w:eastAsia="en-GB"/>
              </w:rPr>
            </w:pPr>
            <w:r w:rsidRPr="007B0ECB">
              <w:rPr>
                <w:sz w:val="20"/>
                <w:szCs w:val="20"/>
                <w:lang w:val="en-US"/>
              </w:rPr>
              <w:t> </w:t>
            </w:r>
          </w:p>
        </w:tc>
        <w:tc>
          <w:tcPr>
            <w:tcW w:w="2880" w:type="dxa"/>
            <w:gridSpan w:val="2"/>
            <w:tcBorders>
              <w:top w:val="single" w:sz="4" w:space="0" w:color="auto"/>
            </w:tcBorders>
            <w:shd w:val="clear" w:color="auto" w:fill="BDD6EE" w:themeFill="accent5" w:themeFillTint="66"/>
            <w:vAlign w:val="center"/>
            <w:hideMark/>
          </w:tcPr>
          <w:p w14:paraId="47D1DE1C" w14:textId="512B6AA3" w:rsidR="003824F4" w:rsidRPr="00071C35" w:rsidRDefault="003824F4" w:rsidP="00300A09">
            <w:pPr>
              <w:jc w:val="center"/>
              <w:rPr>
                <w:b/>
                <w:sz w:val="20"/>
                <w:szCs w:val="20"/>
              </w:rPr>
            </w:pPr>
            <w:r w:rsidRPr="00071C35">
              <w:rPr>
                <w:b/>
                <w:sz w:val="20"/>
                <w:szCs w:val="20"/>
                <w:lang w:val="en-US"/>
              </w:rPr>
              <w:t>2009</w:t>
            </w:r>
          </w:p>
        </w:tc>
        <w:tc>
          <w:tcPr>
            <w:tcW w:w="2862" w:type="dxa"/>
            <w:gridSpan w:val="2"/>
            <w:tcBorders>
              <w:top w:val="single" w:sz="4" w:space="0" w:color="auto"/>
            </w:tcBorders>
            <w:shd w:val="clear" w:color="auto" w:fill="BDD6EE" w:themeFill="accent5" w:themeFillTint="66"/>
            <w:vAlign w:val="center"/>
            <w:hideMark/>
          </w:tcPr>
          <w:p w14:paraId="5942BD2D" w14:textId="77777777" w:rsidR="003824F4" w:rsidRPr="00071C35" w:rsidRDefault="003824F4" w:rsidP="00300A09">
            <w:pPr>
              <w:jc w:val="center"/>
              <w:rPr>
                <w:b/>
                <w:sz w:val="20"/>
                <w:szCs w:val="20"/>
              </w:rPr>
            </w:pPr>
            <w:r w:rsidRPr="00071C35">
              <w:rPr>
                <w:b/>
                <w:sz w:val="20"/>
                <w:szCs w:val="20"/>
                <w:lang w:val="en-US"/>
              </w:rPr>
              <w:t>2012</w:t>
            </w:r>
          </w:p>
        </w:tc>
      </w:tr>
      <w:tr w:rsidR="003824F4" w:rsidRPr="006A3724" w14:paraId="57C5DCB6" w14:textId="77777777" w:rsidTr="00AE6331">
        <w:trPr>
          <w:trHeight w:val="340"/>
          <w:jc w:val="center"/>
        </w:trPr>
        <w:tc>
          <w:tcPr>
            <w:tcW w:w="2842" w:type="dxa"/>
            <w:tcBorders>
              <w:bottom w:val="single" w:sz="4" w:space="0" w:color="auto"/>
            </w:tcBorders>
            <w:shd w:val="clear" w:color="auto" w:fill="BDD6EE" w:themeFill="accent5" w:themeFillTint="66"/>
            <w:vAlign w:val="center"/>
            <w:hideMark/>
          </w:tcPr>
          <w:p w14:paraId="36D729F0" w14:textId="77777777" w:rsidR="003824F4" w:rsidRPr="006A3724" w:rsidRDefault="003824F4" w:rsidP="00300A09">
            <w:pPr>
              <w:jc w:val="both"/>
              <w:rPr>
                <w:b/>
                <w:sz w:val="20"/>
                <w:szCs w:val="20"/>
              </w:rPr>
            </w:pPr>
            <w:r w:rsidRPr="006A3724">
              <w:rPr>
                <w:b/>
                <w:sz w:val="20"/>
                <w:szCs w:val="20"/>
                <w:lang w:val="en-US"/>
              </w:rPr>
              <w:t>Variables</w:t>
            </w:r>
          </w:p>
        </w:tc>
        <w:tc>
          <w:tcPr>
            <w:tcW w:w="1440" w:type="dxa"/>
            <w:tcBorders>
              <w:bottom w:val="single" w:sz="4" w:space="0" w:color="auto"/>
            </w:tcBorders>
            <w:shd w:val="clear" w:color="auto" w:fill="BDD6EE" w:themeFill="accent5" w:themeFillTint="66"/>
            <w:vAlign w:val="center"/>
            <w:hideMark/>
          </w:tcPr>
          <w:p w14:paraId="7770BC05" w14:textId="77777777" w:rsidR="003824F4" w:rsidRPr="006A3724" w:rsidRDefault="003824F4" w:rsidP="00300A09">
            <w:pPr>
              <w:jc w:val="center"/>
              <w:rPr>
                <w:b/>
                <w:sz w:val="20"/>
                <w:szCs w:val="20"/>
              </w:rPr>
            </w:pPr>
            <w:r w:rsidRPr="006A3724">
              <w:rPr>
                <w:b/>
                <w:sz w:val="20"/>
                <w:szCs w:val="20"/>
                <w:lang w:val="en-US"/>
              </w:rPr>
              <w:t>Odds ratio</w:t>
            </w:r>
          </w:p>
        </w:tc>
        <w:tc>
          <w:tcPr>
            <w:tcW w:w="1440" w:type="dxa"/>
            <w:tcBorders>
              <w:bottom w:val="single" w:sz="4" w:space="0" w:color="auto"/>
            </w:tcBorders>
            <w:shd w:val="clear" w:color="auto" w:fill="BDD6EE" w:themeFill="accent5" w:themeFillTint="66"/>
            <w:vAlign w:val="center"/>
            <w:hideMark/>
          </w:tcPr>
          <w:p w14:paraId="3AE9F1DF" w14:textId="77777777" w:rsidR="003824F4" w:rsidRPr="006A3724" w:rsidRDefault="003824F4" w:rsidP="00300A09">
            <w:pPr>
              <w:jc w:val="center"/>
              <w:rPr>
                <w:b/>
                <w:sz w:val="20"/>
                <w:szCs w:val="20"/>
              </w:rPr>
            </w:pPr>
            <w:r w:rsidRPr="006A3724">
              <w:rPr>
                <w:b/>
                <w:sz w:val="20"/>
                <w:szCs w:val="20"/>
                <w:lang w:val="en-US"/>
              </w:rPr>
              <w:t>ME</w:t>
            </w:r>
          </w:p>
        </w:tc>
        <w:tc>
          <w:tcPr>
            <w:tcW w:w="1440" w:type="dxa"/>
            <w:tcBorders>
              <w:bottom w:val="single" w:sz="4" w:space="0" w:color="auto"/>
            </w:tcBorders>
            <w:shd w:val="clear" w:color="auto" w:fill="BDD6EE" w:themeFill="accent5" w:themeFillTint="66"/>
            <w:vAlign w:val="center"/>
            <w:hideMark/>
          </w:tcPr>
          <w:p w14:paraId="3BF0BAC6" w14:textId="77777777" w:rsidR="003824F4" w:rsidRPr="006A3724" w:rsidRDefault="003824F4" w:rsidP="00300A09">
            <w:pPr>
              <w:jc w:val="center"/>
              <w:rPr>
                <w:b/>
                <w:sz w:val="20"/>
                <w:szCs w:val="20"/>
              </w:rPr>
            </w:pPr>
            <w:r w:rsidRPr="006A3724">
              <w:rPr>
                <w:b/>
                <w:sz w:val="20"/>
                <w:szCs w:val="20"/>
                <w:lang w:val="en-US"/>
              </w:rPr>
              <w:t>Odds ratio</w:t>
            </w:r>
          </w:p>
        </w:tc>
        <w:tc>
          <w:tcPr>
            <w:tcW w:w="1422" w:type="dxa"/>
            <w:tcBorders>
              <w:bottom w:val="single" w:sz="4" w:space="0" w:color="auto"/>
            </w:tcBorders>
            <w:shd w:val="clear" w:color="auto" w:fill="BDD6EE" w:themeFill="accent5" w:themeFillTint="66"/>
            <w:vAlign w:val="center"/>
            <w:hideMark/>
          </w:tcPr>
          <w:p w14:paraId="1D3A11B4" w14:textId="77777777" w:rsidR="003824F4" w:rsidRPr="006A3724" w:rsidRDefault="003824F4" w:rsidP="00300A09">
            <w:pPr>
              <w:jc w:val="center"/>
              <w:rPr>
                <w:b/>
                <w:sz w:val="20"/>
                <w:szCs w:val="20"/>
              </w:rPr>
            </w:pPr>
            <w:r w:rsidRPr="006A3724">
              <w:rPr>
                <w:b/>
                <w:sz w:val="20"/>
                <w:szCs w:val="20"/>
                <w:lang w:val="en-US"/>
              </w:rPr>
              <w:t>ME</w:t>
            </w:r>
          </w:p>
        </w:tc>
      </w:tr>
      <w:tr w:rsidR="003824F4" w:rsidRPr="007B0ECB" w14:paraId="5C9434CB" w14:textId="77777777" w:rsidTr="00AE6331">
        <w:trPr>
          <w:trHeight w:val="340"/>
          <w:jc w:val="center"/>
        </w:trPr>
        <w:tc>
          <w:tcPr>
            <w:tcW w:w="2842" w:type="dxa"/>
            <w:tcBorders>
              <w:top w:val="single" w:sz="4" w:space="0" w:color="auto"/>
            </w:tcBorders>
            <w:shd w:val="clear" w:color="auto" w:fill="auto"/>
            <w:vAlign w:val="center"/>
            <w:hideMark/>
          </w:tcPr>
          <w:p w14:paraId="5CB12668" w14:textId="622909C8" w:rsidR="003824F4" w:rsidRPr="007B0ECB" w:rsidRDefault="003824F4" w:rsidP="00300A09">
            <w:pPr>
              <w:jc w:val="both"/>
              <w:rPr>
                <w:sz w:val="20"/>
                <w:szCs w:val="20"/>
              </w:rPr>
            </w:pPr>
            <w:r w:rsidRPr="007B0ECB">
              <w:rPr>
                <w:sz w:val="20"/>
                <w:szCs w:val="20"/>
                <w:lang w:val="en-US"/>
              </w:rPr>
              <w:t>Age</w:t>
            </w:r>
          </w:p>
        </w:tc>
        <w:tc>
          <w:tcPr>
            <w:tcW w:w="1440" w:type="dxa"/>
            <w:tcBorders>
              <w:top w:val="single" w:sz="4" w:space="0" w:color="auto"/>
            </w:tcBorders>
            <w:shd w:val="clear" w:color="auto" w:fill="auto"/>
            <w:vAlign w:val="center"/>
            <w:hideMark/>
          </w:tcPr>
          <w:p w14:paraId="131B3A07" w14:textId="77777777" w:rsidR="003824F4" w:rsidRPr="007B0ECB" w:rsidRDefault="003824F4" w:rsidP="00300A09">
            <w:pPr>
              <w:jc w:val="center"/>
              <w:rPr>
                <w:sz w:val="20"/>
                <w:szCs w:val="20"/>
              </w:rPr>
            </w:pPr>
            <w:r w:rsidRPr="007B0ECB">
              <w:rPr>
                <w:sz w:val="20"/>
                <w:szCs w:val="20"/>
                <w:lang w:val="en-US"/>
              </w:rPr>
              <w:t>1.029***</w:t>
            </w:r>
          </w:p>
        </w:tc>
        <w:tc>
          <w:tcPr>
            <w:tcW w:w="1440" w:type="dxa"/>
            <w:tcBorders>
              <w:top w:val="single" w:sz="4" w:space="0" w:color="auto"/>
            </w:tcBorders>
            <w:shd w:val="clear" w:color="auto" w:fill="auto"/>
            <w:vAlign w:val="center"/>
            <w:hideMark/>
          </w:tcPr>
          <w:p w14:paraId="168DD4A5" w14:textId="77777777" w:rsidR="003824F4" w:rsidRPr="007B0ECB" w:rsidRDefault="003824F4" w:rsidP="00300A09">
            <w:pPr>
              <w:jc w:val="center"/>
              <w:rPr>
                <w:sz w:val="20"/>
                <w:szCs w:val="20"/>
              </w:rPr>
            </w:pPr>
            <w:r w:rsidRPr="007B0ECB">
              <w:rPr>
                <w:sz w:val="20"/>
                <w:szCs w:val="20"/>
                <w:lang w:val="en-US"/>
              </w:rPr>
              <w:t>0.001***</w:t>
            </w:r>
          </w:p>
        </w:tc>
        <w:tc>
          <w:tcPr>
            <w:tcW w:w="1440" w:type="dxa"/>
            <w:tcBorders>
              <w:top w:val="single" w:sz="4" w:space="0" w:color="auto"/>
            </w:tcBorders>
            <w:shd w:val="clear" w:color="auto" w:fill="auto"/>
            <w:vAlign w:val="center"/>
            <w:hideMark/>
          </w:tcPr>
          <w:p w14:paraId="5A2376F6" w14:textId="77777777" w:rsidR="003824F4" w:rsidRPr="007B0ECB" w:rsidRDefault="003824F4" w:rsidP="00300A09">
            <w:pPr>
              <w:jc w:val="center"/>
              <w:rPr>
                <w:sz w:val="20"/>
                <w:szCs w:val="20"/>
              </w:rPr>
            </w:pPr>
            <w:r w:rsidRPr="007B0ECB">
              <w:rPr>
                <w:sz w:val="20"/>
                <w:szCs w:val="20"/>
                <w:lang w:val="en-US"/>
              </w:rPr>
              <w:t>1.083***</w:t>
            </w:r>
          </w:p>
        </w:tc>
        <w:tc>
          <w:tcPr>
            <w:tcW w:w="1422" w:type="dxa"/>
            <w:tcBorders>
              <w:top w:val="single" w:sz="4" w:space="0" w:color="auto"/>
            </w:tcBorders>
            <w:shd w:val="clear" w:color="auto" w:fill="auto"/>
            <w:vAlign w:val="center"/>
            <w:hideMark/>
          </w:tcPr>
          <w:p w14:paraId="1D979DFA" w14:textId="77777777" w:rsidR="003824F4" w:rsidRPr="007B0ECB" w:rsidRDefault="003824F4" w:rsidP="00300A09">
            <w:pPr>
              <w:jc w:val="center"/>
              <w:rPr>
                <w:sz w:val="20"/>
                <w:szCs w:val="20"/>
              </w:rPr>
            </w:pPr>
            <w:r w:rsidRPr="007B0ECB">
              <w:rPr>
                <w:sz w:val="20"/>
                <w:szCs w:val="20"/>
                <w:lang w:val="en-US"/>
              </w:rPr>
              <w:t>0.003***</w:t>
            </w:r>
          </w:p>
        </w:tc>
      </w:tr>
      <w:tr w:rsidR="003824F4" w:rsidRPr="007B0ECB" w14:paraId="7414CDC1" w14:textId="77777777" w:rsidTr="00671C23">
        <w:trPr>
          <w:trHeight w:val="340"/>
          <w:jc w:val="center"/>
        </w:trPr>
        <w:tc>
          <w:tcPr>
            <w:tcW w:w="2842" w:type="dxa"/>
            <w:shd w:val="clear" w:color="auto" w:fill="auto"/>
            <w:vAlign w:val="center"/>
            <w:hideMark/>
          </w:tcPr>
          <w:p w14:paraId="3CBA39B2" w14:textId="77777777" w:rsidR="003824F4" w:rsidRPr="007B0ECB" w:rsidRDefault="003824F4" w:rsidP="00300A09">
            <w:pPr>
              <w:jc w:val="both"/>
              <w:rPr>
                <w:sz w:val="20"/>
                <w:szCs w:val="20"/>
              </w:rPr>
            </w:pPr>
            <w:r w:rsidRPr="007B0ECB">
              <w:rPr>
                <w:sz w:val="20"/>
                <w:szCs w:val="20"/>
                <w:lang w:val="en-US"/>
              </w:rPr>
              <w:t xml:space="preserve">Gender </w:t>
            </w:r>
            <w:r w:rsidRPr="007B0ECB">
              <w:rPr>
                <w:sz w:val="20"/>
                <w:szCs w:val="20"/>
                <w:vertAlign w:val="superscript"/>
                <w:lang w:val="en-US"/>
              </w:rPr>
              <w:t>a</w:t>
            </w:r>
          </w:p>
        </w:tc>
        <w:tc>
          <w:tcPr>
            <w:tcW w:w="1440" w:type="dxa"/>
            <w:shd w:val="clear" w:color="auto" w:fill="auto"/>
            <w:vAlign w:val="center"/>
            <w:hideMark/>
          </w:tcPr>
          <w:p w14:paraId="4F44355C" w14:textId="77777777" w:rsidR="003824F4" w:rsidRPr="007B0ECB" w:rsidRDefault="003824F4" w:rsidP="00300A09">
            <w:pPr>
              <w:jc w:val="center"/>
              <w:rPr>
                <w:sz w:val="20"/>
                <w:szCs w:val="20"/>
              </w:rPr>
            </w:pPr>
            <w:r w:rsidRPr="007B0ECB">
              <w:rPr>
                <w:sz w:val="20"/>
                <w:szCs w:val="20"/>
                <w:lang w:val="en-US"/>
              </w:rPr>
              <w:t>0.301***</w:t>
            </w:r>
          </w:p>
        </w:tc>
        <w:tc>
          <w:tcPr>
            <w:tcW w:w="1440" w:type="dxa"/>
            <w:shd w:val="clear" w:color="auto" w:fill="auto"/>
            <w:vAlign w:val="center"/>
            <w:hideMark/>
          </w:tcPr>
          <w:p w14:paraId="06BFE025" w14:textId="77777777" w:rsidR="003824F4" w:rsidRPr="007B0ECB" w:rsidRDefault="003824F4" w:rsidP="00300A09">
            <w:pPr>
              <w:jc w:val="center"/>
              <w:rPr>
                <w:sz w:val="20"/>
                <w:szCs w:val="20"/>
              </w:rPr>
            </w:pPr>
            <w:r w:rsidRPr="007B0ECB">
              <w:rPr>
                <w:sz w:val="20"/>
                <w:szCs w:val="20"/>
                <w:lang w:val="en-US"/>
              </w:rPr>
              <w:t>-0.056***</w:t>
            </w:r>
          </w:p>
        </w:tc>
        <w:tc>
          <w:tcPr>
            <w:tcW w:w="1440" w:type="dxa"/>
            <w:shd w:val="clear" w:color="auto" w:fill="auto"/>
            <w:vAlign w:val="center"/>
            <w:hideMark/>
          </w:tcPr>
          <w:p w14:paraId="0A069721" w14:textId="77777777" w:rsidR="003824F4" w:rsidRPr="007B0ECB" w:rsidRDefault="003824F4" w:rsidP="00300A09">
            <w:pPr>
              <w:jc w:val="center"/>
              <w:rPr>
                <w:sz w:val="20"/>
                <w:szCs w:val="20"/>
              </w:rPr>
            </w:pPr>
            <w:r w:rsidRPr="007B0ECB">
              <w:rPr>
                <w:sz w:val="20"/>
                <w:szCs w:val="20"/>
                <w:lang w:val="en-US"/>
              </w:rPr>
              <w:t>0.695</w:t>
            </w:r>
          </w:p>
        </w:tc>
        <w:tc>
          <w:tcPr>
            <w:tcW w:w="1422" w:type="dxa"/>
            <w:shd w:val="clear" w:color="auto" w:fill="auto"/>
            <w:vAlign w:val="center"/>
            <w:hideMark/>
          </w:tcPr>
          <w:p w14:paraId="39E07C7E" w14:textId="77777777" w:rsidR="003824F4" w:rsidRPr="007B0ECB" w:rsidRDefault="003824F4" w:rsidP="00300A09">
            <w:pPr>
              <w:jc w:val="center"/>
              <w:rPr>
                <w:sz w:val="20"/>
                <w:szCs w:val="20"/>
              </w:rPr>
            </w:pPr>
            <w:r w:rsidRPr="007B0ECB">
              <w:rPr>
                <w:sz w:val="20"/>
                <w:szCs w:val="20"/>
                <w:lang w:val="en-US"/>
              </w:rPr>
              <w:t>-0.013</w:t>
            </w:r>
          </w:p>
        </w:tc>
      </w:tr>
      <w:tr w:rsidR="003824F4" w:rsidRPr="007B0ECB" w14:paraId="2140A33F" w14:textId="77777777" w:rsidTr="00671C23">
        <w:trPr>
          <w:trHeight w:val="340"/>
          <w:jc w:val="center"/>
        </w:trPr>
        <w:tc>
          <w:tcPr>
            <w:tcW w:w="2842" w:type="dxa"/>
            <w:shd w:val="clear" w:color="auto" w:fill="auto"/>
            <w:vAlign w:val="center"/>
            <w:hideMark/>
          </w:tcPr>
          <w:p w14:paraId="5D26591A" w14:textId="77777777" w:rsidR="003824F4" w:rsidRPr="007B0ECB" w:rsidRDefault="003824F4" w:rsidP="00300A09">
            <w:pPr>
              <w:jc w:val="both"/>
              <w:rPr>
                <w:sz w:val="20"/>
                <w:szCs w:val="20"/>
              </w:rPr>
            </w:pPr>
            <w:r w:rsidRPr="007B0ECB">
              <w:rPr>
                <w:sz w:val="20"/>
                <w:szCs w:val="20"/>
                <w:lang w:val="en-US"/>
              </w:rPr>
              <w:t xml:space="preserve">Location </w:t>
            </w:r>
            <w:r w:rsidRPr="007B0ECB">
              <w:rPr>
                <w:sz w:val="20"/>
                <w:szCs w:val="20"/>
                <w:vertAlign w:val="superscript"/>
                <w:lang w:val="en-US"/>
              </w:rPr>
              <w:t>b</w:t>
            </w:r>
          </w:p>
        </w:tc>
        <w:tc>
          <w:tcPr>
            <w:tcW w:w="1440" w:type="dxa"/>
            <w:shd w:val="clear" w:color="auto" w:fill="auto"/>
            <w:vAlign w:val="center"/>
            <w:hideMark/>
          </w:tcPr>
          <w:p w14:paraId="23351B2E" w14:textId="77777777" w:rsidR="003824F4" w:rsidRPr="007B0ECB" w:rsidRDefault="003824F4" w:rsidP="00300A09">
            <w:pPr>
              <w:jc w:val="center"/>
              <w:rPr>
                <w:sz w:val="20"/>
                <w:szCs w:val="20"/>
              </w:rPr>
            </w:pPr>
            <w:r w:rsidRPr="007B0ECB">
              <w:rPr>
                <w:sz w:val="20"/>
                <w:szCs w:val="20"/>
                <w:lang w:val="en-US"/>
              </w:rPr>
              <w:t>1.482*</w:t>
            </w:r>
          </w:p>
        </w:tc>
        <w:tc>
          <w:tcPr>
            <w:tcW w:w="1440" w:type="dxa"/>
            <w:shd w:val="clear" w:color="auto" w:fill="auto"/>
            <w:vAlign w:val="center"/>
            <w:hideMark/>
          </w:tcPr>
          <w:p w14:paraId="47607A4B" w14:textId="77777777" w:rsidR="003824F4" w:rsidRPr="007B0ECB" w:rsidRDefault="003824F4" w:rsidP="00300A09">
            <w:pPr>
              <w:jc w:val="center"/>
              <w:rPr>
                <w:sz w:val="20"/>
                <w:szCs w:val="20"/>
              </w:rPr>
            </w:pPr>
            <w:r w:rsidRPr="007B0ECB">
              <w:rPr>
                <w:sz w:val="20"/>
                <w:szCs w:val="20"/>
                <w:lang w:val="en-US"/>
              </w:rPr>
              <w:t>0.018*</w:t>
            </w:r>
          </w:p>
        </w:tc>
        <w:tc>
          <w:tcPr>
            <w:tcW w:w="1440" w:type="dxa"/>
            <w:shd w:val="clear" w:color="auto" w:fill="auto"/>
            <w:vAlign w:val="center"/>
            <w:hideMark/>
          </w:tcPr>
          <w:p w14:paraId="5B406D21" w14:textId="77777777" w:rsidR="003824F4" w:rsidRPr="007B0ECB" w:rsidRDefault="003824F4" w:rsidP="00300A09">
            <w:pPr>
              <w:jc w:val="center"/>
              <w:rPr>
                <w:sz w:val="20"/>
                <w:szCs w:val="20"/>
              </w:rPr>
            </w:pPr>
            <w:r w:rsidRPr="007B0ECB">
              <w:rPr>
                <w:sz w:val="20"/>
                <w:szCs w:val="20"/>
                <w:lang w:val="en-US"/>
              </w:rPr>
              <w:t>1.616**</w:t>
            </w:r>
          </w:p>
        </w:tc>
        <w:tc>
          <w:tcPr>
            <w:tcW w:w="1422" w:type="dxa"/>
            <w:shd w:val="clear" w:color="auto" w:fill="auto"/>
            <w:vAlign w:val="center"/>
            <w:hideMark/>
          </w:tcPr>
          <w:p w14:paraId="51A77BAE" w14:textId="77777777" w:rsidR="003824F4" w:rsidRPr="007B0ECB" w:rsidRDefault="003824F4" w:rsidP="00300A09">
            <w:pPr>
              <w:jc w:val="center"/>
              <w:rPr>
                <w:sz w:val="20"/>
                <w:szCs w:val="20"/>
              </w:rPr>
            </w:pPr>
            <w:r w:rsidRPr="007B0ECB">
              <w:rPr>
                <w:sz w:val="20"/>
                <w:szCs w:val="20"/>
                <w:lang w:val="en-US"/>
              </w:rPr>
              <w:t>0.018**</w:t>
            </w:r>
          </w:p>
        </w:tc>
      </w:tr>
      <w:tr w:rsidR="003824F4" w:rsidRPr="007B0ECB" w14:paraId="0078C438" w14:textId="77777777" w:rsidTr="00671C23">
        <w:trPr>
          <w:trHeight w:val="340"/>
          <w:jc w:val="center"/>
        </w:trPr>
        <w:tc>
          <w:tcPr>
            <w:tcW w:w="2842" w:type="dxa"/>
            <w:shd w:val="clear" w:color="auto" w:fill="auto"/>
            <w:vAlign w:val="center"/>
            <w:hideMark/>
          </w:tcPr>
          <w:p w14:paraId="47C363FB" w14:textId="77777777" w:rsidR="003824F4" w:rsidRPr="007B0ECB" w:rsidRDefault="003824F4" w:rsidP="00300A09">
            <w:pPr>
              <w:jc w:val="both"/>
              <w:rPr>
                <w:sz w:val="20"/>
                <w:szCs w:val="20"/>
              </w:rPr>
            </w:pPr>
            <w:r w:rsidRPr="007B0ECB">
              <w:rPr>
                <w:sz w:val="20"/>
                <w:szCs w:val="20"/>
                <w:lang w:val="en-US"/>
              </w:rPr>
              <w:t xml:space="preserve">State </w:t>
            </w:r>
            <w:r w:rsidRPr="007B0ECB">
              <w:rPr>
                <w:sz w:val="20"/>
                <w:szCs w:val="20"/>
                <w:vertAlign w:val="superscript"/>
                <w:lang w:val="en-US"/>
              </w:rPr>
              <w:t>c</w:t>
            </w:r>
          </w:p>
        </w:tc>
        <w:tc>
          <w:tcPr>
            <w:tcW w:w="1440" w:type="dxa"/>
            <w:shd w:val="clear" w:color="auto" w:fill="auto"/>
            <w:vAlign w:val="center"/>
            <w:hideMark/>
          </w:tcPr>
          <w:p w14:paraId="2DDF6196" w14:textId="5B691DB7" w:rsidR="003824F4" w:rsidRPr="007B0ECB" w:rsidRDefault="003824F4" w:rsidP="00300A09">
            <w:pPr>
              <w:jc w:val="center"/>
              <w:rPr>
                <w:sz w:val="20"/>
                <w:szCs w:val="20"/>
              </w:rPr>
            </w:pPr>
          </w:p>
        </w:tc>
        <w:tc>
          <w:tcPr>
            <w:tcW w:w="1440" w:type="dxa"/>
            <w:shd w:val="clear" w:color="auto" w:fill="auto"/>
            <w:vAlign w:val="center"/>
            <w:hideMark/>
          </w:tcPr>
          <w:p w14:paraId="6DAF8351" w14:textId="6AA5CA12" w:rsidR="003824F4" w:rsidRPr="007B0ECB" w:rsidRDefault="003824F4" w:rsidP="00300A09">
            <w:pPr>
              <w:jc w:val="center"/>
              <w:rPr>
                <w:sz w:val="20"/>
                <w:szCs w:val="20"/>
              </w:rPr>
            </w:pPr>
          </w:p>
        </w:tc>
        <w:tc>
          <w:tcPr>
            <w:tcW w:w="1440" w:type="dxa"/>
            <w:shd w:val="clear" w:color="auto" w:fill="auto"/>
            <w:vAlign w:val="center"/>
            <w:hideMark/>
          </w:tcPr>
          <w:p w14:paraId="014DB3BD" w14:textId="75461783" w:rsidR="003824F4" w:rsidRPr="007B0ECB" w:rsidRDefault="003824F4" w:rsidP="00300A09">
            <w:pPr>
              <w:jc w:val="center"/>
              <w:rPr>
                <w:sz w:val="20"/>
                <w:szCs w:val="20"/>
              </w:rPr>
            </w:pPr>
          </w:p>
        </w:tc>
        <w:tc>
          <w:tcPr>
            <w:tcW w:w="1422" w:type="dxa"/>
            <w:shd w:val="clear" w:color="auto" w:fill="auto"/>
            <w:vAlign w:val="center"/>
            <w:hideMark/>
          </w:tcPr>
          <w:p w14:paraId="1CF51023" w14:textId="1D00E9EA" w:rsidR="003824F4" w:rsidRPr="007B0ECB" w:rsidRDefault="003824F4" w:rsidP="00300A09">
            <w:pPr>
              <w:jc w:val="center"/>
              <w:rPr>
                <w:sz w:val="20"/>
                <w:szCs w:val="20"/>
              </w:rPr>
            </w:pPr>
          </w:p>
        </w:tc>
      </w:tr>
      <w:tr w:rsidR="003824F4" w:rsidRPr="007B0ECB" w14:paraId="639E5F8A" w14:textId="77777777" w:rsidTr="00AE6331">
        <w:trPr>
          <w:trHeight w:val="340"/>
          <w:jc w:val="center"/>
        </w:trPr>
        <w:tc>
          <w:tcPr>
            <w:tcW w:w="2842" w:type="dxa"/>
            <w:shd w:val="clear" w:color="auto" w:fill="auto"/>
            <w:vAlign w:val="center"/>
            <w:hideMark/>
          </w:tcPr>
          <w:p w14:paraId="340C4B7C" w14:textId="471A6A15" w:rsidR="003824F4" w:rsidRPr="007B0ECB" w:rsidRDefault="003824F4" w:rsidP="00300A09">
            <w:pPr>
              <w:jc w:val="both"/>
              <w:rPr>
                <w:sz w:val="20"/>
                <w:szCs w:val="20"/>
              </w:rPr>
            </w:pPr>
            <w:r w:rsidRPr="007B0ECB">
              <w:rPr>
                <w:sz w:val="20"/>
                <w:szCs w:val="20"/>
                <w:lang w:val="en-US"/>
              </w:rPr>
              <w:t>Kedah</w:t>
            </w:r>
          </w:p>
        </w:tc>
        <w:tc>
          <w:tcPr>
            <w:tcW w:w="1440" w:type="dxa"/>
            <w:shd w:val="clear" w:color="auto" w:fill="auto"/>
            <w:vAlign w:val="center"/>
            <w:hideMark/>
          </w:tcPr>
          <w:p w14:paraId="56B8998B" w14:textId="77777777" w:rsidR="003824F4" w:rsidRPr="007B0ECB" w:rsidRDefault="003824F4" w:rsidP="00300A09">
            <w:pPr>
              <w:jc w:val="center"/>
              <w:rPr>
                <w:sz w:val="20"/>
                <w:szCs w:val="20"/>
              </w:rPr>
            </w:pPr>
            <w:r w:rsidRPr="007B0ECB">
              <w:rPr>
                <w:sz w:val="20"/>
                <w:szCs w:val="20"/>
                <w:lang w:val="en-US"/>
              </w:rPr>
              <w:t>0.8</w:t>
            </w:r>
          </w:p>
        </w:tc>
        <w:tc>
          <w:tcPr>
            <w:tcW w:w="1440" w:type="dxa"/>
            <w:shd w:val="clear" w:color="auto" w:fill="auto"/>
            <w:vAlign w:val="center"/>
            <w:hideMark/>
          </w:tcPr>
          <w:p w14:paraId="02E74DC1" w14:textId="77777777" w:rsidR="003824F4" w:rsidRPr="007B0ECB" w:rsidRDefault="003824F4" w:rsidP="00300A09">
            <w:pPr>
              <w:jc w:val="center"/>
              <w:rPr>
                <w:sz w:val="20"/>
                <w:szCs w:val="20"/>
              </w:rPr>
            </w:pPr>
            <w:r w:rsidRPr="007B0ECB">
              <w:rPr>
                <w:sz w:val="20"/>
                <w:szCs w:val="20"/>
                <w:lang w:val="en-US"/>
              </w:rPr>
              <w:t>-0.01</w:t>
            </w:r>
          </w:p>
        </w:tc>
        <w:tc>
          <w:tcPr>
            <w:tcW w:w="1440" w:type="dxa"/>
            <w:shd w:val="clear" w:color="auto" w:fill="auto"/>
            <w:vAlign w:val="center"/>
            <w:hideMark/>
          </w:tcPr>
          <w:p w14:paraId="7E9E99EF" w14:textId="77777777" w:rsidR="003824F4" w:rsidRPr="007B0ECB" w:rsidRDefault="003824F4" w:rsidP="00300A09">
            <w:pPr>
              <w:jc w:val="center"/>
              <w:rPr>
                <w:sz w:val="20"/>
                <w:szCs w:val="20"/>
              </w:rPr>
            </w:pPr>
            <w:r w:rsidRPr="007B0ECB">
              <w:rPr>
                <w:sz w:val="20"/>
                <w:szCs w:val="20"/>
                <w:lang w:val="en-US"/>
              </w:rPr>
              <w:t>1.033</w:t>
            </w:r>
          </w:p>
        </w:tc>
        <w:tc>
          <w:tcPr>
            <w:tcW w:w="1422" w:type="dxa"/>
            <w:shd w:val="clear" w:color="auto" w:fill="auto"/>
            <w:vAlign w:val="center"/>
            <w:hideMark/>
          </w:tcPr>
          <w:p w14:paraId="25846834" w14:textId="77777777" w:rsidR="003824F4" w:rsidRPr="007B0ECB" w:rsidRDefault="003824F4" w:rsidP="00300A09">
            <w:pPr>
              <w:jc w:val="center"/>
              <w:rPr>
                <w:sz w:val="20"/>
                <w:szCs w:val="20"/>
              </w:rPr>
            </w:pPr>
            <w:r w:rsidRPr="007B0ECB">
              <w:rPr>
                <w:sz w:val="20"/>
                <w:szCs w:val="20"/>
                <w:lang w:val="en-US"/>
              </w:rPr>
              <w:t>0.002</w:t>
            </w:r>
          </w:p>
        </w:tc>
      </w:tr>
      <w:tr w:rsidR="003824F4" w:rsidRPr="007B0ECB" w14:paraId="01867B54" w14:textId="77777777" w:rsidTr="006A3724">
        <w:trPr>
          <w:trHeight w:val="540"/>
          <w:jc w:val="center"/>
        </w:trPr>
        <w:tc>
          <w:tcPr>
            <w:tcW w:w="2842" w:type="dxa"/>
            <w:shd w:val="clear" w:color="auto" w:fill="auto"/>
            <w:vAlign w:val="center"/>
            <w:hideMark/>
          </w:tcPr>
          <w:p w14:paraId="4DC42A5E" w14:textId="5B648AAF" w:rsidR="003824F4" w:rsidRPr="007B0ECB" w:rsidRDefault="003824F4" w:rsidP="00300A09">
            <w:pPr>
              <w:jc w:val="both"/>
              <w:rPr>
                <w:sz w:val="20"/>
                <w:szCs w:val="20"/>
              </w:rPr>
            </w:pPr>
            <w:r w:rsidRPr="007B0ECB">
              <w:rPr>
                <w:sz w:val="20"/>
                <w:szCs w:val="20"/>
                <w:lang w:val="en-US"/>
              </w:rPr>
              <w:t>Penang</w:t>
            </w:r>
          </w:p>
        </w:tc>
        <w:tc>
          <w:tcPr>
            <w:tcW w:w="1440" w:type="dxa"/>
            <w:shd w:val="clear" w:color="auto" w:fill="auto"/>
            <w:vAlign w:val="center"/>
            <w:hideMark/>
          </w:tcPr>
          <w:p w14:paraId="799A2DF0" w14:textId="77777777" w:rsidR="003824F4" w:rsidRPr="007B0ECB" w:rsidRDefault="003824F4" w:rsidP="00300A09">
            <w:pPr>
              <w:jc w:val="center"/>
              <w:rPr>
                <w:sz w:val="20"/>
                <w:szCs w:val="20"/>
              </w:rPr>
            </w:pPr>
            <w:r w:rsidRPr="007B0ECB">
              <w:rPr>
                <w:sz w:val="20"/>
                <w:szCs w:val="20"/>
                <w:lang w:val="en-US"/>
              </w:rPr>
              <w:t>0.284***</w:t>
            </w:r>
          </w:p>
        </w:tc>
        <w:tc>
          <w:tcPr>
            <w:tcW w:w="1440" w:type="dxa"/>
            <w:shd w:val="clear" w:color="auto" w:fill="auto"/>
            <w:vAlign w:val="center"/>
            <w:hideMark/>
          </w:tcPr>
          <w:p w14:paraId="2AE14F91" w14:textId="77777777" w:rsidR="003824F4" w:rsidRPr="007B0ECB" w:rsidRDefault="003824F4" w:rsidP="00300A09">
            <w:pPr>
              <w:jc w:val="center"/>
              <w:rPr>
                <w:sz w:val="20"/>
                <w:szCs w:val="20"/>
              </w:rPr>
            </w:pPr>
            <w:r w:rsidRPr="007B0ECB">
              <w:rPr>
                <w:sz w:val="20"/>
                <w:szCs w:val="20"/>
                <w:lang w:val="en-US"/>
              </w:rPr>
              <w:t>-0.059***</w:t>
            </w:r>
          </w:p>
        </w:tc>
        <w:tc>
          <w:tcPr>
            <w:tcW w:w="1440" w:type="dxa"/>
            <w:shd w:val="clear" w:color="auto" w:fill="auto"/>
            <w:vAlign w:val="center"/>
            <w:hideMark/>
          </w:tcPr>
          <w:p w14:paraId="20B63F6D" w14:textId="77777777" w:rsidR="003824F4" w:rsidRPr="007B0ECB" w:rsidRDefault="003824F4" w:rsidP="00300A09">
            <w:pPr>
              <w:jc w:val="center"/>
              <w:rPr>
                <w:sz w:val="20"/>
                <w:szCs w:val="20"/>
              </w:rPr>
            </w:pPr>
            <w:r w:rsidRPr="007B0ECB">
              <w:rPr>
                <w:sz w:val="20"/>
                <w:szCs w:val="20"/>
                <w:lang w:val="en-US"/>
              </w:rPr>
              <w:t>0.377**</w:t>
            </w:r>
          </w:p>
        </w:tc>
        <w:tc>
          <w:tcPr>
            <w:tcW w:w="1422" w:type="dxa"/>
            <w:shd w:val="clear" w:color="auto" w:fill="auto"/>
            <w:vAlign w:val="center"/>
            <w:hideMark/>
          </w:tcPr>
          <w:p w14:paraId="0AABF299" w14:textId="77777777" w:rsidR="003824F4" w:rsidRPr="007B0ECB" w:rsidRDefault="003824F4" w:rsidP="00300A09">
            <w:pPr>
              <w:jc w:val="center"/>
              <w:rPr>
                <w:sz w:val="20"/>
                <w:szCs w:val="20"/>
              </w:rPr>
            </w:pPr>
            <w:r w:rsidRPr="007B0ECB">
              <w:rPr>
                <w:sz w:val="20"/>
                <w:szCs w:val="20"/>
                <w:lang w:val="en-US"/>
              </w:rPr>
              <w:t>-0.036**</w:t>
            </w:r>
          </w:p>
        </w:tc>
      </w:tr>
      <w:tr w:rsidR="003824F4" w:rsidRPr="007B0ECB" w14:paraId="501D7858" w14:textId="77777777" w:rsidTr="00671C23">
        <w:trPr>
          <w:trHeight w:val="340"/>
          <w:jc w:val="center"/>
        </w:trPr>
        <w:tc>
          <w:tcPr>
            <w:tcW w:w="2842" w:type="dxa"/>
            <w:shd w:val="clear" w:color="auto" w:fill="auto"/>
            <w:vAlign w:val="center"/>
            <w:hideMark/>
          </w:tcPr>
          <w:p w14:paraId="1F35EB48" w14:textId="3B293A5C" w:rsidR="003824F4" w:rsidRPr="007B0ECB" w:rsidRDefault="003824F4" w:rsidP="00300A09">
            <w:pPr>
              <w:jc w:val="both"/>
              <w:rPr>
                <w:sz w:val="20"/>
                <w:szCs w:val="20"/>
              </w:rPr>
            </w:pPr>
            <w:r w:rsidRPr="007B0ECB">
              <w:rPr>
                <w:sz w:val="20"/>
                <w:szCs w:val="20"/>
                <w:lang w:val="en-US"/>
              </w:rPr>
              <w:t>Perak</w:t>
            </w:r>
          </w:p>
        </w:tc>
        <w:tc>
          <w:tcPr>
            <w:tcW w:w="1440" w:type="dxa"/>
            <w:shd w:val="clear" w:color="auto" w:fill="auto"/>
            <w:vAlign w:val="center"/>
            <w:hideMark/>
          </w:tcPr>
          <w:p w14:paraId="728FF19C" w14:textId="77777777" w:rsidR="003824F4" w:rsidRPr="007B0ECB" w:rsidRDefault="003824F4" w:rsidP="00300A09">
            <w:pPr>
              <w:jc w:val="center"/>
              <w:rPr>
                <w:sz w:val="20"/>
                <w:szCs w:val="20"/>
              </w:rPr>
            </w:pPr>
            <w:r w:rsidRPr="007B0ECB">
              <w:rPr>
                <w:sz w:val="20"/>
                <w:szCs w:val="20"/>
                <w:lang w:val="en-US"/>
              </w:rPr>
              <w:t>0.641*</w:t>
            </w:r>
          </w:p>
        </w:tc>
        <w:tc>
          <w:tcPr>
            <w:tcW w:w="1440" w:type="dxa"/>
            <w:shd w:val="clear" w:color="auto" w:fill="auto"/>
            <w:vAlign w:val="center"/>
            <w:hideMark/>
          </w:tcPr>
          <w:p w14:paraId="1734EBD1" w14:textId="77777777" w:rsidR="003824F4" w:rsidRPr="007B0ECB" w:rsidRDefault="003824F4" w:rsidP="00300A09">
            <w:pPr>
              <w:jc w:val="center"/>
              <w:rPr>
                <w:sz w:val="20"/>
                <w:szCs w:val="20"/>
              </w:rPr>
            </w:pPr>
            <w:r w:rsidRPr="007B0ECB">
              <w:rPr>
                <w:sz w:val="20"/>
                <w:szCs w:val="20"/>
                <w:lang w:val="en-US"/>
              </w:rPr>
              <w:t>-0.020*</w:t>
            </w:r>
          </w:p>
        </w:tc>
        <w:tc>
          <w:tcPr>
            <w:tcW w:w="1440" w:type="dxa"/>
            <w:shd w:val="clear" w:color="auto" w:fill="auto"/>
            <w:vAlign w:val="center"/>
            <w:hideMark/>
          </w:tcPr>
          <w:p w14:paraId="64476FA4" w14:textId="77777777" w:rsidR="003824F4" w:rsidRPr="007B0ECB" w:rsidRDefault="003824F4" w:rsidP="00300A09">
            <w:pPr>
              <w:jc w:val="center"/>
              <w:rPr>
                <w:sz w:val="20"/>
                <w:szCs w:val="20"/>
              </w:rPr>
            </w:pPr>
            <w:r w:rsidRPr="007B0ECB">
              <w:rPr>
                <w:sz w:val="20"/>
                <w:szCs w:val="20"/>
                <w:lang w:val="en-US"/>
              </w:rPr>
              <w:t>1.396**</w:t>
            </w:r>
          </w:p>
        </w:tc>
        <w:tc>
          <w:tcPr>
            <w:tcW w:w="1422" w:type="dxa"/>
            <w:shd w:val="clear" w:color="auto" w:fill="auto"/>
            <w:vAlign w:val="center"/>
            <w:hideMark/>
          </w:tcPr>
          <w:p w14:paraId="2392C1B1" w14:textId="77777777" w:rsidR="003824F4" w:rsidRPr="007B0ECB" w:rsidRDefault="003824F4" w:rsidP="00300A09">
            <w:pPr>
              <w:jc w:val="center"/>
              <w:rPr>
                <w:sz w:val="20"/>
                <w:szCs w:val="20"/>
              </w:rPr>
            </w:pPr>
            <w:r w:rsidRPr="007B0ECB">
              <w:rPr>
                <w:sz w:val="20"/>
                <w:szCs w:val="20"/>
                <w:lang w:val="en-US"/>
              </w:rPr>
              <w:t>0.012**</w:t>
            </w:r>
          </w:p>
        </w:tc>
      </w:tr>
      <w:tr w:rsidR="003824F4" w:rsidRPr="007B0ECB" w14:paraId="6657EF2C" w14:textId="77777777" w:rsidTr="00671C23">
        <w:trPr>
          <w:trHeight w:val="340"/>
          <w:jc w:val="center"/>
        </w:trPr>
        <w:tc>
          <w:tcPr>
            <w:tcW w:w="2842" w:type="dxa"/>
            <w:shd w:val="clear" w:color="auto" w:fill="auto"/>
            <w:vAlign w:val="center"/>
            <w:hideMark/>
          </w:tcPr>
          <w:p w14:paraId="159EA808" w14:textId="77777777" w:rsidR="003824F4" w:rsidRPr="007B0ECB" w:rsidRDefault="003824F4" w:rsidP="00300A09">
            <w:pPr>
              <w:jc w:val="both"/>
              <w:rPr>
                <w:sz w:val="20"/>
                <w:szCs w:val="20"/>
              </w:rPr>
            </w:pPr>
            <w:r w:rsidRPr="007B0ECB">
              <w:rPr>
                <w:sz w:val="20"/>
                <w:szCs w:val="20"/>
                <w:lang w:val="en-US"/>
              </w:rPr>
              <w:t xml:space="preserve">Ethnicity </w:t>
            </w:r>
            <w:r w:rsidRPr="007B0ECB">
              <w:rPr>
                <w:sz w:val="20"/>
                <w:szCs w:val="20"/>
                <w:vertAlign w:val="superscript"/>
                <w:lang w:val="en-US"/>
              </w:rPr>
              <w:t>d</w:t>
            </w:r>
          </w:p>
        </w:tc>
        <w:tc>
          <w:tcPr>
            <w:tcW w:w="1440" w:type="dxa"/>
            <w:shd w:val="clear" w:color="auto" w:fill="auto"/>
            <w:vAlign w:val="center"/>
            <w:hideMark/>
          </w:tcPr>
          <w:p w14:paraId="02A0E924" w14:textId="37B0ACA5" w:rsidR="003824F4" w:rsidRPr="007B0ECB" w:rsidRDefault="003824F4" w:rsidP="00300A09">
            <w:pPr>
              <w:jc w:val="center"/>
              <w:rPr>
                <w:sz w:val="20"/>
                <w:szCs w:val="20"/>
              </w:rPr>
            </w:pPr>
          </w:p>
        </w:tc>
        <w:tc>
          <w:tcPr>
            <w:tcW w:w="1440" w:type="dxa"/>
            <w:shd w:val="clear" w:color="auto" w:fill="auto"/>
            <w:vAlign w:val="center"/>
            <w:hideMark/>
          </w:tcPr>
          <w:p w14:paraId="721CC053" w14:textId="0FDC0BE3" w:rsidR="003824F4" w:rsidRPr="007B0ECB" w:rsidRDefault="003824F4" w:rsidP="00300A09">
            <w:pPr>
              <w:jc w:val="center"/>
              <w:rPr>
                <w:sz w:val="20"/>
                <w:szCs w:val="20"/>
              </w:rPr>
            </w:pPr>
          </w:p>
        </w:tc>
        <w:tc>
          <w:tcPr>
            <w:tcW w:w="1440" w:type="dxa"/>
            <w:shd w:val="clear" w:color="auto" w:fill="auto"/>
            <w:vAlign w:val="center"/>
            <w:hideMark/>
          </w:tcPr>
          <w:p w14:paraId="540B1D79" w14:textId="07C0C40F" w:rsidR="003824F4" w:rsidRPr="007B0ECB" w:rsidRDefault="003824F4" w:rsidP="00300A09">
            <w:pPr>
              <w:jc w:val="center"/>
              <w:rPr>
                <w:sz w:val="20"/>
                <w:szCs w:val="20"/>
              </w:rPr>
            </w:pPr>
          </w:p>
        </w:tc>
        <w:tc>
          <w:tcPr>
            <w:tcW w:w="1422" w:type="dxa"/>
            <w:shd w:val="clear" w:color="auto" w:fill="auto"/>
            <w:vAlign w:val="center"/>
            <w:hideMark/>
          </w:tcPr>
          <w:p w14:paraId="49769C53" w14:textId="092E1698" w:rsidR="003824F4" w:rsidRPr="007B0ECB" w:rsidRDefault="003824F4" w:rsidP="00300A09">
            <w:pPr>
              <w:jc w:val="center"/>
              <w:rPr>
                <w:sz w:val="20"/>
                <w:szCs w:val="20"/>
              </w:rPr>
            </w:pPr>
          </w:p>
        </w:tc>
      </w:tr>
      <w:tr w:rsidR="003824F4" w:rsidRPr="007B0ECB" w14:paraId="052489E4" w14:textId="77777777" w:rsidTr="00AE6331">
        <w:trPr>
          <w:trHeight w:val="340"/>
          <w:jc w:val="center"/>
        </w:trPr>
        <w:tc>
          <w:tcPr>
            <w:tcW w:w="2842" w:type="dxa"/>
            <w:shd w:val="clear" w:color="auto" w:fill="auto"/>
            <w:vAlign w:val="center"/>
            <w:hideMark/>
          </w:tcPr>
          <w:p w14:paraId="567F4EB6" w14:textId="48257FF6" w:rsidR="003824F4" w:rsidRPr="007B0ECB" w:rsidRDefault="003824F4" w:rsidP="00300A09">
            <w:pPr>
              <w:jc w:val="both"/>
              <w:rPr>
                <w:sz w:val="20"/>
                <w:szCs w:val="20"/>
              </w:rPr>
            </w:pPr>
            <w:r w:rsidRPr="007B0ECB">
              <w:rPr>
                <w:sz w:val="20"/>
                <w:szCs w:val="20"/>
                <w:lang w:val="en-US"/>
              </w:rPr>
              <w:t>Chinese</w:t>
            </w:r>
          </w:p>
        </w:tc>
        <w:tc>
          <w:tcPr>
            <w:tcW w:w="1440" w:type="dxa"/>
            <w:shd w:val="clear" w:color="auto" w:fill="auto"/>
            <w:vAlign w:val="center"/>
            <w:hideMark/>
          </w:tcPr>
          <w:p w14:paraId="6CFB9340" w14:textId="77777777" w:rsidR="003824F4" w:rsidRPr="007B0ECB" w:rsidRDefault="003824F4" w:rsidP="00300A09">
            <w:pPr>
              <w:jc w:val="center"/>
              <w:rPr>
                <w:sz w:val="20"/>
                <w:szCs w:val="20"/>
              </w:rPr>
            </w:pPr>
            <w:r w:rsidRPr="007B0ECB">
              <w:rPr>
                <w:sz w:val="20"/>
                <w:szCs w:val="20"/>
                <w:lang w:val="en-US"/>
              </w:rPr>
              <w:t>0.303***</w:t>
            </w:r>
          </w:p>
        </w:tc>
        <w:tc>
          <w:tcPr>
            <w:tcW w:w="1440" w:type="dxa"/>
            <w:shd w:val="clear" w:color="auto" w:fill="auto"/>
            <w:vAlign w:val="center"/>
            <w:hideMark/>
          </w:tcPr>
          <w:p w14:paraId="0A4CF71D" w14:textId="77777777" w:rsidR="003824F4" w:rsidRPr="007B0ECB" w:rsidRDefault="003824F4" w:rsidP="00300A09">
            <w:pPr>
              <w:jc w:val="center"/>
              <w:rPr>
                <w:sz w:val="20"/>
                <w:szCs w:val="20"/>
              </w:rPr>
            </w:pPr>
            <w:r w:rsidRPr="007B0ECB">
              <w:rPr>
                <w:sz w:val="20"/>
                <w:szCs w:val="20"/>
                <w:lang w:val="en-US"/>
              </w:rPr>
              <w:t>-0.056***</w:t>
            </w:r>
          </w:p>
        </w:tc>
        <w:tc>
          <w:tcPr>
            <w:tcW w:w="1440" w:type="dxa"/>
            <w:shd w:val="clear" w:color="auto" w:fill="auto"/>
            <w:vAlign w:val="center"/>
            <w:hideMark/>
          </w:tcPr>
          <w:p w14:paraId="45B0C690" w14:textId="77777777" w:rsidR="003824F4" w:rsidRPr="007B0ECB" w:rsidRDefault="003824F4" w:rsidP="00300A09">
            <w:pPr>
              <w:jc w:val="center"/>
              <w:rPr>
                <w:sz w:val="20"/>
                <w:szCs w:val="20"/>
              </w:rPr>
            </w:pPr>
            <w:r w:rsidRPr="007B0ECB">
              <w:rPr>
                <w:sz w:val="20"/>
                <w:szCs w:val="20"/>
                <w:lang w:val="en-US"/>
              </w:rPr>
              <w:t>1.14</w:t>
            </w:r>
          </w:p>
        </w:tc>
        <w:tc>
          <w:tcPr>
            <w:tcW w:w="1422" w:type="dxa"/>
            <w:shd w:val="clear" w:color="auto" w:fill="auto"/>
            <w:vAlign w:val="center"/>
            <w:hideMark/>
          </w:tcPr>
          <w:p w14:paraId="29BE508A" w14:textId="77777777" w:rsidR="003824F4" w:rsidRPr="007B0ECB" w:rsidRDefault="003824F4" w:rsidP="00300A09">
            <w:pPr>
              <w:jc w:val="center"/>
              <w:rPr>
                <w:sz w:val="20"/>
                <w:szCs w:val="20"/>
              </w:rPr>
            </w:pPr>
            <w:r w:rsidRPr="007B0ECB">
              <w:rPr>
                <w:sz w:val="20"/>
                <w:szCs w:val="20"/>
                <w:lang w:val="en-US"/>
              </w:rPr>
              <w:t>0.006</w:t>
            </w:r>
          </w:p>
        </w:tc>
      </w:tr>
      <w:tr w:rsidR="003824F4" w:rsidRPr="007B0ECB" w14:paraId="65001286" w14:textId="77777777" w:rsidTr="00671C23">
        <w:trPr>
          <w:trHeight w:val="340"/>
          <w:jc w:val="center"/>
        </w:trPr>
        <w:tc>
          <w:tcPr>
            <w:tcW w:w="2842" w:type="dxa"/>
            <w:shd w:val="clear" w:color="auto" w:fill="auto"/>
            <w:vAlign w:val="center"/>
            <w:hideMark/>
          </w:tcPr>
          <w:p w14:paraId="65CA9571" w14:textId="61AAE9CA" w:rsidR="003824F4" w:rsidRPr="007B0ECB" w:rsidRDefault="003824F4" w:rsidP="00300A09">
            <w:pPr>
              <w:jc w:val="both"/>
              <w:rPr>
                <w:sz w:val="20"/>
                <w:szCs w:val="20"/>
              </w:rPr>
            </w:pPr>
            <w:r w:rsidRPr="007B0ECB">
              <w:rPr>
                <w:sz w:val="20"/>
                <w:szCs w:val="20"/>
                <w:lang w:val="en-US"/>
              </w:rPr>
              <w:t>Indian</w:t>
            </w:r>
          </w:p>
        </w:tc>
        <w:tc>
          <w:tcPr>
            <w:tcW w:w="1440" w:type="dxa"/>
            <w:shd w:val="clear" w:color="auto" w:fill="auto"/>
            <w:vAlign w:val="center"/>
            <w:hideMark/>
          </w:tcPr>
          <w:p w14:paraId="27D3F0EF" w14:textId="77777777" w:rsidR="003824F4" w:rsidRPr="007B0ECB" w:rsidRDefault="003824F4" w:rsidP="00300A09">
            <w:pPr>
              <w:jc w:val="center"/>
              <w:rPr>
                <w:sz w:val="20"/>
                <w:szCs w:val="20"/>
              </w:rPr>
            </w:pPr>
            <w:r w:rsidRPr="007B0ECB">
              <w:rPr>
                <w:sz w:val="20"/>
                <w:szCs w:val="20"/>
                <w:lang w:val="en-US"/>
              </w:rPr>
              <w:t>0.856</w:t>
            </w:r>
          </w:p>
        </w:tc>
        <w:tc>
          <w:tcPr>
            <w:tcW w:w="1440" w:type="dxa"/>
            <w:shd w:val="clear" w:color="auto" w:fill="auto"/>
            <w:vAlign w:val="center"/>
            <w:hideMark/>
          </w:tcPr>
          <w:p w14:paraId="08CED559" w14:textId="77777777" w:rsidR="003824F4" w:rsidRPr="007B0ECB" w:rsidRDefault="003824F4" w:rsidP="00300A09">
            <w:pPr>
              <w:jc w:val="center"/>
              <w:rPr>
                <w:sz w:val="20"/>
                <w:szCs w:val="20"/>
              </w:rPr>
            </w:pPr>
            <w:r w:rsidRPr="007B0ECB">
              <w:rPr>
                <w:sz w:val="20"/>
                <w:szCs w:val="20"/>
                <w:lang w:val="en-US"/>
              </w:rPr>
              <w:t>-0.007</w:t>
            </w:r>
          </w:p>
        </w:tc>
        <w:tc>
          <w:tcPr>
            <w:tcW w:w="1440" w:type="dxa"/>
            <w:shd w:val="clear" w:color="auto" w:fill="auto"/>
            <w:vAlign w:val="center"/>
            <w:hideMark/>
          </w:tcPr>
          <w:p w14:paraId="01DB669E" w14:textId="77777777" w:rsidR="003824F4" w:rsidRPr="007B0ECB" w:rsidRDefault="003824F4" w:rsidP="00300A09">
            <w:pPr>
              <w:jc w:val="center"/>
              <w:rPr>
                <w:sz w:val="20"/>
                <w:szCs w:val="20"/>
              </w:rPr>
            </w:pPr>
            <w:r w:rsidRPr="007B0ECB">
              <w:rPr>
                <w:sz w:val="20"/>
                <w:szCs w:val="20"/>
                <w:lang w:val="en-US"/>
              </w:rPr>
              <w:t>1.397</w:t>
            </w:r>
          </w:p>
        </w:tc>
        <w:tc>
          <w:tcPr>
            <w:tcW w:w="1422" w:type="dxa"/>
            <w:shd w:val="clear" w:color="auto" w:fill="auto"/>
            <w:vAlign w:val="center"/>
            <w:hideMark/>
          </w:tcPr>
          <w:p w14:paraId="58FC601D" w14:textId="77777777" w:rsidR="003824F4" w:rsidRPr="007B0ECB" w:rsidRDefault="003824F4" w:rsidP="00300A09">
            <w:pPr>
              <w:jc w:val="center"/>
              <w:rPr>
                <w:sz w:val="20"/>
                <w:szCs w:val="20"/>
              </w:rPr>
            </w:pPr>
            <w:r w:rsidRPr="007B0ECB">
              <w:rPr>
                <w:sz w:val="20"/>
                <w:szCs w:val="20"/>
                <w:lang w:val="en-US"/>
              </w:rPr>
              <w:t>0.014</w:t>
            </w:r>
          </w:p>
        </w:tc>
      </w:tr>
      <w:tr w:rsidR="003824F4" w:rsidRPr="007B0ECB" w14:paraId="6C6E9034" w14:textId="77777777" w:rsidTr="00671C23">
        <w:trPr>
          <w:trHeight w:val="340"/>
          <w:jc w:val="center"/>
        </w:trPr>
        <w:tc>
          <w:tcPr>
            <w:tcW w:w="2842" w:type="dxa"/>
            <w:shd w:val="clear" w:color="auto" w:fill="auto"/>
            <w:vAlign w:val="center"/>
            <w:hideMark/>
          </w:tcPr>
          <w:p w14:paraId="4ED3954A" w14:textId="74D7DA06" w:rsidR="003824F4" w:rsidRPr="007B0ECB" w:rsidRDefault="003824F4" w:rsidP="00300A09">
            <w:pPr>
              <w:jc w:val="both"/>
              <w:rPr>
                <w:sz w:val="20"/>
                <w:szCs w:val="20"/>
              </w:rPr>
            </w:pPr>
            <w:r w:rsidRPr="007B0ECB">
              <w:rPr>
                <w:sz w:val="20"/>
                <w:szCs w:val="20"/>
                <w:lang w:val="en-US"/>
              </w:rPr>
              <w:t>Others</w:t>
            </w:r>
          </w:p>
        </w:tc>
        <w:tc>
          <w:tcPr>
            <w:tcW w:w="1440" w:type="dxa"/>
            <w:shd w:val="clear" w:color="auto" w:fill="auto"/>
            <w:vAlign w:val="center"/>
            <w:hideMark/>
          </w:tcPr>
          <w:p w14:paraId="26132654" w14:textId="77777777" w:rsidR="003824F4" w:rsidRPr="007B0ECB" w:rsidRDefault="003824F4" w:rsidP="00300A09">
            <w:pPr>
              <w:jc w:val="center"/>
              <w:rPr>
                <w:sz w:val="20"/>
                <w:szCs w:val="20"/>
              </w:rPr>
            </w:pPr>
            <w:r w:rsidRPr="007B0ECB">
              <w:rPr>
                <w:sz w:val="20"/>
                <w:szCs w:val="20"/>
                <w:lang w:val="en-US"/>
              </w:rPr>
              <w:t>1</w:t>
            </w:r>
          </w:p>
        </w:tc>
        <w:tc>
          <w:tcPr>
            <w:tcW w:w="1440" w:type="dxa"/>
            <w:shd w:val="clear" w:color="auto" w:fill="auto"/>
            <w:vAlign w:val="center"/>
            <w:hideMark/>
          </w:tcPr>
          <w:p w14:paraId="47B23450" w14:textId="77777777" w:rsidR="003824F4" w:rsidRPr="007B0ECB" w:rsidRDefault="003824F4" w:rsidP="00300A09">
            <w:pPr>
              <w:jc w:val="center"/>
              <w:rPr>
                <w:sz w:val="20"/>
                <w:szCs w:val="20"/>
              </w:rPr>
            </w:pPr>
            <w:r w:rsidRPr="007B0ECB">
              <w:rPr>
                <w:sz w:val="20"/>
                <w:szCs w:val="20"/>
                <w:lang w:val="en-US"/>
              </w:rPr>
              <w:t>-0.007</w:t>
            </w:r>
          </w:p>
        </w:tc>
        <w:tc>
          <w:tcPr>
            <w:tcW w:w="1440" w:type="dxa"/>
            <w:shd w:val="clear" w:color="auto" w:fill="auto"/>
            <w:vAlign w:val="center"/>
            <w:hideMark/>
          </w:tcPr>
          <w:p w14:paraId="1A8DCC10" w14:textId="77777777" w:rsidR="003824F4" w:rsidRPr="007B0ECB" w:rsidRDefault="003824F4" w:rsidP="00300A09">
            <w:pPr>
              <w:jc w:val="center"/>
              <w:rPr>
                <w:sz w:val="20"/>
                <w:szCs w:val="20"/>
              </w:rPr>
            </w:pPr>
            <w:r w:rsidRPr="007B0ECB">
              <w:rPr>
                <w:sz w:val="20"/>
                <w:szCs w:val="20"/>
                <w:lang w:val="en-US"/>
              </w:rPr>
              <w:t>0.428</w:t>
            </w:r>
          </w:p>
        </w:tc>
        <w:tc>
          <w:tcPr>
            <w:tcW w:w="1422" w:type="dxa"/>
            <w:shd w:val="clear" w:color="auto" w:fill="auto"/>
            <w:vAlign w:val="center"/>
            <w:hideMark/>
          </w:tcPr>
          <w:p w14:paraId="4CDA43F9" w14:textId="77777777" w:rsidR="003824F4" w:rsidRPr="007B0ECB" w:rsidRDefault="003824F4" w:rsidP="00300A09">
            <w:pPr>
              <w:jc w:val="center"/>
              <w:rPr>
                <w:sz w:val="20"/>
                <w:szCs w:val="20"/>
              </w:rPr>
            </w:pPr>
            <w:r w:rsidRPr="007B0ECB">
              <w:rPr>
                <w:sz w:val="20"/>
                <w:szCs w:val="20"/>
                <w:lang w:val="en-US"/>
              </w:rPr>
              <w:t>-0.007</w:t>
            </w:r>
          </w:p>
        </w:tc>
      </w:tr>
      <w:tr w:rsidR="003824F4" w:rsidRPr="007B0ECB" w14:paraId="7BEC7EA4" w14:textId="77777777" w:rsidTr="00671C23">
        <w:trPr>
          <w:trHeight w:val="340"/>
          <w:jc w:val="center"/>
        </w:trPr>
        <w:tc>
          <w:tcPr>
            <w:tcW w:w="2842" w:type="dxa"/>
            <w:shd w:val="clear" w:color="auto" w:fill="auto"/>
            <w:vAlign w:val="center"/>
            <w:hideMark/>
          </w:tcPr>
          <w:p w14:paraId="689F188B" w14:textId="77777777" w:rsidR="003824F4" w:rsidRPr="007B0ECB" w:rsidRDefault="003824F4" w:rsidP="00300A09">
            <w:pPr>
              <w:jc w:val="both"/>
              <w:rPr>
                <w:sz w:val="20"/>
                <w:szCs w:val="20"/>
              </w:rPr>
            </w:pPr>
            <w:r w:rsidRPr="007B0ECB">
              <w:rPr>
                <w:sz w:val="20"/>
                <w:szCs w:val="20"/>
                <w:lang w:val="en-US"/>
              </w:rPr>
              <w:t xml:space="preserve">Education </w:t>
            </w:r>
            <w:r w:rsidRPr="007B0ECB">
              <w:rPr>
                <w:sz w:val="20"/>
                <w:szCs w:val="20"/>
                <w:vertAlign w:val="superscript"/>
                <w:lang w:val="en-US"/>
              </w:rPr>
              <w:t>e</w:t>
            </w:r>
          </w:p>
        </w:tc>
        <w:tc>
          <w:tcPr>
            <w:tcW w:w="1440" w:type="dxa"/>
            <w:shd w:val="clear" w:color="auto" w:fill="auto"/>
            <w:vAlign w:val="center"/>
            <w:hideMark/>
          </w:tcPr>
          <w:p w14:paraId="3A7D7DDD" w14:textId="17D40ABF" w:rsidR="003824F4" w:rsidRPr="007B0ECB" w:rsidRDefault="003824F4" w:rsidP="00300A09">
            <w:pPr>
              <w:jc w:val="center"/>
              <w:rPr>
                <w:sz w:val="20"/>
                <w:szCs w:val="20"/>
              </w:rPr>
            </w:pPr>
          </w:p>
        </w:tc>
        <w:tc>
          <w:tcPr>
            <w:tcW w:w="1440" w:type="dxa"/>
            <w:shd w:val="clear" w:color="auto" w:fill="auto"/>
            <w:vAlign w:val="center"/>
            <w:hideMark/>
          </w:tcPr>
          <w:p w14:paraId="7B525A4D" w14:textId="3CAD10E3" w:rsidR="003824F4" w:rsidRPr="007B0ECB" w:rsidRDefault="003824F4" w:rsidP="00300A09">
            <w:pPr>
              <w:jc w:val="center"/>
              <w:rPr>
                <w:sz w:val="20"/>
                <w:szCs w:val="20"/>
              </w:rPr>
            </w:pPr>
          </w:p>
        </w:tc>
        <w:tc>
          <w:tcPr>
            <w:tcW w:w="1440" w:type="dxa"/>
            <w:shd w:val="clear" w:color="auto" w:fill="auto"/>
            <w:vAlign w:val="center"/>
            <w:hideMark/>
          </w:tcPr>
          <w:p w14:paraId="215F4611" w14:textId="566DA397" w:rsidR="003824F4" w:rsidRPr="007B0ECB" w:rsidRDefault="003824F4" w:rsidP="00300A09">
            <w:pPr>
              <w:jc w:val="center"/>
              <w:rPr>
                <w:sz w:val="20"/>
                <w:szCs w:val="20"/>
              </w:rPr>
            </w:pPr>
          </w:p>
        </w:tc>
        <w:tc>
          <w:tcPr>
            <w:tcW w:w="1422" w:type="dxa"/>
            <w:shd w:val="clear" w:color="auto" w:fill="auto"/>
            <w:vAlign w:val="center"/>
            <w:hideMark/>
          </w:tcPr>
          <w:p w14:paraId="5F0FCB06" w14:textId="4729AA80" w:rsidR="003824F4" w:rsidRPr="007B0ECB" w:rsidRDefault="003824F4" w:rsidP="00300A09">
            <w:pPr>
              <w:jc w:val="center"/>
              <w:rPr>
                <w:sz w:val="20"/>
                <w:szCs w:val="20"/>
              </w:rPr>
            </w:pPr>
          </w:p>
        </w:tc>
      </w:tr>
      <w:tr w:rsidR="003824F4" w:rsidRPr="007B0ECB" w14:paraId="05F19656" w14:textId="77777777" w:rsidTr="00AE6331">
        <w:trPr>
          <w:trHeight w:val="340"/>
          <w:jc w:val="center"/>
        </w:trPr>
        <w:tc>
          <w:tcPr>
            <w:tcW w:w="2842" w:type="dxa"/>
            <w:shd w:val="clear" w:color="auto" w:fill="auto"/>
            <w:vAlign w:val="center"/>
            <w:hideMark/>
          </w:tcPr>
          <w:p w14:paraId="3AC35523" w14:textId="247ED7C1" w:rsidR="003824F4" w:rsidRPr="007B0ECB" w:rsidRDefault="003824F4" w:rsidP="00300A09">
            <w:pPr>
              <w:jc w:val="both"/>
              <w:rPr>
                <w:sz w:val="20"/>
                <w:szCs w:val="20"/>
              </w:rPr>
            </w:pPr>
            <w:r w:rsidRPr="007B0ECB">
              <w:rPr>
                <w:sz w:val="20"/>
                <w:szCs w:val="20"/>
                <w:lang w:val="en-US"/>
              </w:rPr>
              <w:t>Secondary</w:t>
            </w:r>
          </w:p>
        </w:tc>
        <w:tc>
          <w:tcPr>
            <w:tcW w:w="1440" w:type="dxa"/>
            <w:shd w:val="clear" w:color="auto" w:fill="auto"/>
            <w:vAlign w:val="center"/>
            <w:hideMark/>
          </w:tcPr>
          <w:p w14:paraId="72A5E76B" w14:textId="77777777" w:rsidR="003824F4" w:rsidRPr="007B0ECB" w:rsidRDefault="003824F4" w:rsidP="00300A09">
            <w:pPr>
              <w:jc w:val="center"/>
              <w:rPr>
                <w:sz w:val="20"/>
                <w:szCs w:val="20"/>
              </w:rPr>
            </w:pPr>
            <w:r w:rsidRPr="007B0ECB">
              <w:rPr>
                <w:sz w:val="20"/>
                <w:szCs w:val="20"/>
                <w:lang w:val="en-US"/>
              </w:rPr>
              <w:t>0.551***</w:t>
            </w:r>
          </w:p>
        </w:tc>
        <w:tc>
          <w:tcPr>
            <w:tcW w:w="1440" w:type="dxa"/>
            <w:shd w:val="clear" w:color="auto" w:fill="auto"/>
            <w:vAlign w:val="center"/>
            <w:hideMark/>
          </w:tcPr>
          <w:p w14:paraId="61ABED8E" w14:textId="77777777" w:rsidR="003824F4" w:rsidRPr="007B0ECB" w:rsidRDefault="003824F4" w:rsidP="00300A09">
            <w:pPr>
              <w:jc w:val="center"/>
              <w:rPr>
                <w:sz w:val="20"/>
                <w:szCs w:val="20"/>
              </w:rPr>
            </w:pPr>
            <w:r w:rsidRPr="007B0ECB">
              <w:rPr>
                <w:sz w:val="20"/>
                <w:szCs w:val="20"/>
                <w:lang w:val="en-US"/>
              </w:rPr>
              <w:t>-0.028***</w:t>
            </w:r>
          </w:p>
        </w:tc>
        <w:tc>
          <w:tcPr>
            <w:tcW w:w="1440" w:type="dxa"/>
            <w:shd w:val="clear" w:color="auto" w:fill="auto"/>
            <w:vAlign w:val="center"/>
            <w:hideMark/>
          </w:tcPr>
          <w:p w14:paraId="1BC539D4" w14:textId="77777777" w:rsidR="003824F4" w:rsidRPr="007B0ECB" w:rsidRDefault="003824F4" w:rsidP="00300A09">
            <w:pPr>
              <w:jc w:val="center"/>
              <w:rPr>
                <w:sz w:val="20"/>
                <w:szCs w:val="20"/>
              </w:rPr>
            </w:pPr>
            <w:r w:rsidRPr="007B0ECB">
              <w:rPr>
                <w:sz w:val="20"/>
                <w:szCs w:val="20"/>
                <w:lang w:val="en-US"/>
              </w:rPr>
              <w:t>0.552</w:t>
            </w:r>
          </w:p>
        </w:tc>
        <w:tc>
          <w:tcPr>
            <w:tcW w:w="1422" w:type="dxa"/>
            <w:shd w:val="clear" w:color="auto" w:fill="auto"/>
            <w:vAlign w:val="center"/>
            <w:hideMark/>
          </w:tcPr>
          <w:p w14:paraId="78483A4D" w14:textId="77777777" w:rsidR="003824F4" w:rsidRPr="007B0ECB" w:rsidRDefault="003824F4" w:rsidP="00300A09">
            <w:pPr>
              <w:jc w:val="center"/>
              <w:rPr>
                <w:sz w:val="20"/>
                <w:szCs w:val="20"/>
              </w:rPr>
            </w:pPr>
            <w:r w:rsidRPr="007B0ECB">
              <w:rPr>
                <w:sz w:val="20"/>
                <w:szCs w:val="20"/>
                <w:lang w:val="en-US"/>
              </w:rPr>
              <w:t>-0.02</w:t>
            </w:r>
          </w:p>
        </w:tc>
      </w:tr>
      <w:tr w:rsidR="003824F4" w:rsidRPr="007B0ECB" w14:paraId="56CA4F3E" w14:textId="77777777" w:rsidTr="006A3724">
        <w:trPr>
          <w:trHeight w:val="340"/>
          <w:jc w:val="center"/>
        </w:trPr>
        <w:tc>
          <w:tcPr>
            <w:tcW w:w="2842" w:type="dxa"/>
            <w:shd w:val="clear" w:color="auto" w:fill="auto"/>
            <w:vAlign w:val="center"/>
            <w:hideMark/>
          </w:tcPr>
          <w:p w14:paraId="2021062F" w14:textId="3127C621" w:rsidR="003824F4" w:rsidRPr="007B0ECB" w:rsidRDefault="003824F4" w:rsidP="00300A09">
            <w:pPr>
              <w:jc w:val="both"/>
              <w:rPr>
                <w:sz w:val="20"/>
                <w:szCs w:val="20"/>
              </w:rPr>
            </w:pPr>
            <w:r w:rsidRPr="007B0ECB">
              <w:rPr>
                <w:sz w:val="20"/>
                <w:szCs w:val="20"/>
                <w:lang w:val="en-US"/>
              </w:rPr>
              <w:t>Tertiary</w:t>
            </w:r>
          </w:p>
        </w:tc>
        <w:tc>
          <w:tcPr>
            <w:tcW w:w="1440" w:type="dxa"/>
            <w:shd w:val="clear" w:color="auto" w:fill="auto"/>
            <w:vAlign w:val="center"/>
            <w:hideMark/>
          </w:tcPr>
          <w:p w14:paraId="2DF7019B" w14:textId="77777777" w:rsidR="003824F4" w:rsidRPr="007B0ECB" w:rsidRDefault="003824F4" w:rsidP="00300A09">
            <w:pPr>
              <w:jc w:val="center"/>
              <w:rPr>
                <w:sz w:val="20"/>
                <w:szCs w:val="20"/>
              </w:rPr>
            </w:pPr>
            <w:r w:rsidRPr="007B0ECB">
              <w:rPr>
                <w:sz w:val="20"/>
                <w:szCs w:val="20"/>
                <w:lang w:val="en-US"/>
              </w:rPr>
              <w:t>0.047***</w:t>
            </w:r>
          </w:p>
        </w:tc>
        <w:tc>
          <w:tcPr>
            <w:tcW w:w="1440" w:type="dxa"/>
            <w:shd w:val="clear" w:color="auto" w:fill="auto"/>
            <w:vAlign w:val="center"/>
            <w:hideMark/>
          </w:tcPr>
          <w:p w14:paraId="78056A8D" w14:textId="77777777" w:rsidR="003824F4" w:rsidRPr="007B0ECB" w:rsidRDefault="003824F4" w:rsidP="00300A09">
            <w:pPr>
              <w:jc w:val="center"/>
              <w:rPr>
                <w:sz w:val="20"/>
                <w:szCs w:val="20"/>
              </w:rPr>
            </w:pPr>
            <w:r w:rsidRPr="007B0ECB">
              <w:rPr>
                <w:sz w:val="20"/>
                <w:szCs w:val="20"/>
                <w:lang w:val="en-US"/>
              </w:rPr>
              <w:t>-0.142***</w:t>
            </w:r>
          </w:p>
        </w:tc>
        <w:tc>
          <w:tcPr>
            <w:tcW w:w="1440" w:type="dxa"/>
            <w:shd w:val="clear" w:color="auto" w:fill="auto"/>
            <w:vAlign w:val="center"/>
            <w:hideMark/>
          </w:tcPr>
          <w:p w14:paraId="02D59BDC" w14:textId="77777777" w:rsidR="003824F4" w:rsidRPr="007B0ECB" w:rsidRDefault="003824F4" w:rsidP="00300A09">
            <w:pPr>
              <w:jc w:val="center"/>
              <w:rPr>
                <w:sz w:val="20"/>
                <w:szCs w:val="20"/>
              </w:rPr>
            </w:pPr>
            <w:r w:rsidRPr="007B0ECB">
              <w:rPr>
                <w:sz w:val="20"/>
                <w:szCs w:val="20"/>
                <w:lang w:val="en-US"/>
              </w:rPr>
              <w:t>0.953</w:t>
            </w:r>
          </w:p>
        </w:tc>
        <w:tc>
          <w:tcPr>
            <w:tcW w:w="1422" w:type="dxa"/>
            <w:shd w:val="clear" w:color="auto" w:fill="auto"/>
            <w:vAlign w:val="center"/>
            <w:hideMark/>
          </w:tcPr>
          <w:p w14:paraId="57C90B7B" w14:textId="77777777" w:rsidR="003824F4" w:rsidRPr="007B0ECB" w:rsidRDefault="003824F4" w:rsidP="00300A09">
            <w:pPr>
              <w:jc w:val="center"/>
              <w:rPr>
                <w:sz w:val="20"/>
                <w:szCs w:val="20"/>
              </w:rPr>
            </w:pPr>
            <w:r w:rsidRPr="007B0ECB">
              <w:rPr>
                <w:sz w:val="20"/>
                <w:szCs w:val="20"/>
                <w:lang w:val="en-US"/>
              </w:rPr>
              <w:t>0.0005</w:t>
            </w:r>
          </w:p>
        </w:tc>
      </w:tr>
      <w:tr w:rsidR="003824F4" w:rsidRPr="007B0ECB" w14:paraId="484A7085" w14:textId="77777777" w:rsidTr="00671C23">
        <w:trPr>
          <w:trHeight w:val="340"/>
          <w:jc w:val="center"/>
        </w:trPr>
        <w:tc>
          <w:tcPr>
            <w:tcW w:w="2842" w:type="dxa"/>
            <w:shd w:val="clear" w:color="auto" w:fill="auto"/>
            <w:vAlign w:val="center"/>
            <w:hideMark/>
          </w:tcPr>
          <w:p w14:paraId="2A4EDB09" w14:textId="5DE8B09C" w:rsidR="003824F4" w:rsidRPr="007B0ECB" w:rsidRDefault="003824F4" w:rsidP="00300A09">
            <w:pPr>
              <w:jc w:val="both"/>
              <w:rPr>
                <w:sz w:val="20"/>
                <w:szCs w:val="20"/>
              </w:rPr>
            </w:pPr>
            <w:r w:rsidRPr="007B0ECB">
              <w:rPr>
                <w:sz w:val="20"/>
                <w:szCs w:val="20"/>
                <w:lang w:val="en-US"/>
              </w:rPr>
              <w:t>Others</w:t>
            </w:r>
          </w:p>
        </w:tc>
        <w:tc>
          <w:tcPr>
            <w:tcW w:w="1440" w:type="dxa"/>
            <w:shd w:val="clear" w:color="auto" w:fill="auto"/>
            <w:vAlign w:val="center"/>
            <w:hideMark/>
          </w:tcPr>
          <w:p w14:paraId="2E35B61F" w14:textId="77777777" w:rsidR="003824F4" w:rsidRPr="007B0ECB" w:rsidRDefault="003824F4" w:rsidP="00300A09">
            <w:pPr>
              <w:jc w:val="center"/>
              <w:rPr>
                <w:sz w:val="20"/>
                <w:szCs w:val="20"/>
              </w:rPr>
            </w:pPr>
            <w:r w:rsidRPr="007B0ECB">
              <w:rPr>
                <w:sz w:val="20"/>
                <w:szCs w:val="20"/>
                <w:lang w:val="en-US"/>
              </w:rPr>
              <w:t>2.305***</w:t>
            </w:r>
          </w:p>
        </w:tc>
        <w:tc>
          <w:tcPr>
            <w:tcW w:w="1440" w:type="dxa"/>
            <w:shd w:val="clear" w:color="auto" w:fill="auto"/>
            <w:vAlign w:val="center"/>
            <w:hideMark/>
          </w:tcPr>
          <w:p w14:paraId="5D989289" w14:textId="77777777" w:rsidR="003824F4" w:rsidRPr="007B0ECB" w:rsidRDefault="003824F4" w:rsidP="00300A09">
            <w:pPr>
              <w:jc w:val="center"/>
              <w:rPr>
                <w:sz w:val="20"/>
                <w:szCs w:val="20"/>
              </w:rPr>
            </w:pPr>
            <w:r w:rsidRPr="007B0ECB">
              <w:rPr>
                <w:sz w:val="20"/>
                <w:szCs w:val="20"/>
                <w:lang w:val="en-US"/>
              </w:rPr>
              <w:t>0.039***</w:t>
            </w:r>
          </w:p>
        </w:tc>
        <w:tc>
          <w:tcPr>
            <w:tcW w:w="1440" w:type="dxa"/>
            <w:shd w:val="clear" w:color="auto" w:fill="auto"/>
            <w:vAlign w:val="center"/>
            <w:hideMark/>
          </w:tcPr>
          <w:p w14:paraId="413A725A" w14:textId="77777777" w:rsidR="003824F4" w:rsidRPr="007B0ECB" w:rsidRDefault="003824F4" w:rsidP="00300A09">
            <w:pPr>
              <w:jc w:val="center"/>
              <w:rPr>
                <w:sz w:val="20"/>
                <w:szCs w:val="20"/>
              </w:rPr>
            </w:pPr>
            <w:r w:rsidRPr="007B0ECB">
              <w:rPr>
                <w:sz w:val="20"/>
                <w:szCs w:val="20"/>
                <w:lang w:val="en-US"/>
              </w:rPr>
              <w:t>0.699</w:t>
            </w:r>
          </w:p>
        </w:tc>
        <w:tc>
          <w:tcPr>
            <w:tcW w:w="1422" w:type="dxa"/>
            <w:shd w:val="clear" w:color="auto" w:fill="auto"/>
            <w:vAlign w:val="center"/>
            <w:hideMark/>
          </w:tcPr>
          <w:p w14:paraId="7A41C5B3" w14:textId="77777777" w:rsidR="003824F4" w:rsidRPr="007B0ECB" w:rsidRDefault="003824F4" w:rsidP="00300A09">
            <w:pPr>
              <w:jc w:val="center"/>
              <w:rPr>
                <w:sz w:val="20"/>
                <w:szCs w:val="20"/>
              </w:rPr>
            </w:pPr>
            <w:r w:rsidRPr="007B0ECB">
              <w:rPr>
                <w:sz w:val="20"/>
                <w:szCs w:val="20"/>
                <w:lang w:val="en-US"/>
              </w:rPr>
              <w:t>-0.009</w:t>
            </w:r>
          </w:p>
        </w:tc>
      </w:tr>
      <w:tr w:rsidR="003824F4" w:rsidRPr="007B0ECB" w14:paraId="6B77BEA6" w14:textId="77777777" w:rsidTr="00671C23">
        <w:trPr>
          <w:trHeight w:val="340"/>
          <w:jc w:val="center"/>
        </w:trPr>
        <w:tc>
          <w:tcPr>
            <w:tcW w:w="2842" w:type="dxa"/>
            <w:shd w:val="clear" w:color="auto" w:fill="auto"/>
            <w:vAlign w:val="center"/>
            <w:hideMark/>
          </w:tcPr>
          <w:p w14:paraId="6ACB67F8" w14:textId="77777777" w:rsidR="003824F4" w:rsidRPr="007B0ECB" w:rsidRDefault="003824F4" w:rsidP="00300A09">
            <w:pPr>
              <w:jc w:val="both"/>
              <w:rPr>
                <w:sz w:val="20"/>
                <w:szCs w:val="20"/>
              </w:rPr>
            </w:pPr>
            <w:r w:rsidRPr="007B0ECB">
              <w:rPr>
                <w:sz w:val="20"/>
                <w:szCs w:val="20"/>
                <w:lang w:val="en-US"/>
              </w:rPr>
              <w:t xml:space="preserve">Marital </w:t>
            </w:r>
            <w:r w:rsidRPr="007B0ECB">
              <w:rPr>
                <w:sz w:val="20"/>
                <w:szCs w:val="20"/>
                <w:vertAlign w:val="superscript"/>
                <w:lang w:val="en-US"/>
              </w:rPr>
              <w:t>f</w:t>
            </w:r>
          </w:p>
        </w:tc>
        <w:tc>
          <w:tcPr>
            <w:tcW w:w="1440" w:type="dxa"/>
            <w:shd w:val="clear" w:color="auto" w:fill="auto"/>
            <w:vAlign w:val="center"/>
            <w:hideMark/>
          </w:tcPr>
          <w:p w14:paraId="18608424" w14:textId="42CC3B98" w:rsidR="003824F4" w:rsidRPr="007B0ECB" w:rsidRDefault="003824F4" w:rsidP="00300A09">
            <w:pPr>
              <w:jc w:val="center"/>
              <w:rPr>
                <w:sz w:val="20"/>
                <w:szCs w:val="20"/>
              </w:rPr>
            </w:pPr>
          </w:p>
        </w:tc>
        <w:tc>
          <w:tcPr>
            <w:tcW w:w="1440" w:type="dxa"/>
            <w:shd w:val="clear" w:color="auto" w:fill="auto"/>
            <w:vAlign w:val="center"/>
            <w:hideMark/>
          </w:tcPr>
          <w:p w14:paraId="49BA140C" w14:textId="301717C7" w:rsidR="003824F4" w:rsidRPr="007B0ECB" w:rsidRDefault="003824F4" w:rsidP="00300A09">
            <w:pPr>
              <w:jc w:val="center"/>
              <w:rPr>
                <w:sz w:val="20"/>
                <w:szCs w:val="20"/>
              </w:rPr>
            </w:pPr>
          </w:p>
        </w:tc>
        <w:tc>
          <w:tcPr>
            <w:tcW w:w="1440" w:type="dxa"/>
            <w:shd w:val="clear" w:color="auto" w:fill="auto"/>
            <w:vAlign w:val="center"/>
            <w:hideMark/>
          </w:tcPr>
          <w:p w14:paraId="029FE854" w14:textId="00F7F3CE" w:rsidR="003824F4" w:rsidRPr="007B0ECB" w:rsidRDefault="003824F4" w:rsidP="00300A09">
            <w:pPr>
              <w:jc w:val="center"/>
              <w:rPr>
                <w:sz w:val="20"/>
                <w:szCs w:val="20"/>
              </w:rPr>
            </w:pPr>
          </w:p>
        </w:tc>
        <w:tc>
          <w:tcPr>
            <w:tcW w:w="1422" w:type="dxa"/>
            <w:shd w:val="clear" w:color="auto" w:fill="auto"/>
            <w:vAlign w:val="center"/>
            <w:hideMark/>
          </w:tcPr>
          <w:p w14:paraId="4BA09B6F" w14:textId="4350D664" w:rsidR="003824F4" w:rsidRPr="007B0ECB" w:rsidRDefault="003824F4" w:rsidP="00300A09">
            <w:pPr>
              <w:jc w:val="center"/>
              <w:rPr>
                <w:sz w:val="20"/>
                <w:szCs w:val="20"/>
              </w:rPr>
            </w:pPr>
          </w:p>
        </w:tc>
      </w:tr>
      <w:tr w:rsidR="003824F4" w:rsidRPr="007B0ECB" w14:paraId="1D10E0D9" w14:textId="77777777" w:rsidTr="00671C23">
        <w:trPr>
          <w:trHeight w:val="340"/>
          <w:jc w:val="center"/>
        </w:trPr>
        <w:tc>
          <w:tcPr>
            <w:tcW w:w="2842" w:type="dxa"/>
            <w:shd w:val="clear" w:color="auto" w:fill="auto"/>
            <w:vAlign w:val="center"/>
            <w:hideMark/>
          </w:tcPr>
          <w:p w14:paraId="6BD9E887" w14:textId="0F3D88C8" w:rsidR="003824F4" w:rsidRPr="007B0ECB" w:rsidRDefault="003824F4" w:rsidP="00300A09">
            <w:pPr>
              <w:jc w:val="both"/>
              <w:rPr>
                <w:sz w:val="20"/>
                <w:szCs w:val="20"/>
              </w:rPr>
            </w:pPr>
            <w:r w:rsidRPr="007B0ECB">
              <w:rPr>
                <w:sz w:val="20"/>
                <w:szCs w:val="20"/>
                <w:lang w:val="en-US"/>
              </w:rPr>
              <w:t>Married</w:t>
            </w:r>
          </w:p>
        </w:tc>
        <w:tc>
          <w:tcPr>
            <w:tcW w:w="1440" w:type="dxa"/>
            <w:shd w:val="clear" w:color="auto" w:fill="auto"/>
            <w:vAlign w:val="center"/>
            <w:hideMark/>
          </w:tcPr>
          <w:p w14:paraId="21BA778F" w14:textId="77777777" w:rsidR="003824F4" w:rsidRPr="007B0ECB" w:rsidRDefault="003824F4" w:rsidP="00300A09">
            <w:pPr>
              <w:jc w:val="center"/>
              <w:rPr>
                <w:sz w:val="20"/>
                <w:szCs w:val="20"/>
              </w:rPr>
            </w:pPr>
            <w:r w:rsidRPr="007B0ECB">
              <w:rPr>
                <w:sz w:val="20"/>
                <w:szCs w:val="20"/>
                <w:lang w:val="en-US"/>
              </w:rPr>
              <w:t>0.109*</w:t>
            </w:r>
          </w:p>
        </w:tc>
        <w:tc>
          <w:tcPr>
            <w:tcW w:w="1440" w:type="dxa"/>
            <w:shd w:val="clear" w:color="auto" w:fill="auto"/>
            <w:vAlign w:val="center"/>
            <w:hideMark/>
          </w:tcPr>
          <w:p w14:paraId="09896DD0" w14:textId="77777777" w:rsidR="003824F4" w:rsidRPr="007B0ECB" w:rsidRDefault="003824F4" w:rsidP="00300A09">
            <w:pPr>
              <w:jc w:val="center"/>
              <w:rPr>
                <w:sz w:val="20"/>
                <w:szCs w:val="20"/>
              </w:rPr>
            </w:pPr>
            <w:r w:rsidRPr="007B0ECB">
              <w:rPr>
                <w:sz w:val="20"/>
                <w:szCs w:val="20"/>
                <w:lang w:val="en-US"/>
              </w:rPr>
              <w:t>-0.104*</w:t>
            </w:r>
          </w:p>
        </w:tc>
        <w:tc>
          <w:tcPr>
            <w:tcW w:w="1440" w:type="dxa"/>
            <w:shd w:val="clear" w:color="auto" w:fill="auto"/>
            <w:vAlign w:val="center"/>
            <w:hideMark/>
          </w:tcPr>
          <w:p w14:paraId="78467543" w14:textId="77777777" w:rsidR="003824F4" w:rsidRPr="007B0ECB" w:rsidRDefault="003824F4" w:rsidP="00300A09">
            <w:pPr>
              <w:jc w:val="center"/>
              <w:rPr>
                <w:sz w:val="20"/>
                <w:szCs w:val="20"/>
              </w:rPr>
            </w:pPr>
            <w:r w:rsidRPr="007B0ECB">
              <w:rPr>
                <w:sz w:val="20"/>
                <w:szCs w:val="20"/>
                <w:lang w:val="en-US"/>
              </w:rPr>
              <w:t>0.087***</w:t>
            </w:r>
          </w:p>
        </w:tc>
        <w:tc>
          <w:tcPr>
            <w:tcW w:w="1422" w:type="dxa"/>
            <w:shd w:val="clear" w:color="auto" w:fill="auto"/>
            <w:vAlign w:val="center"/>
            <w:hideMark/>
          </w:tcPr>
          <w:p w14:paraId="420D8E17" w14:textId="77777777" w:rsidR="003824F4" w:rsidRPr="007B0ECB" w:rsidRDefault="003824F4" w:rsidP="00300A09">
            <w:pPr>
              <w:jc w:val="center"/>
              <w:rPr>
                <w:sz w:val="20"/>
                <w:szCs w:val="20"/>
              </w:rPr>
            </w:pPr>
            <w:r w:rsidRPr="007B0ECB">
              <w:rPr>
                <w:sz w:val="20"/>
                <w:szCs w:val="20"/>
                <w:lang w:val="en-US"/>
              </w:rPr>
              <w:t>-0.084***</w:t>
            </w:r>
          </w:p>
        </w:tc>
      </w:tr>
      <w:tr w:rsidR="003824F4" w:rsidRPr="007B0ECB" w14:paraId="6EC63C58" w14:textId="77777777" w:rsidTr="00AE6331">
        <w:trPr>
          <w:trHeight w:val="340"/>
          <w:jc w:val="center"/>
        </w:trPr>
        <w:tc>
          <w:tcPr>
            <w:tcW w:w="2842" w:type="dxa"/>
            <w:shd w:val="clear" w:color="auto" w:fill="auto"/>
            <w:vAlign w:val="center"/>
            <w:hideMark/>
          </w:tcPr>
          <w:p w14:paraId="2B8EAC2A" w14:textId="46B5266A" w:rsidR="003824F4" w:rsidRPr="007B0ECB" w:rsidRDefault="003824F4" w:rsidP="00300A09">
            <w:pPr>
              <w:jc w:val="both"/>
              <w:rPr>
                <w:sz w:val="20"/>
                <w:szCs w:val="20"/>
              </w:rPr>
            </w:pPr>
            <w:r w:rsidRPr="007B0ECB">
              <w:rPr>
                <w:sz w:val="20"/>
                <w:szCs w:val="20"/>
                <w:lang w:val="en-US"/>
              </w:rPr>
              <w:t>Widowed</w:t>
            </w:r>
          </w:p>
        </w:tc>
        <w:tc>
          <w:tcPr>
            <w:tcW w:w="1440" w:type="dxa"/>
            <w:shd w:val="clear" w:color="auto" w:fill="auto"/>
            <w:vAlign w:val="center"/>
            <w:hideMark/>
          </w:tcPr>
          <w:p w14:paraId="1B6F9E1A" w14:textId="77777777" w:rsidR="003824F4" w:rsidRPr="007B0ECB" w:rsidRDefault="003824F4" w:rsidP="00300A09">
            <w:pPr>
              <w:jc w:val="center"/>
              <w:rPr>
                <w:sz w:val="20"/>
                <w:szCs w:val="20"/>
              </w:rPr>
            </w:pPr>
            <w:r w:rsidRPr="007B0ECB">
              <w:rPr>
                <w:sz w:val="20"/>
                <w:szCs w:val="20"/>
                <w:lang w:val="en-US"/>
              </w:rPr>
              <w:t>0.207</w:t>
            </w:r>
          </w:p>
        </w:tc>
        <w:tc>
          <w:tcPr>
            <w:tcW w:w="1440" w:type="dxa"/>
            <w:shd w:val="clear" w:color="auto" w:fill="auto"/>
            <w:vAlign w:val="center"/>
            <w:hideMark/>
          </w:tcPr>
          <w:p w14:paraId="241112EE" w14:textId="77777777" w:rsidR="003824F4" w:rsidRPr="007B0ECB" w:rsidRDefault="003824F4" w:rsidP="00300A09">
            <w:pPr>
              <w:jc w:val="center"/>
              <w:rPr>
                <w:sz w:val="20"/>
                <w:szCs w:val="20"/>
              </w:rPr>
            </w:pPr>
            <w:r w:rsidRPr="007B0ECB">
              <w:rPr>
                <w:sz w:val="20"/>
                <w:szCs w:val="20"/>
                <w:lang w:val="en-US"/>
              </w:rPr>
              <w:t>-0.073</w:t>
            </w:r>
          </w:p>
        </w:tc>
        <w:tc>
          <w:tcPr>
            <w:tcW w:w="1440" w:type="dxa"/>
            <w:shd w:val="clear" w:color="auto" w:fill="auto"/>
            <w:vAlign w:val="center"/>
            <w:hideMark/>
          </w:tcPr>
          <w:p w14:paraId="3E0FF2E0" w14:textId="77777777" w:rsidR="003824F4" w:rsidRPr="007B0ECB" w:rsidRDefault="003824F4" w:rsidP="00300A09">
            <w:pPr>
              <w:jc w:val="center"/>
              <w:rPr>
                <w:sz w:val="20"/>
                <w:szCs w:val="20"/>
              </w:rPr>
            </w:pPr>
            <w:r w:rsidRPr="007B0ECB">
              <w:rPr>
                <w:sz w:val="20"/>
                <w:szCs w:val="20"/>
                <w:lang w:val="en-US"/>
              </w:rPr>
              <w:t>0.363***</w:t>
            </w:r>
          </w:p>
        </w:tc>
        <w:tc>
          <w:tcPr>
            <w:tcW w:w="1422" w:type="dxa"/>
            <w:shd w:val="clear" w:color="auto" w:fill="auto"/>
            <w:vAlign w:val="center"/>
            <w:hideMark/>
          </w:tcPr>
          <w:p w14:paraId="04E560FB" w14:textId="77777777" w:rsidR="003824F4" w:rsidRPr="007B0ECB" w:rsidRDefault="003824F4" w:rsidP="00300A09">
            <w:pPr>
              <w:jc w:val="center"/>
              <w:rPr>
                <w:sz w:val="20"/>
                <w:szCs w:val="20"/>
              </w:rPr>
            </w:pPr>
            <w:r w:rsidRPr="007B0ECB">
              <w:rPr>
                <w:sz w:val="20"/>
                <w:szCs w:val="20"/>
                <w:lang w:val="en-US"/>
              </w:rPr>
              <w:t>-0.037***</w:t>
            </w:r>
          </w:p>
        </w:tc>
      </w:tr>
      <w:tr w:rsidR="003824F4" w:rsidRPr="007B0ECB" w14:paraId="62F7B383" w14:textId="77777777" w:rsidTr="00AE6331">
        <w:trPr>
          <w:trHeight w:val="340"/>
          <w:jc w:val="center"/>
        </w:trPr>
        <w:tc>
          <w:tcPr>
            <w:tcW w:w="2842" w:type="dxa"/>
            <w:shd w:val="clear" w:color="auto" w:fill="auto"/>
            <w:vAlign w:val="center"/>
            <w:hideMark/>
          </w:tcPr>
          <w:p w14:paraId="460600E4" w14:textId="2E8F8E78" w:rsidR="003824F4" w:rsidRPr="007B0ECB" w:rsidRDefault="003824F4" w:rsidP="00300A09">
            <w:pPr>
              <w:jc w:val="both"/>
              <w:rPr>
                <w:sz w:val="20"/>
                <w:szCs w:val="20"/>
              </w:rPr>
            </w:pPr>
            <w:r w:rsidRPr="007B0ECB">
              <w:rPr>
                <w:sz w:val="20"/>
                <w:szCs w:val="20"/>
                <w:lang w:val="en-US"/>
              </w:rPr>
              <w:t>Divorced</w:t>
            </w:r>
          </w:p>
        </w:tc>
        <w:tc>
          <w:tcPr>
            <w:tcW w:w="1440" w:type="dxa"/>
            <w:shd w:val="clear" w:color="auto" w:fill="auto"/>
            <w:vAlign w:val="center"/>
            <w:hideMark/>
          </w:tcPr>
          <w:p w14:paraId="6F5D0DA8" w14:textId="77777777" w:rsidR="003824F4" w:rsidRPr="007B0ECB" w:rsidRDefault="003824F4" w:rsidP="00300A09">
            <w:pPr>
              <w:jc w:val="center"/>
              <w:rPr>
                <w:sz w:val="20"/>
                <w:szCs w:val="20"/>
              </w:rPr>
            </w:pPr>
            <w:r w:rsidRPr="007B0ECB">
              <w:rPr>
                <w:sz w:val="20"/>
                <w:szCs w:val="20"/>
                <w:lang w:val="en-US"/>
              </w:rPr>
              <w:t>0.721</w:t>
            </w:r>
          </w:p>
        </w:tc>
        <w:tc>
          <w:tcPr>
            <w:tcW w:w="1440" w:type="dxa"/>
            <w:shd w:val="clear" w:color="auto" w:fill="auto"/>
            <w:vAlign w:val="center"/>
            <w:hideMark/>
          </w:tcPr>
          <w:p w14:paraId="5FE1D646" w14:textId="77777777" w:rsidR="003824F4" w:rsidRPr="007B0ECB" w:rsidRDefault="003824F4" w:rsidP="00300A09">
            <w:pPr>
              <w:jc w:val="center"/>
              <w:rPr>
                <w:sz w:val="20"/>
                <w:szCs w:val="20"/>
              </w:rPr>
            </w:pPr>
            <w:r w:rsidRPr="007B0ECB">
              <w:rPr>
                <w:sz w:val="20"/>
                <w:szCs w:val="20"/>
                <w:lang w:val="en-US"/>
              </w:rPr>
              <w:t>-0.015</w:t>
            </w:r>
          </w:p>
        </w:tc>
        <w:tc>
          <w:tcPr>
            <w:tcW w:w="1440" w:type="dxa"/>
            <w:shd w:val="clear" w:color="auto" w:fill="auto"/>
            <w:vAlign w:val="center"/>
            <w:hideMark/>
          </w:tcPr>
          <w:p w14:paraId="75E61929" w14:textId="77777777" w:rsidR="003824F4" w:rsidRPr="007B0ECB" w:rsidRDefault="003824F4" w:rsidP="00300A09">
            <w:pPr>
              <w:jc w:val="center"/>
              <w:rPr>
                <w:sz w:val="20"/>
                <w:szCs w:val="20"/>
              </w:rPr>
            </w:pPr>
            <w:r w:rsidRPr="007B0ECB">
              <w:rPr>
                <w:sz w:val="20"/>
                <w:szCs w:val="20"/>
                <w:lang w:val="en-US"/>
              </w:rPr>
              <w:t>1.079</w:t>
            </w:r>
          </w:p>
        </w:tc>
        <w:tc>
          <w:tcPr>
            <w:tcW w:w="1422" w:type="dxa"/>
            <w:shd w:val="clear" w:color="auto" w:fill="auto"/>
            <w:vAlign w:val="center"/>
            <w:hideMark/>
          </w:tcPr>
          <w:p w14:paraId="17604304" w14:textId="77777777" w:rsidR="003824F4" w:rsidRPr="007B0ECB" w:rsidRDefault="003824F4" w:rsidP="00300A09">
            <w:pPr>
              <w:jc w:val="center"/>
              <w:rPr>
                <w:sz w:val="20"/>
                <w:szCs w:val="20"/>
              </w:rPr>
            </w:pPr>
            <w:r w:rsidRPr="007B0ECB">
              <w:rPr>
                <w:sz w:val="20"/>
                <w:szCs w:val="20"/>
                <w:lang w:val="en-US"/>
              </w:rPr>
              <w:t>0.009</w:t>
            </w:r>
          </w:p>
        </w:tc>
      </w:tr>
      <w:tr w:rsidR="003824F4" w:rsidRPr="007B0ECB" w14:paraId="5EB58A9D" w14:textId="77777777" w:rsidTr="00AE6331">
        <w:trPr>
          <w:trHeight w:val="340"/>
          <w:jc w:val="center"/>
        </w:trPr>
        <w:tc>
          <w:tcPr>
            <w:tcW w:w="2842" w:type="dxa"/>
            <w:tcBorders>
              <w:bottom w:val="single" w:sz="4" w:space="0" w:color="auto"/>
            </w:tcBorders>
            <w:shd w:val="clear" w:color="auto" w:fill="auto"/>
            <w:vAlign w:val="center"/>
            <w:hideMark/>
          </w:tcPr>
          <w:p w14:paraId="53AE983B" w14:textId="545962E4" w:rsidR="003824F4" w:rsidRPr="007B0ECB" w:rsidRDefault="003824F4" w:rsidP="00300A09">
            <w:pPr>
              <w:jc w:val="both"/>
              <w:rPr>
                <w:sz w:val="20"/>
                <w:szCs w:val="20"/>
              </w:rPr>
            </w:pPr>
            <w:r w:rsidRPr="007B0ECB">
              <w:rPr>
                <w:sz w:val="20"/>
                <w:szCs w:val="20"/>
                <w:lang w:val="en-US"/>
              </w:rPr>
              <w:t>Separated</w:t>
            </w:r>
          </w:p>
        </w:tc>
        <w:tc>
          <w:tcPr>
            <w:tcW w:w="1440" w:type="dxa"/>
            <w:tcBorders>
              <w:bottom w:val="single" w:sz="4" w:space="0" w:color="auto"/>
            </w:tcBorders>
            <w:shd w:val="clear" w:color="auto" w:fill="auto"/>
            <w:vAlign w:val="center"/>
            <w:hideMark/>
          </w:tcPr>
          <w:p w14:paraId="6C1301FF" w14:textId="77777777" w:rsidR="003824F4" w:rsidRPr="007B0ECB" w:rsidRDefault="003824F4" w:rsidP="00300A09">
            <w:pPr>
              <w:jc w:val="center"/>
              <w:rPr>
                <w:sz w:val="20"/>
                <w:szCs w:val="20"/>
              </w:rPr>
            </w:pPr>
            <w:r w:rsidRPr="007B0ECB">
              <w:rPr>
                <w:sz w:val="20"/>
                <w:szCs w:val="20"/>
                <w:lang w:val="en-US"/>
              </w:rPr>
              <w:t>0.202</w:t>
            </w:r>
          </w:p>
        </w:tc>
        <w:tc>
          <w:tcPr>
            <w:tcW w:w="1440" w:type="dxa"/>
            <w:tcBorders>
              <w:bottom w:val="single" w:sz="4" w:space="0" w:color="auto"/>
            </w:tcBorders>
            <w:shd w:val="clear" w:color="auto" w:fill="auto"/>
            <w:vAlign w:val="center"/>
            <w:hideMark/>
          </w:tcPr>
          <w:p w14:paraId="3040896D" w14:textId="77777777" w:rsidR="003824F4" w:rsidRPr="007B0ECB" w:rsidRDefault="003824F4" w:rsidP="00300A09">
            <w:pPr>
              <w:jc w:val="center"/>
              <w:rPr>
                <w:sz w:val="20"/>
                <w:szCs w:val="20"/>
              </w:rPr>
            </w:pPr>
            <w:r w:rsidRPr="007B0ECB">
              <w:rPr>
                <w:sz w:val="20"/>
                <w:szCs w:val="20"/>
                <w:lang w:val="en-US"/>
              </w:rPr>
              <w:t>-0.075</w:t>
            </w:r>
          </w:p>
        </w:tc>
        <w:tc>
          <w:tcPr>
            <w:tcW w:w="1440" w:type="dxa"/>
            <w:tcBorders>
              <w:bottom w:val="single" w:sz="4" w:space="0" w:color="auto"/>
            </w:tcBorders>
            <w:shd w:val="clear" w:color="auto" w:fill="auto"/>
            <w:vAlign w:val="center"/>
            <w:hideMark/>
          </w:tcPr>
          <w:p w14:paraId="36E4E2C1" w14:textId="77777777" w:rsidR="003824F4" w:rsidRPr="007B0ECB" w:rsidRDefault="003824F4" w:rsidP="00300A09">
            <w:pPr>
              <w:jc w:val="center"/>
              <w:rPr>
                <w:sz w:val="20"/>
                <w:szCs w:val="20"/>
              </w:rPr>
            </w:pPr>
            <w:r w:rsidRPr="007B0ECB">
              <w:rPr>
                <w:sz w:val="20"/>
                <w:szCs w:val="20"/>
                <w:lang w:val="en-US"/>
              </w:rPr>
              <w:t>1.721</w:t>
            </w:r>
          </w:p>
        </w:tc>
        <w:tc>
          <w:tcPr>
            <w:tcW w:w="1422" w:type="dxa"/>
            <w:tcBorders>
              <w:bottom w:val="single" w:sz="4" w:space="0" w:color="auto"/>
            </w:tcBorders>
            <w:shd w:val="clear" w:color="auto" w:fill="auto"/>
            <w:vAlign w:val="center"/>
            <w:hideMark/>
          </w:tcPr>
          <w:p w14:paraId="05DBDCE2" w14:textId="77777777" w:rsidR="003824F4" w:rsidRPr="007B0ECB" w:rsidRDefault="003824F4" w:rsidP="00300A09">
            <w:pPr>
              <w:jc w:val="center"/>
              <w:rPr>
                <w:sz w:val="20"/>
                <w:szCs w:val="20"/>
              </w:rPr>
            </w:pPr>
            <w:r w:rsidRPr="007B0ECB">
              <w:rPr>
                <w:sz w:val="20"/>
                <w:szCs w:val="20"/>
                <w:lang w:val="en-US"/>
              </w:rPr>
              <w:t>0.006</w:t>
            </w:r>
          </w:p>
        </w:tc>
      </w:tr>
      <w:tr w:rsidR="003824F4" w:rsidRPr="007B0ECB" w14:paraId="3952630E" w14:textId="77777777" w:rsidTr="00AE6331">
        <w:trPr>
          <w:trHeight w:val="340"/>
          <w:jc w:val="center"/>
        </w:trPr>
        <w:tc>
          <w:tcPr>
            <w:tcW w:w="8584" w:type="dxa"/>
            <w:gridSpan w:val="5"/>
            <w:tcBorders>
              <w:top w:val="single" w:sz="4" w:space="0" w:color="auto"/>
            </w:tcBorders>
            <w:shd w:val="clear" w:color="auto" w:fill="auto"/>
            <w:vAlign w:val="center"/>
            <w:hideMark/>
          </w:tcPr>
          <w:p w14:paraId="759391EF" w14:textId="77777777" w:rsidR="003824F4" w:rsidRPr="007B0ECB" w:rsidRDefault="003824F4" w:rsidP="00300A09">
            <w:pPr>
              <w:jc w:val="both"/>
              <w:rPr>
                <w:sz w:val="20"/>
                <w:szCs w:val="20"/>
              </w:rPr>
            </w:pPr>
            <w:r w:rsidRPr="007B0ECB">
              <w:rPr>
                <w:sz w:val="20"/>
                <w:szCs w:val="20"/>
                <w:lang w:val="en-US"/>
              </w:rPr>
              <w:t>Note: *** indicate significance at the 1 percent level, ** at the 5 percent level, and * at the 10 percent level. a: Female is the reference category. b: Urban is the reference category. c: Perlis is the reference category. d: Bumiputera is the reference category. e: Primary is the reference category. f: Never married is the reference category.</w:t>
            </w:r>
          </w:p>
        </w:tc>
      </w:tr>
    </w:tbl>
    <w:p w14:paraId="3ADF76C7" w14:textId="77777777" w:rsidR="003824F4" w:rsidRPr="00C54985" w:rsidRDefault="003824F4" w:rsidP="00300A09">
      <w:pPr>
        <w:ind w:firstLine="720"/>
        <w:jc w:val="both"/>
      </w:pPr>
    </w:p>
    <w:p w14:paraId="1EA4D516" w14:textId="65F9CAA1" w:rsidR="000A18DA" w:rsidRDefault="005C3334" w:rsidP="00300A09">
      <w:pPr>
        <w:ind w:firstLine="720"/>
        <w:jc w:val="both"/>
      </w:pPr>
      <w:r w:rsidRPr="00C54985">
        <w:lastRenderedPageBreak/>
        <w:t>An</w:t>
      </w:r>
      <w:r w:rsidR="000A18DA" w:rsidRPr="00C54985">
        <w:t xml:space="preserve"> increase </w:t>
      </w:r>
      <w:r w:rsidR="00F411C6" w:rsidRPr="00C54985">
        <w:t xml:space="preserve">in the </w:t>
      </w:r>
      <w:r w:rsidR="000A18DA" w:rsidRPr="00C54985">
        <w:t xml:space="preserve">age of head of household </w:t>
      </w:r>
      <w:r w:rsidRPr="00C54985">
        <w:t xml:space="preserve">in 2012 </w:t>
      </w:r>
      <w:r w:rsidR="000A18DA" w:rsidRPr="00C54985">
        <w:t xml:space="preserve">by one year will increase </w:t>
      </w:r>
      <w:r w:rsidR="00F411C6" w:rsidRPr="00C54985">
        <w:t xml:space="preserve">the </w:t>
      </w:r>
      <w:r w:rsidR="000A18DA" w:rsidRPr="00C54985">
        <w:t xml:space="preserve">probability of the household to be poor </w:t>
      </w:r>
      <w:r w:rsidRPr="00C54985">
        <w:t xml:space="preserve">by 0.003, and </w:t>
      </w:r>
      <w:r w:rsidR="000A18DA" w:rsidRPr="00C54985">
        <w:t>households living in rural area</w:t>
      </w:r>
      <w:r w:rsidR="00F411C6" w:rsidRPr="00C54985">
        <w:t>s</w:t>
      </w:r>
      <w:r w:rsidR="000A18DA" w:rsidRPr="00C54985">
        <w:t xml:space="preserve"> have </w:t>
      </w:r>
      <w:r w:rsidR="00F411C6" w:rsidRPr="00C54985">
        <w:t xml:space="preserve">the </w:t>
      </w:r>
      <w:r w:rsidR="000A18DA" w:rsidRPr="00C54985">
        <w:t>probability to be poor of 0.018 greater than households living in urban area</w:t>
      </w:r>
      <w:r w:rsidR="00F411C6" w:rsidRPr="00C54985">
        <w:t xml:space="preserve">s. </w:t>
      </w:r>
      <w:r w:rsidR="00F411C6" w:rsidRPr="00C54985">
        <w:rPr>
          <w:noProof/>
        </w:rPr>
        <w:t>This</w:t>
      </w:r>
      <w:r w:rsidR="00F411C6" w:rsidRPr="00C54985">
        <w:t xml:space="preserve"> is the </w:t>
      </w:r>
      <w:r w:rsidRPr="00C54985">
        <w:t>same probability in 2009</w:t>
      </w:r>
      <w:r w:rsidR="000A18DA" w:rsidRPr="00C54985">
        <w:t xml:space="preserve">. According to </w:t>
      </w:r>
      <w:r w:rsidR="000A18DA" w:rsidRPr="00C54985">
        <w:rPr>
          <w:noProof/>
        </w:rPr>
        <w:t>state</w:t>
      </w:r>
      <w:r w:rsidR="000A18DA" w:rsidRPr="00C54985">
        <w:t xml:space="preserve">, households in Penang and Perak have </w:t>
      </w:r>
      <w:r w:rsidR="00F411C6" w:rsidRPr="00C54985">
        <w:t xml:space="preserve">the </w:t>
      </w:r>
      <w:r w:rsidR="000A18DA" w:rsidRPr="00C54985">
        <w:t>probability to live in poverty less by</w:t>
      </w:r>
      <w:r w:rsidR="000E74EE" w:rsidRPr="00C54985">
        <w:t xml:space="preserve"> 0.036</w:t>
      </w:r>
      <w:r w:rsidR="000A18DA" w:rsidRPr="00C54985">
        <w:t xml:space="preserve"> and 0.0</w:t>
      </w:r>
      <w:r w:rsidR="000E74EE" w:rsidRPr="00C54985">
        <w:t>1</w:t>
      </w:r>
      <w:r w:rsidR="000A18DA" w:rsidRPr="00C54985">
        <w:t>2 respectively compared to households in Perlis.</w:t>
      </w:r>
      <w:r w:rsidR="000E74EE" w:rsidRPr="00C54985">
        <w:t xml:space="preserve"> F</w:t>
      </w:r>
      <w:r w:rsidR="000A18DA" w:rsidRPr="00C54985">
        <w:t xml:space="preserve">or households </w:t>
      </w:r>
      <w:r w:rsidR="00F411C6" w:rsidRPr="00C54985">
        <w:t xml:space="preserve">where </w:t>
      </w:r>
      <w:r w:rsidR="000A18DA" w:rsidRPr="00C54985">
        <w:t>the head is married, the probability t</w:t>
      </w:r>
      <w:r w:rsidR="000E74EE" w:rsidRPr="00C54985">
        <w:t>o be poor is 0.084</w:t>
      </w:r>
      <w:r w:rsidR="000A18DA" w:rsidRPr="00C54985">
        <w:t xml:space="preserve"> less than </w:t>
      </w:r>
      <w:r w:rsidR="000E74EE" w:rsidRPr="00C54985">
        <w:t>never married head</w:t>
      </w:r>
      <w:r w:rsidR="00F411C6" w:rsidRPr="00C54985">
        <w:t>s</w:t>
      </w:r>
      <w:r w:rsidR="000E74EE" w:rsidRPr="00C54985">
        <w:t xml:space="preserve"> of household</w:t>
      </w:r>
      <w:r w:rsidR="00F411C6" w:rsidRPr="00C54985">
        <w:t>s</w:t>
      </w:r>
      <w:r w:rsidR="000E74EE" w:rsidRPr="00C54985">
        <w:t>, while for widowed head</w:t>
      </w:r>
      <w:r w:rsidR="00F411C6" w:rsidRPr="00C54985">
        <w:t>s</w:t>
      </w:r>
      <w:r w:rsidR="000E74EE" w:rsidRPr="00C54985">
        <w:t xml:space="preserve"> of household</w:t>
      </w:r>
      <w:r w:rsidR="00F411C6" w:rsidRPr="00C54985">
        <w:t>s</w:t>
      </w:r>
      <w:r w:rsidR="000E74EE" w:rsidRPr="00C54985">
        <w:t xml:space="preserve">, the probability for them to be poor is </w:t>
      </w:r>
      <w:r w:rsidR="00B377FE" w:rsidRPr="00C54985">
        <w:t>0.037 lesser.</w:t>
      </w:r>
    </w:p>
    <w:p w14:paraId="0433A1BE" w14:textId="77777777" w:rsidR="003108A2" w:rsidRDefault="003108A2" w:rsidP="00300A09">
      <w:pPr>
        <w:ind w:firstLine="720"/>
        <w:jc w:val="both"/>
      </w:pPr>
    </w:p>
    <w:p w14:paraId="4BD0B27D" w14:textId="77777777" w:rsidR="003108A2" w:rsidRPr="00C54985" w:rsidRDefault="003108A2" w:rsidP="00300A09">
      <w:pPr>
        <w:ind w:firstLine="720"/>
        <w:jc w:val="both"/>
      </w:pPr>
    </w:p>
    <w:p w14:paraId="4D161A9F" w14:textId="577FDA0E" w:rsidR="00D91EDA" w:rsidRDefault="00D91EDA" w:rsidP="00300A09">
      <w:pPr>
        <w:pStyle w:val="Heading2"/>
        <w:spacing w:before="0" w:line="240" w:lineRule="auto"/>
        <w:rPr>
          <w:rFonts w:ascii="Times New Roman" w:hAnsi="Times New Roman" w:cs="Times New Roman"/>
          <w:sz w:val="24"/>
          <w:szCs w:val="24"/>
        </w:rPr>
      </w:pPr>
      <w:bookmarkStart w:id="9" w:name="_Toc426356205"/>
      <w:r w:rsidRPr="00C54985">
        <w:rPr>
          <w:rFonts w:ascii="Times New Roman" w:hAnsi="Times New Roman" w:cs="Times New Roman"/>
          <w:sz w:val="24"/>
          <w:szCs w:val="24"/>
        </w:rPr>
        <w:t>Discussion</w:t>
      </w:r>
      <w:bookmarkEnd w:id="9"/>
    </w:p>
    <w:p w14:paraId="205C55A8" w14:textId="77777777" w:rsidR="003108A2" w:rsidRPr="003108A2" w:rsidRDefault="003108A2" w:rsidP="00300A09"/>
    <w:p w14:paraId="23FD5D62" w14:textId="52412D68" w:rsidR="00036C23" w:rsidRPr="00C54985" w:rsidRDefault="00615BFD" w:rsidP="00300A09">
      <w:pPr>
        <w:jc w:val="both"/>
      </w:pPr>
      <w:r w:rsidRPr="00C54985">
        <w:t>When discussing the people living in po</w:t>
      </w:r>
      <w:r w:rsidR="004375C4" w:rsidRPr="00C54985">
        <w:t>verty</w:t>
      </w:r>
      <w:r w:rsidR="00E441E9" w:rsidRPr="00C54985">
        <w:t xml:space="preserve"> and why</w:t>
      </w:r>
      <w:r w:rsidR="004375C4" w:rsidRPr="00C54985">
        <w:t xml:space="preserve">, data shows that </w:t>
      </w:r>
      <w:r w:rsidR="003E4B20" w:rsidRPr="00C54985">
        <w:t xml:space="preserve">the </w:t>
      </w:r>
      <w:r w:rsidR="004375C4" w:rsidRPr="00C54985">
        <w:t xml:space="preserve">elderly, </w:t>
      </w:r>
      <w:r w:rsidRPr="00C54985">
        <w:t>women</w:t>
      </w:r>
      <w:r w:rsidR="004375C4" w:rsidRPr="00C54985">
        <w:t xml:space="preserve"> and Bumiputera</w:t>
      </w:r>
      <w:r w:rsidRPr="00C54985">
        <w:t xml:space="preserve"> are most susceptible to poverty. </w:t>
      </w:r>
      <w:r w:rsidR="004375C4" w:rsidRPr="00C54985">
        <w:t xml:space="preserve">Hence, </w:t>
      </w:r>
      <w:r w:rsidR="003E4B20" w:rsidRPr="00C54985">
        <w:t xml:space="preserve">the </w:t>
      </w:r>
      <w:r w:rsidR="004375C4" w:rsidRPr="00C54985">
        <w:t xml:space="preserve">pockets of </w:t>
      </w:r>
      <w:r w:rsidR="003E4B20" w:rsidRPr="00C54985">
        <w:t xml:space="preserve">the poor </w:t>
      </w:r>
      <w:r w:rsidR="004375C4" w:rsidRPr="00C54985">
        <w:t xml:space="preserve">elderly persist. </w:t>
      </w:r>
      <w:r w:rsidR="00AC6841" w:rsidRPr="00C54985">
        <w:t>Elderly are susceptible to poverty as they rely more on pensionable income or other non</w:t>
      </w:r>
      <w:r w:rsidR="00CB0452" w:rsidRPr="00C54985">
        <w:t>-</w:t>
      </w:r>
      <w:r w:rsidR="00AC6841" w:rsidRPr="00C54985">
        <w:t>labo</w:t>
      </w:r>
      <w:r w:rsidR="00352945" w:rsidRPr="00C54985">
        <w:t>ur</w:t>
      </w:r>
      <w:r w:rsidR="00AC6841" w:rsidRPr="00C54985">
        <w:t xml:space="preserve"> income. Likewise, </w:t>
      </w:r>
      <w:r w:rsidR="003E4B20" w:rsidRPr="00C54985">
        <w:t xml:space="preserve">the </w:t>
      </w:r>
      <w:r w:rsidR="00AC6841" w:rsidRPr="00C54985">
        <w:t>elderly ha</w:t>
      </w:r>
      <w:r w:rsidR="003E4B20" w:rsidRPr="00C54985">
        <w:t>ve</w:t>
      </w:r>
      <w:r w:rsidR="00AC6841" w:rsidRPr="00C54985">
        <w:t xml:space="preserve"> limited capacity to escape poverty due to their health situation (Mohd</w:t>
      </w:r>
      <w:r w:rsidR="00FD580C">
        <w:t xml:space="preserve"> et al.</w:t>
      </w:r>
      <w:r w:rsidR="00AC6841" w:rsidRPr="00C54985">
        <w:t>,</w:t>
      </w:r>
      <w:r w:rsidR="00BB3D3D">
        <w:t xml:space="preserve"> </w:t>
      </w:r>
      <w:r w:rsidR="00AC6841" w:rsidRPr="00C54985">
        <w:t>2018)</w:t>
      </w:r>
      <w:r w:rsidR="008611A9" w:rsidRPr="00C54985">
        <w:t xml:space="preserve"> </w:t>
      </w:r>
      <w:r w:rsidR="003E4B20" w:rsidRPr="00C54985">
        <w:t xml:space="preserve">which </w:t>
      </w:r>
      <w:r w:rsidR="008611A9" w:rsidRPr="00C54985">
        <w:t>prevent</w:t>
      </w:r>
      <w:r w:rsidR="003E4B20" w:rsidRPr="00C54985">
        <w:t>s</w:t>
      </w:r>
      <w:r w:rsidR="008611A9" w:rsidRPr="00C54985">
        <w:t xml:space="preserve"> them from continuously and actively participat</w:t>
      </w:r>
      <w:r w:rsidR="003E4B20" w:rsidRPr="00C54985">
        <w:t>ing</w:t>
      </w:r>
      <w:r w:rsidR="008611A9" w:rsidRPr="00C54985">
        <w:t xml:space="preserve"> in the labo</w:t>
      </w:r>
      <w:r w:rsidR="00352945" w:rsidRPr="00C54985">
        <w:t>ur</w:t>
      </w:r>
      <w:r w:rsidR="008611A9" w:rsidRPr="00C54985">
        <w:t xml:space="preserve"> market</w:t>
      </w:r>
      <w:r w:rsidR="00AC6841" w:rsidRPr="00C54985">
        <w:t xml:space="preserve">. </w:t>
      </w:r>
      <w:r w:rsidR="008611A9" w:rsidRPr="00C54985">
        <w:t>One alternative to ensure that</w:t>
      </w:r>
      <w:r w:rsidR="003E4B20" w:rsidRPr="00C54985">
        <w:t xml:space="preserve"> the</w:t>
      </w:r>
      <w:r w:rsidR="008611A9" w:rsidRPr="00C54985">
        <w:t xml:space="preserve"> elderly could escape poverty is to </w:t>
      </w:r>
      <w:r w:rsidR="00036C23" w:rsidRPr="00C54985">
        <w:t>strengthen old age protection program</w:t>
      </w:r>
      <w:r w:rsidR="003E4B20" w:rsidRPr="00C54985">
        <w:t>s</w:t>
      </w:r>
      <w:r w:rsidR="00036C23" w:rsidRPr="00C54985">
        <w:t xml:space="preserve"> and ensure</w:t>
      </w:r>
      <w:r w:rsidR="003E4B20" w:rsidRPr="00C54985">
        <w:t>s</w:t>
      </w:r>
      <w:r w:rsidR="00036C23" w:rsidRPr="00C54985">
        <w:t xml:space="preserve"> that the young </w:t>
      </w:r>
      <w:r w:rsidR="00036C23" w:rsidRPr="00C54985">
        <w:rPr>
          <w:noProof/>
        </w:rPr>
        <w:t>are enrolled</w:t>
      </w:r>
      <w:r w:rsidR="00036C23" w:rsidRPr="00C54985">
        <w:t xml:space="preserve"> in some form of old age protection program. In Malaysia, there are two main old age protection program</w:t>
      </w:r>
      <w:r w:rsidR="003E4B20" w:rsidRPr="00C54985">
        <w:t>s</w:t>
      </w:r>
      <w:r w:rsidR="00036C23" w:rsidRPr="00C54985">
        <w:t xml:space="preserve"> </w:t>
      </w:r>
      <w:r w:rsidR="003E4B20" w:rsidRPr="00C54985">
        <w:t xml:space="preserve">which </w:t>
      </w:r>
      <w:r w:rsidR="00036C23" w:rsidRPr="00C54985">
        <w:t xml:space="preserve">are the pension scheme for the civil servants and the Employees Provident Fund (EPF) for the private sector workers. Workers in the informal sector are encouraged to contribute to EPF under the EPF 1Malaysia retirement scheme, a scheme designed for the informal sector with co-contribution from the government. Recently, the government launched and EPF contribution for the housewives taken from </w:t>
      </w:r>
      <w:r w:rsidR="003E4B20" w:rsidRPr="00C54985">
        <w:t xml:space="preserve">their </w:t>
      </w:r>
      <w:r w:rsidR="00036C23" w:rsidRPr="00C54985">
        <w:t xml:space="preserve">husband’s payroll as a protection for the housewives for old age. Even with these formal protections, </w:t>
      </w:r>
      <w:r w:rsidR="003E4B20" w:rsidRPr="00C54985">
        <w:t xml:space="preserve">the </w:t>
      </w:r>
      <w:r w:rsidR="00036C23" w:rsidRPr="00C54985">
        <w:t>income receive</w:t>
      </w:r>
      <w:r w:rsidR="003E4B20" w:rsidRPr="00C54985">
        <w:t>d</w:t>
      </w:r>
      <w:r w:rsidR="00036C23" w:rsidRPr="00C54985">
        <w:t xml:space="preserve"> during old age </w:t>
      </w:r>
      <w:r w:rsidR="003E4B20" w:rsidRPr="00C54985">
        <w:rPr>
          <w:noProof/>
        </w:rPr>
        <w:t xml:space="preserve">is </w:t>
      </w:r>
      <w:r w:rsidR="00036C23" w:rsidRPr="00C54985">
        <w:rPr>
          <w:noProof/>
        </w:rPr>
        <w:t>often deemed</w:t>
      </w:r>
      <w:r w:rsidR="00036C23" w:rsidRPr="00C54985">
        <w:t xml:space="preserve"> insufficient</w:t>
      </w:r>
      <w:r w:rsidR="00C4781C" w:rsidRPr="00C54985">
        <w:t>,</w:t>
      </w:r>
      <w:r w:rsidR="00036C23" w:rsidRPr="00C54985">
        <w:t xml:space="preserve"> </w:t>
      </w:r>
      <w:r w:rsidR="00036C23" w:rsidRPr="00C54985">
        <w:rPr>
          <w:noProof/>
        </w:rPr>
        <w:t>and</w:t>
      </w:r>
      <w:r w:rsidR="00036C23" w:rsidRPr="00C54985">
        <w:t xml:space="preserve"> th</w:t>
      </w:r>
      <w:r w:rsidR="003E4B20" w:rsidRPr="00C54985">
        <w:t>e</w:t>
      </w:r>
      <w:r w:rsidR="00036C23" w:rsidRPr="00C54985">
        <w:t xml:space="preserve"> elderly </w:t>
      </w:r>
      <w:r w:rsidR="00036C23" w:rsidRPr="00C54985">
        <w:rPr>
          <w:noProof/>
        </w:rPr>
        <w:t>are often assisted</w:t>
      </w:r>
      <w:r w:rsidR="00036C23" w:rsidRPr="00C54985">
        <w:t xml:space="preserve"> by family support and government old age assistance program. Thus, personal savings at </w:t>
      </w:r>
      <w:r w:rsidR="00036C23" w:rsidRPr="00C54985">
        <w:rPr>
          <w:noProof/>
        </w:rPr>
        <w:t>working</w:t>
      </w:r>
      <w:r w:rsidR="00036C23" w:rsidRPr="00C54985">
        <w:t xml:space="preserve"> age is </w:t>
      </w:r>
      <w:r w:rsidR="003E4B20" w:rsidRPr="00C54985">
        <w:t>an</w:t>
      </w:r>
      <w:r w:rsidR="00036C23" w:rsidRPr="00C54985">
        <w:t xml:space="preserve"> essential component </w:t>
      </w:r>
      <w:r w:rsidR="003E4B20" w:rsidRPr="00C54985">
        <w:t xml:space="preserve">to </w:t>
      </w:r>
      <w:r w:rsidR="00036C23" w:rsidRPr="00C54985">
        <w:t>supplement non-labo</w:t>
      </w:r>
      <w:r w:rsidR="00352945" w:rsidRPr="00C54985">
        <w:t>ur</w:t>
      </w:r>
      <w:r w:rsidR="00036C23" w:rsidRPr="00C54985">
        <w:t xml:space="preserve"> income in old age to reduce poverty.</w:t>
      </w:r>
    </w:p>
    <w:p w14:paraId="429645AF" w14:textId="67AFD137" w:rsidR="00705A6F" w:rsidRPr="00C54985" w:rsidRDefault="004375C4" w:rsidP="00300A09">
      <w:pPr>
        <w:ind w:firstLine="720"/>
        <w:jc w:val="both"/>
      </w:pPr>
      <w:r w:rsidRPr="00C54985">
        <w:t xml:space="preserve">Incidentally, women have </w:t>
      </w:r>
      <w:r w:rsidR="00C4781C" w:rsidRPr="00C54985">
        <w:t xml:space="preserve">a </w:t>
      </w:r>
      <w:r w:rsidRPr="00C54985">
        <w:rPr>
          <w:noProof/>
        </w:rPr>
        <w:t>limited</w:t>
      </w:r>
      <w:r w:rsidRPr="00C54985">
        <w:t xml:space="preserve"> capacity </w:t>
      </w:r>
      <w:r w:rsidR="00950892" w:rsidRPr="00C54985">
        <w:t xml:space="preserve">which </w:t>
      </w:r>
      <w:r w:rsidRPr="00C54985">
        <w:t>constrain</w:t>
      </w:r>
      <w:r w:rsidR="00950892" w:rsidRPr="00C54985">
        <w:t>s</w:t>
      </w:r>
      <w:r w:rsidRPr="00C54985">
        <w:t xml:space="preserve"> their ability to escape poverty</w:t>
      </w:r>
      <w:r w:rsidR="00950892" w:rsidRPr="00C54985">
        <w:t xml:space="preserve">. This </w:t>
      </w:r>
      <w:r w:rsidRPr="00C54985">
        <w:t>situation</w:t>
      </w:r>
      <w:r w:rsidR="00950892" w:rsidRPr="00C54985">
        <w:t xml:space="preserve"> occurs</w:t>
      </w:r>
      <w:r w:rsidRPr="00C54985">
        <w:t xml:space="preserve"> not only in Malaysia but also in other countries, especially developing countries. Women are </w:t>
      </w:r>
      <w:r w:rsidR="00950892" w:rsidRPr="00C54985">
        <w:t xml:space="preserve">also </w:t>
      </w:r>
      <w:r w:rsidRPr="00C54985">
        <w:t>often discriminated against in many economic activities due to cultural and social norms (Klasen</w:t>
      </w:r>
      <w:r w:rsidR="00BB3D3D">
        <w:t xml:space="preserve"> et al.</w:t>
      </w:r>
      <w:r w:rsidRPr="00C54985">
        <w:t>,</w:t>
      </w:r>
      <w:r w:rsidR="00BB3D3D">
        <w:t xml:space="preserve"> </w:t>
      </w:r>
      <w:r w:rsidRPr="00C54985">
        <w:t>201</w:t>
      </w:r>
      <w:r w:rsidR="00177FE7" w:rsidRPr="00C54985">
        <w:t>5</w:t>
      </w:r>
      <w:r w:rsidRPr="00C54985">
        <w:t>) that affect their economic standing.</w:t>
      </w:r>
      <w:r w:rsidR="008611A9" w:rsidRPr="00C54985">
        <w:t xml:space="preserve"> </w:t>
      </w:r>
      <w:r w:rsidR="008611A9" w:rsidRPr="00C54985">
        <w:rPr>
          <w:noProof/>
        </w:rPr>
        <w:t>To</w:t>
      </w:r>
      <w:r w:rsidR="008A28CA" w:rsidRPr="00C54985">
        <w:rPr>
          <w:noProof/>
        </w:rPr>
        <w:t xml:space="preserve"> </w:t>
      </w:r>
      <w:r w:rsidR="00950892" w:rsidRPr="00C54985">
        <w:rPr>
          <w:noProof/>
        </w:rPr>
        <w:t xml:space="preserve">reduce </w:t>
      </w:r>
      <w:r w:rsidR="008A28CA" w:rsidRPr="00C54985">
        <w:rPr>
          <w:noProof/>
        </w:rPr>
        <w:t>the existing</w:t>
      </w:r>
      <w:r w:rsidR="008611A9" w:rsidRPr="00C54985">
        <w:rPr>
          <w:noProof/>
        </w:rPr>
        <w:t xml:space="preserve"> discrimination</w:t>
      </w:r>
      <w:r w:rsidR="008611A9" w:rsidRPr="00C54985">
        <w:t>, th</w:t>
      </w:r>
      <w:r w:rsidR="008A28CA" w:rsidRPr="00C54985">
        <w:t>e Malaysian government ensures that women are actively involved in business activities to ensure a sustainable income that could assist up to old age. Microcredit assistances</w:t>
      </w:r>
      <w:r w:rsidR="00705A6F" w:rsidRPr="00C54985">
        <w:t xml:space="preserve"> under a program named Amanah Ikhtiar Malaysia (AIM) </w:t>
      </w:r>
      <w:r w:rsidR="008A28CA" w:rsidRPr="00C54985">
        <w:rPr>
          <w:noProof/>
        </w:rPr>
        <w:t>are made</w:t>
      </w:r>
      <w:r w:rsidR="008A28CA" w:rsidRPr="00C54985">
        <w:t xml:space="preserve"> available for women to help them kickstart their home industry that could be expanded to small medium enterprises and penetrate into the domestic and international market</w:t>
      </w:r>
      <w:r w:rsidR="00950892" w:rsidRPr="00C54985">
        <w:t>s</w:t>
      </w:r>
      <w:r w:rsidR="008A28CA" w:rsidRPr="00C54985">
        <w:t xml:space="preserve">. </w:t>
      </w:r>
      <w:r w:rsidR="00705A6F" w:rsidRPr="00C54985">
        <w:t xml:space="preserve">AIM </w:t>
      </w:r>
      <w:r w:rsidR="00705A6F" w:rsidRPr="00C54985">
        <w:rPr>
          <w:noProof/>
        </w:rPr>
        <w:t>ha</w:t>
      </w:r>
      <w:r w:rsidR="00C4781C" w:rsidRPr="00C54985">
        <w:rPr>
          <w:noProof/>
        </w:rPr>
        <w:t>s</w:t>
      </w:r>
      <w:r w:rsidR="00705A6F" w:rsidRPr="00C54985">
        <w:t xml:space="preserve"> helped women increase their household income (Al-Shami</w:t>
      </w:r>
      <w:r w:rsidR="00BB3D3D">
        <w:t xml:space="preserve"> et al.</w:t>
      </w:r>
      <w:r w:rsidR="00705A6F" w:rsidRPr="00C54985">
        <w:t>,</w:t>
      </w:r>
      <w:r w:rsidR="00BB3D3D">
        <w:t xml:space="preserve"> </w:t>
      </w:r>
      <w:r w:rsidR="00705A6F" w:rsidRPr="00C54985">
        <w:t>201</w:t>
      </w:r>
      <w:r w:rsidR="00177FE7" w:rsidRPr="00C54985">
        <w:t>8</w:t>
      </w:r>
      <w:r w:rsidR="00705A6F" w:rsidRPr="00C54985">
        <w:t>) and therefore escape poverty.</w:t>
      </w:r>
    </w:p>
    <w:p w14:paraId="6012F69B" w14:textId="6C6D6294" w:rsidR="00C4781C" w:rsidRPr="00C54985" w:rsidRDefault="00705A6F" w:rsidP="00300A09">
      <w:pPr>
        <w:jc w:val="both"/>
        <w:rPr>
          <w:noProof/>
        </w:rPr>
      </w:pPr>
      <w:r w:rsidRPr="00C54985">
        <w:tab/>
        <w:t>Bahari</w:t>
      </w:r>
      <w:r w:rsidR="00BB3D3D">
        <w:t xml:space="preserve"> et al. </w:t>
      </w:r>
      <w:r w:rsidRPr="00C54985">
        <w:t xml:space="preserve">(2016) </w:t>
      </w:r>
      <w:r w:rsidR="00355A0B" w:rsidRPr="00C54985">
        <w:t>found that</w:t>
      </w:r>
      <w:r w:rsidRPr="00C54985">
        <w:t xml:space="preserve"> Bumiputera is the group </w:t>
      </w:r>
      <w:r w:rsidR="00033296" w:rsidRPr="00C54985">
        <w:t>most</w:t>
      </w:r>
      <w:r w:rsidRPr="00C54985">
        <w:t xml:space="preserve"> susceptible to poverty. </w:t>
      </w:r>
      <w:r w:rsidR="00E441E9" w:rsidRPr="00C54985">
        <w:t>While many studies quoted that ethnic minorities are prone to poverty (Agostini</w:t>
      </w:r>
      <w:r w:rsidR="00BB3D3D">
        <w:t xml:space="preserve"> et al.</w:t>
      </w:r>
      <w:r w:rsidR="00E441E9" w:rsidRPr="00C54985">
        <w:t>,</w:t>
      </w:r>
      <w:r w:rsidR="00BB3D3D">
        <w:t xml:space="preserve"> </w:t>
      </w:r>
      <w:r w:rsidR="00E441E9" w:rsidRPr="00C54985">
        <w:t xml:space="preserve">2010; Solaymani &amp; Kari, 2014), </w:t>
      </w:r>
      <w:r w:rsidR="00033296" w:rsidRPr="00C54985">
        <w:t xml:space="preserve">the </w:t>
      </w:r>
      <w:r w:rsidR="00E441E9" w:rsidRPr="00C54985">
        <w:t>Bumiputera in Malaysia is the ethnic majority</w:t>
      </w:r>
      <w:r w:rsidR="00C4781C" w:rsidRPr="00C54985">
        <w:t>,</w:t>
      </w:r>
      <w:r w:rsidR="00E441E9" w:rsidRPr="00C54985">
        <w:t xml:space="preserve"> </w:t>
      </w:r>
      <w:r w:rsidR="00E441E9" w:rsidRPr="00C54985">
        <w:rPr>
          <w:noProof/>
        </w:rPr>
        <w:t>yet</w:t>
      </w:r>
      <w:r w:rsidR="00033296" w:rsidRPr="00C54985">
        <w:t xml:space="preserve"> it is most</w:t>
      </w:r>
      <w:r w:rsidR="00E441E9" w:rsidRPr="00C54985">
        <w:t xml:space="preserve"> susceptible to poverty. British rul</w:t>
      </w:r>
      <w:r w:rsidR="00033296" w:rsidRPr="00C54985">
        <w:t xml:space="preserve">e </w:t>
      </w:r>
      <w:r w:rsidR="00033296" w:rsidRPr="00C54985">
        <w:rPr>
          <w:noProof/>
        </w:rPr>
        <w:t>is often cited</w:t>
      </w:r>
      <w:r w:rsidR="00033296" w:rsidRPr="00C54985">
        <w:t xml:space="preserve"> as the most significant </w:t>
      </w:r>
      <w:r w:rsidR="00E441E9" w:rsidRPr="00C54985">
        <w:t>reason</w:t>
      </w:r>
      <w:r w:rsidR="00033296" w:rsidRPr="00C54985">
        <w:t xml:space="preserve"> for </w:t>
      </w:r>
      <w:r w:rsidR="00E441E9" w:rsidRPr="00C54985">
        <w:t xml:space="preserve">Bumiputera poverty through their ‘rule and divide’ policy. The policy </w:t>
      </w:r>
      <w:r w:rsidR="00033296" w:rsidRPr="00C54985">
        <w:t>saw</w:t>
      </w:r>
      <w:r w:rsidR="00E441E9" w:rsidRPr="00C54985">
        <w:t xml:space="preserve"> Bumiputeras </w:t>
      </w:r>
      <w:r w:rsidR="00033296" w:rsidRPr="00C54985">
        <w:t xml:space="preserve">work </w:t>
      </w:r>
      <w:r w:rsidR="00E441E9" w:rsidRPr="00C54985">
        <w:t>in the village as farmers, Chinese in town</w:t>
      </w:r>
      <w:r w:rsidR="00033296" w:rsidRPr="00C54985">
        <w:t>s</w:t>
      </w:r>
      <w:r w:rsidR="00E441E9" w:rsidRPr="00C54985">
        <w:t xml:space="preserve"> as merchants and miners</w:t>
      </w:r>
      <w:r w:rsidR="00033296" w:rsidRPr="00C54985">
        <w:t>,</w:t>
      </w:r>
      <w:r w:rsidR="00E441E9" w:rsidRPr="00C54985">
        <w:t xml:space="preserve"> and Indians in plantation</w:t>
      </w:r>
      <w:r w:rsidR="00033296" w:rsidRPr="00C54985">
        <w:t>s</w:t>
      </w:r>
      <w:r w:rsidR="00E441E9" w:rsidRPr="00C54985">
        <w:t xml:space="preserve"> as estate workers. </w:t>
      </w:r>
      <w:r w:rsidRPr="00C54985">
        <w:t xml:space="preserve">The New Economic Policy (NEP) introduced in </w:t>
      </w:r>
      <w:r w:rsidR="00E441E9" w:rsidRPr="00C54985">
        <w:t>1970</w:t>
      </w:r>
      <w:r w:rsidR="00355A0B" w:rsidRPr="00C54985">
        <w:t xml:space="preserve"> aim</w:t>
      </w:r>
      <w:r w:rsidR="00E441E9" w:rsidRPr="00C54985">
        <w:t>ed</w:t>
      </w:r>
      <w:r w:rsidR="00355A0B" w:rsidRPr="00C54985">
        <w:t xml:space="preserve"> to reduce poverty and </w:t>
      </w:r>
      <w:r w:rsidR="00B73187" w:rsidRPr="00C54985">
        <w:t>correct economic imbalances</w:t>
      </w:r>
      <w:r w:rsidR="00E441E9" w:rsidRPr="00C54985">
        <w:t xml:space="preserve"> regardless </w:t>
      </w:r>
      <w:r w:rsidR="00033296" w:rsidRPr="00C54985">
        <w:t xml:space="preserve">of </w:t>
      </w:r>
      <w:r w:rsidR="001D4081" w:rsidRPr="00C54985">
        <w:t>ethnicity</w:t>
      </w:r>
      <w:r w:rsidR="00B73187" w:rsidRPr="00C54985">
        <w:t xml:space="preserve"> </w:t>
      </w:r>
      <w:r w:rsidR="00033296" w:rsidRPr="00C54985">
        <w:t xml:space="preserve">and has proven to be </w:t>
      </w:r>
      <w:r w:rsidR="00B73187" w:rsidRPr="00C54985">
        <w:lastRenderedPageBreak/>
        <w:t>successful</w:t>
      </w:r>
      <w:r w:rsidR="00033296" w:rsidRPr="00C54985">
        <w:t xml:space="preserve"> in</w:t>
      </w:r>
      <w:r w:rsidR="00B73187" w:rsidRPr="00C54985">
        <w:t xml:space="preserve"> reduc</w:t>
      </w:r>
      <w:r w:rsidR="00033296" w:rsidRPr="00C54985">
        <w:t>ing</w:t>
      </w:r>
      <w:r w:rsidR="00B73187" w:rsidRPr="00C54985">
        <w:t xml:space="preserve"> poverty in</w:t>
      </w:r>
      <w:r w:rsidR="00E441E9" w:rsidRPr="00C54985">
        <w:t>cidence (Table 1), including narrowing the</w:t>
      </w:r>
      <w:r w:rsidR="00B73187" w:rsidRPr="00C54985">
        <w:t xml:space="preserve"> poverty incidence of the Bumiputera</w:t>
      </w:r>
      <w:r w:rsidR="00B73187" w:rsidRPr="00C54985">
        <w:rPr>
          <w:noProof/>
        </w:rPr>
        <w:t>.</w:t>
      </w:r>
    </w:p>
    <w:p w14:paraId="7857636F" w14:textId="31C2C6CA" w:rsidR="00B02072" w:rsidRPr="00C54985" w:rsidRDefault="00B73187" w:rsidP="00300A09">
      <w:pPr>
        <w:ind w:firstLine="720"/>
        <w:jc w:val="both"/>
      </w:pPr>
      <w:r w:rsidRPr="00C54985">
        <w:rPr>
          <w:noProof/>
        </w:rPr>
        <w:t>Neverthele</w:t>
      </w:r>
      <w:r w:rsidR="003200BD" w:rsidRPr="00C54985">
        <w:rPr>
          <w:noProof/>
        </w:rPr>
        <w:t>ss</w:t>
      </w:r>
      <w:r w:rsidR="003200BD" w:rsidRPr="00C54985">
        <w:t>, pockets of poverty among</w:t>
      </w:r>
      <w:r w:rsidRPr="00C54985">
        <w:t xml:space="preserve"> Bumiputera still exist. </w:t>
      </w:r>
      <w:r w:rsidR="003200BD" w:rsidRPr="00C54985">
        <w:t>Alternatives to solving the prolong</w:t>
      </w:r>
      <w:r w:rsidR="00033296" w:rsidRPr="00C54985">
        <w:t>ed</w:t>
      </w:r>
      <w:r w:rsidR="003200BD" w:rsidRPr="00C54985">
        <w:t xml:space="preserve"> poverty issues among Bumiputera include enhancing their human capital and empower their economic activities. Training programs to facilitate employment restructuring and creating and developing Bumiputera commercial</w:t>
      </w:r>
      <w:r w:rsidR="00033296" w:rsidRPr="00C54985">
        <w:t>ly</w:t>
      </w:r>
      <w:r w:rsidR="003200BD" w:rsidRPr="00C54985">
        <w:t xml:space="preserve"> and industrial</w:t>
      </w:r>
      <w:r w:rsidR="00033296" w:rsidRPr="00C54985">
        <w:t xml:space="preserve">ly have </w:t>
      </w:r>
      <w:r w:rsidR="003200BD" w:rsidRPr="00C54985">
        <w:t xml:space="preserve">proven effective in narrowing Bumiputera poverty (Zin, 2017). Educational programs </w:t>
      </w:r>
      <w:r w:rsidR="003200BD" w:rsidRPr="00C54985">
        <w:rPr>
          <w:noProof/>
        </w:rPr>
        <w:t>with regard to</w:t>
      </w:r>
      <w:r w:rsidR="003200BD" w:rsidRPr="00C54985">
        <w:t xml:space="preserve"> sponsorship and scholarships for higher education have increased Bumiputera’s </w:t>
      </w:r>
      <w:r w:rsidR="00033296" w:rsidRPr="00C54985">
        <w:t>enrolment</w:t>
      </w:r>
      <w:r w:rsidR="003200BD" w:rsidRPr="00C54985">
        <w:t xml:space="preserve"> in higher education</w:t>
      </w:r>
      <w:r w:rsidR="00033296" w:rsidRPr="00C54985">
        <w:t xml:space="preserve"> and increased</w:t>
      </w:r>
      <w:r w:rsidR="003200BD" w:rsidRPr="00C54985">
        <w:t xml:space="preserve"> their employment income (Zin, 2017). The effort </w:t>
      </w:r>
      <w:r w:rsidR="00033296" w:rsidRPr="00C54985">
        <w:t xml:space="preserve">in </w:t>
      </w:r>
      <w:r w:rsidR="003200BD" w:rsidRPr="00C54985">
        <w:t xml:space="preserve">reducing poverty among Bumiputeras remain a national agenda that require careful planning and execution </w:t>
      </w:r>
      <w:r w:rsidR="003200BD" w:rsidRPr="00C54985">
        <w:rPr>
          <w:noProof/>
        </w:rPr>
        <w:t>so as to</w:t>
      </w:r>
      <w:r w:rsidR="003200BD" w:rsidRPr="00C54985">
        <w:t xml:space="preserve"> ensure </w:t>
      </w:r>
      <w:r w:rsidR="00033296" w:rsidRPr="00C54985">
        <w:t xml:space="preserve">the </w:t>
      </w:r>
      <w:r w:rsidR="003200BD" w:rsidRPr="00C54985">
        <w:t xml:space="preserve">equality of </w:t>
      </w:r>
      <w:r w:rsidR="003200BD" w:rsidRPr="00C54985">
        <w:rPr>
          <w:noProof/>
        </w:rPr>
        <w:t>assistance</w:t>
      </w:r>
      <w:r w:rsidR="003200BD" w:rsidRPr="00C54985">
        <w:t xml:space="preserve"> rendered among all ethnic groups in Malaysia.</w:t>
      </w:r>
    </w:p>
    <w:p w14:paraId="38CCDFFB" w14:textId="623B8B8B" w:rsidR="00B02072" w:rsidRDefault="00B02072" w:rsidP="00300A09">
      <w:pPr>
        <w:jc w:val="both"/>
        <w:rPr>
          <w:lang w:val="en-US"/>
        </w:rPr>
      </w:pPr>
      <w:r w:rsidRPr="00C54985">
        <w:tab/>
      </w:r>
      <w:r w:rsidR="000814CA" w:rsidRPr="00C54985">
        <w:rPr>
          <w:noProof/>
        </w:rPr>
        <w:t xml:space="preserve">To answer the question on where </w:t>
      </w:r>
      <w:r w:rsidR="00FA500E" w:rsidRPr="00C54985">
        <w:rPr>
          <w:noProof/>
        </w:rPr>
        <w:t>pocket poverty is</w:t>
      </w:r>
      <w:r w:rsidR="000814CA" w:rsidRPr="00C54985">
        <w:rPr>
          <w:noProof/>
        </w:rPr>
        <w:t xml:space="preserve"> more apparent</w:t>
      </w:r>
      <w:r w:rsidR="000814CA" w:rsidRPr="00C54985">
        <w:t>, data indicates that p</w:t>
      </w:r>
      <w:r w:rsidRPr="00C54985">
        <w:t xml:space="preserve">overty is </w:t>
      </w:r>
      <w:r w:rsidR="00FA500E" w:rsidRPr="00C54985">
        <w:t>evident</w:t>
      </w:r>
      <w:r w:rsidRPr="00C54985">
        <w:t xml:space="preserve"> in rural areas as proven by this and many other studies</w:t>
      </w:r>
      <w:r w:rsidR="00862CA5" w:rsidRPr="00C54985">
        <w:t xml:space="preserve"> (Christiaensen &amp; Todo, 2013; Thomas &amp; Gaspart, 2015). </w:t>
      </w:r>
      <w:r w:rsidR="00141822" w:rsidRPr="00C54985">
        <w:t xml:space="preserve">A lot had been done to transform rural areas with infrastructure development and up to date facilities to enhance the standard of living of </w:t>
      </w:r>
      <w:r w:rsidR="00033296" w:rsidRPr="00C54985">
        <w:t xml:space="preserve">those </w:t>
      </w:r>
      <w:r w:rsidR="00141822" w:rsidRPr="00C54985">
        <w:t>in the r</w:t>
      </w:r>
      <w:r w:rsidR="00CB7959" w:rsidRPr="00C54985">
        <w:t>ural areas (Nair &amp; Sagaran, 2015</w:t>
      </w:r>
      <w:r w:rsidR="00141822" w:rsidRPr="00C54985">
        <w:t xml:space="preserve">). </w:t>
      </w:r>
      <w:r w:rsidR="007F76E4" w:rsidRPr="00C54985">
        <w:rPr>
          <w:noProof/>
        </w:rPr>
        <w:t>Rural</w:t>
      </w:r>
      <w:r w:rsidR="007F76E4" w:rsidRPr="00C54985">
        <w:t xml:space="preserve"> transformation</w:t>
      </w:r>
      <w:r w:rsidR="00141822" w:rsidRPr="00C54985">
        <w:t xml:space="preserve"> </w:t>
      </w:r>
      <w:r w:rsidR="00141822" w:rsidRPr="00C54985">
        <w:rPr>
          <w:noProof/>
        </w:rPr>
        <w:t>was done</w:t>
      </w:r>
      <w:r w:rsidR="00141822" w:rsidRPr="00C54985">
        <w:t xml:space="preserve"> for the fact that </w:t>
      </w:r>
      <w:r w:rsidR="00141822" w:rsidRPr="00C54985">
        <w:rPr>
          <w:noProof/>
        </w:rPr>
        <w:t xml:space="preserve">rural areas were dominated </w:t>
      </w:r>
      <w:r w:rsidR="00C4781C" w:rsidRPr="00C54985">
        <w:rPr>
          <w:noProof/>
        </w:rPr>
        <w:t>by</w:t>
      </w:r>
      <w:r w:rsidR="00141822" w:rsidRPr="00C54985">
        <w:rPr>
          <w:noProof/>
        </w:rPr>
        <w:t xml:space="preserve"> agricultural activities</w:t>
      </w:r>
      <w:r w:rsidR="00141822" w:rsidRPr="00C54985">
        <w:t>. In many instances, due to industriali</w:t>
      </w:r>
      <w:r w:rsidR="00352945" w:rsidRPr="00C54985">
        <w:t>s</w:t>
      </w:r>
      <w:r w:rsidR="00141822" w:rsidRPr="00C54985">
        <w:t xml:space="preserve">ation, rural-urban migration </w:t>
      </w:r>
      <w:r w:rsidR="00033296" w:rsidRPr="00C54985">
        <w:t>has</w:t>
      </w:r>
      <w:r w:rsidR="00141822" w:rsidRPr="00C54985">
        <w:t xml:space="preserve"> dominated leaving vulnerable groups (</w:t>
      </w:r>
      <w:r w:rsidR="00033296" w:rsidRPr="00C54985">
        <w:t xml:space="preserve">the </w:t>
      </w:r>
      <w:r w:rsidR="00141822" w:rsidRPr="00C54985">
        <w:t xml:space="preserve">elderly population) in the rural areas to continue living. </w:t>
      </w:r>
      <w:r w:rsidR="00F77E91" w:rsidRPr="00C54985">
        <w:t>However, this situation could lead to a new</w:t>
      </w:r>
      <w:r w:rsidR="00033296" w:rsidRPr="00C54985">
        <w:t xml:space="preserve"> form of</w:t>
      </w:r>
      <w:r w:rsidR="00F77E91" w:rsidRPr="00C54985">
        <w:t xml:space="preserve"> poverty such as urban poverty</w:t>
      </w:r>
      <w:r w:rsidR="008928DE" w:rsidRPr="00C54985">
        <w:t>. Hence a more balanced development process should take place to ensure a more equitable sharing of resources and development processes between urban and rural areas.</w:t>
      </w:r>
      <w:r w:rsidR="00CC0990" w:rsidRPr="00C54985">
        <w:t xml:space="preserve"> </w:t>
      </w:r>
      <w:r w:rsidR="00CC0990" w:rsidRPr="00C54985">
        <w:rPr>
          <w:lang w:val="en-US"/>
        </w:rPr>
        <w:t>For those living in rural area, they should be given more information on programs implemented to eradicate poverty (Dawood &amp; Khoo, 2017). A decrease in poverty will thus increase the social well-being (</w:t>
      </w:r>
      <w:r w:rsidR="00C5436F" w:rsidRPr="00C54985">
        <w:t>Hussain</w:t>
      </w:r>
      <w:r w:rsidR="00BB3D3D">
        <w:t xml:space="preserve"> et al.</w:t>
      </w:r>
      <w:r w:rsidR="00C5436F" w:rsidRPr="00C54985">
        <w:t xml:space="preserve">, </w:t>
      </w:r>
      <w:r w:rsidR="00CC0990" w:rsidRPr="00C54985">
        <w:rPr>
          <w:lang w:val="en-US"/>
        </w:rPr>
        <w:t>201</w:t>
      </w:r>
      <w:r w:rsidR="00177FE7" w:rsidRPr="00C54985">
        <w:rPr>
          <w:lang w:val="en-US"/>
        </w:rPr>
        <w:t>1</w:t>
      </w:r>
      <w:r w:rsidR="00CC0990" w:rsidRPr="00C54985">
        <w:rPr>
          <w:lang w:val="en-US"/>
        </w:rPr>
        <w:t>).</w:t>
      </w:r>
    </w:p>
    <w:p w14:paraId="21655161" w14:textId="46EFAFB5" w:rsidR="00BB3D3D" w:rsidRDefault="00BB3D3D" w:rsidP="00300A09">
      <w:pPr>
        <w:jc w:val="both"/>
      </w:pPr>
    </w:p>
    <w:p w14:paraId="380E69B7" w14:textId="1BFA68B3" w:rsidR="003200BD" w:rsidRPr="00C54985" w:rsidRDefault="003200BD" w:rsidP="00300A09">
      <w:pPr>
        <w:jc w:val="both"/>
      </w:pPr>
    </w:p>
    <w:p w14:paraId="6DD47E88" w14:textId="319CC06E" w:rsidR="00D91EDA" w:rsidRDefault="00D91EDA" w:rsidP="00300A09">
      <w:pPr>
        <w:pStyle w:val="Heading2"/>
        <w:spacing w:before="0" w:line="240" w:lineRule="auto"/>
        <w:rPr>
          <w:rFonts w:ascii="Times New Roman" w:hAnsi="Times New Roman" w:cs="Times New Roman"/>
          <w:sz w:val="24"/>
          <w:szCs w:val="24"/>
        </w:rPr>
      </w:pPr>
      <w:r w:rsidRPr="00C54985">
        <w:rPr>
          <w:rFonts w:ascii="Times New Roman" w:hAnsi="Times New Roman" w:cs="Times New Roman"/>
          <w:sz w:val="24"/>
          <w:szCs w:val="24"/>
        </w:rPr>
        <w:t>Conclusion</w:t>
      </w:r>
    </w:p>
    <w:p w14:paraId="658EFB6C" w14:textId="77777777" w:rsidR="003F6D84" w:rsidRPr="003F6D84" w:rsidRDefault="003F6D84" w:rsidP="00300A09"/>
    <w:p w14:paraId="0C070C6A" w14:textId="395058AB" w:rsidR="00D91EDA" w:rsidRDefault="009A478C" w:rsidP="00300A09">
      <w:pPr>
        <w:jc w:val="both"/>
      </w:pPr>
      <w:r w:rsidRPr="00C54985">
        <w:t>This study has provided insight</w:t>
      </w:r>
      <w:r w:rsidR="00370682" w:rsidRPr="00C54985">
        <w:t xml:space="preserve">s into </w:t>
      </w:r>
      <w:r w:rsidRPr="00C54985">
        <w:t xml:space="preserve">pockets of poverty in the Northern States of Malaysia using </w:t>
      </w:r>
      <w:r w:rsidR="00370682" w:rsidRPr="00C54985">
        <w:t xml:space="preserve">the </w:t>
      </w:r>
      <w:r w:rsidRPr="00C54985">
        <w:t xml:space="preserve">Household Income Data for the years 2009 and 2012. Based on </w:t>
      </w:r>
      <w:r w:rsidR="00541BE8" w:rsidRPr="00C54985">
        <w:t>this microdata</w:t>
      </w:r>
      <w:r w:rsidRPr="00C54985">
        <w:t xml:space="preserve">, pockets of poverty still exist despite the remarkable drop </w:t>
      </w:r>
      <w:r w:rsidR="00F309BE" w:rsidRPr="00C54985">
        <w:rPr>
          <w:noProof/>
        </w:rPr>
        <w:t>in</w:t>
      </w:r>
      <w:r w:rsidRPr="00C54985">
        <w:t xml:space="preserve"> poverty incidence over the years and the current low poverty incidence of less than 5 </w:t>
      </w:r>
      <w:r w:rsidRPr="00C54985">
        <w:rPr>
          <w:noProof/>
        </w:rPr>
        <w:t>percent</w:t>
      </w:r>
      <w:r w:rsidRPr="00C54985">
        <w:t xml:space="preserve">. Logistic analysis indicates that pockets of poverty still exists among </w:t>
      </w:r>
      <w:r w:rsidR="00370682" w:rsidRPr="00C54985">
        <w:t xml:space="preserve">the </w:t>
      </w:r>
      <w:r w:rsidR="00541BE8" w:rsidRPr="00C54985">
        <w:t>elderly, Bumiputera</w:t>
      </w:r>
      <w:r w:rsidRPr="00C54985">
        <w:t>, women and in rural areas. These group</w:t>
      </w:r>
      <w:r w:rsidR="00370682" w:rsidRPr="00C54985">
        <w:t>s</w:t>
      </w:r>
      <w:r w:rsidRPr="00C54985">
        <w:t xml:space="preserve"> of people are prone and susceptible to poverty if nothing is done to prevent further plunges into the cycle of poverty. This study, however, cannot generali</w:t>
      </w:r>
      <w:r w:rsidR="00352945" w:rsidRPr="00C54985">
        <w:t>s</w:t>
      </w:r>
      <w:r w:rsidRPr="00C54985">
        <w:t>e and conclude that other ethnic group</w:t>
      </w:r>
      <w:r w:rsidR="00370682" w:rsidRPr="00C54985">
        <w:t>s</w:t>
      </w:r>
      <w:r w:rsidRPr="00C54985">
        <w:t xml:space="preserve">, men and urban areas are free from poverty. With </w:t>
      </w:r>
      <w:r w:rsidR="00370682" w:rsidRPr="00C54985">
        <w:t xml:space="preserve">the </w:t>
      </w:r>
      <w:r w:rsidRPr="00C54985">
        <w:t>high cost of living and rapid industriali</w:t>
      </w:r>
      <w:r w:rsidR="00352945" w:rsidRPr="00C54985">
        <w:t>s</w:t>
      </w:r>
      <w:r w:rsidRPr="00C54985">
        <w:t xml:space="preserve">ation, </w:t>
      </w:r>
      <w:r w:rsidR="00370682" w:rsidRPr="00C54985">
        <w:t xml:space="preserve">a </w:t>
      </w:r>
      <w:r w:rsidRPr="00C54985">
        <w:t xml:space="preserve">new definition of poverty emerges that could </w:t>
      </w:r>
      <w:r w:rsidR="00541BE8" w:rsidRPr="00C54985">
        <w:t xml:space="preserve">see a bigger pocket of poverty. Importantly, </w:t>
      </w:r>
      <w:r w:rsidR="00370682" w:rsidRPr="00C54985">
        <w:t xml:space="preserve">the </w:t>
      </w:r>
      <w:r w:rsidR="00541BE8" w:rsidRPr="00C54985">
        <w:t xml:space="preserve">escape from poverty cannot happen from </w:t>
      </w:r>
      <w:r w:rsidR="00370682" w:rsidRPr="00C54985">
        <w:t xml:space="preserve">the </w:t>
      </w:r>
      <w:r w:rsidR="00541BE8" w:rsidRPr="00C54985">
        <w:t xml:space="preserve">number of programs or incentives provided by </w:t>
      </w:r>
      <w:r w:rsidR="00370682" w:rsidRPr="00C54985">
        <w:t xml:space="preserve">the </w:t>
      </w:r>
      <w:r w:rsidR="00541BE8" w:rsidRPr="00C54985">
        <w:t xml:space="preserve">government or related agencies. </w:t>
      </w:r>
      <w:r w:rsidR="00370682" w:rsidRPr="00C54985">
        <w:t>The e</w:t>
      </w:r>
      <w:r w:rsidR="00541BE8" w:rsidRPr="00C54985">
        <w:t>scape from poverty could only happen through hardship and continuous effort of individual</w:t>
      </w:r>
      <w:r w:rsidR="00370682" w:rsidRPr="00C54985">
        <w:t>s</w:t>
      </w:r>
      <w:r w:rsidR="00541BE8" w:rsidRPr="00C54985">
        <w:t xml:space="preserve"> to equip themselves with relevant skills, talents and abilities to face the changing economy.</w:t>
      </w:r>
    </w:p>
    <w:p w14:paraId="5A666A51" w14:textId="2609893B" w:rsidR="003F6D84" w:rsidRDefault="003F6D84" w:rsidP="00300A09">
      <w:pPr>
        <w:jc w:val="both"/>
      </w:pPr>
    </w:p>
    <w:p w14:paraId="481DE38D" w14:textId="3DAF6FBD" w:rsidR="003824F4" w:rsidRPr="00C54985" w:rsidRDefault="003824F4" w:rsidP="00300A09">
      <w:pPr>
        <w:jc w:val="both"/>
      </w:pPr>
    </w:p>
    <w:p w14:paraId="5B3418D3" w14:textId="488FB0B9" w:rsidR="003824F4" w:rsidRDefault="003824F4" w:rsidP="00300A09">
      <w:pPr>
        <w:pStyle w:val="Heading2"/>
        <w:spacing w:before="0" w:line="240" w:lineRule="auto"/>
        <w:rPr>
          <w:rFonts w:ascii="Times New Roman" w:hAnsi="Times New Roman" w:cs="Times New Roman"/>
          <w:sz w:val="24"/>
          <w:szCs w:val="24"/>
        </w:rPr>
      </w:pPr>
      <w:r w:rsidRPr="00C54985">
        <w:rPr>
          <w:rFonts w:ascii="Times New Roman" w:hAnsi="Times New Roman" w:cs="Times New Roman"/>
          <w:sz w:val="24"/>
          <w:szCs w:val="24"/>
        </w:rPr>
        <w:t>Acknowledgement</w:t>
      </w:r>
    </w:p>
    <w:p w14:paraId="4B7B82E5" w14:textId="77777777" w:rsidR="003F6D84" w:rsidRPr="003F6D84" w:rsidRDefault="003F6D84" w:rsidP="00300A09"/>
    <w:p w14:paraId="78A93FA0" w14:textId="5C59754A" w:rsidR="003824F4" w:rsidRDefault="003824F4" w:rsidP="00300A09">
      <w:pPr>
        <w:jc w:val="both"/>
      </w:pPr>
      <w:r w:rsidRPr="00C54985">
        <w:t>This study is funded by USM RU Team Grant 1001/PHUMANITI/856002</w:t>
      </w:r>
    </w:p>
    <w:p w14:paraId="6EF57983" w14:textId="0052510C" w:rsidR="003F6D84" w:rsidRDefault="003F6D84" w:rsidP="00300A09">
      <w:pPr>
        <w:jc w:val="both"/>
      </w:pPr>
    </w:p>
    <w:p w14:paraId="70FBE809" w14:textId="77777777" w:rsidR="003F6D84" w:rsidRDefault="003F6D84" w:rsidP="00300A09">
      <w:pPr>
        <w:jc w:val="both"/>
      </w:pPr>
    </w:p>
    <w:p w14:paraId="230A33B8" w14:textId="0B01A7B2" w:rsidR="003824F4" w:rsidRDefault="003824F4" w:rsidP="00300A09">
      <w:pPr>
        <w:pStyle w:val="Heading2"/>
        <w:spacing w:before="0" w:line="240" w:lineRule="auto"/>
        <w:rPr>
          <w:rFonts w:ascii="Times New Roman" w:hAnsi="Times New Roman" w:cs="Times New Roman"/>
          <w:sz w:val="24"/>
          <w:szCs w:val="24"/>
        </w:rPr>
      </w:pPr>
      <w:r w:rsidRPr="00C54985">
        <w:rPr>
          <w:rFonts w:ascii="Times New Roman" w:hAnsi="Times New Roman" w:cs="Times New Roman"/>
          <w:sz w:val="24"/>
          <w:szCs w:val="24"/>
        </w:rPr>
        <w:lastRenderedPageBreak/>
        <w:t>References</w:t>
      </w:r>
    </w:p>
    <w:p w14:paraId="598B1448" w14:textId="77777777" w:rsidR="003F6D84" w:rsidRPr="003F6D84" w:rsidRDefault="003F6D84" w:rsidP="00300A09"/>
    <w:p w14:paraId="78276B53" w14:textId="697B7487"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Agostini, C.A., Brown, P.H., &amp; Roman, A.C. (2010). Poverty and Inequality among Ethnic Groups in chile. </w:t>
      </w:r>
      <w:r w:rsidRPr="00C54985">
        <w:rPr>
          <w:rFonts w:eastAsiaTheme="minorHAnsi"/>
          <w:i/>
          <w:iCs/>
        </w:rPr>
        <w:t>World Development, 38</w:t>
      </w:r>
      <w:r w:rsidRPr="00C54985">
        <w:rPr>
          <w:rFonts w:eastAsiaTheme="minorHAnsi"/>
        </w:rPr>
        <w:t>(7), 1036-1046.</w:t>
      </w:r>
    </w:p>
    <w:p w14:paraId="1B4D4445" w14:textId="7A81161E" w:rsidR="003F6D84" w:rsidRPr="00C54985" w:rsidRDefault="003F6D84" w:rsidP="00300A09">
      <w:pPr>
        <w:ind w:left="709" w:hanging="709"/>
        <w:jc w:val="both"/>
        <w:rPr>
          <w:lang w:val="en-MY"/>
        </w:rPr>
      </w:pPr>
      <w:r w:rsidRPr="00C54985">
        <w:rPr>
          <w:lang w:val="en-MY"/>
        </w:rPr>
        <w:t>Al-shami, S.S.A., Razali, R.M., &amp; Rashid, N. (2018). The effect of microcredit on women empowerment in welfare and decisions making in Malaysia. </w:t>
      </w:r>
      <w:r w:rsidRPr="00C54985">
        <w:rPr>
          <w:i/>
          <w:iCs/>
          <w:lang w:val="en-MY"/>
        </w:rPr>
        <w:t>Social Indicators Research</w:t>
      </w:r>
      <w:r w:rsidRPr="00C54985">
        <w:rPr>
          <w:lang w:val="en-MY"/>
        </w:rPr>
        <w:t>, </w:t>
      </w:r>
      <w:r w:rsidRPr="00C54985">
        <w:rPr>
          <w:i/>
          <w:iCs/>
          <w:lang w:val="en-MY"/>
        </w:rPr>
        <w:t>137</w:t>
      </w:r>
      <w:r w:rsidRPr="00C54985">
        <w:rPr>
          <w:lang w:val="en-MY"/>
        </w:rPr>
        <w:t>(3), 1073-1090.</w:t>
      </w:r>
    </w:p>
    <w:p w14:paraId="7E40BAF1" w14:textId="215FBD17" w:rsidR="003F6D84" w:rsidRPr="00C54985" w:rsidRDefault="003F6D84" w:rsidP="00300A09">
      <w:pPr>
        <w:ind w:left="709" w:hanging="709"/>
        <w:jc w:val="both"/>
        <w:rPr>
          <w:lang w:val="en-MY"/>
        </w:rPr>
      </w:pPr>
      <w:r w:rsidRPr="00C54985">
        <w:rPr>
          <w:lang w:val="en-MY"/>
        </w:rPr>
        <w:t xml:space="preserve">Bahari, Z., Mohd, S., &amp; Hamat, A.F.C. (2016). Relationship between Poverty and Inequality: A </w:t>
      </w:r>
      <w:r w:rsidR="004C389C">
        <w:rPr>
          <w:lang w:val="en-MY"/>
        </w:rPr>
        <w:t>c</w:t>
      </w:r>
      <w:r w:rsidRPr="00C54985">
        <w:rPr>
          <w:lang w:val="en-MY"/>
        </w:rPr>
        <w:t xml:space="preserve">ase </w:t>
      </w:r>
      <w:r w:rsidR="004C389C">
        <w:rPr>
          <w:lang w:val="en-MY"/>
        </w:rPr>
        <w:t>s</w:t>
      </w:r>
      <w:r w:rsidRPr="00C54985">
        <w:rPr>
          <w:lang w:val="en-MY"/>
        </w:rPr>
        <w:t xml:space="preserve">tudy of </w:t>
      </w:r>
      <w:r w:rsidR="004C389C">
        <w:rPr>
          <w:lang w:val="en-MY"/>
        </w:rPr>
        <w:t>b</w:t>
      </w:r>
      <w:r w:rsidRPr="00C54985">
        <w:rPr>
          <w:lang w:val="en-MY"/>
        </w:rPr>
        <w:t xml:space="preserve">umiputera </w:t>
      </w:r>
      <w:r w:rsidR="004C389C">
        <w:rPr>
          <w:lang w:val="en-MY"/>
        </w:rPr>
        <w:t>h</w:t>
      </w:r>
      <w:r w:rsidRPr="00C54985">
        <w:rPr>
          <w:lang w:val="en-MY"/>
        </w:rPr>
        <w:t xml:space="preserve">ousehold in </w:t>
      </w:r>
      <w:r w:rsidR="004C389C">
        <w:rPr>
          <w:lang w:val="en-MY"/>
        </w:rPr>
        <w:t>t</w:t>
      </w:r>
      <w:r w:rsidRPr="00C54985">
        <w:rPr>
          <w:lang w:val="en-MY"/>
        </w:rPr>
        <w:t xml:space="preserve">he </w:t>
      </w:r>
      <w:r w:rsidR="004C389C">
        <w:rPr>
          <w:lang w:val="en-MY"/>
        </w:rPr>
        <w:t>n</w:t>
      </w:r>
      <w:r w:rsidRPr="00C54985">
        <w:rPr>
          <w:lang w:val="en-MY"/>
        </w:rPr>
        <w:t xml:space="preserve">orthern </w:t>
      </w:r>
      <w:r w:rsidR="004C389C">
        <w:rPr>
          <w:lang w:val="en-MY"/>
        </w:rPr>
        <w:t>s</w:t>
      </w:r>
      <w:r w:rsidRPr="00C54985">
        <w:rPr>
          <w:lang w:val="en-MY"/>
        </w:rPr>
        <w:t>tates of Malaysia. In </w:t>
      </w:r>
      <w:r w:rsidRPr="00C54985">
        <w:rPr>
          <w:i/>
          <w:iCs/>
          <w:lang w:val="en-MY"/>
        </w:rPr>
        <w:t>Proceedings of International Conference on Development and Socio Spatial Inequalities 2015</w:t>
      </w:r>
      <w:r w:rsidRPr="00C54985">
        <w:rPr>
          <w:lang w:val="en-MY"/>
        </w:rPr>
        <w:t> (p. 113).</w:t>
      </w:r>
    </w:p>
    <w:p w14:paraId="1450B261" w14:textId="77777777"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Christiaensen, L., &amp; Todo, Y. (2013). Poverty reduction during the rural–urban transformation–the role of the missing middle. </w:t>
      </w:r>
      <w:r w:rsidRPr="00C54985">
        <w:rPr>
          <w:rFonts w:eastAsiaTheme="minorHAnsi"/>
          <w:i/>
          <w:iCs/>
        </w:rPr>
        <w:t>World Development</w:t>
      </w:r>
      <w:r w:rsidRPr="00C54985">
        <w:rPr>
          <w:rFonts w:eastAsiaTheme="minorHAnsi"/>
        </w:rPr>
        <w:t xml:space="preserve">. </w:t>
      </w:r>
    </w:p>
    <w:p w14:paraId="76D7EC68" w14:textId="38C43762"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Cremin, P., &amp; Nakabugo, M.G. (2012). Education, development and poverty reduction: A literature critique. </w:t>
      </w:r>
      <w:r w:rsidRPr="00C54985">
        <w:rPr>
          <w:rFonts w:eastAsiaTheme="minorHAnsi"/>
          <w:i/>
          <w:iCs/>
        </w:rPr>
        <w:t>International Journal of Educational Development, 32</w:t>
      </w:r>
      <w:r w:rsidRPr="00C54985">
        <w:rPr>
          <w:rFonts w:eastAsiaTheme="minorHAnsi"/>
        </w:rPr>
        <w:t xml:space="preserve">(4), 499-506. </w:t>
      </w:r>
    </w:p>
    <w:p w14:paraId="54954253" w14:textId="3D002506" w:rsidR="003F6D84" w:rsidRPr="00C54985" w:rsidRDefault="003F6D84" w:rsidP="00300A09">
      <w:pPr>
        <w:ind w:left="709" w:hanging="709"/>
        <w:jc w:val="both"/>
        <w:rPr>
          <w:iCs/>
        </w:rPr>
      </w:pPr>
      <w:r w:rsidRPr="00C54985">
        <w:rPr>
          <w:iCs/>
        </w:rPr>
        <w:t>Dawood, S.R.S., &amp; Khoo, S.L. (2017). Poverty eradication, government role and sustainable livelihood in rural Malaysia: An empirical study of community perception in northern Peninsular Malaysia. </w:t>
      </w:r>
      <w:r w:rsidRPr="00C54985">
        <w:rPr>
          <w:i/>
          <w:iCs/>
        </w:rPr>
        <w:t>Geografia Malaysian Journal of Society and Space</w:t>
      </w:r>
      <w:r w:rsidRPr="00C54985">
        <w:rPr>
          <w:iCs/>
        </w:rPr>
        <w:t>, </w:t>
      </w:r>
      <w:r w:rsidRPr="00C54985">
        <w:rPr>
          <w:i/>
          <w:iCs/>
        </w:rPr>
        <w:t>12</w:t>
      </w:r>
      <w:r w:rsidRPr="00C54985">
        <w:rPr>
          <w:iCs/>
        </w:rPr>
        <w:t>(8), 61-70.</w:t>
      </w:r>
    </w:p>
    <w:p w14:paraId="7D1E3D65" w14:textId="30CA2545" w:rsidR="003F6D84" w:rsidRPr="00C54985" w:rsidRDefault="003F6D84" w:rsidP="00300A09">
      <w:pPr>
        <w:ind w:left="709" w:hanging="709"/>
        <w:jc w:val="both"/>
        <w:rPr>
          <w:iCs/>
        </w:rPr>
      </w:pPr>
      <w:r w:rsidRPr="00C54985">
        <w:rPr>
          <w:iCs/>
        </w:rPr>
        <w:t xml:space="preserve">Department of Statistics Malaysia. (2017). </w:t>
      </w:r>
      <w:r w:rsidRPr="00BB1A33">
        <w:rPr>
          <w:i/>
          <w:iCs/>
        </w:rPr>
        <w:t xml:space="preserve">Gross </w:t>
      </w:r>
      <w:r w:rsidR="00BB1A33" w:rsidRPr="00BB1A33">
        <w:rPr>
          <w:i/>
          <w:iCs/>
        </w:rPr>
        <w:t>d</w:t>
      </w:r>
      <w:r w:rsidRPr="00BB1A33">
        <w:rPr>
          <w:i/>
          <w:iCs/>
        </w:rPr>
        <w:t xml:space="preserve">omestic </w:t>
      </w:r>
      <w:r w:rsidR="00BB1A33" w:rsidRPr="00BB1A33">
        <w:rPr>
          <w:i/>
          <w:iCs/>
        </w:rPr>
        <w:t>p</w:t>
      </w:r>
      <w:r w:rsidRPr="00BB1A33">
        <w:rPr>
          <w:i/>
          <w:iCs/>
        </w:rPr>
        <w:t xml:space="preserve">roduct by </w:t>
      </w:r>
      <w:r w:rsidR="00BB1A33" w:rsidRPr="00BB1A33">
        <w:rPr>
          <w:i/>
          <w:iCs/>
        </w:rPr>
        <w:t>s</w:t>
      </w:r>
      <w:r w:rsidRPr="00BB1A33">
        <w:rPr>
          <w:i/>
          <w:iCs/>
        </w:rPr>
        <w:t>tates 2016</w:t>
      </w:r>
      <w:r w:rsidRPr="00C54985">
        <w:rPr>
          <w:iCs/>
        </w:rPr>
        <w:t xml:space="preserve">. Retrieved from </w:t>
      </w:r>
      <w:r w:rsidRPr="00C54985">
        <w:rPr>
          <w:rStyle w:val="Hyperlink"/>
          <w:iCs/>
          <w:color w:val="auto"/>
          <w:u w:val="none"/>
        </w:rPr>
        <w:t>https://www.dosm.gov.my</w:t>
      </w:r>
      <w:r w:rsidR="00E87E88">
        <w:rPr>
          <w:rStyle w:val="Hyperlink"/>
          <w:iCs/>
          <w:color w:val="auto"/>
          <w:u w:val="none"/>
        </w:rPr>
        <w:t>.</w:t>
      </w:r>
      <w:r w:rsidRPr="00C54985">
        <w:rPr>
          <w:iCs/>
        </w:rPr>
        <w:t xml:space="preserve"> </w:t>
      </w:r>
    </w:p>
    <w:p w14:paraId="5767CE60" w14:textId="5B129E0A" w:rsidR="003F6D84" w:rsidRPr="00C54985" w:rsidRDefault="003F6D84" w:rsidP="00300A09">
      <w:pPr>
        <w:ind w:left="709" w:hanging="709"/>
        <w:jc w:val="both"/>
      </w:pPr>
      <w:r w:rsidRPr="00C54985">
        <w:rPr>
          <w:iCs/>
        </w:rPr>
        <w:t>Department of Statistics Malaysia. (2017).</w:t>
      </w:r>
      <w:r w:rsidRPr="00C54985">
        <w:rPr>
          <w:i/>
          <w:iCs/>
        </w:rPr>
        <w:t xml:space="preserve"> Household </w:t>
      </w:r>
      <w:r w:rsidR="00BB1A33">
        <w:rPr>
          <w:i/>
          <w:iCs/>
        </w:rPr>
        <w:t>i</w:t>
      </w:r>
      <w:r w:rsidRPr="00C54985">
        <w:rPr>
          <w:i/>
          <w:iCs/>
        </w:rPr>
        <w:t xml:space="preserve">ncome and </w:t>
      </w:r>
      <w:r w:rsidR="00BB1A33">
        <w:rPr>
          <w:i/>
          <w:iCs/>
        </w:rPr>
        <w:t>b</w:t>
      </w:r>
      <w:r w:rsidRPr="00C54985">
        <w:rPr>
          <w:i/>
          <w:iCs/>
        </w:rPr>
        <w:t xml:space="preserve">asic </w:t>
      </w:r>
      <w:r w:rsidR="00BB1A33">
        <w:rPr>
          <w:i/>
          <w:iCs/>
        </w:rPr>
        <w:t>a</w:t>
      </w:r>
      <w:r w:rsidRPr="00C54985">
        <w:rPr>
          <w:i/>
          <w:iCs/>
        </w:rPr>
        <w:t xml:space="preserve">menities </w:t>
      </w:r>
      <w:r w:rsidR="00BB1A33">
        <w:rPr>
          <w:i/>
          <w:iCs/>
        </w:rPr>
        <w:t>s</w:t>
      </w:r>
      <w:r w:rsidRPr="00C54985">
        <w:rPr>
          <w:i/>
          <w:iCs/>
        </w:rPr>
        <w:t xml:space="preserve">urvey </w:t>
      </w:r>
      <w:r w:rsidR="00BB1A33">
        <w:rPr>
          <w:i/>
          <w:iCs/>
        </w:rPr>
        <w:t>r</w:t>
      </w:r>
      <w:r w:rsidRPr="00C54985">
        <w:rPr>
          <w:i/>
          <w:iCs/>
        </w:rPr>
        <w:t xml:space="preserve">eport 2016. </w:t>
      </w:r>
      <w:r w:rsidRPr="00C54985">
        <w:rPr>
          <w:iCs/>
        </w:rPr>
        <w:t xml:space="preserve">Retrieved from </w:t>
      </w:r>
      <w:r w:rsidRPr="00C54985">
        <w:rPr>
          <w:rStyle w:val="Hyperlink"/>
          <w:iCs/>
          <w:color w:val="auto"/>
          <w:u w:val="none"/>
        </w:rPr>
        <w:t>http://www.statistics.gov.my</w:t>
      </w:r>
      <w:r w:rsidR="00E87E88">
        <w:rPr>
          <w:rStyle w:val="Hyperlink"/>
          <w:iCs/>
          <w:color w:val="auto"/>
          <w:u w:val="none"/>
        </w:rPr>
        <w:t>.</w:t>
      </w:r>
      <w:r w:rsidRPr="00C54985">
        <w:tab/>
        <w:t xml:space="preserve"> </w:t>
      </w:r>
    </w:p>
    <w:p w14:paraId="44650FCB" w14:textId="2654D40C" w:rsidR="003F6D84" w:rsidRPr="00C54985" w:rsidRDefault="003F6D84" w:rsidP="00300A09">
      <w:pPr>
        <w:ind w:left="709" w:hanging="709"/>
        <w:jc w:val="both"/>
      </w:pPr>
      <w:r w:rsidRPr="00C54985">
        <w:t>Elbers, C.,</w:t>
      </w:r>
      <w:r w:rsidR="002B5DC0">
        <w:t xml:space="preserve"> </w:t>
      </w:r>
      <w:r w:rsidRPr="00C54985">
        <w:t>Lanjouw</w:t>
      </w:r>
      <w:r w:rsidR="002B5DC0">
        <w:t xml:space="preserve"> J.O.</w:t>
      </w:r>
      <w:r w:rsidRPr="00C54985">
        <w:t xml:space="preserve"> &amp; Lanjouw P. (2003)</w:t>
      </w:r>
      <w:r w:rsidR="002B5DC0">
        <w:t xml:space="preserve">. </w:t>
      </w:r>
      <w:r w:rsidRPr="00C54985">
        <w:t xml:space="preserve">Micro </w:t>
      </w:r>
      <w:r w:rsidR="00BB1A33">
        <w:t>l</w:t>
      </w:r>
      <w:r w:rsidRPr="00C54985">
        <w:t xml:space="preserve">evel </w:t>
      </w:r>
      <w:r w:rsidR="00BB1A33">
        <w:t>e</w:t>
      </w:r>
      <w:r w:rsidRPr="00C54985">
        <w:t xml:space="preserve">stimation of </w:t>
      </w:r>
      <w:r w:rsidR="00BB1A33">
        <w:t>p</w:t>
      </w:r>
      <w:r w:rsidRPr="00C54985">
        <w:t xml:space="preserve">overty and </w:t>
      </w:r>
      <w:r w:rsidR="00E87E88">
        <w:t xml:space="preserve">inequality. </w:t>
      </w:r>
      <w:r w:rsidR="00E87E88" w:rsidRPr="0041662C">
        <w:rPr>
          <w:i/>
        </w:rPr>
        <w:t xml:space="preserve">Journal of the </w:t>
      </w:r>
      <w:r w:rsidR="0041662C" w:rsidRPr="0041662C">
        <w:rPr>
          <w:i/>
        </w:rPr>
        <w:t>E</w:t>
      </w:r>
      <w:r w:rsidR="00E87E88" w:rsidRPr="0041662C">
        <w:rPr>
          <w:i/>
        </w:rPr>
        <w:t xml:space="preserve">conometric </w:t>
      </w:r>
      <w:r w:rsidR="0041662C" w:rsidRPr="0041662C">
        <w:rPr>
          <w:i/>
        </w:rPr>
        <w:t>S</w:t>
      </w:r>
      <w:r w:rsidR="00E87E88" w:rsidRPr="0041662C">
        <w:rPr>
          <w:i/>
        </w:rPr>
        <w:t>ociety, 71</w:t>
      </w:r>
      <w:r w:rsidR="00E87E88">
        <w:t>(1), 355-364</w:t>
      </w:r>
      <w:r w:rsidR="0041662C">
        <w:t>.</w:t>
      </w:r>
    </w:p>
    <w:p w14:paraId="741BAD31" w14:textId="77777777" w:rsidR="003F6D84" w:rsidRPr="00C54985" w:rsidRDefault="003F6D84" w:rsidP="00300A09">
      <w:pPr>
        <w:ind w:left="709" w:hanging="709"/>
        <w:jc w:val="both"/>
        <w:rPr>
          <w:lang w:val="en-US"/>
        </w:rPr>
      </w:pPr>
      <w:r w:rsidRPr="00C54985">
        <w:rPr>
          <w:lang w:val="en-US"/>
        </w:rPr>
        <w:t xml:space="preserve">Elmelech, Y., &amp; Lu, H.-H. (2004). Race, ethnicity, and the gender poverty gap. </w:t>
      </w:r>
      <w:r w:rsidRPr="00C54985">
        <w:rPr>
          <w:i/>
          <w:iCs/>
          <w:lang w:val="en-US"/>
        </w:rPr>
        <w:t>Social Science Research, 33</w:t>
      </w:r>
      <w:r w:rsidRPr="00C54985">
        <w:rPr>
          <w:lang w:val="en-US"/>
        </w:rPr>
        <w:t xml:space="preserve">(1), 158-182. </w:t>
      </w:r>
    </w:p>
    <w:p w14:paraId="64D037D2" w14:textId="32EC1556"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Gounder, R., &amp; Xing, Z. (2012). Impact of education and health on poverty reduction: Monetary and non-monetary evidence from Fiji. </w:t>
      </w:r>
      <w:r w:rsidRPr="00C54985">
        <w:rPr>
          <w:rFonts w:eastAsiaTheme="minorHAnsi"/>
          <w:i/>
          <w:iCs/>
        </w:rPr>
        <w:t>Economic Modelling, 29</w:t>
      </w:r>
      <w:r w:rsidRPr="00C54985">
        <w:rPr>
          <w:rFonts w:eastAsiaTheme="minorHAnsi"/>
        </w:rPr>
        <w:t>(3),</w:t>
      </w:r>
      <w:r w:rsidR="002B5DC0">
        <w:rPr>
          <w:rFonts w:eastAsiaTheme="minorHAnsi"/>
        </w:rPr>
        <w:t xml:space="preserve"> </w:t>
      </w:r>
      <w:r w:rsidRPr="00C54985">
        <w:rPr>
          <w:rFonts w:eastAsiaTheme="minorHAnsi"/>
        </w:rPr>
        <w:t xml:space="preserve">787-794. </w:t>
      </w:r>
    </w:p>
    <w:p w14:paraId="22FA596B" w14:textId="1F579BD1" w:rsidR="003F6D84" w:rsidRPr="00C54985" w:rsidRDefault="003F6D84" w:rsidP="00300A09">
      <w:pPr>
        <w:autoSpaceDE w:val="0"/>
        <w:autoSpaceDN w:val="0"/>
        <w:adjustRightInd w:val="0"/>
        <w:ind w:left="709" w:hanging="709"/>
        <w:jc w:val="both"/>
      </w:pPr>
      <w:r w:rsidRPr="00C54985">
        <w:t xml:space="preserve">Hentschel, J., Lanjouw, J.O., Lanjouw, P., &amp; Poggi, J. (2000). Combining census and survey data to trace the spatial dimensions of poverty: A case study of Ecuador. </w:t>
      </w:r>
      <w:r w:rsidRPr="00C54985">
        <w:rPr>
          <w:i/>
          <w:iCs/>
        </w:rPr>
        <w:t>The World Bank Economic Review</w:t>
      </w:r>
      <w:r w:rsidRPr="00C54985">
        <w:t xml:space="preserve">, </w:t>
      </w:r>
      <w:r w:rsidRPr="00C54985">
        <w:rPr>
          <w:i/>
        </w:rPr>
        <w:t>14(1),</w:t>
      </w:r>
      <w:r w:rsidRPr="00C54985">
        <w:t xml:space="preserve"> 147-165.</w:t>
      </w:r>
    </w:p>
    <w:p w14:paraId="6D074EDA" w14:textId="54797284" w:rsidR="003F6D84" w:rsidRPr="00C54985" w:rsidRDefault="003F6D84" w:rsidP="00300A09">
      <w:pPr>
        <w:ind w:left="709" w:hanging="709"/>
        <w:jc w:val="both"/>
      </w:pPr>
      <w:r w:rsidRPr="00C54985">
        <w:t>Hussain, M.Y., Manaf, A.A., Ramli, Z., &amp; Saad, S. (2011). Kesejahteraan sosial masyarakat nelayan: Kajian kes di Kampung Sri Bahagia, Mersing, Johor</w:t>
      </w:r>
      <w:r w:rsidR="002B5DC0">
        <w:t xml:space="preserve">. </w:t>
      </w:r>
      <w:r w:rsidRPr="00C54985">
        <w:rPr>
          <w:i/>
          <w:iCs/>
        </w:rPr>
        <w:t>Geografia Malaysian Journal of Society and Space</w:t>
      </w:r>
      <w:r w:rsidRPr="00C54985">
        <w:t>, </w:t>
      </w:r>
      <w:r w:rsidRPr="00C54985">
        <w:rPr>
          <w:i/>
          <w:iCs/>
        </w:rPr>
        <w:t>7</w:t>
      </w:r>
      <w:r w:rsidRPr="00C54985">
        <w:t>(5), 80-90.</w:t>
      </w:r>
      <w:r w:rsidRPr="00C54985">
        <w:tab/>
      </w:r>
    </w:p>
    <w:p w14:paraId="4C68E693" w14:textId="77777777" w:rsidR="003F6D84" w:rsidRPr="00C54985" w:rsidRDefault="003F6D84" w:rsidP="00300A09">
      <w:pPr>
        <w:ind w:left="709" w:hanging="709"/>
        <w:jc w:val="both"/>
        <w:rPr>
          <w:lang w:val="en-MY"/>
        </w:rPr>
      </w:pPr>
      <w:r w:rsidRPr="00C54985">
        <w:rPr>
          <w:lang w:val="en-MY"/>
        </w:rPr>
        <w:t>Klasen, S., Lechtenfeld, T., &amp; Povel, F. (2015). A feminization of vulnerability? Female headship, poverty, and vulnerability in Thailand and Vietnam. </w:t>
      </w:r>
      <w:r w:rsidRPr="00C54985">
        <w:rPr>
          <w:i/>
          <w:iCs/>
          <w:lang w:val="en-MY"/>
        </w:rPr>
        <w:t>World Development</w:t>
      </w:r>
      <w:r w:rsidRPr="00C54985">
        <w:rPr>
          <w:lang w:val="en-MY"/>
        </w:rPr>
        <w:t>, </w:t>
      </w:r>
      <w:r w:rsidRPr="00C54985">
        <w:rPr>
          <w:i/>
          <w:iCs/>
          <w:lang w:val="en-MY"/>
        </w:rPr>
        <w:t>71</w:t>
      </w:r>
      <w:r w:rsidRPr="00C54985">
        <w:rPr>
          <w:lang w:val="en-MY"/>
        </w:rPr>
        <w:t>, 36-53.</w:t>
      </w:r>
    </w:p>
    <w:p w14:paraId="6F626619" w14:textId="01B145C8" w:rsidR="003F6D84" w:rsidRPr="00C54985" w:rsidRDefault="003F6D84" w:rsidP="00300A09">
      <w:pPr>
        <w:ind w:left="709" w:hanging="709"/>
        <w:jc w:val="both"/>
        <w:rPr>
          <w:lang w:val="en-MY"/>
        </w:rPr>
      </w:pPr>
      <w:r w:rsidRPr="00C54985">
        <w:rPr>
          <w:lang w:val="en-MY"/>
        </w:rPr>
        <w:t xml:space="preserve">Majid, M.R., Jaffar, A.R., Man, N.C., Vaziri, M., &amp; Sulemana, M. (2016). Mapping </w:t>
      </w:r>
      <w:r w:rsidR="00D33A33">
        <w:rPr>
          <w:lang w:val="en-MY"/>
        </w:rPr>
        <w:t>p</w:t>
      </w:r>
      <w:r w:rsidRPr="00C54985">
        <w:rPr>
          <w:lang w:val="en-MY"/>
        </w:rPr>
        <w:t xml:space="preserve">overty </w:t>
      </w:r>
      <w:r w:rsidR="00D33A33">
        <w:rPr>
          <w:lang w:val="en-MY"/>
        </w:rPr>
        <w:t>h</w:t>
      </w:r>
      <w:r w:rsidRPr="00C54985">
        <w:rPr>
          <w:lang w:val="en-MY"/>
        </w:rPr>
        <w:t xml:space="preserve">ot </w:t>
      </w:r>
      <w:r w:rsidR="00D33A33">
        <w:rPr>
          <w:lang w:val="en-MY"/>
        </w:rPr>
        <w:t>s</w:t>
      </w:r>
      <w:r w:rsidRPr="00C54985">
        <w:rPr>
          <w:lang w:val="en-MY"/>
        </w:rPr>
        <w:t xml:space="preserve">pots in </w:t>
      </w:r>
      <w:r w:rsidR="00EC4568">
        <w:rPr>
          <w:lang w:val="en-MY"/>
        </w:rPr>
        <w:t>p</w:t>
      </w:r>
      <w:r w:rsidRPr="00C54985">
        <w:rPr>
          <w:lang w:val="en-MY"/>
        </w:rPr>
        <w:t xml:space="preserve">eninsular Malaysia using </w:t>
      </w:r>
      <w:r w:rsidR="00D33A33">
        <w:rPr>
          <w:lang w:val="en-MY"/>
        </w:rPr>
        <w:t>s</w:t>
      </w:r>
      <w:r w:rsidRPr="00C54985">
        <w:rPr>
          <w:lang w:val="en-MY"/>
        </w:rPr>
        <w:t xml:space="preserve">patial </w:t>
      </w:r>
      <w:r w:rsidR="00D33A33">
        <w:rPr>
          <w:lang w:val="en-MY"/>
        </w:rPr>
        <w:t>a</w:t>
      </w:r>
      <w:r w:rsidRPr="00C54985">
        <w:rPr>
          <w:lang w:val="en-MY"/>
        </w:rPr>
        <w:t xml:space="preserve">utocorrelation </w:t>
      </w:r>
      <w:r w:rsidR="00D33A33">
        <w:rPr>
          <w:lang w:val="en-MY"/>
        </w:rPr>
        <w:t>a</w:t>
      </w:r>
      <w:r w:rsidRPr="00C54985">
        <w:rPr>
          <w:lang w:val="en-MY"/>
        </w:rPr>
        <w:t>nalysis. </w:t>
      </w:r>
      <w:r w:rsidRPr="00C54985">
        <w:rPr>
          <w:i/>
          <w:iCs/>
          <w:lang w:val="en-MY"/>
        </w:rPr>
        <w:t>Planning Malaysia Journal</w:t>
      </w:r>
      <w:r w:rsidRPr="00C54985">
        <w:rPr>
          <w:lang w:val="en-MY"/>
        </w:rPr>
        <w:t>, </w:t>
      </w:r>
      <w:r w:rsidRPr="00C54985">
        <w:rPr>
          <w:i/>
          <w:iCs/>
          <w:lang w:val="en-MY"/>
        </w:rPr>
        <w:t>14</w:t>
      </w:r>
      <w:r w:rsidRPr="00C54985">
        <w:rPr>
          <w:lang w:val="en-MY"/>
        </w:rPr>
        <w:t>(4).</w:t>
      </w:r>
    </w:p>
    <w:p w14:paraId="2CF3BEF9" w14:textId="4DFD16B8" w:rsidR="003F6D84" w:rsidRPr="00C54985" w:rsidRDefault="003F6D84" w:rsidP="00300A09">
      <w:pPr>
        <w:ind w:left="709" w:hanging="709"/>
        <w:jc w:val="both"/>
        <w:rPr>
          <w:lang w:val="en-MY"/>
        </w:rPr>
      </w:pPr>
      <w:r w:rsidRPr="00C54985">
        <w:rPr>
          <w:lang w:val="en-MY"/>
        </w:rPr>
        <w:t xml:space="preserve">Mohd, S., Senadjki, A., &amp; Mansor, N. (2018). Trend of </w:t>
      </w:r>
      <w:r w:rsidR="003E002A">
        <w:rPr>
          <w:lang w:val="en-MY"/>
        </w:rPr>
        <w:t>p</w:t>
      </w:r>
      <w:r w:rsidRPr="00C54985">
        <w:rPr>
          <w:lang w:val="en-MY"/>
        </w:rPr>
        <w:t xml:space="preserve">overty among </w:t>
      </w:r>
      <w:r w:rsidR="003E002A">
        <w:rPr>
          <w:lang w:val="en-MY"/>
        </w:rPr>
        <w:t>e</w:t>
      </w:r>
      <w:r w:rsidRPr="00C54985">
        <w:rPr>
          <w:lang w:val="en-MY"/>
        </w:rPr>
        <w:t xml:space="preserve">lderly: Evidence from </w:t>
      </w:r>
      <w:r w:rsidR="003E002A">
        <w:rPr>
          <w:lang w:val="en-MY"/>
        </w:rPr>
        <w:t>h</w:t>
      </w:r>
      <w:r w:rsidRPr="00C54985">
        <w:rPr>
          <w:lang w:val="en-MY"/>
        </w:rPr>
        <w:t xml:space="preserve">ousehold </w:t>
      </w:r>
      <w:r w:rsidR="003E002A">
        <w:rPr>
          <w:lang w:val="en-MY"/>
        </w:rPr>
        <w:t>i</w:t>
      </w:r>
      <w:r w:rsidRPr="00C54985">
        <w:rPr>
          <w:lang w:val="en-MY"/>
        </w:rPr>
        <w:t xml:space="preserve">ncome </w:t>
      </w:r>
      <w:r w:rsidR="003E002A">
        <w:rPr>
          <w:lang w:val="en-MY"/>
        </w:rPr>
        <w:t>s</w:t>
      </w:r>
      <w:r w:rsidRPr="00C54985">
        <w:rPr>
          <w:lang w:val="en-MY"/>
        </w:rPr>
        <w:t>urveys. </w:t>
      </w:r>
      <w:r w:rsidRPr="00C54985">
        <w:rPr>
          <w:i/>
          <w:iCs/>
          <w:lang w:val="en-MY"/>
        </w:rPr>
        <w:t>Journal of Poverty</w:t>
      </w:r>
      <w:r w:rsidRPr="00C54985">
        <w:rPr>
          <w:lang w:val="en-MY"/>
        </w:rPr>
        <w:t>, </w:t>
      </w:r>
      <w:r w:rsidRPr="00C54985">
        <w:rPr>
          <w:i/>
          <w:iCs/>
          <w:lang w:val="en-MY"/>
        </w:rPr>
        <w:t>22</w:t>
      </w:r>
      <w:r w:rsidRPr="00C54985">
        <w:rPr>
          <w:lang w:val="en-MY"/>
        </w:rPr>
        <w:t>(2), 89-107.</w:t>
      </w:r>
    </w:p>
    <w:p w14:paraId="1DF233E5" w14:textId="3CAD6E34" w:rsidR="003F6D84" w:rsidRPr="00C54985" w:rsidRDefault="003F6D84" w:rsidP="00300A09">
      <w:pPr>
        <w:ind w:left="709" w:hanging="709"/>
        <w:jc w:val="both"/>
        <w:rPr>
          <w:lang w:val="en-MY"/>
        </w:rPr>
      </w:pPr>
      <w:r w:rsidRPr="00C54985">
        <w:rPr>
          <w:lang w:val="en-MY"/>
        </w:rPr>
        <w:t xml:space="preserve">Nair, S., &amp; Sagaran, S. (2015). Poverty in Malaysia: Need for a </w:t>
      </w:r>
      <w:r w:rsidR="003E002A">
        <w:rPr>
          <w:lang w:val="en-MY"/>
        </w:rPr>
        <w:t>p</w:t>
      </w:r>
      <w:r w:rsidRPr="00C54985">
        <w:rPr>
          <w:lang w:val="en-MY"/>
        </w:rPr>
        <w:t xml:space="preserve">aradigm </w:t>
      </w:r>
      <w:r w:rsidR="003E002A">
        <w:rPr>
          <w:lang w:val="en-MY"/>
        </w:rPr>
        <w:t>s</w:t>
      </w:r>
      <w:r w:rsidRPr="00C54985">
        <w:rPr>
          <w:lang w:val="en-MY"/>
        </w:rPr>
        <w:t>hift.</w:t>
      </w:r>
      <w:r w:rsidR="003E002A">
        <w:rPr>
          <w:lang w:val="en-MY"/>
        </w:rPr>
        <w:t xml:space="preserve"> </w:t>
      </w:r>
      <w:r w:rsidRPr="00C54985">
        <w:rPr>
          <w:i/>
          <w:iCs/>
          <w:lang w:val="en-MY"/>
        </w:rPr>
        <w:t>International Journal of Institutions and Economies</w:t>
      </w:r>
      <w:r w:rsidRPr="00C54985">
        <w:rPr>
          <w:lang w:val="en-MY"/>
        </w:rPr>
        <w:t>, </w:t>
      </w:r>
      <w:r w:rsidRPr="00C54985">
        <w:rPr>
          <w:i/>
          <w:iCs/>
          <w:lang w:val="en-MY"/>
        </w:rPr>
        <w:t>7</w:t>
      </w:r>
      <w:r w:rsidRPr="00C54985">
        <w:rPr>
          <w:lang w:val="en-MY"/>
        </w:rPr>
        <w:t>(3), 95-123.</w:t>
      </w:r>
    </w:p>
    <w:p w14:paraId="6FBD9F12" w14:textId="0CFCD60F" w:rsidR="003F6D84" w:rsidRPr="00C54985" w:rsidRDefault="003F6D84" w:rsidP="00300A09">
      <w:pPr>
        <w:ind w:left="709" w:hanging="709"/>
        <w:jc w:val="both"/>
        <w:rPr>
          <w:lang w:val="en-MY"/>
        </w:rPr>
      </w:pPr>
      <w:r w:rsidRPr="00C54985">
        <w:rPr>
          <w:lang w:val="en-MY"/>
        </w:rPr>
        <w:t xml:space="preserve">Pawasutipaisit, A., &amp; Townsend, M.R. (2011). Wealth accumulation and factors accounting for success. </w:t>
      </w:r>
      <w:r w:rsidRPr="003E002A">
        <w:rPr>
          <w:i/>
          <w:lang w:val="en-MY"/>
        </w:rPr>
        <w:t>Journal of Econometrics</w:t>
      </w:r>
      <w:r w:rsidR="003E002A">
        <w:rPr>
          <w:i/>
          <w:lang w:val="en-MY"/>
        </w:rPr>
        <w:t xml:space="preserve"> Society</w:t>
      </w:r>
      <w:r w:rsidRPr="003E002A">
        <w:rPr>
          <w:i/>
          <w:lang w:val="en-MY"/>
        </w:rPr>
        <w:t>, 161</w:t>
      </w:r>
      <w:r w:rsidRPr="00C54985">
        <w:rPr>
          <w:lang w:val="en-MY"/>
        </w:rPr>
        <w:t>(1), 56–81</w:t>
      </w:r>
      <w:r w:rsidR="008622D0">
        <w:rPr>
          <w:lang w:val="en-MY"/>
        </w:rPr>
        <w:t>.</w:t>
      </w:r>
      <w:r w:rsidRPr="00C54985">
        <w:rPr>
          <w:lang w:val="en-MY"/>
        </w:rPr>
        <w:t xml:space="preserve"> </w:t>
      </w:r>
    </w:p>
    <w:p w14:paraId="588C6F4C" w14:textId="5AAF2673" w:rsidR="003F6D84" w:rsidRPr="00C54985" w:rsidRDefault="003F6D84" w:rsidP="00300A09">
      <w:pPr>
        <w:ind w:left="709" w:hanging="709"/>
        <w:jc w:val="both"/>
        <w:rPr>
          <w:lang w:val="en-US"/>
        </w:rPr>
      </w:pPr>
      <w:r w:rsidRPr="00C54985">
        <w:rPr>
          <w:lang w:val="en-US"/>
        </w:rPr>
        <w:t>Quisumbing, A.R., Haddad, L., &amp; Peña, C. (1995). Gender and poverty: New evidence from 10 developing countries. Retrieved from:</w:t>
      </w:r>
      <w:r w:rsidRPr="00C54985">
        <w:t xml:space="preserve"> </w:t>
      </w:r>
      <w:r w:rsidRPr="00C54985">
        <w:rPr>
          <w:lang w:val="en-US"/>
        </w:rPr>
        <w:t>http://ageconsearch.umn.edu</w:t>
      </w:r>
      <w:r w:rsidR="003E002A">
        <w:rPr>
          <w:lang w:val="en-US"/>
        </w:rPr>
        <w:t>.</w:t>
      </w:r>
    </w:p>
    <w:p w14:paraId="1E9696E5" w14:textId="67A88610" w:rsidR="003F6D84" w:rsidRPr="00C54985" w:rsidRDefault="003F6D84" w:rsidP="00300A09">
      <w:pPr>
        <w:ind w:left="709" w:hanging="709"/>
        <w:jc w:val="both"/>
      </w:pPr>
      <w:r w:rsidRPr="00C54985">
        <w:lastRenderedPageBreak/>
        <w:t xml:space="preserve">Ravallion, M. (1998). Does aggregation hide the harmful effects of inequality on growth? </w:t>
      </w:r>
      <w:r w:rsidR="003E002A" w:rsidRPr="003E002A">
        <w:rPr>
          <w:i/>
        </w:rPr>
        <w:t>Economic Letters, 61</w:t>
      </w:r>
      <w:r w:rsidR="003E002A">
        <w:t>(1), 73-77.</w:t>
      </w:r>
    </w:p>
    <w:p w14:paraId="12279255" w14:textId="77777777"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Sen, A. (1985). A sociological approach to the measurement of poverty: a reply to Professor Peter Townsend. </w:t>
      </w:r>
      <w:r w:rsidRPr="00C54985">
        <w:rPr>
          <w:rFonts w:eastAsiaTheme="minorHAnsi"/>
          <w:i/>
          <w:iCs/>
        </w:rPr>
        <w:t>Oxford Economic Papers</w:t>
      </w:r>
      <w:r w:rsidRPr="00C54985">
        <w:rPr>
          <w:rFonts w:eastAsiaTheme="minorHAnsi"/>
        </w:rPr>
        <w:t>, 669-676.</w:t>
      </w:r>
    </w:p>
    <w:p w14:paraId="132570C4" w14:textId="77777777" w:rsidR="003F6D84" w:rsidRPr="00C54985" w:rsidRDefault="003F6D84" w:rsidP="00300A09">
      <w:pPr>
        <w:ind w:left="709" w:hanging="709"/>
        <w:jc w:val="both"/>
        <w:rPr>
          <w:lang w:val="en-MY"/>
        </w:rPr>
      </w:pPr>
      <w:r w:rsidRPr="00C54985">
        <w:rPr>
          <w:lang w:val="en-MY"/>
        </w:rPr>
        <w:t>Sen, A. (1999). Poverty as capability deprivation. </w:t>
      </w:r>
      <w:r w:rsidRPr="00C54985">
        <w:rPr>
          <w:i/>
          <w:iCs/>
          <w:lang w:val="en-MY"/>
        </w:rPr>
        <w:t>Development as freedom</w:t>
      </w:r>
      <w:r w:rsidRPr="00C54985">
        <w:rPr>
          <w:lang w:val="en-MY"/>
        </w:rPr>
        <w:t>, </w:t>
      </w:r>
      <w:r w:rsidRPr="00C54985">
        <w:rPr>
          <w:i/>
          <w:iCs/>
          <w:lang w:val="en-MY"/>
        </w:rPr>
        <w:t>6</w:t>
      </w:r>
      <w:r w:rsidRPr="00C54985">
        <w:rPr>
          <w:lang w:val="en-MY"/>
        </w:rPr>
        <w:t>(3), 87-110.</w:t>
      </w:r>
    </w:p>
    <w:p w14:paraId="1E63D749" w14:textId="217A3841"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Sen, A. (2004). Capabilities, lists, and public reason: </w:t>
      </w:r>
      <w:r w:rsidR="004538A4">
        <w:rPr>
          <w:rFonts w:eastAsiaTheme="minorHAnsi"/>
        </w:rPr>
        <w:t>C</w:t>
      </w:r>
      <w:r w:rsidRPr="00C54985">
        <w:rPr>
          <w:rFonts w:eastAsiaTheme="minorHAnsi"/>
        </w:rPr>
        <w:t xml:space="preserve">ontinuing the conversation. </w:t>
      </w:r>
      <w:r w:rsidRPr="00C54985">
        <w:rPr>
          <w:rFonts w:eastAsiaTheme="minorHAnsi"/>
          <w:i/>
          <w:iCs/>
        </w:rPr>
        <w:t>Feminist economics, 10</w:t>
      </w:r>
      <w:r w:rsidRPr="00C54985">
        <w:rPr>
          <w:rFonts w:eastAsiaTheme="minorHAnsi"/>
        </w:rPr>
        <w:t xml:space="preserve">(3), 77-80. </w:t>
      </w:r>
    </w:p>
    <w:p w14:paraId="1A11D085" w14:textId="72B90B84" w:rsidR="00C55A95" w:rsidRPr="00C55A95" w:rsidRDefault="003F6D84" w:rsidP="00300A09">
      <w:pPr>
        <w:tabs>
          <w:tab w:val="left" w:pos="540"/>
        </w:tabs>
        <w:ind w:left="709" w:hanging="709"/>
      </w:pPr>
      <w:r w:rsidRPr="00C54985">
        <w:t>Sen, A., (1997). Development thinking at the beginning of the 21st century</w:t>
      </w:r>
      <w:r w:rsidRPr="00C55A95">
        <w:t xml:space="preserve">. </w:t>
      </w:r>
      <w:r w:rsidR="00C55A95" w:rsidRPr="00C55A95">
        <w:t>Pape</w:t>
      </w:r>
      <w:r w:rsidR="00C55A95">
        <w:t>r presented at a conference on Development Thinking Practice</w:t>
      </w:r>
      <w:r w:rsidR="00C55A95" w:rsidRPr="00C55A95">
        <w:t xml:space="preserve">, of the Inter-American Bank, </w:t>
      </w:r>
    </w:p>
    <w:p w14:paraId="7746DB51" w14:textId="401360D5" w:rsidR="003F6D84" w:rsidRPr="00C54985" w:rsidRDefault="00C55A95" w:rsidP="00300A09">
      <w:pPr>
        <w:ind w:left="709" w:hanging="709"/>
      </w:pPr>
      <w:r w:rsidRPr="00C55A95">
        <w:t xml:space="preserve">Washington, D.C., 3-5 September 1996. </w:t>
      </w:r>
    </w:p>
    <w:p w14:paraId="74589D6C" w14:textId="76BBD0B3" w:rsidR="003F6D84" w:rsidRPr="00C54985" w:rsidRDefault="003F6D84" w:rsidP="00300A09">
      <w:pPr>
        <w:ind w:left="709" w:hanging="709"/>
        <w:jc w:val="both"/>
        <w:rPr>
          <w:lang w:val="en-US"/>
        </w:rPr>
      </w:pPr>
      <w:r w:rsidRPr="00C54985">
        <w:rPr>
          <w:lang w:val="en-US"/>
        </w:rPr>
        <w:t xml:space="preserve">Solaymani, S., &amp; Kari, F. (2014). Poverty evaluation in the Malaysian </w:t>
      </w:r>
      <w:r w:rsidR="00634A97">
        <w:rPr>
          <w:lang w:val="en-US"/>
        </w:rPr>
        <w:t>f</w:t>
      </w:r>
      <w:r w:rsidRPr="00C54985">
        <w:rPr>
          <w:lang w:val="en-US"/>
        </w:rPr>
        <w:t xml:space="preserve">ishery </w:t>
      </w:r>
      <w:r w:rsidR="00634A97">
        <w:rPr>
          <w:lang w:val="en-US"/>
        </w:rPr>
        <w:t>c</w:t>
      </w:r>
      <w:r w:rsidRPr="00C54985">
        <w:rPr>
          <w:lang w:val="en-US"/>
        </w:rPr>
        <w:t xml:space="preserve">ommunity. </w:t>
      </w:r>
      <w:r w:rsidRPr="00634A97">
        <w:rPr>
          <w:i/>
          <w:lang w:val="en-US"/>
        </w:rPr>
        <w:t>Ocean &amp; Coastal Management, 95</w:t>
      </w:r>
      <w:r w:rsidRPr="00C54985">
        <w:rPr>
          <w:lang w:val="en-US"/>
        </w:rPr>
        <w:t>, 165-175.</w:t>
      </w:r>
    </w:p>
    <w:p w14:paraId="069C20C3" w14:textId="5906BDEC"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Sy, I. (2013). The Monetary </w:t>
      </w:r>
      <w:r w:rsidR="00634A97">
        <w:rPr>
          <w:rFonts w:eastAsiaTheme="minorHAnsi"/>
        </w:rPr>
        <w:t>p</w:t>
      </w:r>
      <w:r w:rsidRPr="00C54985">
        <w:rPr>
          <w:rFonts w:eastAsiaTheme="minorHAnsi"/>
        </w:rPr>
        <w:t xml:space="preserve">overty in Senegal between 2002-2006: Regional </w:t>
      </w:r>
      <w:r w:rsidR="00634A97">
        <w:rPr>
          <w:rFonts w:eastAsiaTheme="minorHAnsi"/>
        </w:rPr>
        <w:t>d</w:t>
      </w:r>
      <w:r w:rsidRPr="00C54985">
        <w:rPr>
          <w:rFonts w:eastAsiaTheme="minorHAnsi"/>
        </w:rPr>
        <w:t xml:space="preserve">isparities and </w:t>
      </w:r>
      <w:r w:rsidR="00634A97">
        <w:rPr>
          <w:rFonts w:eastAsiaTheme="minorHAnsi"/>
        </w:rPr>
        <w:t>e</w:t>
      </w:r>
      <w:r w:rsidRPr="00C54985">
        <w:rPr>
          <w:rFonts w:eastAsiaTheme="minorHAnsi"/>
        </w:rPr>
        <w:t xml:space="preserve">ffects of </w:t>
      </w:r>
      <w:r w:rsidR="00634A97">
        <w:rPr>
          <w:rFonts w:eastAsiaTheme="minorHAnsi"/>
        </w:rPr>
        <w:t>p</w:t>
      </w:r>
      <w:r w:rsidRPr="00C54985">
        <w:rPr>
          <w:rFonts w:eastAsiaTheme="minorHAnsi"/>
        </w:rPr>
        <w:t xml:space="preserve">overty </w:t>
      </w:r>
      <w:r w:rsidR="00634A97">
        <w:rPr>
          <w:rFonts w:eastAsiaTheme="minorHAnsi"/>
        </w:rPr>
        <w:t>d</w:t>
      </w:r>
      <w:r w:rsidRPr="00C54985">
        <w:rPr>
          <w:rFonts w:eastAsiaTheme="minorHAnsi"/>
        </w:rPr>
        <w:t xml:space="preserve">ecomposition. </w:t>
      </w:r>
      <w:r w:rsidRPr="00C54985">
        <w:rPr>
          <w:rFonts w:eastAsiaTheme="minorHAnsi"/>
          <w:i/>
          <w:iCs/>
        </w:rPr>
        <w:t>Procedia Economics and Finance, 5</w:t>
      </w:r>
      <w:r w:rsidRPr="00C54985">
        <w:rPr>
          <w:rFonts w:eastAsiaTheme="minorHAnsi"/>
        </w:rPr>
        <w:t xml:space="preserve">, 326-335. </w:t>
      </w:r>
    </w:p>
    <w:p w14:paraId="2EA19B4D" w14:textId="3AAF8DE7" w:rsidR="003F6D84" w:rsidRPr="00C54985" w:rsidRDefault="003F6D84" w:rsidP="00300A09">
      <w:pPr>
        <w:ind w:left="709" w:hanging="709"/>
        <w:jc w:val="both"/>
        <w:rPr>
          <w:lang w:val="en-US"/>
        </w:rPr>
      </w:pPr>
      <w:r w:rsidRPr="00C54985">
        <w:rPr>
          <w:lang w:val="en-US"/>
        </w:rPr>
        <w:t xml:space="preserve">Thomas, A.C., &amp; Gaspart, F. (2015). </w:t>
      </w:r>
      <w:r w:rsidRPr="00C55A95">
        <w:rPr>
          <w:lang w:val="en-US"/>
        </w:rPr>
        <w:t xml:space="preserve">Does poverty trap rural </w:t>
      </w:r>
      <w:r w:rsidR="001B4001">
        <w:rPr>
          <w:lang w:val="en-US"/>
        </w:rPr>
        <w:t>M</w:t>
      </w:r>
      <w:r w:rsidRPr="00C55A95">
        <w:rPr>
          <w:lang w:val="en-US"/>
        </w:rPr>
        <w:t xml:space="preserve">alagasy </w:t>
      </w:r>
      <w:r w:rsidR="00634A97" w:rsidRPr="00C55A95">
        <w:rPr>
          <w:lang w:val="en-US"/>
        </w:rPr>
        <w:t>h</w:t>
      </w:r>
      <w:r w:rsidRPr="00C55A95">
        <w:rPr>
          <w:lang w:val="en-US"/>
        </w:rPr>
        <w:t>ouseholds</w:t>
      </w:r>
      <w:r w:rsidRPr="00C54985">
        <w:rPr>
          <w:lang w:val="en-US"/>
        </w:rPr>
        <w:t xml:space="preserve">? World Development, </w:t>
      </w:r>
      <w:r w:rsidRPr="00C54985">
        <w:rPr>
          <w:i/>
          <w:lang w:val="en-US"/>
        </w:rPr>
        <w:t>67</w:t>
      </w:r>
      <w:r w:rsidRPr="00C54985">
        <w:rPr>
          <w:lang w:val="en-US"/>
        </w:rPr>
        <w:t>, 490-505.</w:t>
      </w:r>
    </w:p>
    <w:p w14:paraId="08CFB73C" w14:textId="19EFFA76" w:rsidR="003F6D84" w:rsidRPr="00C54985" w:rsidRDefault="003F6D84" w:rsidP="00300A09">
      <w:pPr>
        <w:ind w:left="709" w:hanging="709"/>
        <w:jc w:val="both"/>
      </w:pPr>
      <w:r w:rsidRPr="00C54985">
        <w:t>UNDP</w:t>
      </w:r>
      <w:r w:rsidR="00634A97">
        <w:t>. (</w:t>
      </w:r>
      <w:r w:rsidRPr="00C54985">
        <w:t>1997</w:t>
      </w:r>
      <w:r w:rsidR="00634A97">
        <w:t>).</w:t>
      </w:r>
      <w:r w:rsidRPr="00C54985">
        <w:t xml:space="preserve"> Human Development Report 1997. </w:t>
      </w:r>
      <w:r w:rsidRPr="00C54985">
        <w:rPr>
          <w:i/>
          <w:iCs/>
        </w:rPr>
        <w:t>Oxford University Press</w:t>
      </w:r>
      <w:r w:rsidRPr="00C54985">
        <w:t>, New York.</w:t>
      </w:r>
    </w:p>
    <w:p w14:paraId="23B53F9B" w14:textId="608077F4" w:rsidR="003F6D84" w:rsidRPr="00C54985" w:rsidRDefault="003F6D84" w:rsidP="00300A09">
      <w:pPr>
        <w:ind w:left="709" w:hanging="709"/>
        <w:jc w:val="both"/>
        <w:rPr>
          <w:lang w:val="en-US"/>
        </w:rPr>
      </w:pPr>
      <w:r w:rsidRPr="00C54985">
        <w:rPr>
          <w:lang w:val="en-US"/>
        </w:rPr>
        <w:t xml:space="preserve">Vijaya, R.M., Lahoti, R., &amp; Swaminathan, H. (2014). Moving from the household to the individual: Multidimensional poverty analysis. </w:t>
      </w:r>
      <w:r w:rsidRPr="00C54985">
        <w:rPr>
          <w:i/>
          <w:iCs/>
          <w:lang w:val="en-US"/>
        </w:rPr>
        <w:t>World Development,</w:t>
      </w:r>
      <w:r w:rsidRPr="00C54985">
        <w:rPr>
          <w:lang w:val="en-US"/>
        </w:rPr>
        <w:t xml:space="preserve"> </w:t>
      </w:r>
      <w:r w:rsidRPr="00C54985">
        <w:rPr>
          <w:i/>
          <w:lang w:val="en-US"/>
        </w:rPr>
        <w:t>59</w:t>
      </w:r>
      <w:r w:rsidRPr="00C54985">
        <w:rPr>
          <w:lang w:val="en-US"/>
        </w:rPr>
        <w:t>, 70-81.</w:t>
      </w:r>
    </w:p>
    <w:p w14:paraId="7B55E9BB" w14:textId="6DAB433A" w:rsidR="003F6D84" w:rsidRPr="00C54985" w:rsidRDefault="003F6D84" w:rsidP="00300A09">
      <w:pPr>
        <w:autoSpaceDE w:val="0"/>
        <w:autoSpaceDN w:val="0"/>
        <w:adjustRightInd w:val="0"/>
        <w:ind w:left="709" w:hanging="709"/>
        <w:jc w:val="both"/>
        <w:rPr>
          <w:rFonts w:eastAsiaTheme="minorHAnsi"/>
        </w:rPr>
      </w:pPr>
      <w:r w:rsidRPr="00C54985">
        <w:rPr>
          <w:rFonts w:eastAsiaTheme="minorHAnsi"/>
        </w:rPr>
        <w:t xml:space="preserve">World Bank (2000), cited from; Woolcock, M., &amp; Narayan, D. (2000). Social capital: Implications for development theory, research, and policy. </w:t>
      </w:r>
      <w:r w:rsidR="008622D0">
        <w:rPr>
          <w:rFonts w:eastAsiaTheme="minorHAnsi"/>
          <w:i/>
        </w:rPr>
        <w:t>The World Bank Research O</w:t>
      </w:r>
      <w:r w:rsidRPr="001E7803">
        <w:rPr>
          <w:rFonts w:eastAsiaTheme="minorHAnsi"/>
          <w:i/>
        </w:rPr>
        <w:t xml:space="preserve">bserver, </w:t>
      </w:r>
      <w:r w:rsidRPr="00C54985">
        <w:rPr>
          <w:rFonts w:eastAsiaTheme="minorHAnsi"/>
          <w:i/>
        </w:rPr>
        <w:t>15(2),</w:t>
      </w:r>
      <w:r w:rsidRPr="00C54985">
        <w:rPr>
          <w:rFonts w:eastAsiaTheme="minorHAnsi"/>
        </w:rPr>
        <w:t xml:space="preserve"> 225-249</w:t>
      </w:r>
      <w:r w:rsidR="008622D0">
        <w:rPr>
          <w:rFonts w:eastAsiaTheme="minorHAnsi"/>
        </w:rPr>
        <w:t>.</w:t>
      </w:r>
    </w:p>
    <w:p w14:paraId="29F4B5A1" w14:textId="02D165BC" w:rsidR="003F6D84" w:rsidRPr="00C54985" w:rsidRDefault="003F6D84" w:rsidP="00300A09">
      <w:pPr>
        <w:ind w:left="709" w:hanging="709"/>
        <w:jc w:val="both"/>
        <w:rPr>
          <w:lang w:val="en-MY"/>
        </w:rPr>
      </w:pPr>
      <w:r w:rsidRPr="00C54985">
        <w:rPr>
          <w:lang w:val="en-MY"/>
        </w:rPr>
        <w:t xml:space="preserve">Zin, R.H.M. (2017). Policies and </w:t>
      </w:r>
      <w:r w:rsidR="00290BCA" w:rsidRPr="00C54985">
        <w:rPr>
          <w:lang w:val="en-MY"/>
        </w:rPr>
        <w:t>programmes for eradicating poverty</w:t>
      </w:r>
      <w:r w:rsidR="00290BCA">
        <w:rPr>
          <w:lang w:val="en-MY"/>
        </w:rPr>
        <w:t>: The Malaysian e</w:t>
      </w:r>
      <w:r w:rsidRPr="00C54985">
        <w:rPr>
          <w:lang w:val="en-MY"/>
        </w:rPr>
        <w:t>xperience.</w:t>
      </w:r>
    </w:p>
    <w:p w14:paraId="6F5475CE" w14:textId="634AFE5C" w:rsidR="0030750B" w:rsidRPr="00C54985" w:rsidRDefault="0030750B" w:rsidP="00300A09">
      <w:pPr>
        <w:ind w:left="720" w:hanging="720"/>
        <w:jc w:val="both"/>
        <w:rPr>
          <w:iCs/>
        </w:rPr>
      </w:pPr>
    </w:p>
    <w:p w14:paraId="5A9A2700" w14:textId="77777777" w:rsidR="003824F4" w:rsidRPr="00C54985" w:rsidRDefault="003824F4" w:rsidP="00300A09">
      <w:pPr>
        <w:jc w:val="both"/>
        <w:rPr>
          <w:lang w:val="en-MY"/>
        </w:rPr>
      </w:pPr>
    </w:p>
    <w:p w14:paraId="0E5E857F" w14:textId="77777777" w:rsidR="003824F4" w:rsidRPr="00C54985" w:rsidRDefault="003824F4" w:rsidP="00300A09">
      <w:pPr>
        <w:jc w:val="both"/>
      </w:pPr>
    </w:p>
    <w:p w14:paraId="578E631D" w14:textId="77777777" w:rsidR="00226DBF" w:rsidRPr="00C54985" w:rsidRDefault="00226DBF" w:rsidP="00300A09">
      <w:pPr>
        <w:jc w:val="both"/>
      </w:pPr>
    </w:p>
    <w:bookmarkEnd w:id="0"/>
    <w:bookmarkEnd w:id="1"/>
    <w:p w14:paraId="37798D27" w14:textId="77777777" w:rsidR="00541BE8" w:rsidRPr="00C54985" w:rsidRDefault="00541BE8" w:rsidP="00300A09">
      <w:pPr>
        <w:jc w:val="both"/>
      </w:pPr>
    </w:p>
    <w:sectPr w:rsidR="00541BE8" w:rsidRPr="00C54985" w:rsidSect="00300A09">
      <w:headerReference w:type="default" r:id="rId8"/>
      <w:footerReference w:type="default" r:id="rId9"/>
      <w:pgSz w:w="11900" w:h="16840" w:code="9"/>
      <w:pgMar w:top="1440" w:right="1440" w:bottom="1440" w:left="1440" w:header="709" w:footer="709" w:gutter="0"/>
      <w:pgNumType w:start="23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79A6" w14:textId="77777777" w:rsidR="00E00E84" w:rsidRDefault="00E00E84" w:rsidP="00C95FE0">
      <w:r>
        <w:separator/>
      </w:r>
    </w:p>
  </w:endnote>
  <w:endnote w:type="continuationSeparator" w:id="0">
    <w:p w14:paraId="7F882A29" w14:textId="77777777" w:rsidR="00E00E84" w:rsidRDefault="00E00E84" w:rsidP="00C9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03539" w14:textId="74B5D8D8" w:rsidR="00380D44" w:rsidRDefault="00380D44">
    <w:pPr>
      <w:pStyle w:val="Footer"/>
      <w:jc w:val="right"/>
    </w:pPr>
  </w:p>
  <w:p w14:paraId="6F4BB5C1" w14:textId="77777777" w:rsidR="00380D44" w:rsidRDefault="00380D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E1AA5" w14:textId="77777777" w:rsidR="00E00E84" w:rsidRDefault="00E00E84" w:rsidP="00C95FE0">
      <w:r>
        <w:separator/>
      </w:r>
    </w:p>
  </w:footnote>
  <w:footnote w:type="continuationSeparator" w:id="0">
    <w:p w14:paraId="3FAC836B" w14:textId="77777777" w:rsidR="00E00E84" w:rsidRDefault="00E00E84" w:rsidP="00C95F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230366"/>
      <w:docPartObj>
        <w:docPartGallery w:val="Page Numbers (Top of Page)"/>
        <w:docPartUnique/>
      </w:docPartObj>
    </w:sdtPr>
    <w:sdtEndPr>
      <w:rPr>
        <w:noProof/>
        <w:sz w:val="18"/>
        <w:szCs w:val="18"/>
      </w:rPr>
    </w:sdtEndPr>
    <w:sdtContent>
      <w:p w14:paraId="5FC82641" w14:textId="604AE3B7" w:rsidR="00300A09" w:rsidRPr="00300A09" w:rsidRDefault="00300A09" w:rsidP="00300A09">
        <w:pPr>
          <w:widowControl w:val="0"/>
          <w:autoSpaceDE w:val="0"/>
          <w:autoSpaceDN w:val="0"/>
          <w:adjustRightInd w:val="0"/>
          <w:jc w:val="both"/>
          <w:rPr>
            <w:sz w:val="18"/>
            <w:szCs w:val="18"/>
          </w:rPr>
        </w:pPr>
        <w:r w:rsidRPr="00300A09">
          <w:rPr>
            <w:sz w:val="18"/>
            <w:szCs w:val="18"/>
          </w:rPr>
          <w:t>GEOGRAFIA Online</w:t>
        </w:r>
        <w:r w:rsidRPr="00300A09">
          <w:rPr>
            <w:sz w:val="18"/>
            <w:szCs w:val="18"/>
            <w:vertAlign w:val="superscript"/>
          </w:rPr>
          <w:t>TM</w:t>
        </w:r>
        <w:r w:rsidRPr="00300A09">
          <w:rPr>
            <w:sz w:val="18"/>
            <w:szCs w:val="18"/>
          </w:rPr>
          <w:t xml:space="preserve"> Malaysian Journal of Society and Space 14 issue 4 (</w:t>
        </w:r>
        <w:r w:rsidRPr="00300A09">
          <w:rPr>
            <w:iCs/>
            <w:sz w:val="18"/>
            <w:szCs w:val="18"/>
          </w:rPr>
          <w:t>238-249</w:t>
        </w:r>
        <w:r w:rsidRPr="00300A09">
          <w:rPr>
            <w:sz w:val="18"/>
            <w:szCs w:val="18"/>
          </w:rPr>
          <w:t>)</w:t>
        </w:r>
      </w:p>
      <w:p w14:paraId="767F494D" w14:textId="6D95EDF2" w:rsidR="00300A09" w:rsidRPr="00300A09" w:rsidRDefault="00300A09" w:rsidP="00300A09">
        <w:pPr>
          <w:widowControl w:val="0"/>
          <w:autoSpaceDE w:val="0"/>
          <w:autoSpaceDN w:val="0"/>
          <w:adjustRightInd w:val="0"/>
          <w:jc w:val="both"/>
          <w:rPr>
            <w:sz w:val="18"/>
            <w:szCs w:val="18"/>
          </w:rPr>
        </w:pPr>
        <w:r w:rsidRPr="00300A09">
          <w:rPr>
            <w:sz w:val="18"/>
            <w:szCs w:val="18"/>
          </w:rPr>
          <w:t>© 2018, e-ISSN 2680-2491</w:t>
        </w:r>
        <w:r w:rsidR="00B163B2">
          <w:rPr>
            <w:sz w:val="18"/>
            <w:szCs w:val="18"/>
          </w:rPr>
          <w:t xml:space="preserve">   </w:t>
        </w:r>
        <w:r w:rsidRPr="00046165">
          <w:rPr>
            <w:color w:val="000000" w:themeColor="text1"/>
            <w:sz w:val="18"/>
            <w:szCs w:val="18"/>
          </w:rPr>
          <w:tab/>
        </w:r>
        <w:hyperlink r:id="rId1" w:history="1">
          <w:r w:rsidR="00B163B2" w:rsidRPr="00046165">
            <w:rPr>
              <w:rStyle w:val="Hyperlink"/>
              <w:color w:val="000000" w:themeColor="text1"/>
              <w:sz w:val="18"/>
              <w:szCs w:val="18"/>
              <w:u w:val="none"/>
            </w:rPr>
            <w:t>https://doi.org/</w:t>
          </w:r>
          <w:r w:rsidR="00B163B2" w:rsidRPr="00046165">
            <w:rPr>
              <w:rStyle w:val="Hyperlink"/>
              <w:bCs/>
              <w:color w:val="000000" w:themeColor="text1"/>
              <w:sz w:val="18"/>
              <w:szCs w:val="18"/>
              <w:u w:val="none"/>
            </w:rPr>
            <w:t>10.17576/geo-2018-1404-19</w:t>
          </w:r>
        </w:hyperlink>
        <w:r>
          <w:rPr>
            <w:sz w:val="18"/>
            <w:szCs w:val="18"/>
          </w:rPr>
          <w:tab/>
        </w:r>
        <w:r>
          <w:rPr>
            <w:sz w:val="18"/>
            <w:szCs w:val="18"/>
          </w:rPr>
          <w:tab/>
        </w:r>
        <w:r>
          <w:rPr>
            <w:sz w:val="18"/>
            <w:szCs w:val="18"/>
          </w:rPr>
          <w:tab/>
        </w:r>
        <w:r>
          <w:rPr>
            <w:sz w:val="18"/>
            <w:szCs w:val="18"/>
          </w:rPr>
          <w:tab/>
        </w:r>
        <w:r>
          <w:rPr>
            <w:sz w:val="18"/>
            <w:szCs w:val="18"/>
          </w:rPr>
          <w:tab/>
        </w:r>
        <w:r w:rsidRPr="00300A09">
          <w:rPr>
            <w:sz w:val="18"/>
            <w:szCs w:val="18"/>
          </w:rPr>
          <w:fldChar w:fldCharType="begin"/>
        </w:r>
        <w:r w:rsidRPr="00300A09">
          <w:rPr>
            <w:sz w:val="18"/>
            <w:szCs w:val="18"/>
          </w:rPr>
          <w:instrText xml:space="preserve"> PAGE   \* MERGEFORMAT </w:instrText>
        </w:r>
        <w:r w:rsidRPr="00300A09">
          <w:rPr>
            <w:sz w:val="18"/>
            <w:szCs w:val="18"/>
          </w:rPr>
          <w:fldChar w:fldCharType="separate"/>
        </w:r>
        <w:r w:rsidR="00046165">
          <w:rPr>
            <w:noProof/>
            <w:sz w:val="18"/>
            <w:szCs w:val="18"/>
          </w:rPr>
          <w:t>238</w:t>
        </w:r>
        <w:r w:rsidRPr="00300A09">
          <w:rPr>
            <w:noProof/>
            <w:sz w:val="18"/>
            <w:szCs w:val="18"/>
          </w:rPr>
          <w:fldChar w:fldCharType="end"/>
        </w:r>
      </w:p>
    </w:sdtContent>
  </w:sdt>
  <w:p w14:paraId="0D1D87C9" w14:textId="77777777" w:rsidR="00380D44" w:rsidRDefault="00380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A0NTEzMTQwMzAyNLFQ0lEKTi0uzszPAykwqgUAgZyVMiwAAAA="/>
  </w:docVars>
  <w:rsids>
    <w:rsidRoot w:val="00D91EDA"/>
    <w:rsid w:val="000106A3"/>
    <w:rsid w:val="000121C5"/>
    <w:rsid w:val="00017E0B"/>
    <w:rsid w:val="0002164D"/>
    <w:rsid w:val="0002728B"/>
    <w:rsid w:val="00027C62"/>
    <w:rsid w:val="00033296"/>
    <w:rsid w:val="00035128"/>
    <w:rsid w:val="0003527A"/>
    <w:rsid w:val="00036C23"/>
    <w:rsid w:val="00046165"/>
    <w:rsid w:val="00053BBF"/>
    <w:rsid w:val="00054DE6"/>
    <w:rsid w:val="00071C35"/>
    <w:rsid w:val="00081336"/>
    <w:rsid w:val="000814CA"/>
    <w:rsid w:val="000876CF"/>
    <w:rsid w:val="00093CAD"/>
    <w:rsid w:val="00094F41"/>
    <w:rsid w:val="000A18DA"/>
    <w:rsid w:val="000A2C9A"/>
    <w:rsid w:val="000A3E28"/>
    <w:rsid w:val="000A5E1A"/>
    <w:rsid w:val="000C5757"/>
    <w:rsid w:val="000D2189"/>
    <w:rsid w:val="000D247A"/>
    <w:rsid w:val="000D28EE"/>
    <w:rsid w:val="000E168D"/>
    <w:rsid w:val="000E74EE"/>
    <w:rsid w:val="000F396C"/>
    <w:rsid w:val="000F76B4"/>
    <w:rsid w:val="001016AC"/>
    <w:rsid w:val="001116CD"/>
    <w:rsid w:val="00121183"/>
    <w:rsid w:val="00121E41"/>
    <w:rsid w:val="00125B91"/>
    <w:rsid w:val="00141822"/>
    <w:rsid w:val="00143C5C"/>
    <w:rsid w:val="001608FB"/>
    <w:rsid w:val="00162746"/>
    <w:rsid w:val="001672EE"/>
    <w:rsid w:val="00167C82"/>
    <w:rsid w:val="00167CD4"/>
    <w:rsid w:val="00177FE7"/>
    <w:rsid w:val="00183B86"/>
    <w:rsid w:val="00190098"/>
    <w:rsid w:val="0019255B"/>
    <w:rsid w:val="00194E78"/>
    <w:rsid w:val="001A116C"/>
    <w:rsid w:val="001B3FA0"/>
    <w:rsid w:val="001B4001"/>
    <w:rsid w:val="001B4D7C"/>
    <w:rsid w:val="001B59F0"/>
    <w:rsid w:val="001C4962"/>
    <w:rsid w:val="001C7951"/>
    <w:rsid w:val="001D370E"/>
    <w:rsid w:val="001D4081"/>
    <w:rsid w:val="001D713C"/>
    <w:rsid w:val="001E7803"/>
    <w:rsid w:val="001F6259"/>
    <w:rsid w:val="00201A4D"/>
    <w:rsid w:val="0020703C"/>
    <w:rsid w:val="0021424A"/>
    <w:rsid w:val="00226DBF"/>
    <w:rsid w:val="0023443A"/>
    <w:rsid w:val="002515E4"/>
    <w:rsid w:val="00254A52"/>
    <w:rsid w:val="00255F4C"/>
    <w:rsid w:val="0026074C"/>
    <w:rsid w:val="0027016F"/>
    <w:rsid w:val="0027685A"/>
    <w:rsid w:val="002823C0"/>
    <w:rsid w:val="00286AA1"/>
    <w:rsid w:val="002870D6"/>
    <w:rsid w:val="002904C1"/>
    <w:rsid w:val="00290BCA"/>
    <w:rsid w:val="00297DB8"/>
    <w:rsid w:val="002A63A2"/>
    <w:rsid w:val="002A6DFE"/>
    <w:rsid w:val="002B5DC0"/>
    <w:rsid w:val="002F114B"/>
    <w:rsid w:val="002F449A"/>
    <w:rsid w:val="00300A09"/>
    <w:rsid w:val="00305189"/>
    <w:rsid w:val="0030750B"/>
    <w:rsid w:val="003108A2"/>
    <w:rsid w:val="00310F81"/>
    <w:rsid w:val="003200BD"/>
    <w:rsid w:val="00321FF1"/>
    <w:rsid w:val="00330EF6"/>
    <w:rsid w:val="00334A39"/>
    <w:rsid w:val="00335A34"/>
    <w:rsid w:val="00337036"/>
    <w:rsid w:val="00340470"/>
    <w:rsid w:val="00340B74"/>
    <w:rsid w:val="003474FA"/>
    <w:rsid w:val="00347FF2"/>
    <w:rsid w:val="0035109C"/>
    <w:rsid w:val="00352945"/>
    <w:rsid w:val="003529A0"/>
    <w:rsid w:val="00354924"/>
    <w:rsid w:val="00354E02"/>
    <w:rsid w:val="00355A0B"/>
    <w:rsid w:val="003564A5"/>
    <w:rsid w:val="00356C28"/>
    <w:rsid w:val="00357ADE"/>
    <w:rsid w:val="003603B3"/>
    <w:rsid w:val="00360DC0"/>
    <w:rsid w:val="00362CAD"/>
    <w:rsid w:val="003653F6"/>
    <w:rsid w:val="00370682"/>
    <w:rsid w:val="003756C5"/>
    <w:rsid w:val="00380D44"/>
    <w:rsid w:val="003824F4"/>
    <w:rsid w:val="00392271"/>
    <w:rsid w:val="003930A9"/>
    <w:rsid w:val="003B5042"/>
    <w:rsid w:val="003C47EC"/>
    <w:rsid w:val="003D1349"/>
    <w:rsid w:val="003E002A"/>
    <w:rsid w:val="003E4B20"/>
    <w:rsid w:val="003E7158"/>
    <w:rsid w:val="003F2740"/>
    <w:rsid w:val="003F50B4"/>
    <w:rsid w:val="003F6D84"/>
    <w:rsid w:val="00403FCE"/>
    <w:rsid w:val="00406791"/>
    <w:rsid w:val="00412951"/>
    <w:rsid w:val="0041662C"/>
    <w:rsid w:val="0042152C"/>
    <w:rsid w:val="00422341"/>
    <w:rsid w:val="00422531"/>
    <w:rsid w:val="00427143"/>
    <w:rsid w:val="004375C4"/>
    <w:rsid w:val="004538A4"/>
    <w:rsid w:val="00455196"/>
    <w:rsid w:val="00466DA8"/>
    <w:rsid w:val="004705A6"/>
    <w:rsid w:val="00472D53"/>
    <w:rsid w:val="00473E9E"/>
    <w:rsid w:val="00483ACB"/>
    <w:rsid w:val="00494486"/>
    <w:rsid w:val="00497DFA"/>
    <w:rsid w:val="004A75CF"/>
    <w:rsid w:val="004C123C"/>
    <w:rsid w:val="004C14A1"/>
    <w:rsid w:val="004C389C"/>
    <w:rsid w:val="004D1216"/>
    <w:rsid w:val="004D3710"/>
    <w:rsid w:val="004E10B8"/>
    <w:rsid w:val="004E1208"/>
    <w:rsid w:val="004E3D35"/>
    <w:rsid w:val="004F45B3"/>
    <w:rsid w:val="00501A50"/>
    <w:rsid w:val="00510902"/>
    <w:rsid w:val="00510C01"/>
    <w:rsid w:val="0051188A"/>
    <w:rsid w:val="00512F57"/>
    <w:rsid w:val="00514182"/>
    <w:rsid w:val="00521C26"/>
    <w:rsid w:val="00522634"/>
    <w:rsid w:val="00526742"/>
    <w:rsid w:val="005352B5"/>
    <w:rsid w:val="00541BE8"/>
    <w:rsid w:val="005464F8"/>
    <w:rsid w:val="00546868"/>
    <w:rsid w:val="0055223B"/>
    <w:rsid w:val="00553A35"/>
    <w:rsid w:val="00554BFE"/>
    <w:rsid w:val="00554CAF"/>
    <w:rsid w:val="005678BC"/>
    <w:rsid w:val="00580129"/>
    <w:rsid w:val="00592717"/>
    <w:rsid w:val="005A08C8"/>
    <w:rsid w:val="005C3334"/>
    <w:rsid w:val="005C6841"/>
    <w:rsid w:val="005C6858"/>
    <w:rsid w:val="005C7125"/>
    <w:rsid w:val="005D266B"/>
    <w:rsid w:val="005F1CC9"/>
    <w:rsid w:val="00611967"/>
    <w:rsid w:val="00615BFD"/>
    <w:rsid w:val="006331E3"/>
    <w:rsid w:val="0063338B"/>
    <w:rsid w:val="00634A97"/>
    <w:rsid w:val="0064121D"/>
    <w:rsid w:val="00641A41"/>
    <w:rsid w:val="00645C04"/>
    <w:rsid w:val="00650732"/>
    <w:rsid w:val="006672D2"/>
    <w:rsid w:val="00671BFC"/>
    <w:rsid w:val="00671C23"/>
    <w:rsid w:val="0067689B"/>
    <w:rsid w:val="0068512B"/>
    <w:rsid w:val="0068615C"/>
    <w:rsid w:val="006A183E"/>
    <w:rsid w:val="006A3724"/>
    <w:rsid w:val="006B27CB"/>
    <w:rsid w:val="006B36A2"/>
    <w:rsid w:val="006B75BB"/>
    <w:rsid w:val="006C1D66"/>
    <w:rsid w:val="006C588F"/>
    <w:rsid w:val="006D04EF"/>
    <w:rsid w:val="006E1D3D"/>
    <w:rsid w:val="006E376B"/>
    <w:rsid w:val="006F095F"/>
    <w:rsid w:val="006F0B0B"/>
    <w:rsid w:val="006F5EE7"/>
    <w:rsid w:val="006F7E89"/>
    <w:rsid w:val="0070192E"/>
    <w:rsid w:val="00705A6F"/>
    <w:rsid w:val="00722962"/>
    <w:rsid w:val="007232D6"/>
    <w:rsid w:val="00723C8D"/>
    <w:rsid w:val="0074296A"/>
    <w:rsid w:val="00760CCC"/>
    <w:rsid w:val="00774EBF"/>
    <w:rsid w:val="00776BA2"/>
    <w:rsid w:val="00781B89"/>
    <w:rsid w:val="00787FFE"/>
    <w:rsid w:val="007B0ECB"/>
    <w:rsid w:val="007B3A2D"/>
    <w:rsid w:val="007C74AF"/>
    <w:rsid w:val="007D0DE5"/>
    <w:rsid w:val="007D117E"/>
    <w:rsid w:val="007E33A8"/>
    <w:rsid w:val="007F2992"/>
    <w:rsid w:val="007F76E4"/>
    <w:rsid w:val="00804ABC"/>
    <w:rsid w:val="00805F0C"/>
    <w:rsid w:val="00811825"/>
    <w:rsid w:val="00814527"/>
    <w:rsid w:val="00817A25"/>
    <w:rsid w:val="00832DCD"/>
    <w:rsid w:val="00855249"/>
    <w:rsid w:val="00856B60"/>
    <w:rsid w:val="008611A9"/>
    <w:rsid w:val="008622D0"/>
    <w:rsid w:val="00862CA5"/>
    <w:rsid w:val="008662A5"/>
    <w:rsid w:val="00866D4C"/>
    <w:rsid w:val="00872FDD"/>
    <w:rsid w:val="00876098"/>
    <w:rsid w:val="00886287"/>
    <w:rsid w:val="0089090D"/>
    <w:rsid w:val="008918EA"/>
    <w:rsid w:val="008928DE"/>
    <w:rsid w:val="008952F6"/>
    <w:rsid w:val="008A28CA"/>
    <w:rsid w:val="008D49A6"/>
    <w:rsid w:val="008E0B0B"/>
    <w:rsid w:val="008E54BD"/>
    <w:rsid w:val="008E7192"/>
    <w:rsid w:val="008F12AA"/>
    <w:rsid w:val="00922AB8"/>
    <w:rsid w:val="00932A1D"/>
    <w:rsid w:val="00942121"/>
    <w:rsid w:val="00950437"/>
    <w:rsid w:val="00950892"/>
    <w:rsid w:val="00951A36"/>
    <w:rsid w:val="00955F4C"/>
    <w:rsid w:val="009658D3"/>
    <w:rsid w:val="009731C4"/>
    <w:rsid w:val="0098238B"/>
    <w:rsid w:val="00985056"/>
    <w:rsid w:val="00985F4A"/>
    <w:rsid w:val="00993E58"/>
    <w:rsid w:val="00993EB2"/>
    <w:rsid w:val="009A1BEB"/>
    <w:rsid w:val="009A478C"/>
    <w:rsid w:val="009B7639"/>
    <w:rsid w:val="009D21EB"/>
    <w:rsid w:val="009E7EED"/>
    <w:rsid w:val="00A11DDE"/>
    <w:rsid w:val="00A23E2E"/>
    <w:rsid w:val="00A26B96"/>
    <w:rsid w:val="00A26FD6"/>
    <w:rsid w:val="00A276B7"/>
    <w:rsid w:val="00A30BB6"/>
    <w:rsid w:val="00A44D67"/>
    <w:rsid w:val="00A52D0D"/>
    <w:rsid w:val="00A5352D"/>
    <w:rsid w:val="00A67301"/>
    <w:rsid w:val="00A73497"/>
    <w:rsid w:val="00A8517E"/>
    <w:rsid w:val="00A86833"/>
    <w:rsid w:val="00AB5FC7"/>
    <w:rsid w:val="00AB6B46"/>
    <w:rsid w:val="00AC0083"/>
    <w:rsid w:val="00AC41E7"/>
    <w:rsid w:val="00AC5660"/>
    <w:rsid w:val="00AC6841"/>
    <w:rsid w:val="00AD1591"/>
    <w:rsid w:val="00AD605A"/>
    <w:rsid w:val="00AD706F"/>
    <w:rsid w:val="00AE1268"/>
    <w:rsid w:val="00AE535C"/>
    <w:rsid w:val="00AE5792"/>
    <w:rsid w:val="00AE6331"/>
    <w:rsid w:val="00AE7BD8"/>
    <w:rsid w:val="00B0109A"/>
    <w:rsid w:val="00B0165C"/>
    <w:rsid w:val="00B02072"/>
    <w:rsid w:val="00B05362"/>
    <w:rsid w:val="00B0618B"/>
    <w:rsid w:val="00B1338F"/>
    <w:rsid w:val="00B163B2"/>
    <w:rsid w:val="00B16DA4"/>
    <w:rsid w:val="00B16DFC"/>
    <w:rsid w:val="00B259E7"/>
    <w:rsid w:val="00B308C9"/>
    <w:rsid w:val="00B30907"/>
    <w:rsid w:val="00B328A8"/>
    <w:rsid w:val="00B34336"/>
    <w:rsid w:val="00B3481C"/>
    <w:rsid w:val="00B377FE"/>
    <w:rsid w:val="00B443E3"/>
    <w:rsid w:val="00B53C60"/>
    <w:rsid w:val="00B57A7C"/>
    <w:rsid w:val="00B73187"/>
    <w:rsid w:val="00B84D6C"/>
    <w:rsid w:val="00B93891"/>
    <w:rsid w:val="00B97299"/>
    <w:rsid w:val="00BA42D2"/>
    <w:rsid w:val="00BA602B"/>
    <w:rsid w:val="00BA78F2"/>
    <w:rsid w:val="00BB1A33"/>
    <w:rsid w:val="00BB29E4"/>
    <w:rsid w:val="00BB3D3D"/>
    <w:rsid w:val="00BC3908"/>
    <w:rsid w:val="00BC74B8"/>
    <w:rsid w:val="00BD16FC"/>
    <w:rsid w:val="00BD4020"/>
    <w:rsid w:val="00BD7DB9"/>
    <w:rsid w:val="00BE56D1"/>
    <w:rsid w:val="00BF2FA4"/>
    <w:rsid w:val="00BF3EDB"/>
    <w:rsid w:val="00C1008F"/>
    <w:rsid w:val="00C257E0"/>
    <w:rsid w:val="00C264D8"/>
    <w:rsid w:val="00C31172"/>
    <w:rsid w:val="00C45B0D"/>
    <w:rsid w:val="00C4781C"/>
    <w:rsid w:val="00C51CB5"/>
    <w:rsid w:val="00C5436F"/>
    <w:rsid w:val="00C54985"/>
    <w:rsid w:val="00C55A95"/>
    <w:rsid w:val="00C603CF"/>
    <w:rsid w:val="00C80718"/>
    <w:rsid w:val="00C84BAD"/>
    <w:rsid w:val="00C92D95"/>
    <w:rsid w:val="00C95FE0"/>
    <w:rsid w:val="00CA389C"/>
    <w:rsid w:val="00CB0452"/>
    <w:rsid w:val="00CB207C"/>
    <w:rsid w:val="00CB5B1B"/>
    <w:rsid w:val="00CB7959"/>
    <w:rsid w:val="00CC0990"/>
    <w:rsid w:val="00CC57B9"/>
    <w:rsid w:val="00CC757E"/>
    <w:rsid w:val="00CD552C"/>
    <w:rsid w:val="00CE0EDC"/>
    <w:rsid w:val="00CE406B"/>
    <w:rsid w:val="00CE7217"/>
    <w:rsid w:val="00D05655"/>
    <w:rsid w:val="00D14CEE"/>
    <w:rsid w:val="00D23D8B"/>
    <w:rsid w:val="00D2677D"/>
    <w:rsid w:val="00D318C9"/>
    <w:rsid w:val="00D33A33"/>
    <w:rsid w:val="00D4065C"/>
    <w:rsid w:val="00D443BA"/>
    <w:rsid w:val="00D443C1"/>
    <w:rsid w:val="00D51DD7"/>
    <w:rsid w:val="00D55E74"/>
    <w:rsid w:val="00D56830"/>
    <w:rsid w:val="00D645D6"/>
    <w:rsid w:val="00D664A3"/>
    <w:rsid w:val="00D73CA7"/>
    <w:rsid w:val="00D821D7"/>
    <w:rsid w:val="00D83818"/>
    <w:rsid w:val="00D91EDA"/>
    <w:rsid w:val="00D9530C"/>
    <w:rsid w:val="00D95649"/>
    <w:rsid w:val="00D966DB"/>
    <w:rsid w:val="00D96953"/>
    <w:rsid w:val="00DC5D3B"/>
    <w:rsid w:val="00DD47DE"/>
    <w:rsid w:val="00DD77D6"/>
    <w:rsid w:val="00DE16CC"/>
    <w:rsid w:val="00DF0534"/>
    <w:rsid w:val="00DF1538"/>
    <w:rsid w:val="00DF6F26"/>
    <w:rsid w:val="00E00E84"/>
    <w:rsid w:val="00E11F50"/>
    <w:rsid w:val="00E2622D"/>
    <w:rsid w:val="00E35C5E"/>
    <w:rsid w:val="00E441E9"/>
    <w:rsid w:val="00E7443B"/>
    <w:rsid w:val="00E74688"/>
    <w:rsid w:val="00E766C7"/>
    <w:rsid w:val="00E85A10"/>
    <w:rsid w:val="00E87E88"/>
    <w:rsid w:val="00E91C5A"/>
    <w:rsid w:val="00E93280"/>
    <w:rsid w:val="00EA24EC"/>
    <w:rsid w:val="00EA381B"/>
    <w:rsid w:val="00EA4C44"/>
    <w:rsid w:val="00EA4E6F"/>
    <w:rsid w:val="00EA61BF"/>
    <w:rsid w:val="00EB7465"/>
    <w:rsid w:val="00EC0091"/>
    <w:rsid w:val="00EC4568"/>
    <w:rsid w:val="00EC48AB"/>
    <w:rsid w:val="00EE7202"/>
    <w:rsid w:val="00EF0750"/>
    <w:rsid w:val="00EF19C1"/>
    <w:rsid w:val="00EF4567"/>
    <w:rsid w:val="00EF4C1D"/>
    <w:rsid w:val="00EF57D5"/>
    <w:rsid w:val="00F13487"/>
    <w:rsid w:val="00F17457"/>
    <w:rsid w:val="00F17AEF"/>
    <w:rsid w:val="00F309BE"/>
    <w:rsid w:val="00F411C6"/>
    <w:rsid w:val="00F569E7"/>
    <w:rsid w:val="00F65947"/>
    <w:rsid w:val="00F7426E"/>
    <w:rsid w:val="00F75107"/>
    <w:rsid w:val="00F77E91"/>
    <w:rsid w:val="00FA1408"/>
    <w:rsid w:val="00FA2F6B"/>
    <w:rsid w:val="00FA500E"/>
    <w:rsid w:val="00FB50DB"/>
    <w:rsid w:val="00FC4BB3"/>
    <w:rsid w:val="00FC52DF"/>
    <w:rsid w:val="00FD580C"/>
    <w:rsid w:val="00FE3702"/>
    <w:rsid w:val="00FF71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077C4"/>
  <w14:defaultImageDpi w14:val="32767"/>
  <w15:docId w15:val="{8278B2A9-72D0-48E7-8020-0914A9D1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EDA"/>
    <w:rPr>
      <w:rFonts w:eastAsia="Times New Roman"/>
    </w:rPr>
  </w:style>
  <w:style w:type="paragraph" w:styleId="Heading2">
    <w:name w:val="heading 2"/>
    <w:basedOn w:val="Normal"/>
    <w:next w:val="Normal"/>
    <w:link w:val="Heading2Char"/>
    <w:autoRedefine/>
    <w:uiPriority w:val="9"/>
    <w:unhideWhenUsed/>
    <w:qFormat/>
    <w:rsid w:val="00D96953"/>
    <w:pPr>
      <w:keepNext/>
      <w:keepLines/>
      <w:spacing w:before="40" w:line="480" w:lineRule="auto"/>
      <w:jc w:val="both"/>
      <w:outlineLvl w:val="1"/>
    </w:pPr>
    <w:rPr>
      <w:rFonts w:asciiTheme="majorBidi" w:eastAsiaTheme="majorEastAsia" w:hAnsiTheme="majorBidi" w:cstheme="majorBidi"/>
      <w:b/>
      <w:sz w:val="22"/>
      <w:szCs w:val="22"/>
    </w:rPr>
  </w:style>
  <w:style w:type="paragraph" w:styleId="Heading3">
    <w:name w:val="heading 3"/>
    <w:basedOn w:val="Normal"/>
    <w:next w:val="Normal"/>
    <w:link w:val="Heading3Char"/>
    <w:uiPriority w:val="9"/>
    <w:unhideWhenUsed/>
    <w:qFormat/>
    <w:rsid w:val="00D91EDA"/>
    <w:pPr>
      <w:keepNext/>
      <w:keepLines/>
      <w:spacing w:before="40" w:line="480" w:lineRule="auto"/>
      <w:outlineLvl w:val="2"/>
    </w:pPr>
    <w:rPr>
      <w:rFonts w:eastAsiaTheme="majorEastAsia" w:cstheme="majorBidi"/>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6953"/>
    <w:rPr>
      <w:rFonts w:asciiTheme="majorBidi" w:eastAsiaTheme="majorEastAsia" w:hAnsiTheme="majorBidi" w:cstheme="majorBidi"/>
      <w:b/>
      <w:sz w:val="22"/>
      <w:szCs w:val="22"/>
    </w:rPr>
  </w:style>
  <w:style w:type="character" w:customStyle="1" w:styleId="Heading3Char">
    <w:name w:val="Heading 3 Char"/>
    <w:basedOn w:val="DefaultParagraphFont"/>
    <w:link w:val="Heading3"/>
    <w:uiPriority w:val="9"/>
    <w:rsid w:val="00D91EDA"/>
    <w:rPr>
      <w:rFonts w:eastAsiaTheme="majorEastAsia" w:cstheme="majorBidi"/>
      <w:b/>
      <w:lang w:val="en-US"/>
    </w:rPr>
  </w:style>
  <w:style w:type="paragraph" w:styleId="Caption">
    <w:name w:val="caption"/>
    <w:basedOn w:val="Normal"/>
    <w:next w:val="Normal"/>
    <w:uiPriority w:val="35"/>
    <w:unhideWhenUsed/>
    <w:qFormat/>
    <w:rsid w:val="00D91EDA"/>
    <w:pPr>
      <w:spacing w:after="200"/>
    </w:pPr>
    <w:rPr>
      <w:rFonts w:ascii="Calibri" w:eastAsia="Calibri" w:hAnsi="Calibri" w:cs="Arial"/>
      <w:i/>
      <w:iCs/>
      <w:color w:val="44546A" w:themeColor="text2"/>
      <w:sz w:val="18"/>
      <w:szCs w:val="18"/>
      <w:lang w:val="en-US"/>
    </w:rPr>
  </w:style>
  <w:style w:type="paragraph" w:styleId="ListParagraph">
    <w:name w:val="List Paragraph"/>
    <w:basedOn w:val="Normal"/>
    <w:uiPriority w:val="34"/>
    <w:qFormat/>
    <w:rsid w:val="00D91EDA"/>
    <w:pPr>
      <w:spacing w:after="200" w:line="276" w:lineRule="auto"/>
      <w:ind w:left="720"/>
      <w:contextualSpacing/>
    </w:pPr>
    <w:rPr>
      <w:rFonts w:ascii="Calibri" w:eastAsia="Calibri" w:hAnsi="Calibri" w:cs="Arial"/>
      <w:sz w:val="22"/>
      <w:szCs w:val="22"/>
      <w:lang w:val="en-US"/>
    </w:rPr>
  </w:style>
  <w:style w:type="table" w:styleId="TableGrid">
    <w:name w:val="Table Grid"/>
    <w:basedOn w:val="TableNormal"/>
    <w:uiPriority w:val="39"/>
    <w:rsid w:val="00D91EDA"/>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EDA"/>
    <w:rPr>
      <w:sz w:val="16"/>
      <w:szCs w:val="16"/>
    </w:rPr>
  </w:style>
  <w:style w:type="paragraph" w:styleId="CommentText">
    <w:name w:val="annotation text"/>
    <w:basedOn w:val="Normal"/>
    <w:link w:val="CommentTextChar"/>
    <w:uiPriority w:val="99"/>
    <w:semiHidden/>
    <w:unhideWhenUsed/>
    <w:rsid w:val="00D91EDA"/>
    <w:pPr>
      <w:spacing w:after="200"/>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D91EDA"/>
    <w:rPr>
      <w:rFonts w:ascii="Calibri" w:eastAsia="Calibri" w:hAnsi="Calibri" w:cs="Arial"/>
      <w:sz w:val="20"/>
      <w:szCs w:val="20"/>
      <w:lang w:val="en-US"/>
    </w:rPr>
  </w:style>
  <w:style w:type="paragraph" w:styleId="BalloonText">
    <w:name w:val="Balloon Text"/>
    <w:basedOn w:val="Normal"/>
    <w:link w:val="BalloonTextChar"/>
    <w:uiPriority w:val="99"/>
    <w:semiHidden/>
    <w:unhideWhenUsed/>
    <w:rsid w:val="00D91EDA"/>
    <w:rPr>
      <w:sz w:val="18"/>
      <w:szCs w:val="18"/>
    </w:rPr>
  </w:style>
  <w:style w:type="character" w:customStyle="1" w:styleId="BalloonTextChar">
    <w:name w:val="Balloon Text Char"/>
    <w:basedOn w:val="DefaultParagraphFont"/>
    <w:link w:val="BalloonText"/>
    <w:uiPriority w:val="99"/>
    <w:semiHidden/>
    <w:rsid w:val="00D91EDA"/>
    <w:rPr>
      <w:rFonts w:eastAsia="Times New Roman"/>
      <w:sz w:val="18"/>
      <w:szCs w:val="18"/>
      <w:lang w:val="en-MY"/>
    </w:rPr>
  </w:style>
  <w:style w:type="paragraph" w:styleId="Revision">
    <w:name w:val="Revision"/>
    <w:hidden/>
    <w:uiPriority w:val="99"/>
    <w:semiHidden/>
    <w:rsid w:val="00D91EDA"/>
    <w:rPr>
      <w:rFonts w:eastAsia="Times New Roman"/>
      <w:lang w:val="en-MY"/>
    </w:rPr>
  </w:style>
  <w:style w:type="paragraph" w:styleId="Header">
    <w:name w:val="header"/>
    <w:basedOn w:val="Normal"/>
    <w:link w:val="HeaderChar"/>
    <w:uiPriority w:val="99"/>
    <w:unhideWhenUsed/>
    <w:rsid w:val="00C95FE0"/>
    <w:pPr>
      <w:tabs>
        <w:tab w:val="center" w:pos="4513"/>
        <w:tab w:val="right" w:pos="9026"/>
      </w:tabs>
    </w:pPr>
  </w:style>
  <w:style w:type="character" w:customStyle="1" w:styleId="HeaderChar">
    <w:name w:val="Header Char"/>
    <w:basedOn w:val="DefaultParagraphFont"/>
    <w:link w:val="Header"/>
    <w:uiPriority w:val="99"/>
    <w:rsid w:val="00C95FE0"/>
    <w:rPr>
      <w:rFonts w:eastAsia="Times New Roman"/>
    </w:rPr>
  </w:style>
  <w:style w:type="paragraph" w:styleId="Footer">
    <w:name w:val="footer"/>
    <w:basedOn w:val="Normal"/>
    <w:link w:val="FooterChar"/>
    <w:uiPriority w:val="99"/>
    <w:unhideWhenUsed/>
    <w:rsid w:val="00C95FE0"/>
    <w:pPr>
      <w:tabs>
        <w:tab w:val="center" w:pos="4513"/>
        <w:tab w:val="right" w:pos="9026"/>
      </w:tabs>
    </w:pPr>
  </w:style>
  <w:style w:type="character" w:customStyle="1" w:styleId="FooterChar">
    <w:name w:val="Footer Char"/>
    <w:basedOn w:val="DefaultParagraphFont"/>
    <w:link w:val="Footer"/>
    <w:uiPriority w:val="99"/>
    <w:rsid w:val="00C95FE0"/>
    <w:rPr>
      <w:rFonts w:eastAsia="Times New Roman"/>
    </w:rPr>
  </w:style>
  <w:style w:type="paragraph" w:styleId="CommentSubject">
    <w:name w:val="annotation subject"/>
    <w:basedOn w:val="CommentText"/>
    <w:next w:val="CommentText"/>
    <w:link w:val="CommentSubjectChar"/>
    <w:uiPriority w:val="99"/>
    <w:semiHidden/>
    <w:unhideWhenUsed/>
    <w:rsid w:val="000A3E28"/>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0A3E28"/>
    <w:rPr>
      <w:rFonts w:ascii="Calibri" w:eastAsia="Times New Roman" w:hAnsi="Calibri" w:cs="Arial"/>
      <w:b/>
      <w:bCs/>
      <w:sz w:val="20"/>
      <w:szCs w:val="20"/>
      <w:lang w:val="en-US"/>
    </w:rPr>
  </w:style>
  <w:style w:type="character" w:styleId="Hyperlink">
    <w:name w:val="Hyperlink"/>
    <w:basedOn w:val="DefaultParagraphFont"/>
    <w:uiPriority w:val="99"/>
    <w:unhideWhenUsed/>
    <w:rsid w:val="009658D3"/>
    <w:rPr>
      <w:color w:val="0563C1" w:themeColor="hyperlink"/>
      <w:u w:val="single"/>
    </w:rPr>
  </w:style>
  <w:style w:type="character" w:customStyle="1" w:styleId="UnresolvedMention1">
    <w:name w:val="Unresolved Mention1"/>
    <w:basedOn w:val="DefaultParagraphFont"/>
    <w:uiPriority w:val="99"/>
    <w:rsid w:val="009658D3"/>
    <w:rPr>
      <w:color w:val="605E5C"/>
      <w:shd w:val="clear" w:color="auto" w:fill="E1DFDD"/>
    </w:rPr>
  </w:style>
  <w:style w:type="paragraph" w:styleId="NormalWeb">
    <w:name w:val="Normal (Web)"/>
    <w:basedOn w:val="Normal"/>
    <w:uiPriority w:val="99"/>
    <w:semiHidden/>
    <w:unhideWhenUsed/>
    <w:rsid w:val="003474FA"/>
    <w:pPr>
      <w:spacing w:before="100" w:beforeAutospacing="1" w:after="100" w:afterAutospacing="1"/>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38">
      <w:bodyDiv w:val="1"/>
      <w:marLeft w:val="0"/>
      <w:marRight w:val="0"/>
      <w:marTop w:val="0"/>
      <w:marBottom w:val="0"/>
      <w:divBdr>
        <w:top w:val="none" w:sz="0" w:space="0" w:color="auto"/>
        <w:left w:val="none" w:sz="0" w:space="0" w:color="auto"/>
        <w:bottom w:val="none" w:sz="0" w:space="0" w:color="auto"/>
        <w:right w:val="none" w:sz="0" w:space="0" w:color="auto"/>
      </w:divBdr>
    </w:div>
    <w:div w:id="113402959">
      <w:bodyDiv w:val="1"/>
      <w:marLeft w:val="0"/>
      <w:marRight w:val="0"/>
      <w:marTop w:val="0"/>
      <w:marBottom w:val="0"/>
      <w:divBdr>
        <w:top w:val="none" w:sz="0" w:space="0" w:color="auto"/>
        <w:left w:val="none" w:sz="0" w:space="0" w:color="auto"/>
        <w:bottom w:val="none" w:sz="0" w:space="0" w:color="auto"/>
        <w:right w:val="none" w:sz="0" w:space="0" w:color="auto"/>
      </w:divBdr>
      <w:divsChild>
        <w:div w:id="1591112777">
          <w:marLeft w:val="0"/>
          <w:marRight w:val="0"/>
          <w:marTop w:val="0"/>
          <w:marBottom w:val="0"/>
          <w:divBdr>
            <w:top w:val="none" w:sz="0" w:space="0" w:color="auto"/>
            <w:left w:val="none" w:sz="0" w:space="0" w:color="auto"/>
            <w:bottom w:val="none" w:sz="0" w:space="0" w:color="auto"/>
            <w:right w:val="none" w:sz="0" w:space="0" w:color="auto"/>
          </w:divBdr>
        </w:div>
        <w:div w:id="1110050156">
          <w:marLeft w:val="0"/>
          <w:marRight w:val="0"/>
          <w:marTop w:val="0"/>
          <w:marBottom w:val="0"/>
          <w:divBdr>
            <w:top w:val="none" w:sz="0" w:space="0" w:color="auto"/>
            <w:left w:val="none" w:sz="0" w:space="0" w:color="auto"/>
            <w:bottom w:val="none" w:sz="0" w:space="0" w:color="auto"/>
            <w:right w:val="none" w:sz="0" w:space="0" w:color="auto"/>
          </w:divBdr>
        </w:div>
        <w:div w:id="2094012351">
          <w:marLeft w:val="0"/>
          <w:marRight w:val="0"/>
          <w:marTop w:val="0"/>
          <w:marBottom w:val="0"/>
          <w:divBdr>
            <w:top w:val="none" w:sz="0" w:space="0" w:color="auto"/>
            <w:left w:val="none" w:sz="0" w:space="0" w:color="auto"/>
            <w:bottom w:val="none" w:sz="0" w:space="0" w:color="auto"/>
            <w:right w:val="none" w:sz="0" w:space="0" w:color="auto"/>
          </w:divBdr>
        </w:div>
        <w:div w:id="434910208">
          <w:marLeft w:val="0"/>
          <w:marRight w:val="0"/>
          <w:marTop w:val="0"/>
          <w:marBottom w:val="0"/>
          <w:divBdr>
            <w:top w:val="none" w:sz="0" w:space="0" w:color="auto"/>
            <w:left w:val="none" w:sz="0" w:space="0" w:color="auto"/>
            <w:bottom w:val="none" w:sz="0" w:space="0" w:color="auto"/>
            <w:right w:val="none" w:sz="0" w:space="0" w:color="auto"/>
          </w:divBdr>
        </w:div>
      </w:divsChild>
    </w:div>
    <w:div w:id="184683304">
      <w:bodyDiv w:val="1"/>
      <w:marLeft w:val="0"/>
      <w:marRight w:val="0"/>
      <w:marTop w:val="0"/>
      <w:marBottom w:val="0"/>
      <w:divBdr>
        <w:top w:val="none" w:sz="0" w:space="0" w:color="auto"/>
        <w:left w:val="none" w:sz="0" w:space="0" w:color="auto"/>
        <w:bottom w:val="none" w:sz="0" w:space="0" w:color="auto"/>
        <w:right w:val="none" w:sz="0" w:space="0" w:color="auto"/>
      </w:divBdr>
      <w:divsChild>
        <w:div w:id="4523619">
          <w:marLeft w:val="0"/>
          <w:marRight w:val="0"/>
          <w:marTop w:val="0"/>
          <w:marBottom w:val="0"/>
          <w:divBdr>
            <w:top w:val="none" w:sz="0" w:space="0" w:color="auto"/>
            <w:left w:val="none" w:sz="0" w:space="0" w:color="auto"/>
            <w:bottom w:val="none" w:sz="0" w:space="0" w:color="auto"/>
            <w:right w:val="none" w:sz="0" w:space="0" w:color="auto"/>
          </w:divBdr>
          <w:divsChild>
            <w:div w:id="135419813">
              <w:marLeft w:val="0"/>
              <w:marRight w:val="0"/>
              <w:marTop w:val="0"/>
              <w:marBottom w:val="0"/>
              <w:divBdr>
                <w:top w:val="none" w:sz="0" w:space="0" w:color="auto"/>
                <w:left w:val="none" w:sz="0" w:space="0" w:color="auto"/>
                <w:bottom w:val="none" w:sz="0" w:space="0" w:color="auto"/>
                <w:right w:val="none" w:sz="0" w:space="0" w:color="auto"/>
              </w:divBdr>
              <w:divsChild>
                <w:div w:id="17622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64186">
      <w:bodyDiv w:val="1"/>
      <w:marLeft w:val="0"/>
      <w:marRight w:val="0"/>
      <w:marTop w:val="0"/>
      <w:marBottom w:val="0"/>
      <w:divBdr>
        <w:top w:val="none" w:sz="0" w:space="0" w:color="auto"/>
        <w:left w:val="none" w:sz="0" w:space="0" w:color="auto"/>
        <w:bottom w:val="none" w:sz="0" w:space="0" w:color="auto"/>
        <w:right w:val="none" w:sz="0" w:space="0" w:color="auto"/>
      </w:divBdr>
    </w:div>
    <w:div w:id="647133330">
      <w:bodyDiv w:val="1"/>
      <w:marLeft w:val="0"/>
      <w:marRight w:val="0"/>
      <w:marTop w:val="0"/>
      <w:marBottom w:val="0"/>
      <w:divBdr>
        <w:top w:val="none" w:sz="0" w:space="0" w:color="auto"/>
        <w:left w:val="none" w:sz="0" w:space="0" w:color="auto"/>
        <w:bottom w:val="none" w:sz="0" w:space="0" w:color="auto"/>
        <w:right w:val="none" w:sz="0" w:space="0" w:color="auto"/>
      </w:divBdr>
    </w:div>
    <w:div w:id="775711991">
      <w:bodyDiv w:val="1"/>
      <w:marLeft w:val="0"/>
      <w:marRight w:val="0"/>
      <w:marTop w:val="0"/>
      <w:marBottom w:val="0"/>
      <w:divBdr>
        <w:top w:val="none" w:sz="0" w:space="0" w:color="auto"/>
        <w:left w:val="none" w:sz="0" w:space="0" w:color="auto"/>
        <w:bottom w:val="none" w:sz="0" w:space="0" w:color="auto"/>
        <w:right w:val="none" w:sz="0" w:space="0" w:color="auto"/>
      </w:divBdr>
    </w:div>
    <w:div w:id="801535945">
      <w:bodyDiv w:val="1"/>
      <w:marLeft w:val="0"/>
      <w:marRight w:val="0"/>
      <w:marTop w:val="0"/>
      <w:marBottom w:val="0"/>
      <w:divBdr>
        <w:top w:val="none" w:sz="0" w:space="0" w:color="auto"/>
        <w:left w:val="none" w:sz="0" w:space="0" w:color="auto"/>
        <w:bottom w:val="none" w:sz="0" w:space="0" w:color="auto"/>
        <w:right w:val="none" w:sz="0" w:space="0" w:color="auto"/>
      </w:divBdr>
    </w:div>
    <w:div w:id="819269518">
      <w:bodyDiv w:val="1"/>
      <w:marLeft w:val="0"/>
      <w:marRight w:val="0"/>
      <w:marTop w:val="0"/>
      <w:marBottom w:val="0"/>
      <w:divBdr>
        <w:top w:val="none" w:sz="0" w:space="0" w:color="auto"/>
        <w:left w:val="none" w:sz="0" w:space="0" w:color="auto"/>
        <w:bottom w:val="none" w:sz="0" w:space="0" w:color="auto"/>
        <w:right w:val="none" w:sz="0" w:space="0" w:color="auto"/>
      </w:divBdr>
      <w:divsChild>
        <w:div w:id="1662196919">
          <w:marLeft w:val="0"/>
          <w:marRight w:val="0"/>
          <w:marTop w:val="0"/>
          <w:marBottom w:val="0"/>
          <w:divBdr>
            <w:top w:val="none" w:sz="0" w:space="0" w:color="auto"/>
            <w:left w:val="none" w:sz="0" w:space="0" w:color="auto"/>
            <w:bottom w:val="none" w:sz="0" w:space="0" w:color="auto"/>
            <w:right w:val="none" w:sz="0" w:space="0" w:color="auto"/>
          </w:divBdr>
          <w:divsChild>
            <w:div w:id="1573739475">
              <w:marLeft w:val="0"/>
              <w:marRight w:val="0"/>
              <w:marTop w:val="0"/>
              <w:marBottom w:val="0"/>
              <w:divBdr>
                <w:top w:val="none" w:sz="0" w:space="0" w:color="auto"/>
                <w:left w:val="none" w:sz="0" w:space="0" w:color="auto"/>
                <w:bottom w:val="none" w:sz="0" w:space="0" w:color="auto"/>
                <w:right w:val="none" w:sz="0" w:space="0" w:color="auto"/>
              </w:divBdr>
              <w:divsChild>
                <w:div w:id="20079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0756">
      <w:bodyDiv w:val="1"/>
      <w:marLeft w:val="0"/>
      <w:marRight w:val="0"/>
      <w:marTop w:val="0"/>
      <w:marBottom w:val="0"/>
      <w:divBdr>
        <w:top w:val="none" w:sz="0" w:space="0" w:color="auto"/>
        <w:left w:val="none" w:sz="0" w:space="0" w:color="auto"/>
        <w:bottom w:val="none" w:sz="0" w:space="0" w:color="auto"/>
        <w:right w:val="none" w:sz="0" w:space="0" w:color="auto"/>
      </w:divBdr>
    </w:div>
    <w:div w:id="1321958592">
      <w:bodyDiv w:val="1"/>
      <w:marLeft w:val="0"/>
      <w:marRight w:val="0"/>
      <w:marTop w:val="0"/>
      <w:marBottom w:val="0"/>
      <w:divBdr>
        <w:top w:val="none" w:sz="0" w:space="0" w:color="auto"/>
        <w:left w:val="none" w:sz="0" w:space="0" w:color="auto"/>
        <w:bottom w:val="none" w:sz="0" w:space="0" w:color="auto"/>
        <w:right w:val="none" w:sz="0" w:space="0" w:color="auto"/>
      </w:divBdr>
      <w:divsChild>
        <w:div w:id="1735809890">
          <w:marLeft w:val="0"/>
          <w:marRight w:val="0"/>
          <w:marTop w:val="0"/>
          <w:marBottom w:val="0"/>
          <w:divBdr>
            <w:top w:val="none" w:sz="0" w:space="0" w:color="auto"/>
            <w:left w:val="none" w:sz="0" w:space="0" w:color="auto"/>
            <w:bottom w:val="none" w:sz="0" w:space="0" w:color="auto"/>
            <w:right w:val="none" w:sz="0" w:space="0" w:color="auto"/>
          </w:divBdr>
        </w:div>
        <w:div w:id="1605384958">
          <w:marLeft w:val="0"/>
          <w:marRight w:val="0"/>
          <w:marTop w:val="0"/>
          <w:marBottom w:val="0"/>
          <w:divBdr>
            <w:top w:val="none" w:sz="0" w:space="0" w:color="auto"/>
            <w:left w:val="none" w:sz="0" w:space="0" w:color="auto"/>
            <w:bottom w:val="none" w:sz="0" w:space="0" w:color="auto"/>
            <w:right w:val="none" w:sz="0" w:space="0" w:color="auto"/>
          </w:divBdr>
        </w:div>
      </w:divsChild>
    </w:div>
    <w:div w:id="1444375205">
      <w:bodyDiv w:val="1"/>
      <w:marLeft w:val="0"/>
      <w:marRight w:val="0"/>
      <w:marTop w:val="0"/>
      <w:marBottom w:val="0"/>
      <w:divBdr>
        <w:top w:val="none" w:sz="0" w:space="0" w:color="auto"/>
        <w:left w:val="none" w:sz="0" w:space="0" w:color="auto"/>
        <w:bottom w:val="none" w:sz="0" w:space="0" w:color="auto"/>
        <w:right w:val="none" w:sz="0" w:space="0" w:color="auto"/>
      </w:divBdr>
      <w:divsChild>
        <w:div w:id="608658658">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0"/>
              <w:divBdr>
                <w:top w:val="none" w:sz="0" w:space="0" w:color="auto"/>
                <w:left w:val="none" w:sz="0" w:space="0" w:color="auto"/>
                <w:bottom w:val="none" w:sz="0" w:space="0" w:color="auto"/>
                <w:right w:val="none" w:sz="0" w:space="0" w:color="auto"/>
              </w:divBdr>
              <w:divsChild>
                <w:div w:id="5090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9147">
      <w:bodyDiv w:val="1"/>
      <w:marLeft w:val="0"/>
      <w:marRight w:val="0"/>
      <w:marTop w:val="0"/>
      <w:marBottom w:val="0"/>
      <w:divBdr>
        <w:top w:val="none" w:sz="0" w:space="0" w:color="auto"/>
        <w:left w:val="none" w:sz="0" w:space="0" w:color="auto"/>
        <w:bottom w:val="none" w:sz="0" w:space="0" w:color="auto"/>
        <w:right w:val="none" w:sz="0" w:space="0" w:color="auto"/>
      </w:divBdr>
    </w:div>
    <w:div w:id="1766530555">
      <w:bodyDiv w:val="1"/>
      <w:marLeft w:val="0"/>
      <w:marRight w:val="0"/>
      <w:marTop w:val="0"/>
      <w:marBottom w:val="0"/>
      <w:divBdr>
        <w:top w:val="none" w:sz="0" w:space="0" w:color="auto"/>
        <w:left w:val="none" w:sz="0" w:space="0" w:color="auto"/>
        <w:bottom w:val="none" w:sz="0" w:space="0" w:color="auto"/>
        <w:right w:val="none" w:sz="0" w:space="0" w:color="auto"/>
      </w:divBdr>
    </w:div>
    <w:div w:id="1804691678">
      <w:bodyDiv w:val="1"/>
      <w:marLeft w:val="0"/>
      <w:marRight w:val="0"/>
      <w:marTop w:val="0"/>
      <w:marBottom w:val="0"/>
      <w:divBdr>
        <w:top w:val="none" w:sz="0" w:space="0" w:color="auto"/>
        <w:left w:val="none" w:sz="0" w:space="0" w:color="auto"/>
        <w:bottom w:val="none" w:sz="0" w:space="0" w:color="auto"/>
        <w:right w:val="none" w:sz="0" w:space="0" w:color="auto"/>
      </w:divBdr>
    </w:div>
    <w:div w:id="19666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9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A8EAD-9EF8-496B-9562-365A1F82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5758</Words>
  <Characters>32823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Azirah Zahida Binti Mohamad Azhar</dc:creator>
  <cp:lastModifiedBy>SKAG6033</cp:lastModifiedBy>
  <cp:revision>17</cp:revision>
  <cp:lastPrinted>2018-09-06T04:07:00Z</cp:lastPrinted>
  <dcterms:created xsi:type="dcterms:W3CDTF">2018-11-21T02:04:00Z</dcterms:created>
  <dcterms:modified xsi:type="dcterms:W3CDTF">2018-11-23T11:10:00Z</dcterms:modified>
</cp:coreProperties>
</file>