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8E3" w:rsidRPr="00E551E3" w:rsidRDefault="00FB7846" w:rsidP="00FB7846">
      <w:pPr>
        <w:widowControl w:val="0"/>
        <w:autoSpaceDE w:val="0"/>
        <w:autoSpaceDN w:val="0"/>
        <w:adjustRightInd w:val="0"/>
      </w:pPr>
      <w:r w:rsidRPr="00E551E3">
        <w:rPr>
          <w:noProof/>
          <w:lang w:val="en-MY" w:eastAsia="en-MY"/>
        </w:rPr>
        <w:drawing>
          <wp:anchor distT="0" distB="0" distL="114300" distR="114300" simplePos="0" relativeHeight="251658240" behindDoc="1" locked="0" layoutInCell="0" allowOverlap="1" wp14:anchorId="4CC3CD55" wp14:editId="0EA919FD">
            <wp:simplePos x="0" y="0"/>
            <wp:positionH relativeFrom="column">
              <wp:posOffset>0</wp:posOffset>
            </wp:positionH>
            <wp:positionV relativeFrom="paragraph">
              <wp:posOffset>102235</wp:posOffset>
            </wp:positionV>
            <wp:extent cx="5723890" cy="495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rsidR="00BC78E3" w:rsidRPr="00E551E3" w:rsidRDefault="00DF06E9" w:rsidP="00FB7846">
      <w:pPr>
        <w:widowControl w:val="0"/>
        <w:tabs>
          <w:tab w:val="left" w:pos="1680"/>
        </w:tabs>
        <w:autoSpaceDE w:val="0"/>
        <w:autoSpaceDN w:val="0"/>
        <w:adjustRightInd w:val="0"/>
      </w:pPr>
      <w:r>
        <w:tab/>
      </w:r>
    </w:p>
    <w:p w:rsidR="00BC78E3" w:rsidRPr="00E551E3" w:rsidRDefault="00BC78E3" w:rsidP="00FB7846">
      <w:pPr>
        <w:widowControl w:val="0"/>
        <w:autoSpaceDE w:val="0"/>
        <w:autoSpaceDN w:val="0"/>
        <w:adjustRightInd w:val="0"/>
      </w:pPr>
    </w:p>
    <w:p w:rsidR="00E13623" w:rsidRPr="00297BF3" w:rsidRDefault="00E13623" w:rsidP="00FB7846">
      <w:pPr>
        <w:jc w:val="both"/>
        <w:rPr>
          <w:rFonts w:ascii="Arial" w:hAnsi="Arial"/>
          <w:shd w:val="clear" w:color="auto" w:fill="FFFFFF"/>
        </w:rPr>
      </w:pPr>
    </w:p>
    <w:p w:rsidR="004A3DE0" w:rsidRPr="00B37335" w:rsidRDefault="00E61378" w:rsidP="00FB7846">
      <w:pPr>
        <w:jc w:val="center"/>
        <w:rPr>
          <w:rFonts w:ascii="Times New Roman" w:hAnsi="Times New Roman"/>
          <w:b/>
          <w:sz w:val="28"/>
          <w:szCs w:val="28"/>
        </w:rPr>
      </w:pPr>
      <w:r w:rsidRPr="00B37335">
        <w:rPr>
          <w:rFonts w:ascii="Times New Roman" w:hAnsi="Times New Roman"/>
          <w:b/>
          <w:sz w:val="28"/>
          <w:szCs w:val="28"/>
        </w:rPr>
        <w:t xml:space="preserve">Land </w:t>
      </w:r>
      <w:r w:rsidR="000241BA" w:rsidRPr="00B37335">
        <w:rPr>
          <w:rFonts w:ascii="Times New Roman" w:hAnsi="Times New Roman"/>
          <w:b/>
          <w:sz w:val="28"/>
          <w:szCs w:val="28"/>
        </w:rPr>
        <w:t xml:space="preserve">use change </w:t>
      </w:r>
      <w:r w:rsidRPr="00B37335">
        <w:rPr>
          <w:rFonts w:ascii="Times New Roman" w:hAnsi="Times New Roman"/>
          <w:b/>
          <w:sz w:val="28"/>
          <w:szCs w:val="28"/>
        </w:rPr>
        <w:t>in Kelantan: Review of the Environ</w:t>
      </w:r>
      <w:r w:rsidR="000241BA">
        <w:rPr>
          <w:rFonts w:ascii="Times New Roman" w:hAnsi="Times New Roman"/>
          <w:b/>
          <w:sz w:val="28"/>
          <w:szCs w:val="28"/>
        </w:rPr>
        <w:t>mental Impact Assessment (EIA) r</w:t>
      </w:r>
      <w:r w:rsidRPr="00B37335">
        <w:rPr>
          <w:rFonts w:ascii="Times New Roman" w:hAnsi="Times New Roman"/>
          <w:b/>
          <w:sz w:val="28"/>
          <w:szCs w:val="28"/>
        </w:rPr>
        <w:t>eports</w:t>
      </w:r>
    </w:p>
    <w:p w:rsidR="004A3DE0" w:rsidRPr="00B37335" w:rsidRDefault="004A3DE0" w:rsidP="00FB7846">
      <w:pPr>
        <w:jc w:val="both"/>
        <w:rPr>
          <w:rFonts w:ascii="Times New Roman" w:hAnsi="Times New Roman"/>
          <w:b/>
        </w:rPr>
      </w:pPr>
    </w:p>
    <w:p w:rsidR="004A3DE0" w:rsidRPr="00B37335" w:rsidRDefault="004A3DE0" w:rsidP="00FB7846">
      <w:pPr>
        <w:jc w:val="center"/>
        <w:rPr>
          <w:rFonts w:ascii="Times New Roman" w:hAnsi="Times New Roman"/>
          <w:sz w:val="22"/>
          <w:szCs w:val="22"/>
          <w:vertAlign w:val="superscript"/>
        </w:rPr>
      </w:pPr>
      <w:r w:rsidRPr="00B37335">
        <w:rPr>
          <w:rFonts w:ascii="Times New Roman" w:hAnsi="Times New Roman"/>
          <w:sz w:val="22"/>
          <w:szCs w:val="22"/>
        </w:rPr>
        <w:t>Mohamad Shaharudin Samsurijan</w:t>
      </w:r>
      <w:r w:rsidRPr="00B37335">
        <w:rPr>
          <w:rFonts w:ascii="Times New Roman" w:hAnsi="Times New Roman"/>
          <w:sz w:val="22"/>
          <w:szCs w:val="22"/>
          <w:vertAlign w:val="superscript"/>
        </w:rPr>
        <w:t>1</w:t>
      </w:r>
      <w:r w:rsidRPr="00B37335">
        <w:rPr>
          <w:rFonts w:ascii="Times New Roman" w:hAnsi="Times New Roman"/>
          <w:sz w:val="22"/>
          <w:szCs w:val="22"/>
        </w:rPr>
        <w:t>, Nik Norulaini Abd Rahman</w:t>
      </w:r>
      <w:r w:rsidRPr="00B37335">
        <w:rPr>
          <w:rFonts w:ascii="Times New Roman" w:hAnsi="Times New Roman"/>
          <w:sz w:val="22"/>
          <w:szCs w:val="22"/>
          <w:vertAlign w:val="superscript"/>
        </w:rPr>
        <w:t>2</w:t>
      </w:r>
      <w:r w:rsidRPr="00B37335">
        <w:rPr>
          <w:rFonts w:ascii="Times New Roman" w:hAnsi="Times New Roman"/>
          <w:sz w:val="22"/>
          <w:szCs w:val="22"/>
        </w:rPr>
        <w:t>, Muhammad Izzuddin Syakir Ishak</w:t>
      </w:r>
      <w:r w:rsidRPr="00B37335">
        <w:rPr>
          <w:rFonts w:ascii="Times New Roman" w:hAnsi="Times New Roman"/>
          <w:sz w:val="22"/>
          <w:szCs w:val="22"/>
          <w:vertAlign w:val="superscript"/>
        </w:rPr>
        <w:t>3</w:t>
      </w:r>
      <w:r w:rsidRPr="00B37335">
        <w:rPr>
          <w:rFonts w:ascii="Times New Roman" w:hAnsi="Times New Roman"/>
          <w:sz w:val="22"/>
          <w:szCs w:val="22"/>
        </w:rPr>
        <w:t>, Tajul Ariffin Masron</w:t>
      </w:r>
      <w:r w:rsidRPr="00B37335">
        <w:rPr>
          <w:rFonts w:ascii="Times New Roman" w:hAnsi="Times New Roman"/>
          <w:sz w:val="22"/>
          <w:szCs w:val="22"/>
          <w:vertAlign w:val="superscript"/>
        </w:rPr>
        <w:t>4</w:t>
      </w:r>
      <w:r w:rsidR="002A1C44" w:rsidRPr="00B37335">
        <w:rPr>
          <w:rFonts w:ascii="Times New Roman" w:hAnsi="Times New Roman"/>
          <w:sz w:val="22"/>
          <w:szCs w:val="22"/>
        </w:rPr>
        <w:t xml:space="preserve">, </w:t>
      </w:r>
      <w:r w:rsidRPr="00B37335">
        <w:rPr>
          <w:rFonts w:ascii="Times New Roman" w:hAnsi="Times New Roman"/>
          <w:sz w:val="22"/>
          <w:szCs w:val="22"/>
        </w:rPr>
        <w:t>Omar Kadir</w:t>
      </w:r>
      <w:r w:rsidRPr="00B37335">
        <w:rPr>
          <w:rFonts w:ascii="Times New Roman" w:hAnsi="Times New Roman"/>
          <w:sz w:val="22"/>
          <w:szCs w:val="22"/>
          <w:vertAlign w:val="superscript"/>
        </w:rPr>
        <w:t>3</w:t>
      </w:r>
    </w:p>
    <w:p w:rsidR="004A3DE0" w:rsidRPr="00B37335" w:rsidRDefault="004A3DE0" w:rsidP="00FB7846">
      <w:pPr>
        <w:jc w:val="center"/>
        <w:rPr>
          <w:rFonts w:ascii="Times New Roman" w:hAnsi="Times New Roman"/>
          <w:b/>
          <w:sz w:val="22"/>
          <w:szCs w:val="22"/>
        </w:rPr>
      </w:pPr>
    </w:p>
    <w:p w:rsidR="00E61378" w:rsidRPr="00B37335" w:rsidRDefault="004A3DE0" w:rsidP="00FB7846">
      <w:pPr>
        <w:jc w:val="center"/>
        <w:rPr>
          <w:rFonts w:ascii="Times New Roman" w:hAnsi="Times New Roman"/>
          <w:sz w:val="22"/>
          <w:szCs w:val="22"/>
        </w:rPr>
      </w:pPr>
      <w:r w:rsidRPr="00B37335">
        <w:rPr>
          <w:rFonts w:ascii="Times New Roman" w:hAnsi="Times New Roman"/>
          <w:sz w:val="22"/>
          <w:szCs w:val="22"/>
          <w:vertAlign w:val="superscript"/>
        </w:rPr>
        <w:t>1</w:t>
      </w:r>
      <w:r w:rsidRPr="00B37335">
        <w:rPr>
          <w:rFonts w:ascii="Times New Roman" w:hAnsi="Times New Roman"/>
          <w:sz w:val="22"/>
          <w:szCs w:val="22"/>
        </w:rPr>
        <w:t>School of Social Scien</w:t>
      </w:r>
      <w:r w:rsidR="006444C5" w:rsidRPr="00B37335">
        <w:rPr>
          <w:rFonts w:ascii="Times New Roman" w:hAnsi="Times New Roman"/>
          <w:sz w:val="22"/>
          <w:szCs w:val="22"/>
        </w:rPr>
        <w:t>c</w:t>
      </w:r>
      <w:r w:rsidRPr="00B37335">
        <w:rPr>
          <w:rFonts w:ascii="Times New Roman" w:hAnsi="Times New Roman"/>
          <w:sz w:val="22"/>
          <w:szCs w:val="22"/>
        </w:rPr>
        <w:t>es, Universiti Sains Malaysia</w:t>
      </w:r>
    </w:p>
    <w:p w:rsidR="00E61378" w:rsidRPr="00B37335" w:rsidRDefault="004A3DE0" w:rsidP="00FB7846">
      <w:pPr>
        <w:jc w:val="center"/>
        <w:rPr>
          <w:rFonts w:ascii="Times New Roman" w:hAnsi="Times New Roman"/>
          <w:sz w:val="22"/>
          <w:szCs w:val="22"/>
          <w:vertAlign w:val="superscript"/>
        </w:rPr>
      </w:pPr>
      <w:r w:rsidRPr="00B37335">
        <w:rPr>
          <w:rFonts w:ascii="Times New Roman" w:hAnsi="Times New Roman"/>
          <w:sz w:val="22"/>
          <w:szCs w:val="22"/>
          <w:vertAlign w:val="superscript"/>
        </w:rPr>
        <w:t>2</w:t>
      </w:r>
      <w:r w:rsidRPr="00B37335">
        <w:rPr>
          <w:rFonts w:ascii="Times New Roman" w:hAnsi="Times New Roman"/>
          <w:sz w:val="22"/>
          <w:szCs w:val="22"/>
        </w:rPr>
        <w:t>School of Distance Education, Universiti Sains Malaysia</w:t>
      </w:r>
    </w:p>
    <w:p w:rsidR="00E61378" w:rsidRPr="00B37335" w:rsidRDefault="002A1C44" w:rsidP="00FB7846">
      <w:pPr>
        <w:jc w:val="center"/>
        <w:rPr>
          <w:rFonts w:ascii="Times New Roman" w:hAnsi="Times New Roman"/>
          <w:sz w:val="22"/>
          <w:szCs w:val="22"/>
        </w:rPr>
      </w:pPr>
      <w:r w:rsidRPr="00B37335">
        <w:rPr>
          <w:rFonts w:ascii="Times New Roman" w:hAnsi="Times New Roman"/>
          <w:sz w:val="22"/>
          <w:szCs w:val="22"/>
          <w:vertAlign w:val="superscript"/>
        </w:rPr>
        <w:t>3</w:t>
      </w:r>
      <w:r w:rsidR="004A3DE0" w:rsidRPr="00B37335">
        <w:rPr>
          <w:rFonts w:ascii="Times New Roman" w:hAnsi="Times New Roman"/>
          <w:sz w:val="22"/>
          <w:szCs w:val="22"/>
        </w:rPr>
        <w:t>School of Industrial Technology, Universiti Sains Malaysia</w:t>
      </w:r>
    </w:p>
    <w:p w:rsidR="004A3DE0" w:rsidRPr="00B37335" w:rsidRDefault="004A3DE0" w:rsidP="00FB7846">
      <w:pPr>
        <w:jc w:val="center"/>
        <w:rPr>
          <w:rFonts w:ascii="Times New Roman" w:hAnsi="Times New Roman"/>
          <w:sz w:val="22"/>
          <w:szCs w:val="22"/>
        </w:rPr>
      </w:pPr>
      <w:r w:rsidRPr="00B37335">
        <w:rPr>
          <w:rFonts w:ascii="Times New Roman" w:hAnsi="Times New Roman"/>
          <w:sz w:val="22"/>
          <w:szCs w:val="22"/>
          <w:vertAlign w:val="superscript"/>
        </w:rPr>
        <w:t>4</w:t>
      </w:r>
      <w:r w:rsidRPr="00B37335">
        <w:rPr>
          <w:rFonts w:ascii="Times New Roman" w:hAnsi="Times New Roman"/>
          <w:sz w:val="22"/>
          <w:szCs w:val="22"/>
        </w:rPr>
        <w:t>School of Management, Universiti Sains Malaysia</w:t>
      </w:r>
    </w:p>
    <w:p w:rsidR="00C26F2F" w:rsidRPr="00B37335" w:rsidRDefault="00C26F2F" w:rsidP="00FB7846">
      <w:pPr>
        <w:jc w:val="both"/>
        <w:rPr>
          <w:rFonts w:ascii="Times New Roman" w:hAnsi="Times New Roman"/>
          <w:sz w:val="22"/>
          <w:szCs w:val="22"/>
        </w:rPr>
      </w:pPr>
    </w:p>
    <w:p w:rsidR="00C26F2F" w:rsidRDefault="00297BF3" w:rsidP="00FB7846">
      <w:pPr>
        <w:pStyle w:val="MediumGrid1-Accent21"/>
        <w:jc w:val="both"/>
        <w:rPr>
          <w:rFonts w:ascii="Times New Roman" w:hAnsi="Times New Roman"/>
          <w:color w:val="000000" w:themeColor="text1"/>
          <w:sz w:val="22"/>
          <w:szCs w:val="22"/>
        </w:rPr>
      </w:pPr>
      <w:r w:rsidRPr="00B37335">
        <w:rPr>
          <w:rFonts w:ascii="Times New Roman" w:hAnsi="Times New Roman"/>
          <w:sz w:val="22"/>
          <w:szCs w:val="22"/>
        </w:rPr>
        <w:t xml:space="preserve">Correspondence: Mohamad Shaharudin Samsurijan </w:t>
      </w:r>
      <w:hyperlink r:id="rId9" w:history="1">
        <w:r w:rsidRPr="00B37335">
          <w:rPr>
            <w:rStyle w:val="Hyperlink"/>
            <w:rFonts w:ascii="Times New Roman" w:hAnsi="Times New Roman"/>
            <w:color w:val="000000" w:themeColor="text1"/>
            <w:sz w:val="22"/>
            <w:szCs w:val="22"/>
            <w:u w:val="none"/>
          </w:rPr>
          <w:t xml:space="preserve">(email: </w:t>
        </w:r>
        <w:r w:rsidRPr="00B37335">
          <w:rPr>
            <w:rStyle w:val="Hyperlink"/>
            <w:rFonts w:ascii="Times New Roman" w:hAnsi="Times New Roman"/>
            <w:color w:val="000000" w:themeColor="text1"/>
            <w:sz w:val="22"/>
            <w:szCs w:val="22"/>
            <w:u w:val="none"/>
            <w:shd w:val="clear" w:color="auto" w:fill="FFFFFF"/>
          </w:rPr>
          <w:t>msdin@usm.my</w:t>
        </w:r>
      </w:hyperlink>
      <w:r w:rsidRPr="00B37335">
        <w:rPr>
          <w:rFonts w:ascii="Times New Roman" w:hAnsi="Times New Roman"/>
          <w:color w:val="000000" w:themeColor="text1"/>
          <w:sz w:val="22"/>
          <w:szCs w:val="22"/>
        </w:rPr>
        <w:t>)</w:t>
      </w:r>
    </w:p>
    <w:p w:rsidR="00B37335" w:rsidRDefault="00B37335" w:rsidP="00FB7846">
      <w:pPr>
        <w:pStyle w:val="MediumGrid1-Accent21"/>
        <w:jc w:val="both"/>
        <w:rPr>
          <w:rFonts w:ascii="Times New Roman" w:hAnsi="Times New Roman"/>
          <w:color w:val="000000" w:themeColor="text1"/>
          <w:sz w:val="22"/>
          <w:szCs w:val="22"/>
        </w:rPr>
      </w:pPr>
    </w:p>
    <w:p w:rsidR="004A3DE0" w:rsidRPr="00B37335" w:rsidRDefault="004A3DE0" w:rsidP="00FB7846">
      <w:pPr>
        <w:jc w:val="both"/>
        <w:rPr>
          <w:rFonts w:ascii="Times New Roman" w:hAnsi="Times New Roman"/>
          <w:b/>
        </w:rPr>
      </w:pPr>
    </w:p>
    <w:p w:rsidR="004A3DE0" w:rsidRDefault="004A3DE0" w:rsidP="00FB7846">
      <w:pPr>
        <w:jc w:val="both"/>
        <w:rPr>
          <w:rFonts w:ascii="Times New Roman" w:hAnsi="Times New Roman"/>
          <w:b/>
        </w:rPr>
      </w:pPr>
      <w:r w:rsidRPr="00B37335">
        <w:rPr>
          <w:rFonts w:ascii="Times New Roman" w:hAnsi="Times New Roman"/>
          <w:b/>
        </w:rPr>
        <w:t>Abstract</w:t>
      </w:r>
    </w:p>
    <w:p w:rsidR="00B37335" w:rsidRPr="00B37335" w:rsidRDefault="00B37335" w:rsidP="00FB7846">
      <w:pPr>
        <w:jc w:val="both"/>
        <w:rPr>
          <w:rFonts w:ascii="Times New Roman" w:hAnsi="Times New Roman"/>
          <w:b/>
        </w:rPr>
      </w:pPr>
    </w:p>
    <w:p w:rsidR="004A3DE0" w:rsidRPr="00B37335" w:rsidRDefault="006444C5" w:rsidP="00FB7846">
      <w:pPr>
        <w:jc w:val="both"/>
        <w:rPr>
          <w:rFonts w:ascii="Times New Roman" w:hAnsi="Times New Roman"/>
        </w:rPr>
      </w:pPr>
      <w:r w:rsidRPr="00B37335">
        <w:rPr>
          <w:rFonts w:ascii="Times New Roman" w:hAnsi="Times New Roman"/>
        </w:rPr>
        <w:t xml:space="preserve">Environmental Impact Assessment (EIA) </w:t>
      </w:r>
      <w:r w:rsidR="004A3DE0" w:rsidRPr="00B37335">
        <w:rPr>
          <w:rFonts w:ascii="Times New Roman" w:hAnsi="Times New Roman"/>
        </w:rPr>
        <w:t xml:space="preserve">is an essential process in minimizing the adverse environmental impact and to ensure sustainable land use. In Malaysia, under Section 34A, Environmental Quality Act 1974, the EIA was made compulsory for any project that can be a threat to the environment. All EIA reports require approval from the Department of Environment prior to the project commencement. This study argues that land use change for agriculture and logging in Kelantan has a direct connection on the </w:t>
      </w:r>
      <w:r w:rsidRPr="00B37335">
        <w:rPr>
          <w:rFonts w:ascii="Times New Roman" w:hAnsi="Times New Roman"/>
        </w:rPr>
        <w:t>approved EIA. The objectives of this study is</w:t>
      </w:r>
      <w:r w:rsidR="004A3DE0" w:rsidRPr="00B37335">
        <w:rPr>
          <w:rFonts w:ascii="Times New Roman" w:hAnsi="Times New Roman"/>
        </w:rPr>
        <w:t xml:space="preserve"> to identify a list of EIA reports that have been previously approved in Kelantan sin</w:t>
      </w:r>
      <w:r w:rsidRPr="00B37335">
        <w:rPr>
          <w:rFonts w:ascii="Times New Roman" w:hAnsi="Times New Roman"/>
        </w:rPr>
        <w:t>ce 2000 to 2015; and to</w:t>
      </w:r>
      <w:r w:rsidR="004A3DE0" w:rsidRPr="00B37335">
        <w:rPr>
          <w:rFonts w:ascii="Times New Roman" w:hAnsi="Times New Roman"/>
        </w:rPr>
        <w:t xml:space="preserve"> analyze the EIA reports embracing the trends of approval, the type of project, territory involved, the consultant involved, the time of approval, potential impacts and mitigation measures.</w:t>
      </w:r>
      <w:r w:rsidR="00CC6DCC" w:rsidRPr="00B37335">
        <w:rPr>
          <w:rFonts w:ascii="Times New Roman" w:hAnsi="Times New Roman"/>
        </w:rPr>
        <w:t xml:space="preserve"> This study had been re</w:t>
      </w:r>
      <w:r w:rsidR="00797D6E" w:rsidRPr="00B37335">
        <w:rPr>
          <w:rFonts w:ascii="Times New Roman" w:hAnsi="Times New Roman"/>
        </w:rPr>
        <w:t>viewed 192</w:t>
      </w:r>
      <w:r w:rsidRPr="00B37335">
        <w:rPr>
          <w:rFonts w:ascii="Times New Roman" w:hAnsi="Times New Roman"/>
        </w:rPr>
        <w:t xml:space="preserve"> EIA report in DO</w:t>
      </w:r>
      <w:r w:rsidR="00CC6DCC" w:rsidRPr="00B37335">
        <w:rPr>
          <w:rFonts w:ascii="Times New Roman" w:hAnsi="Times New Roman"/>
        </w:rPr>
        <w:t>E Kelantan an</w:t>
      </w:r>
      <w:r w:rsidR="00DE6814" w:rsidRPr="00B37335">
        <w:rPr>
          <w:rFonts w:ascii="Times New Roman" w:hAnsi="Times New Roman"/>
        </w:rPr>
        <w:t>d</w:t>
      </w:r>
      <w:r w:rsidR="00CC6DCC" w:rsidRPr="00B37335">
        <w:rPr>
          <w:rFonts w:ascii="Times New Roman" w:hAnsi="Times New Roman"/>
        </w:rPr>
        <w:t xml:space="preserve"> covered year 2000 to 2015. The review process to look at the type of project, territory involved, the consultant involved, the time of approval, potential impacts and mitigation </w:t>
      </w:r>
      <w:r w:rsidRPr="00B37335">
        <w:rPr>
          <w:rFonts w:ascii="Times New Roman" w:hAnsi="Times New Roman"/>
        </w:rPr>
        <w:t>measures. It’s covered three</w:t>
      </w:r>
      <w:r w:rsidR="00CC6DCC" w:rsidRPr="00B37335">
        <w:rPr>
          <w:rFonts w:ascii="Times New Roman" w:hAnsi="Times New Roman"/>
        </w:rPr>
        <w:t xml:space="preserve"> district of Tanah Merah, Kuala Krai and Gua Musang. </w:t>
      </w:r>
      <w:r w:rsidR="004A3DE0" w:rsidRPr="00B37335">
        <w:rPr>
          <w:rFonts w:ascii="Times New Roman" w:eastAsia="Times New Roman" w:hAnsi="Times New Roman"/>
          <w:color w:val="212121"/>
        </w:rPr>
        <w:t xml:space="preserve">To date, a total of 222 EIA reports have been approved in Kelantan. The results showed a notable increment in the approval trend of EIA reports. </w:t>
      </w:r>
      <w:r w:rsidRPr="00B37335">
        <w:rPr>
          <w:rFonts w:ascii="Times New Roman" w:eastAsia="Times New Roman" w:hAnsi="Times New Roman"/>
          <w:color w:val="212121"/>
        </w:rPr>
        <w:t xml:space="preserve">A total of </w:t>
      </w:r>
      <w:r w:rsidR="004A3DE0" w:rsidRPr="00B37335">
        <w:rPr>
          <w:rFonts w:ascii="Times New Roman" w:eastAsia="Times New Roman" w:hAnsi="Times New Roman"/>
          <w:color w:val="212121"/>
        </w:rPr>
        <w:t xml:space="preserve">149 conducted EIA projects are fall within the territory of </w:t>
      </w:r>
      <w:r w:rsidR="004A3DE0" w:rsidRPr="00B37335">
        <w:rPr>
          <w:rFonts w:ascii="Times New Roman" w:hAnsi="Times New Roman"/>
        </w:rPr>
        <w:t>Gua Musang. Majority of the approvals are granted to agriculture and logging projects. Majority projects</w:t>
      </w:r>
      <w:r w:rsidR="000241BA">
        <w:rPr>
          <w:rFonts w:ascii="Times New Roman" w:hAnsi="Times New Roman"/>
        </w:rPr>
        <w:t xml:space="preserve"> have passed over the area of </w:t>
      </w:r>
      <w:r w:rsidR="004A3DE0" w:rsidRPr="00B37335">
        <w:rPr>
          <w:rFonts w:ascii="Times New Roman" w:hAnsi="Times New Roman"/>
        </w:rPr>
        <w:t>secondary forest, oil palm and rubber plantations, permanent reserve forest and the watershed of tributaries of Sungai Kelantan. Land-clearing activities for agriculture and logging on a large scale have a significant impact to environmental change in Kelantan.</w:t>
      </w:r>
    </w:p>
    <w:p w:rsidR="004A3DE0" w:rsidRPr="00B37335" w:rsidRDefault="004A3DE0" w:rsidP="00FB7846">
      <w:pPr>
        <w:jc w:val="both"/>
        <w:rPr>
          <w:rFonts w:ascii="Times New Roman" w:hAnsi="Times New Roman"/>
          <w:b/>
        </w:rPr>
      </w:pPr>
    </w:p>
    <w:p w:rsidR="004A3DE0" w:rsidRDefault="004A3DE0" w:rsidP="00FB7846">
      <w:pPr>
        <w:jc w:val="both"/>
        <w:rPr>
          <w:rFonts w:ascii="Times New Roman" w:hAnsi="Times New Roman"/>
        </w:rPr>
      </w:pPr>
      <w:r w:rsidRPr="00B37335">
        <w:rPr>
          <w:rFonts w:ascii="Times New Roman" w:hAnsi="Times New Roman"/>
          <w:b/>
        </w:rPr>
        <w:t>Keyword</w:t>
      </w:r>
      <w:r w:rsidR="000241BA">
        <w:rPr>
          <w:rFonts w:ascii="Times New Roman" w:hAnsi="Times New Roman"/>
          <w:b/>
        </w:rPr>
        <w:t>s</w:t>
      </w:r>
      <w:r w:rsidR="00BC67BD" w:rsidRPr="000241BA">
        <w:rPr>
          <w:rFonts w:ascii="Times New Roman" w:hAnsi="Times New Roman"/>
        </w:rPr>
        <w:t>:</w:t>
      </w:r>
      <w:r w:rsidR="00BC67BD" w:rsidRPr="00B37335">
        <w:rPr>
          <w:rFonts w:ascii="Times New Roman" w:hAnsi="Times New Roman"/>
          <w:b/>
        </w:rPr>
        <w:t xml:space="preserve"> </w:t>
      </w:r>
      <w:r w:rsidR="00124A70">
        <w:rPr>
          <w:rFonts w:ascii="Times New Roman" w:hAnsi="Times New Roman"/>
        </w:rPr>
        <w:t>a</w:t>
      </w:r>
      <w:r w:rsidR="00BC67BD" w:rsidRPr="00B37335">
        <w:rPr>
          <w:rFonts w:ascii="Times New Roman" w:hAnsi="Times New Roman"/>
        </w:rPr>
        <w:t xml:space="preserve">griculture, </w:t>
      </w:r>
      <w:r w:rsidR="00124A70">
        <w:rPr>
          <w:rFonts w:ascii="Times New Roman" w:hAnsi="Times New Roman"/>
        </w:rPr>
        <w:t>d</w:t>
      </w:r>
      <w:r w:rsidR="00BC67BD" w:rsidRPr="00B37335">
        <w:rPr>
          <w:rFonts w:ascii="Times New Roman" w:hAnsi="Times New Roman"/>
        </w:rPr>
        <w:t>eforestation,</w:t>
      </w:r>
      <w:r w:rsidR="00BC67BD" w:rsidRPr="00B37335">
        <w:rPr>
          <w:rFonts w:ascii="Times New Roman" w:hAnsi="Times New Roman"/>
          <w:b/>
        </w:rPr>
        <w:t xml:space="preserve"> </w:t>
      </w:r>
      <w:r w:rsidR="00124A70">
        <w:rPr>
          <w:rFonts w:ascii="Times New Roman" w:hAnsi="Times New Roman"/>
        </w:rPr>
        <w:t>e</w:t>
      </w:r>
      <w:r w:rsidR="00BC67BD" w:rsidRPr="00B37335">
        <w:rPr>
          <w:rFonts w:ascii="Times New Roman" w:hAnsi="Times New Roman"/>
        </w:rPr>
        <w:t xml:space="preserve">nvironment impact assessment, </w:t>
      </w:r>
      <w:r w:rsidR="003B2F72">
        <w:rPr>
          <w:rFonts w:ascii="Times New Roman" w:hAnsi="Times New Roman"/>
        </w:rPr>
        <w:t>E</w:t>
      </w:r>
      <w:r w:rsidR="006444C5" w:rsidRPr="00B37335">
        <w:rPr>
          <w:rFonts w:ascii="Times New Roman" w:hAnsi="Times New Roman"/>
        </w:rPr>
        <w:t xml:space="preserve">nvironmental </w:t>
      </w:r>
      <w:r w:rsidR="003B2F72">
        <w:rPr>
          <w:rFonts w:ascii="Times New Roman" w:hAnsi="Times New Roman"/>
        </w:rPr>
        <w:t>Q</w:t>
      </w:r>
      <w:r w:rsidR="006444C5" w:rsidRPr="00B37335">
        <w:rPr>
          <w:rFonts w:ascii="Times New Roman" w:hAnsi="Times New Roman"/>
        </w:rPr>
        <w:t xml:space="preserve">uality Act 1974, </w:t>
      </w:r>
      <w:r w:rsidR="00124A70">
        <w:rPr>
          <w:rFonts w:ascii="Times New Roman" w:hAnsi="Times New Roman"/>
        </w:rPr>
        <w:t>f</w:t>
      </w:r>
      <w:r w:rsidR="006444C5" w:rsidRPr="00B37335">
        <w:rPr>
          <w:rFonts w:ascii="Times New Roman" w:hAnsi="Times New Roman"/>
        </w:rPr>
        <w:t xml:space="preserve">loods risk, </w:t>
      </w:r>
      <w:r w:rsidR="00124A70">
        <w:rPr>
          <w:rFonts w:ascii="Times New Roman" w:hAnsi="Times New Roman"/>
        </w:rPr>
        <w:t>l</w:t>
      </w:r>
      <w:r w:rsidR="006444C5" w:rsidRPr="00B37335">
        <w:rPr>
          <w:rFonts w:ascii="Times New Roman" w:hAnsi="Times New Roman"/>
        </w:rPr>
        <w:t>and use change</w:t>
      </w:r>
    </w:p>
    <w:p w:rsidR="00124A70" w:rsidRDefault="00124A70" w:rsidP="00FB7846">
      <w:pPr>
        <w:jc w:val="both"/>
        <w:rPr>
          <w:rFonts w:ascii="Times New Roman" w:hAnsi="Times New Roman"/>
        </w:rPr>
      </w:pPr>
    </w:p>
    <w:p w:rsidR="004F2C3D" w:rsidRPr="00B37335" w:rsidRDefault="004F2C3D" w:rsidP="00FB7846">
      <w:pPr>
        <w:jc w:val="both"/>
        <w:rPr>
          <w:rFonts w:ascii="Times New Roman" w:hAnsi="Times New Roman"/>
          <w:b/>
        </w:rPr>
      </w:pPr>
    </w:p>
    <w:p w:rsidR="007607DE" w:rsidRPr="00B37335" w:rsidRDefault="00F56909" w:rsidP="00FB7846">
      <w:pPr>
        <w:jc w:val="both"/>
        <w:rPr>
          <w:rFonts w:ascii="Times New Roman" w:hAnsi="Times New Roman"/>
          <w:b/>
        </w:rPr>
      </w:pPr>
      <w:r w:rsidRPr="00B37335">
        <w:rPr>
          <w:rFonts w:ascii="Times New Roman" w:hAnsi="Times New Roman"/>
          <w:b/>
        </w:rPr>
        <w:t>Introduction</w:t>
      </w:r>
    </w:p>
    <w:p w:rsidR="00F56909" w:rsidRPr="00B37335" w:rsidRDefault="00F56909" w:rsidP="00FB7846">
      <w:pPr>
        <w:jc w:val="both"/>
        <w:rPr>
          <w:rFonts w:ascii="Times New Roman" w:hAnsi="Times New Roman"/>
        </w:rPr>
      </w:pPr>
    </w:p>
    <w:p w:rsidR="00DF06E9" w:rsidRPr="00B37335" w:rsidRDefault="0059132F" w:rsidP="00FB7846">
      <w:pPr>
        <w:jc w:val="both"/>
        <w:rPr>
          <w:rFonts w:ascii="Times New Roman" w:eastAsia="Times New Roman" w:hAnsi="Times New Roman"/>
          <w:lang w:eastAsia="ms-MY"/>
        </w:rPr>
      </w:pPr>
      <w:r w:rsidRPr="00B37335">
        <w:rPr>
          <w:rStyle w:val="hps"/>
          <w:rFonts w:ascii="Times New Roman" w:hAnsi="Times New Roman"/>
        </w:rPr>
        <w:t xml:space="preserve">Environmental impact assessment (EIA) is a method to identify and predict the positive or negative impact to the environment, human health, social and economic effected from development projects to be implemented. EIA also contains an assessment impact that will or may occur to the environment with the proposed steps of prevention, reduction and control of </w:t>
      </w:r>
      <w:r w:rsidRPr="00B37335">
        <w:rPr>
          <w:rStyle w:val="hps"/>
          <w:rFonts w:ascii="Times New Roman" w:hAnsi="Times New Roman"/>
        </w:rPr>
        <w:lastRenderedPageBreak/>
        <w:t>adverse effects or harm to the environment (</w:t>
      </w:r>
      <w:r w:rsidR="008D4022" w:rsidRPr="00B37335">
        <w:rPr>
          <w:rFonts w:ascii="Times New Roman" w:hAnsi="Times New Roman"/>
        </w:rPr>
        <w:t>Mohd Nadzri &amp; Maziah,</w:t>
      </w:r>
      <w:r w:rsidRPr="00B37335">
        <w:rPr>
          <w:rFonts w:ascii="Times New Roman" w:hAnsi="Times New Roman"/>
        </w:rPr>
        <w:t xml:space="preserve"> 1998; </w:t>
      </w:r>
      <w:r w:rsidR="00421DB1" w:rsidRPr="00B37335">
        <w:rPr>
          <w:rFonts w:ascii="Times New Roman" w:hAnsi="Times New Roman"/>
        </w:rPr>
        <w:t>Wood</w:t>
      </w:r>
      <w:r w:rsidRPr="00B37335">
        <w:rPr>
          <w:rFonts w:ascii="Times New Roman" w:hAnsi="Times New Roman"/>
        </w:rPr>
        <w:t xml:space="preserve"> 2003</w:t>
      </w:r>
      <w:r w:rsidR="003F2A47" w:rsidRPr="00B37335">
        <w:rPr>
          <w:rFonts w:ascii="Times New Roman" w:hAnsi="Times New Roman"/>
        </w:rPr>
        <w:t>; Abdul Rahman et al.</w:t>
      </w:r>
      <w:r w:rsidR="00C40504">
        <w:rPr>
          <w:rFonts w:ascii="Times New Roman" w:hAnsi="Times New Roman"/>
        </w:rPr>
        <w:t>,</w:t>
      </w:r>
      <w:r w:rsidR="003F2A47" w:rsidRPr="00B37335">
        <w:rPr>
          <w:rFonts w:ascii="Times New Roman" w:hAnsi="Times New Roman"/>
        </w:rPr>
        <w:t xml:space="preserve"> 2017</w:t>
      </w:r>
      <w:r w:rsidRPr="00B37335">
        <w:rPr>
          <w:rStyle w:val="hps"/>
          <w:rFonts w:ascii="Times New Roman" w:hAnsi="Times New Roman"/>
        </w:rPr>
        <w:t xml:space="preserve">). </w:t>
      </w:r>
      <w:r w:rsidRPr="00B37335">
        <w:rPr>
          <w:rFonts w:ascii="Times New Roman" w:hAnsi="Times New Roman"/>
        </w:rPr>
        <w:t>According to Mohan</w:t>
      </w:r>
      <w:r w:rsidR="00C40504">
        <w:rPr>
          <w:rFonts w:ascii="Times New Roman" w:hAnsi="Times New Roman"/>
        </w:rPr>
        <w:t xml:space="preserve"> et al.</w:t>
      </w:r>
      <w:r w:rsidRPr="00B37335">
        <w:rPr>
          <w:rFonts w:ascii="Times New Roman" w:hAnsi="Times New Roman"/>
        </w:rPr>
        <w:t xml:space="preserve"> </w:t>
      </w:r>
      <w:r w:rsidR="006652C8" w:rsidRPr="00B37335">
        <w:rPr>
          <w:rFonts w:ascii="Times New Roman" w:hAnsi="Times New Roman"/>
        </w:rPr>
        <w:t xml:space="preserve">(2015), </w:t>
      </w:r>
      <w:r w:rsidRPr="00B37335">
        <w:rPr>
          <w:rFonts w:ascii="Times New Roman" w:hAnsi="Times New Roman"/>
        </w:rPr>
        <w:t>the EIA process is intended to prevent or eliminate the potential adverse impact of anthropogenic development by recommending suitable reduction steps that are appropriate even though before the realization of an activity. To them, EIA is an analysis process and expectation assessment of environmental changes due to the necessity of a project or program that have an impact on the activities and human life and its environment (</w:t>
      </w:r>
      <w:r w:rsidR="004B3A1B" w:rsidRPr="00B37335">
        <w:rPr>
          <w:rFonts w:ascii="Times New Roman" w:eastAsia="Times New Roman" w:hAnsi="Times New Roman"/>
          <w:lang w:eastAsia="ms-MY"/>
        </w:rPr>
        <w:t>Toro et al.</w:t>
      </w:r>
      <w:r w:rsidR="004B3A1B">
        <w:rPr>
          <w:rFonts w:ascii="Times New Roman" w:eastAsia="Times New Roman" w:hAnsi="Times New Roman"/>
          <w:lang w:eastAsia="ms-MY"/>
        </w:rPr>
        <w:t>,</w:t>
      </w:r>
      <w:r w:rsidR="004B3A1B" w:rsidRPr="00B37335">
        <w:rPr>
          <w:rFonts w:ascii="Times New Roman" w:eastAsia="Times New Roman" w:hAnsi="Times New Roman"/>
          <w:lang w:eastAsia="ms-MY"/>
        </w:rPr>
        <w:t xml:space="preserve"> 2013; </w:t>
      </w:r>
      <w:hyperlink r:id="rId10" w:history="1">
        <w:r w:rsidR="004B3A1B" w:rsidRPr="00B37335">
          <w:rPr>
            <w:rFonts w:ascii="Times New Roman" w:eastAsia="Times New Roman" w:hAnsi="Times New Roman"/>
            <w:lang w:eastAsia="ms-MY"/>
          </w:rPr>
          <w:t xml:space="preserve">Katarina </w:t>
        </w:r>
      </w:hyperlink>
      <w:r w:rsidR="004B3A1B" w:rsidRPr="00B37335">
        <w:rPr>
          <w:rFonts w:ascii="Times New Roman" w:eastAsia="Times New Roman" w:hAnsi="Times New Roman"/>
          <w:lang w:eastAsia="ms-MY"/>
        </w:rPr>
        <w:t xml:space="preserve">&amp; </w:t>
      </w:r>
      <w:hyperlink r:id="rId11" w:history="1">
        <w:r w:rsidR="004B3A1B" w:rsidRPr="00B37335">
          <w:rPr>
            <w:rFonts w:ascii="Times New Roman" w:eastAsia="Times New Roman" w:hAnsi="Times New Roman"/>
            <w:lang w:eastAsia="ms-MY"/>
          </w:rPr>
          <w:t xml:space="preserve">Monika </w:t>
        </w:r>
      </w:hyperlink>
      <w:r w:rsidR="004B3A1B" w:rsidRPr="00B37335">
        <w:rPr>
          <w:rFonts w:ascii="Times New Roman" w:eastAsia="Times New Roman" w:hAnsi="Times New Roman"/>
          <w:bCs/>
          <w:kern w:val="36"/>
          <w:lang w:eastAsia="ms-MY"/>
        </w:rPr>
        <w:t>2015;</w:t>
      </w:r>
      <w:r w:rsidR="004B3A1B">
        <w:rPr>
          <w:rFonts w:ascii="Times New Roman" w:eastAsia="Times New Roman" w:hAnsi="Times New Roman"/>
          <w:bCs/>
          <w:kern w:val="36"/>
          <w:lang w:eastAsia="ms-MY"/>
        </w:rPr>
        <w:t xml:space="preserve"> </w:t>
      </w:r>
      <w:hyperlink r:id="rId12" w:history="1">
        <w:r w:rsidRPr="00B37335">
          <w:rPr>
            <w:rFonts w:ascii="Times New Roman" w:eastAsia="Times New Roman" w:hAnsi="Times New Roman"/>
            <w:lang w:eastAsia="ms-MY"/>
          </w:rPr>
          <w:t xml:space="preserve">Mohan </w:t>
        </w:r>
      </w:hyperlink>
      <w:r w:rsidRPr="00B37335">
        <w:rPr>
          <w:rFonts w:ascii="Times New Roman" w:hAnsi="Times New Roman"/>
        </w:rPr>
        <w:t>et al.</w:t>
      </w:r>
      <w:r w:rsidR="00051173">
        <w:rPr>
          <w:rFonts w:ascii="Times New Roman" w:hAnsi="Times New Roman"/>
        </w:rPr>
        <w:t>,</w:t>
      </w:r>
      <w:r w:rsidRPr="00B37335">
        <w:rPr>
          <w:rFonts w:ascii="Times New Roman" w:hAnsi="Times New Roman"/>
        </w:rPr>
        <w:t xml:space="preserve"> </w:t>
      </w:r>
      <w:r w:rsidRPr="00B37335">
        <w:rPr>
          <w:rFonts w:ascii="Times New Roman" w:eastAsia="Times New Roman" w:hAnsi="Times New Roman"/>
          <w:lang w:eastAsia="ms-MY"/>
        </w:rPr>
        <w:t xml:space="preserve">2015; </w:t>
      </w:r>
      <w:r w:rsidR="00C26F2F" w:rsidRPr="00B37335">
        <w:rPr>
          <w:rFonts w:ascii="Times New Roman" w:eastAsia="Times New Roman" w:hAnsi="Times New Roman"/>
          <w:bCs/>
          <w:kern w:val="36"/>
          <w:lang w:eastAsia="ms-MY"/>
        </w:rPr>
        <w:t>Abdul Rahman et al.</w:t>
      </w:r>
      <w:r w:rsidR="004B3A1B">
        <w:rPr>
          <w:rFonts w:ascii="Times New Roman" w:eastAsia="Times New Roman" w:hAnsi="Times New Roman"/>
          <w:bCs/>
          <w:kern w:val="36"/>
          <w:lang w:eastAsia="ms-MY"/>
        </w:rPr>
        <w:t>,</w:t>
      </w:r>
      <w:r w:rsidR="00C26F2F" w:rsidRPr="00B37335">
        <w:rPr>
          <w:rFonts w:ascii="Times New Roman" w:eastAsia="Times New Roman" w:hAnsi="Times New Roman"/>
          <w:bCs/>
          <w:kern w:val="36"/>
          <w:lang w:eastAsia="ms-MY"/>
        </w:rPr>
        <w:t xml:space="preserve"> 2017</w:t>
      </w:r>
      <w:r w:rsidRPr="00B37335">
        <w:rPr>
          <w:rFonts w:ascii="Times New Roman" w:eastAsia="Times New Roman" w:hAnsi="Times New Roman"/>
          <w:bCs/>
          <w:kern w:val="36"/>
          <w:lang w:eastAsia="ms-MY"/>
        </w:rPr>
        <w:t>)</w:t>
      </w:r>
      <w:r w:rsidRPr="00B37335">
        <w:rPr>
          <w:rFonts w:ascii="Times New Roman" w:hAnsi="Times New Roman"/>
        </w:rPr>
        <w:t>. EIA is also seen as a tool to identify, investigate and measure the potential and mitigation impact. The potential and mitigation impact are two (2) essential component in EIA process (</w:t>
      </w:r>
      <w:r w:rsidR="008209D4" w:rsidRPr="00B37335">
        <w:rPr>
          <w:rFonts w:ascii="Times New Roman" w:eastAsia="Times New Roman" w:hAnsi="Times New Roman"/>
          <w:lang w:eastAsia="ms-MY"/>
        </w:rPr>
        <w:t>Glasson</w:t>
      </w:r>
      <w:r w:rsidR="008209D4">
        <w:rPr>
          <w:rFonts w:ascii="Times New Roman" w:eastAsia="Times New Roman" w:hAnsi="Times New Roman"/>
          <w:lang w:eastAsia="ms-MY"/>
        </w:rPr>
        <w:t xml:space="preserve"> et al., </w:t>
      </w:r>
      <w:r w:rsidR="008209D4" w:rsidRPr="00B37335">
        <w:rPr>
          <w:rFonts w:ascii="Times New Roman" w:eastAsia="Times New Roman" w:hAnsi="Times New Roman"/>
          <w:lang w:eastAsia="ms-MY"/>
        </w:rPr>
        <w:t>2012</w:t>
      </w:r>
      <w:r w:rsidR="008209D4">
        <w:rPr>
          <w:rFonts w:ascii="Times New Roman" w:eastAsia="Times New Roman" w:hAnsi="Times New Roman"/>
          <w:lang w:eastAsia="ms-MY"/>
        </w:rPr>
        <w:t xml:space="preserve">; </w:t>
      </w:r>
      <w:r w:rsidRPr="00B37335">
        <w:rPr>
          <w:rFonts w:ascii="Times New Roman" w:eastAsia="Times New Roman" w:hAnsi="Times New Roman"/>
          <w:lang w:eastAsia="ms-MY"/>
        </w:rPr>
        <w:t>Toro et al.</w:t>
      </w:r>
      <w:r w:rsidR="008209D4">
        <w:rPr>
          <w:rFonts w:ascii="Times New Roman" w:eastAsia="Times New Roman" w:hAnsi="Times New Roman"/>
          <w:lang w:eastAsia="ms-MY"/>
        </w:rPr>
        <w:t>,</w:t>
      </w:r>
      <w:r w:rsidRPr="00B37335">
        <w:rPr>
          <w:rFonts w:ascii="Times New Roman" w:eastAsia="Times New Roman" w:hAnsi="Times New Roman"/>
          <w:lang w:eastAsia="ms-MY"/>
        </w:rPr>
        <w:t xml:space="preserve"> 2013; </w:t>
      </w:r>
      <w:r w:rsidR="008209D4" w:rsidRPr="00B37335">
        <w:rPr>
          <w:rFonts w:ascii="Times New Roman" w:eastAsia="Times New Roman" w:hAnsi="Times New Roman"/>
          <w:lang w:eastAsia="ms-MY"/>
        </w:rPr>
        <w:t>Abdul Rahman &amp; Zaini, 2015</w:t>
      </w:r>
      <w:r w:rsidR="008209D4">
        <w:rPr>
          <w:rFonts w:ascii="Times New Roman" w:eastAsia="Times New Roman" w:hAnsi="Times New Roman"/>
          <w:lang w:eastAsia="ms-MY"/>
        </w:rPr>
        <w:t xml:space="preserve">; </w:t>
      </w:r>
      <w:hyperlink r:id="rId13" w:history="1">
        <w:r w:rsidRPr="00B37335">
          <w:rPr>
            <w:rFonts w:ascii="Times New Roman" w:eastAsia="Times New Roman" w:hAnsi="Times New Roman"/>
            <w:lang w:eastAsia="ms-MY"/>
          </w:rPr>
          <w:t xml:space="preserve">Katarina </w:t>
        </w:r>
      </w:hyperlink>
      <w:r w:rsidRPr="00B37335">
        <w:rPr>
          <w:rFonts w:ascii="Times New Roman" w:eastAsia="Times New Roman" w:hAnsi="Times New Roman"/>
          <w:lang w:eastAsia="ms-MY"/>
        </w:rPr>
        <w:t xml:space="preserve">&amp; </w:t>
      </w:r>
      <w:hyperlink r:id="rId14" w:history="1">
        <w:r w:rsidRPr="00B37335">
          <w:rPr>
            <w:rFonts w:ascii="Times New Roman" w:eastAsia="Times New Roman" w:hAnsi="Times New Roman"/>
            <w:lang w:eastAsia="ms-MY"/>
          </w:rPr>
          <w:t>Monika</w:t>
        </w:r>
        <w:r w:rsidR="00CE36AC">
          <w:rPr>
            <w:rFonts w:ascii="Times New Roman" w:eastAsia="Times New Roman" w:hAnsi="Times New Roman"/>
            <w:lang w:eastAsia="ms-MY"/>
          </w:rPr>
          <w:t>,</w:t>
        </w:r>
        <w:r w:rsidRPr="00B37335">
          <w:rPr>
            <w:rFonts w:ascii="Times New Roman" w:eastAsia="Times New Roman" w:hAnsi="Times New Roman"/>
            <w:lang w:eastAsia="ms-MY"/>
          </w:rPr>
          <w:t xml:space="preserve"> </w:t>
        </w:r>
      </w:hyperlink>
      <w:r w:rsidRPr="00B37335">
        <w:rPr>
          <w:rFonts w:ascii="Times New Roman" w:eastAsia="Times New Roman" w:hAnsi="Times New Roman"/>
          <w:bCs/>
          <w:kern w:val="36"/>
          <w:lang w:eastAsia="ms-MY"/>
        </w:rPr>
        <w:t>2015</w:t>
      </w:r>
      <w:r w:rsidRPr="00B37335">
        <w:rPr>
          <w:rFonts w:ascii="Times New Roman" w:eastAsia="Times New Roman" w:hAnsi="Times New Roman"/>
          <w:lang w:eastAsia="ms-MY"/>
        </w:rPr>
        <w:t>)</w:t>
      </w:r>
      <w:r w:rsidRPr="00B37335">
        <w:rPr>
          <w:rFonts w:ascii="Times New Roman" w:hAnsi="Times New Roman"/>
        </w:rPr>
        <w:t>.</w:t>
      </w:r>
    </w:p>
    <w:p w:rsidR="00DF06E9" w:rsidRPr="00B37335" w:rsidRDefault="0059132F" w:rsidP="00FB7846">
      <w:pPr>
        <w:ind w:firstLine="720"/>
        <w:jc w:val="both"/>
        <w:rPr>
          <w:rFonts w:ascii="Times New Roman" w:eastAsia="Times New Roman" w:hAnsi="Times New Roman"/>
          <w:lang w:eastAsia="ms-MY"/>
        </w:rPr>
      </w:pPr>
      <w:r w:rsidRPr="00B37335">
        <w:rPr>
          <w:rFonts w:ascii="Times New Roman" w:hAnsi="Times New Roman"/>
        </w:rPr>
        <w:t>Floods in Kelantan in 2014, has invited a variety of reactions to identify the cause of the flooding. The diversity of farming and logging projects implemented in Kelantan is seen as a contributing factor to the occurrence of floods, especially in Ulu Kelantan’s hills. Observations done by expertises also do not deny the possibility of other factors such as an incredible 48 hours rain which fell on 22-24 December 2014 at the Ulu Kelantan, the river, topography and the environment as few others contributing factor. This situation is proved when the heavy rains have overflowed Sungai Galas with strong current of water and has drowned the old town of Gua Musang and nearby villages. The sudden overflowed called as "land tsunami" by locals has annihilated and drifted any objects blocking the flow, bringing along the mu</w:t>
      </w:r>
      <w:r w:rsidR="008D4022" w:rsidRPr="00B37335">
        <w:rPr>
          <w:rFonts w:ascii="Times New Roman" w:hAnsi="Times New Roman"/>
        </w:rPr>
        <w:t>d. According to Zulhazman</w:t>
      </w:r>
      <w:r w:rsidRPr="00B37335">
        <w:rPr>
          <w:rFonts w:ascii="Times New Roman" w:hAnsi="Times New Roman"/>
        </w:rPr>
        <w:t xml:space="preserve"> (2015) continuous heavy rain has caused fast water flows from the highlands to the rivers for there was no natural barrier of trees. When there was no tree to hold the soil, the landslides happened and carried along the river water flow to become mudslides. He also believes that the clearing of land for agriculture in some areas of Ulu Kelantan has caused many trees are cut down watching the lost of “natural fortress”.</w:t>
      </w:r>
    </w:p>
    <w:p w:rsidR="00522D9A" w:rsidRPr="00B37335" w:rsidRDefault="009D6F63" w:rsidP="00FB7846">
      <w:pPr>
        <w:ind w:firstLine="720"/>
        <w:jc w:val="both"/>
        <w:rPr>
          <w:rFonts w:ascii="Times New Roman" w:eastAsia="Times New Roman" w:hAnsi="Times New Roman"/>
          <w:lang w:eastAsia="ms-MY"/>
        </w:rPr>
      </w:pPr>
      <w:r w:rsidRPr="00B37335">
        <w:rPr>
          <w:rFonts w:ascii="Times New Roman" w:hAnsi="Times New Roman"/>
        </w:rPr>
        <w:t xml:space="preserve">In Malaysia, section 34A of the Environmental Quality Act 1974 has set legal requirements for EIA for the activities to be authorized. The act also empowers the responsible </w:t>
      </w:r>
      <w:r w:rsidR="00017C69" w:rsidRPr="00B37335">
        <w:rPr>
          <w:rFonts w:ascii="Times New Roman" w:hAnsi="Times New Roman"/>
        </w:rPr>
        <w:t>minister (</w:t>
      </w:r>
      <w:r w:rsidRPr="00B37335">
        <w:rPr>
          <w:rFonts w:ascii="Times New Roman" w:hAnsi="Times New Roman"/>
        </w:rPr>
        <w:t>Ministry of Natural Resources and Environment) to suggest activities that can have a big impact on the environment have to go through EIA.</w:t>
      </w:r>
      <w:r w:rsidR="00522D9A" w:rsidRPr="00B37335">
        <w:rPr>
          <w:rFonts w:ascii="Times New Roman" w:hAnsi="Times New Roman"/>
        </w:rPr>
        <w:t xml:space="preserve"> </w:t>
      </w:r>
      <w:r w:rsidRPr="00B37335">
        <w:rPr>
          <w:rFonts w:ascii="Times New Roman" w:hAnsi="Times New Roman"/>
        </w:rPr>
        <w:t>Project developers must submit an EIA report to the Director General of the Department of Environment (DOE) prior to approval by the relevant parties.</w:t>
      </w:r>
      <w:r w:rsidR="00522D9A" w:rsidRPr="00B37335">
        <w:rPr>
          <w:rFonts w:ascii="Times New Roman" w:hAnsi="Times New Roman"/>
        </w:rPr>
        <w:t xml:space="preserve"> </w:t>
      </w:r>
      <w:r w:rsidRPr="00B37335">
        <w:rPr>
          <w:rFonts w:ascii="Times New Roman" w:hAnsi="Times New Roman"/>
        </w:rPr>
        <w:t>EIA report shall be made in accordance with guidelines issued by the department of the environment, which contains an assessment of the impact of the activities enumerated in prescribed activity (19 projects) on the environment and propose measures to be taken to avoid, reduce or control the negat</w:t>
      </w:r>
      <w:r w:rsidR="004C21CC" w:rsidRPr="00B37335">
        <w:rPr>
          <w:rFonts w:ascii="Times New Roman" w:hAnsi="Times New Roman"/>
        </w:rPr>
        <w:t>ive effects on the environment</w:t>
      </w:r>
      <w:r w:rsidR="0067043C" w:rsidRPr="00B37335">
        <w:rPr>
          <w:rFonts w:ascii="Times New Roman" w:hAnsi="Times New Roman"/>
        </w:rPr>
        <w:t xml:space="preserve"> (</w:t>
      </w:r>
      <w:r w:rsidR="00CE36AC" w:rsidRPr="00B37335">
        <w:rPr>
          <w:rFonts w:ascii="Times New Roman" w:hAnsi="Times New Roman"/>
        </w:rPr>
        <w:t>Abdul Rahman &amp; Zaini Sarkawi</w:t>
      </w:r>
      <w:r w:rsidR="00CE36AC">
        <w:rPr>
          <w:rFonts w:ascii="Times New Roman" w:hAnsi="Times New Roman"/>
        </w:rPr>
        <w:t>,</w:t>
      </w:r>
      <w:r w:rsidR="00CE36AC" w:rsidRPr="00B37335">
        <w:rPr>
          <w:rFonts w:ascii="Times New Roman" w:hAnsi="Times New Roman"/>
        </w:rPr>
        <w:t xml:space="preserve"> 2015</w:t>
      </w:r>
      <w:r w:rsidR="00CE36AC">
        <w:rPr>
          <w:rFonts w:ascii="Times New Roman" w:hAnsi="Times New Roman"/>
        </w:rPr>
        <w:t xml:space="preserve">; </w:t>
      </w:r>
      <w:r w:rsidR="00CE36AC" w:rsidRPr="00B37335">
        <w:rPr>
          <w:rFonts w:ascii="Times New Roman" w:hAnsi="Times New Roman"/>
        </w:rPr>
        <w:t>DOE</w:t>
      </w:r>
      <w:r w:rsidR="00CE36AC">
        <w:rPr>
          <w:rFonts w:ascii="Times New Roman" w:hAnsi="Times New Roman"/>
        </w:rPr>
        <w:t xml:space="preserve">, </w:t>
      </w:r>
      <w:r w:rsidR="00CE36AC" w:rsidRPr="00B37335">
        <w:rPr>
          <w:rFonts w:ascii="Times New Roman" w:hAnsi="Times New Roman"/>
        </w:rPr>
        <w:t>2015</w:t>
      </w:r>
      <w:r w:rsidR="00CE36AC">
        <w:rPr>
          <w:rFonts w:ascii="Times New Roman" w:hAnsi="Times New Roman"/>
        </w:rPr>
        <w:t xml:space="preserve">; </w:t>
      </w:r>
      <w:r w:rsidR="00C26F2F" w:rsidRPr="00B37335">
        <w:rPr>
          <w:rFonts w:ascii="Times New Roman" w:hAnsi="Times New Roman"/>
        </w:rPr>
        <w:t>Abdul Rahman et al.</w:t>
      </w:r>
      <w:r w:rsidR="00CE36AC">
        <w:rPr>
          <w:rFonts w:ascii="Times New Roman" w:hAnsi="Times New Roman"/>
        </w:rPr>
        <w:t>, 2017</w:t>
      </w:r>
      <w:r w:rsidR="0067043C" w:rsidRPr="00B37335">
        <w:rPr>
          <w:rFonts w:ascii="Times New Roman" w:hAnsi="Times New Roman"/>
        </w:rPr>
        <w:t>)</w:t>
      </w:r>
      <w:r w:rsidR="004C21CC" w:rsidRPr="00B37335">
        <w:rPr>
          <w:rFonts w:ascii="Times New Roman" w:hAnsi="Times New Roman"/>
        </w:rPr>
        <w:t>.</w:t>
      </w:r>
    </w:p>
    <w:p w:rsidR="009D6F63" w:rsidRDefault="009D6F63" w:rsidP="00FB7846">
      <w:pPr>
        <w:ind w:firstLine="720"/>
        <w:jc w:val="both"/>
        <w:rPr>
          <w:rFonts w:ascii="Times New Roman" w:eastAsia="Times New Roman" w:hAnsi="Times New Roman"/>
          <w:lang w:val="ms-MY" w:eastAsia="ms-MY"/>
        </w:rPr>
      </w:pPr>
    </w:p>
    <w:p w:rsidR="00CE36AC" w:rsidRPr="00B37335" w:rsidRDefault="00CE36AC" w:rsidP="00FB7846">
      <w:pPr>
        <w:ind w:firstLine="720"/>
        <w:jc w:val="both"/>
        <w:rPr>
          <w:rFonts w:ascii="Times New Roman" w:eastAsia="Times New Roman" w:hAnsi="Times New Roman"/>
          <w:lang w:val="ms-MY" w:eastAsia="ms-MY"/>
        </w:rPr>
      </w:pPr>
    </w:p>
    <w:p w:rsidR="005556DD" w:rsidRPr="00B37335" w:rsidRDefault="00906D98" w:rsidP="00FB7846">
      <w:pPr>
        <w:jc w:val="both"/>
        <w:rPr>
          <w:rFonts w:ascii="Times New Roman" w:hAnsi="Times New Roman"/>
          <w:b/>
        </w:rPr>
      </w:pPr>
      <w:r w:rsidRPr="00B37335">
        <w:rPr>
          <w:rFonts w:ascii="Times New Roman" w:hAnsi="Times New Roman"/>
          <w:b/>
        </w:rPr>
        <w:t xml:space="preserve">Land </w:t>
      </w:r>
      <w:r w:rsidR="00186725" w:rsidRPr="00B37335">
        <w:rPr>
          <w:rFonts w:ascii="Times New Roman" w:hAnsi="Times New Roman"/>
          <w:b/>
        </w:rPr>
        <w:t xml:space="preserve">use change and floods </w:t>
      </w:r>
      <w:r w:rsidR="009D6F63" w:rsidRPr="00B37335">
        <w:rPr>
          <w:rFonts w:ascii="Times New Roman" w:hAnsi="Times New Roman"/>
          <w:b/>
        </w:rPr>
        <w:t>scenario in Kelantan</w:t>
      </w:r>
    </w:p>
    <w:p w:rsidR="00906D98" w:rsidRPr="00B37335" w:rsidRDefault="00906D98" w:rsidP="00FB7846">
      <w:pPr>
        <w:jc w:val="both"/>
        <w:rPr>
          <w:rFonts w:ascii="Times New Roman" w:hAnsi="Times New Roman"/>
        </w:rPr>
      </w:pPr>
    </w:p>
    <w:p w:rsidR="00DF06E9" w:rsidRPr="00B37335" w:rsidRDefault="00186725" w:rsidP="00FB7846">
      <w:pPr>
        <w:jc w:val="both"/>
        <w:rPr>
          <w:rFonts w:ascii="Times New Roman" w:hAnsi="Times New Roman"/>
        </w:rPr>
      </w:pPr>
      <w:r w:rsidRPr="00B37335">
        <w:rPr>
          <w:rFonts w:ascii="Times New Roman" w:hAnsi="Times New Roman"/>
        </w:rPr>
        <w:t>Land use change and land cover reflect the changes in development that occurs in a place. Land use change from forest areas to different types of land use such as townships, settlements, industry, agriculture and tourism can affect the quality of environment that can cause the risk of natural disasters (</w:t>
      </w:r>
      <w:r w:rsidR="00FA56C0" w:rsidRPr="00B37335">
        <w:rPr>
          <w:rFonts w:ascii="Times New Roman" w:hAnsi="Times New Roman"/>
        </w:rPr>
        <w:t>Shaharudin Idrus et al.</w:t>
      </w:r>
      <w:r w:rsidR="00FA56C0">
        <w:rPr>
          <w:rFonts w:ascii="Times New Roman" w:hAnsi="Times New Roman"/>
        </w:rPr>
        <w:t xml:space="preserve">, </w:t>
      </w:r>
      <w:r w:rsidR="00FA56C0" w:rsidRPr="00B37335">
        <w:rPr>
          <w:rFonts w:ascii="Times New Roman" w:hAnsi="Times New Roman"/>
        </w:rPr>
        <w:t>2004</w:t>
      </w:r>
      <w:r w:rsidR="00FA56C0">
        <w:rPr>
          <w:rFonts w:ascii="Times New Roman" w:hAnsi="Times New Roman"/>
        </w:rPr>
        <w:t>; Tuan Pah Rokiah &amp; Hamidi 2016</w:t>
      </w:r>
      <w:r w:rsidRPr="00B37335">
        <w:rPr>
          <w:rFonts w:ascii="Times New Roman" w:hAnsi="Times New Roman"/>
        </w:rPr>
        <w:t>)</w:t>
      </w:r>
      <w:r w:rsidR="00797D6E" w:rsidRPr="00B37335">
        <w:rPr>
          <w:rFonts w:ascii="Times New Roman" w:hAnsi="Times New Roman"/>
        </w:rPr>
        <w:t xml:space="preserve">. </w:t>
      </w:r>
      <w:r w:rsidRPr="00B37335">
        <w:rPr>
          <w:rFonts w:ascii="Times New Roman" w:hAnsi="Times New Roman"/>
        </w:rPr>
        <w:t xml:space="preserve">The studies conducted by Tuan Pah Rokiah </w:t>
      </w:r>
      <w:r w:rsidR="00BC67BD" w:rsidRPr="00B37335">
        <w:rPr>
          <w:rFonts w:ascii="Times New Roman" w:hAnsi="Times New Roman"/>
        </w:rPr>
        <w:t xml:space="preserve">&amp; </w:t>
      </w:r>
      <w:r w:rsidRPr="00B37335">
        <w:rPr>
          <w:rFonts w:ascii="Times New Roman" w:hAnsi="Times New Roman"/>
        </w:rPr>
        <w:t>Hamidi (2016) showed that the land use development in the Kelantan basin for 1984 is less diversified or in other words it is not complex where only few land use pattern are categorized as rubber, coconut, oil palm, vegetables and so on. The pat</w:t>
      </w:r>
      <w:r w:rsidR="00DE6814" w:rsidRPr="00B37335">
        <w:rPr>
          <w:rFonts w:ascii="Times New Roman" w:hAnsi="Times New Roman"/>
        </w:rPr>
        <w:t>tern of land use development is</w:t>
      </w:r>
      <w:r w:rsidRPr="00B37335">
        <w:rPr>
          <w:rFonts w:ascii="Times New Roman" w:hAnsi="Times New Roman"/>
        </w:rPr>
        <w:t xml:space="preserve"> moderate to potray the development barrier in the Kelantan Basin area was not as vibrant as the 1980s. For example, </w:t>
      </w:r>
      <w:r w:rsidRPr="00B37335">
        <w:rPr>
          <w:rFonts w:ascii="Times New Roman" w:hAnsi="Times New Roman"/>
        </w:rPr>
        <w:lastRenderedPageBreak/>
        <w:t>agriculture activities were also moderate and exploited without use the latest technology that was limited the exploration of forest areas for agricultural activities.</w:t>
      </w:r>
    </w:p>
    <w:p w:rsidR="00DF06E9" w:rsidRPr="00B37335" w:rsidRDefault="002E270E" w:rsidP="00FB7846">
      <w:pPr>
        <w:ind w:firstLine="720"/>
        <w:jc w:val="both"/>
        <w:rPr>
          <w:rFonts w:ascii="Times New Roman" w:hAnsi="Times New Roman"/>
        </w:rPr>
      </w:pPr>
      <w:r w:rsidRPr="00B37335">
        <w:rPr>
          <w:rFonts w:ascii="Times New Roman" w:hAnsi="Times New Roman"/>
        </w:rPr>
        <w:t>However, in 1997, the pattern of land use in Kelantan in particular began to be complex compared to the year 1984. The vibrant land use development due to the lifestyle pattern of the people in the Kelantan Basin in facing with the mainstream of national development. Technological developments have led to large scale agricultural activities including rubber, oil palm and agriculture.</w:t>
      </w:r>
      <w:r w:rsidR="00797D6E" w:rsidRPr="00B37335">
        <w:rPr>
          <w:rFonts w:ascii="Times New Roman" w:hAnsi="Times New Roman"/>
        </w:rPr>
        <w:t xml:space="preserve"> </w:t>
      </w:r>
      <w:r w:rsidRPr="00B37335">
        <w:rPr>
          <w:rFonts w:ascii="Times New Roman" w:hAnsi="Times New Roman"/>
        </w:rPr>
        <w:t>Land use changes that occurred in particular areas in the northern part of Kelantan, are also increasingly apparent in the efforts of the state government to plan for develop the community farms. Many areas of forest reserve and rubber plantations as well as existing palm oil have been cut down and replanted. This process has exposed the area to a more open structure. This situation has given rise to speculation among media and non-governmental organizations which look at the causes and factors of floods in Kelantan.</w:t>
      </w:r>
    </w:p>
    <w:p w:rsidR="00DF06E9" w:rsidRPr="00B37335" w:rsidRDefault="007A2D70" w:rsidP="00FB7846">
      <w:pPr>
        <w:ind w:firstLine="720"/>
        <w:jc w:val="both"/>
        <w:rPr>
          <w:rFonts w:ascii="Times New Roman" w:hAnsi="Times New Roman"/>
        </w:rPr>
      </w:pPr>
      <w:r w:rsidRPr="00B37335">
        <w:rPr>
          <w:rFonts w:ascii="Times New Roman" w:hAnsi="Times New Roman"/>
        </w:rPr>
        <w:t xml:space="preserve">The floods that </w:t>
      </w:r>
      <w:r w:rsidR="00017C69" w:rsidRPr="00B37335">
        <w:rPr>
          <w:rFonts w:ascii="Times New Roman" w:hAnsi="Times New Roman"/>
        </w:rPr>
        <w:t>struck Kelantan</w:t>
      </w:r>
      <w:r w:rsidRPr="00B37335">
        <w:rPr>
          <w:rFonts w:ascii="Times New Roman" w:hAnsi="Times New Roman"/>
        </w:rPr>
        <w:t xml:space="preserve"> </w:t>
      </w:r>
      <w:r w:rsidR="00017C69" w:rsidRPr="00B37335">
        <w:rPr>
          <w:rFonts w:ascii="Times New Roman" w:hAnsi="Times New Roman"/>
        </w:rPr>
        <w:t>in</w:t>
      </w:r>
      <w:r w:rsidRPr="00B37335">
        <w:rPr>
          <w:rFonts w:ascii="Times New Roman" w:hAnsi="Times New Roman"/>
        </w:rPr>
        <w:t xml:space="preserve"> the end of December 2014 </w:t>
      </w:r>
      <w:r w:rsidR="00017C69" w:rsidRPr="00B37335">
        <w:rPr>
          <w:rFonts w:ascii="Times New Roman" w:hAnsi="Times New Roman"/>
        </w:rPr>
        <w:t>have</w:t>
      </w:r>
      <w:r w:rsidRPr="00B37335">
        <w:rPr>
          <w:rFonts w:ascii="Times New Roman" w:hAnsi="Times New Roman"/>
        </w:rPr>
        <w:t xml:space="preserve"> resulted in massive destruction of property, houses and livestock, while also killing people.</w:t>
      </w:r>
      <w:r w:rsidR="00C66828" w:rsidRPr="00B37335">
        <w:rPr>
          <w:rFonts w:ascii="Times New Roman" w:hAnsi="Times New Roman"/>
        </w:rPr>
        <w:t xml:space="preserve"> </w:t>
      </w:r>
      <w:r w:rsidRPr="00B37335">
        <w:rPr>
          <w:rFonts w:ascii="Times New Roman" w:hAnsi="Times New Roman"/>
        </w:rPr>
        <w:t>This incident has left a big impact on the people in Kelantan.</w:t>
      </w:r>
      <w:r w:rsidR="00A051B6" w:rsidRPr="00B37335">
        <w:rPr>
          <w:rFonts w:ascii="Times New Roman" w:hAnsi="Times New Roman"/>
        </w:rPr>
        <w:t xml:space="preserve"> </w:t>
      </w:r>
      <w:r w:rsidRPr="00B37335">
        <w:rPr>
          <w:rFonts w:ascii="Times New Roman" w:hAnsi="Times New Roman"/>
        </w:rPr>
        <w:t>In addition to the outstanding factor of raining on 22-24 December 2014 at the Ulu Kelantan within 48 hours, the river, topography and the environment is often seen as a factor contributing to the big floods in Kelantan recently.</w:t>
      </w:r>
      <w:r w:rsidR="007455A0" w:rsidRPr="00B37335">
        <w:rPr>
          <w:rFonts w:ascii="Times New Roman" w:hAnsi="Times New Roman"/>
        </w:rPr>
        <w:t xml:space="preserve"> </w:t>
      </w:r>
      <w:r w:rsidRPr="00B37335">
        <w:rPr>
          <w:rFonts w:ascii="Times New Roman" w:hAnsi="Times New Roman"/>
        </w:rPr>
        <w:t>The development of plantations, farms and logging is happening on a large scale, especially in the hilly areas in Ulu Kelantan often seen as a factor that contributed to the floods that occurred in Kelantan recently.</w:t>
      </w:r>
      <w:r w:rsidR="005556DD" w:rsidRPr="00B37335">
        <w:rPr>
          <w:rFonts w:ascii="Times New Roman" w:hAnsi="Times New Roman"/>
        </w:rPr>
        <w:t xml:space="preserve"> </w:t>
      </w:r>
      <w:r w:rsidRPr="00B37335">
        <w:rPr>
          <w:rFonts w:ascii="Times New Roman" w:hAnsi="Times New Roman"/>
        </w:rPr>
        <w:t xml:space="preserve">This situation was supported when the effect </w:t>
      </w:r>
      <w:r w:rsidR="007455A0" w:rsidRPr="00B37335">
        <w:rPr>
          <w:rFonts w:ascii="Times New Roman" w:hAnsi="Times New Roman"/>
        </w:rPr>
        <w:t xml:space="preserve">of the rains have overflowed </w:t>
      </w:r>
      <w:r w:rsidRPr="00B37335">
        <w:rPr>
          <w:rFonts w:ascii="Times New Roman" w:hAnsi="Times New Roman"/>
        </w:rPr>
        <w:t>Galas</w:t>
      </w:r>
      <w:r w:rsidR="007455A0" w:rsidRPr="00B37335">
        <w:rPr>
          <w:rFonts w:ascii="Times New Roman" w:hAnsi="Times New Roman"/>
        </w:rPr>
        <w:t xml:space="preserve"> River</w:t>
      </w:r>
      <w:r w:rsidRPr="00B37335">
        <w:rPr>
          <w:rFonts w:ascii="Times New Roman" w:hAnsi="Times New Roman"/>
        </w:rPr>
        <w:t xml:space="preserve"> with strong </w:t>
      </w:r>
      <w:r w:rsidR="00EF3351" w:rsidRPr="00B37335">
        <w:rPr>
          <w:rFonts w:ascii="Times New Roman" w:hAnsi="Times New Roman"/>
        </w:rPr>
        <w:t>currents up</w:t>
      </w:r>
      <w:r w:rsidRPr="00B37335">
        <w:rPr>
          <w:rFonts w:ascii="Times New Roman" w:hAnsi="Times New Roman"/>
        </w:rPr>
        <w:t xml:space="preserve"> to drown the old town area of Gua Musang and several surrounding villages.</w:t>
      </w:r>
      <w:r w:rsidR="005556DD" w:rsidRPr="00B37335">
        <w:rPr>
          <w:rFonts w:ascii="Times New Roman" w:hAnsi="Times New Roman"/>
        </w:rPr>
        <w:t xml:space="preserve"> </w:t>
      </w:r>
      <w:r w:rsidR="002B69D9" w:rsidRPr="00B37335">
        <w:rPr>
          <w:rFonts w:ascii="Times New Roman" w:hAnsi="Times New Roman"/>
        </w:rPr>
        <w:t xml:space="preserve">The sudden overflow like a </w:t>
      </w:r>
      <w:r w:rsidR="00017C69" w:rsidRPr="00B37335">
        <w:rPr>
          <w:rFonts w:ascii="Times New Roman" w:hAnsi="Times New Roman"/>
        </w:rPr>
        <w:t>“land</w:t>
      </w:r>
      <w:r w:rsidR="002B69D9" w:rsidRPr="00B37335">
        <w:rPr>
          <w:rFonts w:ascii="Times New Roman" w:hAnsi="Times New Roman"/>
        </w:rPr>
        <w:t xml:space="preserve"> tsunami" by the people was annihilating and discarding all the objects in front or block the flow with mud.</w:t>
      </w:r>
    </w:p>
    <w:p w:rsidR="00DF06E9" w:rsidRPr="00B37335" w:rsidRDefault="002B69D9" w:rsidP="00FB7846">
      <w:pPr>
        <w:ind w:firstLine="720"/>
        <w:jc w:val="both"/>
        <w:rPr>
          <w:rFonts w:ascii="Times New Roman" w:hAnsi="Times New Roman"/>
        </w:rPr>
      </w:pPr>
      <w:r w:rsidRPr="00B37335">
        <w:rPr>
          <w:rFonts w:ascii="Times New Roman" w:hAnsi="Times New Roman"/>
        </w:rPr>
        <w:t>A</w:t>
      </w:r>
      <w:r w:rsidR="000241BA">
        <w:rPr>
          <w:rFonts w:ascii="Times New Roman" w:hAnsi="Times New Roman"/>
        </w:rPr>
        <w:t>ccording Zulhazman</w:t>
      </w:r>
      <w:r w:rsidRPr="00B37335">
        <w:rPr>
          <w:rFonts w:ascii="Times New Roman" w:hAnsi="Times New Roman"/>
        </w:rPr>
        <w:t xml:space="preserve"> continuous heavy rain has caused water flow from the highlands flowing faster, rushing to </w:t>
      </w:r>
      <w:r w:rsidR="00017C69" w:rsidRPr="00B37335">
        <w:rPr>
          <w:rFonts w:ascii="Times New Roman" w:hAnsi="Times New Roman"/>
        </w:rPr>
        <w:t>the rivers because</w:t>
      </w:r>
      <w:r w:rsidRPr="00B37335">
        <w:rPr>
          <w:rFonts w:ascii="Times New Roman" w:hAnsi="Times New Roman"/>
        </w:rPr>
        <w:t xml:space="preserve"> there is no natural barrier which are trees.</w:t>
      </w:r>
      <w:r w:rsidR="00FB7053" w:rsidRPr="00B37335">
        <w:rPr>
          <w:rFonts w:ascii="Times New Roman" w:eastAsia="Times New Roman" w:hAnsi="Times New Roman"/>
          <w:lang w:val="ms-MY" w:eastAsia="ms-MY"/>
        </w:rPr>
        <w:t xml:space="preserve"> </w:t>
      </w:r>
      <w:r w:rsidRPr="00B37335">
        <w:rPr>
          <w:rFonts w:ascii="Times New Roman" w:eastAsia="Times New Roman" w:hAnsi="Times New Roman"/>
          <w:lang w:val="ms-MY" w:eastAsia="ms-MY"/>
        </w:rPr>
        <w:t>If there are no trees to hold the soil then it will cause landslides and it carried along the soil with the flow of the rivers and the mudslides occur.</w:t>
      </w:r>
      <w:r w:rsidR="004C6579" w:rsidRPr="00B37335">
        <w:rPr>
          <w:rFonts w:ascii="Times New Roman" w:eastAsia="Times New Roman" w:hAnsi="Times New Roman"/>
          <w:lang w:val="ms-MY" w:eastAsia="ms-MY"/>
        </w:rPr>
        <w:t xml:space="preserve"> He also believes the clearing of land for agriculture in some areas of Ulu Kelantan has caused many trees are cut down resulting 'natural fortress "lost</w:t>
      </w:r>
      <w:r w:rsidR="0067043C" w:rsidRPr="00B37335">
        <w:rPr>
          <w:rFonts w:ascii="Times New Roman" w:eastAsia="Times New Roman" w:hAnsi="Times New Roman"/>
          <w:lang w:val="ms-MY" w:eastAsia="ms-MY"/>
        </w:rPr>
        <w:t xml:space="preserve"> (</w:t>
      </w:r>
      <w:r w:rsidR="0067043C" w:rsidRPr="00B37335">
        <w:rPr>
          <w:rFonts w:ascii="Times New Roman" w:hAnsi="Times New Roman"/>
        </w:rPr>
        <w:t>Hamzah</w:t>
      </w:r>
      <w:r w:rsidR="00AA6392">
        <w:rPr>
          <w:rFonts w:ascii="Times New Roman" w:hAnsi="Times New Roman"/>
        </w:rPr>
        <w:t>,</w:t>
      </w:r>
      <w:r w:rsidR="0067043C" w:rsidRPr="00B37335">
        <w:rPr>
          <w:rFonts w:ascii="Times New Roman" w:hAnsi="Times New Roman"/>
        </w:rPr>
        <w:t xml:space="preserve"> 2015</w:t>
      </w:r>
      <w:r w:rsidR="003F2A47" w:rsidRPr="00B37335">
        <w:rPr>
          <w:rFonts w:ascii="Times New Roman" w:hAnsi="Times New Roman"/>
        </w:rPr>
        <w:t>; Mohmadisa</w:t>
      </w:r>
      <w:r w:rsidR="00AA6392">
        <w:rPr>
          <w:rFonts w:ascii="Times New Roman" w:hAnsi="Times New Roman"/>
        </w:rPr>
        <w:t xml:space="preserve">, </w:t>
      </w:r>
      <w:r w:rsidR="003F2A47" w:rsidRPr="00B37335">
        <w:rPr>
          <w:rFonts w:ascii="Times New Roman" w:hAnsi="Times New Roman"/>
        </w:rPr>
        <w:t>2016</w:t>
      </w:r>
      <w:r w:rsidR="0067043C" w:rsidRPr="00B37335">
        <w:rPr>
          <w:rFonts w:ascii="Times New Roman" w:eastAsia="Times New Roman" w:hAnsi="Times New Roman"/>
          <w:lang w:val="ms-MY" w:eastAsia="ms-MY"/>
        </w:rPr>
        <w:t>)</w:t>
      </w:r>
      <w:r w:rsidR="004C6579" w:rsidRPr="00B37335">
        <w:rPr>
          <w:rFonts w:ascii="Times New Roman" w:eastAsia="Times New Roman" w:hAnsi="Times New Roman"/>
          <w:lang w:val="ms-MY" w:eastAsia="ms-MY"/>
        </w:rPr>
        <w:t>.</w:t>
      </w:r>
    </w:p>
    <w:p w:rsidR="00FB7053" w:rsidRPr="00B37335" w:rsidRDefault="004C6579" w:rsidP="00FB7846">
      <w:pPr>
        <w:ind w:firstLine="720"/>
        <w:jc w:val="both"/>
        <w:rPr>
          <w:rFonts w:ascii="Times New Roman" w:hAnsi="Times New Roman"/>
        </w:rPr>
      </w:pPr>
      <w:r w:rsidRPr="00B37335">
        <w:rPr>
          <w:rFonts w:ascii="Times New Roman" w:hAnsi="Times New Roman"/>
        </w:rPr>
        <w:t xml:space="preserve">In addition, the focus of open a forest towards the concept of one kind of plant or 'monoculture' </w:t>
      </w:r>
      <w:r w:rsidR="00017C69" w:rsidRPr="00B37335">
        <w:rPr>
          <w:rFonts w:ascii="Times New Roman" w:hAnsi="Times New Roman"/>
        </w:rPr>
        <w:t>cannot</w:t>
      </w:r>
      <w:r w:rsidRPr="00B37335">
        <w:rPr>
          <w:rFonts w:ascii="Times New Roman" w:hAnsi="Times New Roman"/>
        </w:rPr>
        <w:t xml:space="preserve"> replace the functions of tropical forest plants in hydrological processes</w:t>
      </w:r>
      <w:r w:rsidR="003F2A47" w:rsidRPr="00B37335">
        <w:rPr>
          <w:rFonts w:ascii="Times New Roman" w:hAnsi="Times New Roman"/>
        </w:rPr>
        <w:t xml:space="preserve"> (Mohmadisa et al.</w:t>
      </w:r>
      <w:r w:rsidR="00AA6392">
        <w:rPr>
          <w:rFonts w:ascii="Times New Roman" w:hAnsi="Times New Roman"/>
        </w:rPr>
        <w:t>,</w:t>
      </w:r>
      <w:r w:rsidR="003F2A47" w:rsidRPr="00B37335">
        <w:rPr>
          <w:rFonts w:ascii="Times New Roman" w:hAnsi="Times New Roman"/>
        </w:rPr>
        <w:t xml:space="preserve"> 2016)</w:t>
      </w:r>
      <w:r w:rsidRPr="00B37335">
        <w:rPr>
          <w:rFonts w:ascii="Times New Roman" w:hAnsi="Times New Roman"/>
        </w:rPr>
        <w:t>.</w:t>
      </w:r>
      <w:r w:rsidR="005556DD" w:rsidRPr="00B37335">
        <w:rPr>
          <w:rFonts w:ascii="Times New Roman" w:hAnsi="Times New Roman"/>
        </w:rPr>
        <w:t xml:space="preserve"> </w:t>
      </w:r>
      <w:r w:rsidRPr="00B37335">
        <w:rPr>
          <w:rFonts w:ascii="Times New Roman" w:hAnsi="Times New Roman"/>
        </w:rPr>
        <w:t>Some of the rain will intercepted by leaves and other plant parts, and then evaporates into the atmosphere. The amount of water that not intercepted by the plant will fall to the ground and so are the flow line of the trees.</w:t>
      </w:r>
      <w:r w:rsidR="005556DD" w:rsidRPr="00B37335">
        <w:rPr>
          <w:rFonts w:ascii="Times New Roman" w:hAnsi="Times New Roman"/>
        </w:rPr>
        <w:t xml:space="preserve"> </w:t>
      </w:r>
      <w:r w:rsidR="00F964D3" w:rsidRPr="00B37335">
        <w:rPr>
          <w:rFonts w:ascii="Times New Roman" w:hAnsi="Times New Roman"/>
        </w:rPr>
        <w:t xml:space="preserve">In contrast to the trees of tropical forests, the farms 'monoculture' such as rubber, palm oil and vegetables </w:t>
      </w:r>
      <w:r w:rsidR="00017C69" w:rsidRPr="00B37335">
        <w:rPr>
          <w:rFonts w:ascii="Times New Roman" w:hAnsi="Times New Roman"/>
        </w:rPr>
        <w:t>cannot</w:t>
      </w:r>
      <w:r w:rsidR="00F964D3" w:rsidRPr="00B37335">
        <w:rPr>
          <w:rFonts w:ascii="Times New Roman" w:hAnsi="Times New Roman"/>
        </w:rPr>
        <w:t xml:space="preserve"> provide coverage of natural forest canopy like a slow falling rain on the earth's surface thereby increasing the amount of runoff.</w:t>
      </w:r>
    </w:p>
    <w:p w:rsidR="00530AE1" w:rsidRDefault="00F964D3" w:rsidP="00FB7846">
      <w:pPr>
        <w:ind w:firstLine="720"/>
        <w:jc w:val="both"/>
        <w:rPr>
          <w:rFonts w:ascii="Times New Roman" w:eastAsia="Times New Roman" w:hAnsi="Times New Roman"/>
          <w:lang w:val="ms-MY" w:eastAsia="ms-MY"/>
        </w:rPr>
      </w:pPr>
      <w:r w:rsidRPr="00B37335">
        <w:rPr>
          <w:rFonts w:ascii="Times New Roman" w:eastAsia="Times New Roman" w:hAnsi="Times New Roman"/>
          <w:lang w:val="ms-MY" w:eastAsia="ms-MY"/>
        </w:rPr>
        <w:t>The floods is considered the worst flood catastrophe continues to terrorize up to Kuala Krai resulted from combined water</w:t>
      </w:r>
      <w:r w:rsidR="007455A0" w:rsidRPr="00B37335">
        <w:rPr>
          <w:rFonts w:ascii="Times New Roman" w:eastAsia="Times New Roman" w:hAnsi="Times New Roman"/>
          <w:lang w:val="ms-MY" w:eastAsia="ms-MY"/>
        </w:rPr>
        <w:t xml:space="preserve"> from three rivers which </w:t>
      </w:r>
      <w:r w:rsidRPr="00B37335">
        <w:rPr>
          <w:rFonts w:ascii="Times New Roman" w:eastAsia="Times New Roman" w:hAnsi="Times New Roman"/>
          <w:lang w:val="ms-MY" w:eastAsia="ms-MY"/>
        </w:rPr>
        <w:t>Lebir</w:t>
      </w:r>
      <w:r w:rsidR="007455A0" w:rsidRPr="00B37335">
        <w:rPr>
          <w:rFonts w:ascii="Times New Roman" w:eastAsia="Times New Roman" w:hAnsi="Times New Roman"/>
          <w:lang w:val="ms-MY" w:eastAsia="ms-MY"/>
        </w:rPr>
        <w:t xml:space="preserve">, </w:t>
      </w:r>
      <w:r w:rsidRPr="00B37335">
        <w:rPr>
          <w:rFonts w:ascii="Times New Roman" w:eastAsia="Times New Roman" w:hAnsi="Times New Roman"/>
          <w:lang w:val="ms-MY" w:eastAsia="ms-MY"/>
        </w:rPr>
        <w:t>Nenggiri</w:t>
      </w:r>
      <w:r w:rsidR="007455A0" w:rsidRPr="00B37335">
        <w:rPr>
          <w:rFonts w:ascii="Times New Roman" w:eastAsia="Times New Roman" w:hAnsi="Times New Roman"/>
          <w:lang w:val="ms-MY" w:eastAsia="ms-MY"/>
        </w:rPr>
        <w:t xml:space="preserve"> and Galas River</w:t>
      </w:r>
      <w:r w:rsidRPr="00B37335">
        <w:rPr>
          <w:rFonts w:ascii="Times New Roman" w:eastAsia="Times New Roman" w:hAnsi="Times New Roman"/>
          <w:lang w:val="ms-MY" w:eastAsia="ms-MY"/>
        </w:rPr>
        <w:t xml:space="preserve"> which meets in Kemubu, Kuala Krai,which forms Sungai Kelantan.</w:t>
      </w:r>
      <w:r w:rsidR="00530AE1" w:rsidRPr="00B37335">
        <w:rPr>
          <w:rFonts w:ascii="Times New Roman" w:eastAsia="Times New Roman" w:hAnsi="Times New Roman"/>
          <w:lang w:val="ms-MY" w:eastAsia="ms-MY"/>
        </w:rPr>
        <w:t xml:space="preserve"> </w:t>
      </w:r>
      <w:r w:rsidR="003D43CE" w:rsidRPr="00B37335">
        <w:rPr>
          <w:rFonts w:ascii="Times New Roman" w:eastAsia="Times New Roman" w:hAnsi="Times New Roman"/>
          <w:lang w:val="ms-MY" w:eastAsia="ms-MY"/>
        </w:rPr>
        <w:t>Strong and big currents like 'Tsunami Land' which makes the affected areas become 'sea' of water rose as high as the third floor of Sekolah Kebangsaan Manek Urai Lama.</w:t>
      </w:r>
      <w:r w:rsidR="003D43CE" w:rsidRPr="00B37335">
        <w:rPr>
          <w:rFonts w:ascii="Times New Roman" w:hAnsi="Times New Roman"/>
        </w:rPr>
        <w:t xml:space="preserve"> </w:t>
      </w:r>
      <w:r w:rsidR="003D43CE" w:rsidRPr="00B37335">
        <w:rPr>
          <w:rFonts w:ascii="Times New Roman" w:eastAsia="Times New Roman" w:hAnsi="Times New Roman"/>
          <w:lang w:val="ms-MY" w:eastAsia="ms-MY"/>
        </w:rPr>
        <w:t>During the same period, other districts of Tanah Merah, Pasir Mas, Machang, Tumpat, Kota B</w:t>
      </w:r>
      <w:r w:rsidR="000241BA">
        <w:rPr>
          <w:rFonts w:ascii="Times New Roman" w:eastAsia="Times New Roman" w:hAnsi="Times New Roman"/>
          <w:lang w:val="ms-MY" w:eastAsia="ms-MY"/>
        </w:rPr>
        <w:t>h</w:t>
      </w:r>
      <w:r w:rsidR="003D43CE" w:rsidRPr="00B37335">
        <w:rPr>
          <w:rFonts w:ascii="Times New Roman" w:eastAsia="Times New Roman" w:hAnsi="Times New Roman"/>
          <w:lang w:val="ms-MY" w:eastAsia="ms-MY"/>
        </w:rPr>
        <w:t xml:space="preserve">aru and Jeli </w:t>
      </w:r>
      <w:r w:rsidR="0059132F" w:rsidRPr="00B37335">
        <w:rPr>
          <w:rFonts w:ascii="Times New Roman" w:eastAsia="Times New Roman" w:hAnsi="Times New Roman"/>
          <w:lang w:val="ms-MY" w:eastAsia="ms-MY"/>
        </w:rPr>
        <w:t>greatly affected by the floods.</w:t>
      </w:r>
    </w:p>
    <w:p w:rsidR="00AA6392" w:rsidRDefault="00AA6392" w:rsidP="00FB7846">
      <w:pPr>
        <w:ind w:firstLine="720"/>
        <w:jc w:val="both"/>
        <w:rPr>
          <w:rFonts w:ascii="Times New Roman" w:eastAsia="Times New Roman" w:hAnsi="Times New Roman"/>
          <w:lang w:val="ms-MY" w:eastAsia="ms-MY"/>
        </w:rPr>
      </w:pPr>
    </w:p>
    <w:p w:rsidR="00FB7846" w:rsidRDefault="00FB7846" w:rsidP="00FB7846">
      <w:pPr>
        <w:ind w:firstLine="720"/>
        <w:jc w:val="both"/>
        <w:rPr>
          <w:rFonts w:ascii="Times New Roman" w:eastAsia="Times New Roman" w:hAnsi="Times New Roman"/>
          <w:lang w:val="ms-MY" w:eastAsia="ms-MY"/>
        </w:rPr>
      </w:pPr>
    </w:p>
    <w:p w:rsidR="00FB7846" w:rsidRDefault="00FB7846" w:rsidP="00FB7846">
      <w:pPr>
        <w:ind w:firstLine="720"/>
        <w:jc w:val="both"/>
        <w:rPr>
          <w:rFonts w:ascii="Times New Roman" w:eastAsia="Times New Roman" w:hAnsi="Times New Roman"/>
          <w:lang w:val="ms-MY" w:eastAsia="ms-MY"/>
        </w:rPr>
      </w:pPr>
    </w:p>
    <w:p w:rsidR="00FB7846" w:rsidRPr="00B37335" w:rsidRDefault="00FB7846" w:rsidP="00FB7846">
      <w:pPr>
        <w:ind w:firstLine="720"/>
        <w:jc w:val="both"/>
        <w:rPr>
          <w:rFonts w:ascii="Times New Roman" w:eastAsia="Times New Roman" w:hAnsi="Times New Roman"/>
          <w:lang w:val="ms-MY" w:eastAsia="ms-MY"/>
        </w:rPr>
      </w:pPr>
    </w:p>
    <w:p w:rsidR="00B646EB" w:rsidRPr="00B37335" w:rsidRDefault="00B646EB" w:rsidP="00FB7846">
      <w:pPr>
        <w:jc w:val="both"/>
        <w:rPr>
          <w:rFonts w:ascii="Times New Roman" w:hAnsi="Times New Roman"/>
          <w:b/>
        </w:rPr>
      </w:pPr>
    </w:p>
    <w:p w:rsidR="003D43CE" w:rsidRPr="00B37335" w:rsidRDefault="003D43CE" w:rsidP="00FB7846">
      <w:pPr>
        <w:jc w:val="both"/>
        <w:rPr>
          <w:rFonts w:ascii="Times New Roman" w:hAnsi="Times New Roman"/>
          <w:b/>
        </w:rPr>
      </w:pPr>
      <w:r w:rsidRPr="00B37335">
        <w:rPr>
          <w:rFonts w:ascii="Times New Roman" w:hAnsi="Times New Roman"/>
          <w:b/>
        </w:rPr>
        <w:lastRenderedPageBreak/>
        <w:t>Environme</w:t>
      </w:r>
      <w:r w:rsidR="00A25898" w:rsidRPr="00B37335">
        <w:rPr>
          <w:rFonts w:ascii="Times New Roman" w:hAnsi="Times New Roman"/>
          <w:b/>
        </w:rPr>
        <w:t>ntal Impact Assessment in Malaysia</w:t>
      </w:r>
    </w:p>
    <w:p w:rsidR="003D43CE" w:rsidRPr="00B37335" w:rsidRDefault="003D43CE" w:rsidP="00FB7846">
      <w:pPr>
        <w:jc w:val="both"/>
        <w:rPr>
          <w:rFonts w:ascii="Times New Roman" w:hAnsi="Times New Roman"/>
          <w:b/>
        </w:rPr>
      </w:pPr>
    </w:p>
    <w:p w:rsidR="003D4C5A" w:rsidRDefault="003D43CE" w:rsidP="00FB7846">
      <w:pPr>
        <w:jc w:val="both"/>
        <w:rPr>
          <w:rFonts w:ascii="Times New Roman" w:hAnsi="Times New Roman"/>
        </w:rPr>
      </w:pPr>
      <w:r w:rsidRPr="00B37335">
        <w:rPr>
          <w:rFonts w:ascii="Times New Roman" w:hAnsi="Times New Roman"/>
        </w:rPr>
        <w:t>After 40 years of implementation of EIA in the world, the EIA is still an important component in efforts to build a sustainable environmental.</w:t>
      </w:r>
      <w:r w:rsidR="00E254DB" w:rsidRPr="00B37335">
        <w:rPr>
          <w:rFonts w:ascii="Times New Roman" w:hAnsi="Times New Roman"/>
        </w:rPr>
        <w:t xml:space="preserve"> </w:t>
      </w:r>
      <w:r w:rsidRPr="00B37335">
        <w:rPr>
          <w:rFonts w:ascii="Times New Roman" w:hAnsi="Times New Roman"/>
        </w:rPr>
        <w:t>In Malaysia, EIA is compulsory for all activities or projects which can affect the environment.</w:t>
      </w:r>
      <w:r w:rsidR="00E37808" w:rsidRPr="00B37335">
        <w:rPr>
          <w:rFonts w:ascii="Times New Roman" w:hAnsi="Times New Roman"/>
        </w:rPr>
        <w:t xml:space="preserve"> </w:t>
      </w:r>
      <w:r w:rsidR="00C50C32" w:rsidRPr="00B37335">
        <w:rPr>
          <w:rFonts w:ascii="Times New Roman" w:hAnsi="Times New Roman"/>
        </w:rPr>
        <w:t>It stipulated under section 34A of the Environmental Quality Act 1974, EIA also seen as an important procedure in dec</w:t>
      </w:r>
      <w:r w:rsidR="00E63703" w:rsidRPr="00B37335">
        <w:rPr>
          <w:rFonts w:ascii="Times New Roman" w:hAnsi="Times New Roman"/>
        </w:rPr>
        <w:t xml:space="preserve">ision making </w:t>
      </w:r>
      <w:r w:rsidR="0067043C" w:rsidRPr="00B37335">
        <w:rPr>
          <w:rFonts w:ascii="Times New Roman" w:hAnsi="Times New Roman"/>
        </w:rPr>
        <w:t>(</w:t>
      </w:r>
      <w:r w:rsidR="0059132F" w:rsidRPr="00B37335">
        <w:rPr>
          <w:rStyle w:val="hps"/>
          <w:rFonts w:ascii="Times New Roman" w:hAnsi="Times New Roman"/>
        </w:rPr>
        <w:t>Dangi et</w:t>
      </w:r>
      <w:r w:rsidR="0067043C" w:rsidRPr="00B37335">
        <w:rPr>
          <w:rStyle w:val="hps"/>
          <w:rFonts w:ascii="Times New Roman" w:hAnsi="Times New Roman"/>
        </w:rPr>
        <w:t xml:space="preserve"> al.</w:t>
      </w:r>
      <w:r w:rsidR="00786CFE">
        <w:rPr>
          <w:rStyle w:val="hps"/>
          <w:rFonts w:ascii="Times New Roman" w:hAnsi="Times New Roman"/>
        </w:rPr>
        <w:t>,</w:t>
      </w:r>
      <w:r w:rsidR="0067043C" w:rsidRPr="00B37335">
        <w:rPr>
          <w:rStyle w:val="hps"/>
          <w:rFonts w:ascii="Times New Roman" w:hAnsi="Times New Roman"/>
        </w:rPr>
        <w:t xml:space="preserve"> 2015)</w:t>
      </w:r>
      <w:r w:rsidR="00C50C32" w:rsidRPr="00B37335">
        <w:rPr>
          <w:rFonts w:ascii="Times New Roman" w:hAnsi="Times New Roman"/>
        </w:rPr>
        <w:t>.</w:t>
      </w:r>
      <w:r w:rsidR="00B646EB" w:rsidRPr="00B37335">
        <w:rPr>
          <w:rFonts w:ascii="Times New Roman" w:hAnsi="Times New Roman"/>
        </w:rPr>
        <w:t xml:space="preserve"> </w:t>
      </w:r>
      <w:r w:rsidR="00C50C32" w:rsidRPr="00B37335">
        <w:rPr>
          <w:rFonts w:ascii="Times New Roman" w:hAnsi="Times New Roman"/>
        </w:rPr>
        <w:t>There EIA procedure consists of several steps, sequence and the right content of it based on the legal practice of a particular country.</w:t>
      </w:r>
      <w:r w:rsidR="00B646EB" w:rsidRPr="00B37335">
        <w:rPr>
          <w:rFonts w:ascii="Times New Roman" w:hAnsi="Times New Roman"/>
        </w:rPr>
        <w:t xml:space="preserve"> </w:t>
      </w:r>
      <w:r w:rsidR="00C50C32" w:rsidRPr="00B37335">
        <w:rPr>
          <w:rFonts w:ascii="Times New Roman" w:hAnsi="Times New Roman"/>
        </w:rPr>
        <w:t>EIA has a specific analytical method or technique, and uses many approaches customized t</w:t>
      </w:r>
      <w:r w:rsidR="00E63703" w:rsidRPr="00B37335">
        <w:rPr>
          <w:rFonts w:ascii="Times New Roman" w:hAnsi="Times New Roman"/>
        </w:rPr>
        <w:t xml:space="preserve">o the problems identified </w:t>
      </w:r>
      <w:r w:rsidR="00786CFE">
        <w:rPr>
          <w:rFonts w:ascii="Times New Roman" w:hAnsi="Times New Roman"/>
        </w:rPr>
        <w:t xml:space="preserve">(Wood, </w:t>
      </w:r>
      <w:r w:rsidR="0067043C" w:rsidRPr="00B37335">
        <w:rPr>
          <w:rFonts w:ascii="Times New Roman" w:hAnsi="Times New Roman"/>
        </w:rPr>
        <w:t>2003)</w:t>
      </w:r>
      <w:r w:rsidR="00C50C32" w:rsidRPr="00B37335">
        <w:rPr>
          <w:rFonts w:ascii="Times New Roman" w:hAnsi="Times New Roman"/>
        </w:rPr>
        <w:t xml:space="preserve">. </w:t>
      </w:r>
      <w:r w:rsidR="00E63703" w:rsidRPr="00B37335">
        <w:rPr>
          <w:rFonts w:ascii="Times New Roman" w:hAnsi="Times New Roman"/>
        </w:rPr>
        <w:t xml:space="preserve">According Mohd Nazri and Maziah, Mohan </w:t>
      </w:r>
      <w:r w:rsidR="00786CFE">
        <w:rPr>
          <w:rFonts w:ascii="Times New Roman" w:hAnsi="Times New Roman"/>
        </w:rPr>
        <w:t>and</w:t>
      </w:r>
      <w:r w:rsidR="00BC67BD" w:rsidRPr="00B37335">
        <w:rPr>
          <w:rFonts w:ascii="Times New Roman" w:hAnsi="Times New Roman"/>
        </w:rPr>
        <w:t xml:space="preserve"> </w:t>
      </w:r>
      <w:r w:rsidR="00E63703" w:rsidRPr="00B37335">
        <w:rPr>
          <w:rFonts w:ascii="Times New Roman" w:hAnsi="Times New Roman"/>
        </w:rPr>
        <w:t xml:space="preserve">Glasson </w:t>
      </w:r>
      <w:r w:rsidR="00C50C32" w:rsidRPr="00B37335">
        <w:rPr>
          <w:rFonts w:ascii="Times New Roman" w:hAnsi="Times New Roman"/>
        </w:rPr>
        <w:t>EIA can use various methods of analysis in explaining the expected impact</w:t>
      </w:r>
      <w:r w:rsidR="00E63703" w:rsidRPr="00B37335">
        <w:rPr>
          <w:rFonts w:ascii="Times New Roman" w:hAnsi="Times New Roman"/>
        </w:rPr>
        <w:t xml:space="preserve"> </w:t>
      </w:r>
      <w:r w:rsidR="0067043C" w:rsidRPr="00B37335">
        <w:rPr>
          <w:rFonts w:ascii="Times New Roman" w:eastAsia="Times New Roman" w:hAnsi="Times New Roman"/>
          <w:lang w:eastAsia="ms-MY"/>
        </w:rPr>
        <w:t>(</w:t>
      </w:r>
      <w:r w:rsidR="0067043C" w:rsidRPr="00B37335">
        <w:rPr>
          <w:rFonts w:ascii="Times New Roman" w:hAnsi="Times New Roman"/>
        </w:rPr>
        <w:t>Mohd Nadzri</w:t>
      </w:r>
      <w:r w:rsidR="0067043C" w:rsidRPr="00B37335">
        <w:rPr>
          <w:rFonts w:ascii="Times New Roman" w:eastAsia="Times New Roman" w:hAnsi="Times New Roman"/>
          <w:lang w:eastAsia="ms-MY"/>
        </w:rPr>
        <w:t xml:space="preserve"> </w:t>
      </w:r>
      <w:r w:rsidR="00BC67BD" w:rsidRPr="00B37335">
        <w:rPr>
          <w:rFonts w:ascii="Times New Roman" w:eastAsia="Times New Roman" w:hAnsi="Times New Roman"/>
          <w:lang w:eastAsia="ms-MY"/>
        </w:rPr>
        <w:t xml:space="preserve">&amp; </w:t>
      </w:r>
      <w:r w:rsidR="0067043C" w:rsidRPr="00B37335">
        <w:rPr>
          <w:rFonts w:ascii="Times New Roman" w:hAnsi="Times New Roman"/>
        </w:rPr>
        <w:t xml:space="preserve">Maziah 1998; </w:t>
      </w:r>
      <w:r w:rsidR="00786CFE" w:rsidRPr="00B37335">
        <w:rPr>
          <w:rFonts w:ascii="Times New Roman" w:hAnsi="Times New Roman"/>
        </w:rPr>
        <w:t>Glasson et al.</w:t>
      </w:r>
      <w:r w:rsidR="00786CFE">
        <w:rPr>
          <w:rFonts w:ascii="Times New Roman" w:hAnsi="Times New Roman"/>
        </w:rPr>
        <w:t>,</w:t>
      </w:r>
      <w:r w:rsidR="00786CFE" w:rsidRPr="00B37335">
        <w:rPr>
          <w:rFonts w:ascii="Times New Roman" w:hAnsi="Times New Roman"/>
        </w:rPr>
        <w:t xml:space="preserve"> 2012</w:t>
      </w:r>
      <w:r w:rsidR="00786CFE">
        <w:rPr>
          <w:rFonts w:ascii="Times New Roman" w:hAnsi="Times New Roman"/>
        </w:rPr>
        <w:t xml:space="preserve">; </w:t>
      </w:r>
      <w:r w:rsidR="00786CFE">
        <w:rPr>
          <w:rStyle w:val="hps"/>
          <w:rFonts w:ascii="Times New Roman" w:hAnsi="Times New Roman"/>
        </w:rPr>
        <w:t xml:space="preserve">Dangi et </w:t>
      </w:r>
      <w:r w:rsidR="0067043C" w:rsidRPr="00B37335">
        <w:rPr>
          <w:rStyle w:val="hps"/>
          <w:rFonts w:ascii="Times New Roman" w:hAnsi="Times New Roman"/>
        </w:rPr>
        <w:t>al.</w:t>
      </w:r>
      <w:r w:rsidR="00786CFE">
        <w:rPr>
          <w:rStyle w:val="hps"/>
          <w:rFonts w:ascii="Times New Roman" w:hAnsi="Times New Roman"/>
        </w:rPr>
        <w:t>,</w:t>
      </w:r>
      <w:r w:rsidR="0067043C" w:rsidRPr="00B37335">
        <w:rPr>
          <w:rStyle w:val="hps"/>
          <w:rFonts w:ascii="Times New Roman" w:hAnsi="Times New Roman"/>
        </w:rPr>
        <w:t xml:space="preserve"> 2015</w:t>
      </w:r>
      <w:r w:rsidR="0067043C" w:rsidRPr="00B37335">
        <w:rPr>
          <w:rFonts w:ascii="Times New Roman" w:hAnsi="Times New Roman"/>
        </w:rPr>
        <w:t>)</w:t>
      </w:r>
      <w:r w:rsidR="00C50C32" w:rsidRPr="00B37335">
        <w:rPr>
          <w:rFonts w:ascii="Times New Roman" w:hAnsi="Times New Roman"/>
        </w:rPr>
        <w:t>.</w:t>
      </w:r>
      <w:r w:rsidR="00B646EB" w:rsidRPr="00B37335">
        <w:rPr>
          <w:rFonts w:ascii="Times New Roman" w:hAnsi="Times New Roman"/>
        </w:rPr>
        <w:t xml:space="preserve"> </w:t>
      </w:r>
      <w:r w:rsidR="00C50C32" w:rsidRPr="00B37335">
        <w:rPr>
          <w:rFonts w:ascii="Times New Roman" w:hAnsi="Times New Roman"/>
        </w:rPr>
        <w:t>It depends on the type of project being assessed, the nature of the affected landscape and nature of potential impacts.</w:t>
      </w:r>
      <w:r w:rsidR="00863C2F" w:rsidRPr="00B37335">
        <w:rPr>
          <w:rFonts w:ascii="Times New Roman" w:hAnsi="Times New Roman"/>
        </w:rPr>
        <w:t xml:space="preserve"> </w:t>
      </w:r>
      <w:r w:rsidR="00C50C32" w:rsidRPr="00B37335">
        <w:rPr>
          <w:rFonts w:ascii="Times New Roman" w:hAnsi="Times New Roman"/>
        </w:rPr>
        <w:t xml:space="preserve">The </w:t>
      </w:r>
      <w:r w:rsidR="00017C69" w:rsidRPr="00B37335">
        <w:rPr>
          <w:rFonts w:ascii="Times New Roman" w:hAnsi="Times New Roman"/>
        </w:rPr>
        <w:t>procedures contained in the EIA are</w:t>
      </w:r>
      <w:r w:rsidR="00C50C32" w:rsidRPr="00B37335">
        <w:rPr>
          <w:rFonts w:ascii="Times New Roman" w:hAnsi="Times New Roman"/>
        </w:rPr>
        <w:t xml:space="preserve"> often used as guidelines for determining the direction of a project or program in order to give maximum benefit to human welfare and the environment.</w:t>
      </w:r>
      <w:r w:rsidR="004461D4" w:rsidRPr="00B37335">
        <w:rPr>
          <w:rFonts w:ascii="Times New Roman" w:hAnsi="Times New Roman"/>
        </w:rPr>
        <w:t xml:space="preserve"> </w:t>
      </w:r>
      <w:r w:rsidR="00C50C32" w:rsidRPr="00B37335">
        <w:rPr>
          <w:rFonts w:ascii="Times New Roman" w:hAnsi="Times New Roman"/>
        </w:rPr>
        <w:t xml:space="preserve">A comprehensive EIA </w:t>
      </w:r>
      <w:r w:rsidR="00F47DCC" w:rsidRPr="00B37335">
        <w:rPr>
          <w:rFonts w:ascii="Times New Roman" w:hAnsi="Times New Roman"/>
        </w:rPr>
        <w:t>report able</w:t>
      </w:r>
      <w:r w:rsidR="00C50C32" w:rsidRPr="00B37335">
        <w:rPr>
          <w:rFonts w:ascii="Times New Roman" w:hAnsi="Times New Roman"/>
        </w:rPr>
        <w:t xml:space="preserve"> to help the decision makers make the best assessment, as it covers several disciplines such as biophysical, cultural</w:t>
      </w:r>
      <w:r w:rsidR="00E3486B" w:rsidRPr="00B37335">
        <w:rPr>
          <w:rFonts w:ascii="Times New Roman" w:hAnsi="Times New Roman"/>
        </w:rPr>
        <w:t>, social and economic (</w:t>
      </w:r>
      <w:r w:rsidR="00786CFE" w:rsidRPr="00B37335">
        <w:rPr>
          <w:rStyle w:val="hps"/>
          <w:rFonts w:ascii="Times New Roman" w:hAnsi="Times New Roman"/>
        </w:rPr>
        <w:t>Pavlickova &amp; Vyskupova, 2014</w:t>
      </w:r>
      <w:r w:rsidR="00786CFE">
        <w:rPr>
          <w:rStyle w:val="hps"/>
          <w:rFonts w:ascii="Times New Roman" w:hAnsi="Times New Roman"/>
        </w:rPr>
        <w:t xml:space="preserve">; </w:t>
      </w:r>
      <w:r w:rsidR="00421DB1" w:rsidRPr="00B37335">
        <w:rPr>
          <w:rStyle w:val="hps"/>
          <w:rFonts w:ascii="Times New Roman" w:hAnsi="Times New Roman"/>
        </w:rPr>
        <w:t>B. Dangi et</w:t>
      </w:r>
      <w:r w:rsidR="00E3486B" w:rsidRPr="00B37335">
        <w:rPr>
          <w:rStyle w:val="hps"/>
          <w:rFonts w:ascii="Times New Roman" w:hAnsi="Times New Roman"/>
        </w:rPr>
        <w:t xml:space="preserve"> al.</w:t>
      </w:r>
      <w:r w:rsidR="00786CFE">
        <w:rPr>
          <w:rStyle w:val="hps"/>
          <w:rFonts w:ascii="Times New Roman" w:hAnsi="Times New Roman"/>
        </w:rPr>
        <w:t>,</w:t>
      </w:r>
      <w:r w:rsidR="00E3486B" w:rsidRPr="00B37335">
        <w:rPr>
          <w:rStyle w:val="hps"/>
          <w:rFonts w:ascii="Times New Roman" w:hAnsi="Times New Roman"/>
        </w:rPr>
        <w:t xml:space="preserve"> 2015</w:t>
      </w:r>
      <w:r w:rsidR="00E3486B" w:rsidRPr="00B37335">
        <w:rPr>
          <w:rFonts w:ascii="Times New Roman" w:hAnsi="Times New Roman"/>
        </w:rPr>
        <w:t>)</w:t>
      </w:r>
      <w:r w:rsidR="00C50C32" w:rsidRPr="00B37335">
        <w:rPr>
          <w:rFonts w:ascii="Times New Roman" w:hAnsi="Times New Roman"/>
        </w:rPr>
        <w:t>.</w:t>
      </w:r>
    </w:p>
    <w:p w:rsidR="00EB04FF" w:rsidRDefault="00EB04FF" w:rsidP="00FB7846">
      <w:pPr>
        <w:jc w:val="both"/>
        <w:rPr>
          <w:rFonts w:ascii="Times New Roman" w:hAnsi="Times New Roman"/>
        </w:rPr>
      </w:pPr>
    </w:p>
    <w:p w:rsidR="00C50C32" w:rsidRPr="00B37335" w:rsidRDefault="00C50C32" w:rsidP="00FB7846">
      <w:pPr>
        <w:jc w:val="both"/>
        <w:rPr>
          <w:rFonts w:ascii="Times New Roman" w:hAnsi="Times New Roman"/>
        </w:rPr>
      </w:pPr>
    </w:p>
    <w:p w:rsidR="00686D57" w:rsidRPr="00B37335" w:rsidRDefault="008D4022" w:rsidP="00FB7846">
      <w:pPr>
        <w:jc w:val="both"/>
        <w:rPr>
          <w:rFonts w:ascii="Times New Roman" w:hAnsi="Times New Roman"/>
          <w:b/>
        </w:rPr>
      </w:pPr>
      <w:r w:rsidRPr="00B37335">
        <w:rPr>
          <w:rFonts w:ascii="Times New Roman" w:hAnsi="Times New Roman"/>
          <w:b/>
        </w:rPr>
        <w:t>Methods</w:t>
      </w:r>
    </w:p>
    <w:p w:rsidR="00CE078C" w:rsidRPr="00B37335" w:rsidRDefault="00CE078C" w:rsidP="00FB7846">
      <w:pPr>
        <w:jc w:val="both"/>
        <w:rPr>
          <w:rFonts w:ascii="Times New Roman" w:hAnsi="Times New Roman"/>
        </w:rPr>
      </w:pPr>
    </w:p>
    <w:p w:rsidR="00686D57" w:rsidRPr="00B37335" w:rsidRDefault="00C02876" w:rsidP="00FB7846">
      <w:pPr>
        <w:jc w:val="both"/>
        <w:rPr>
          <w:rFonts w:ascii="Times New Roman" w:hAnsi="Times New Roman"/>
        </w:rPr>
      </w:pPr>
      <w:r w:rsidRPr="00B37335">
        <w:rPr>
          <w:rFonts w:ascii="Times New Roman" w:hAnsi="Times New Roman"/>
        </w:rPr>
        <w:t xml:space="preserve">This study has conducted </w:t>
      </w:r>
      <w:r w:rsidR="00DF06E9" w:rsidRPr="00B37335">
        <w:rPr>
          <w:rFonts w:ascii="Times New Roman" w:hAnsi="Times New Roman"/>
        </w:rPr>
        <w:t xml:space="preserve">a </w:t>
      </w:r>
      <w:r w:rsidR="00CE078C" w:rsidRPr="00B37335">
        <w:rPr>
          <w:rFonts w:ascii="Times New Roman" w:hAnsi="Times New Roman"/>
        </w:rPr>
        <w:t xml:space="preserve">preliminary analysis of EIA documents in </w:t>
      </w:r>
      <w:r w:rsidR="00F47DCC" w:rsidRPr="00B37335">
        <w:rPr>
          <w:rFonts w:ascii="Times New Roman" w:hAnsi="Times New Roman"/>
        </w:rPr>
        <w:t>Kelantan, which</w:t>
      </w:r>
      <w:r w:rsidR="00CE078C" w:rsidRPr="00B37335">
        <w:rPr>
          <w:rFonts w:ascii="Times New Roman" w:hAnsi="Times New Roman"/>
        </w:rPr>
        <w:t xml:space="preserve"> has been approved by the Department of Environment Kelantan from 2000 to 2015.</w:t>
      </w:r>
      <w:r w:rsidR="009320DC" w:rsidRPr="00B37335">
        <w:rPr>
          <w:rFonts w:ascii="Times New Roman" w:hAnsi="Times New Roman"/>
        </w:rPr>
        <w:t xml:space="preserve"> </w:t>
      </w:r>
      <w:r w:rsidR="00CE078C" w:rsidRPr="00B37335">
        <w:rPr>
          <w:rFonts w:ascii="Times New Roman" w:hAnsi="Times New Roman"/>
        </w:rPr>
        <w:t>A total of 222 EIA documents approved during the period.</w:t>
      </w:r>
      <w:r w:rsidR="006112CF" w:rsidRPr="00B37335">
        <w:rPr>
          <w:rFonts w:ascii="Times New Roman" w:hAnsi="Times New Roman"/>
        </w:rPr>
        <w:t xml:space="preserve"> </w:t>
      </w:r>
      <w:r w:rsidR="00017C69" w:rsidRPr="00B37335">
        <w:rPr>
          <w:rFonts w:ascii="Times New Roman" w:hAnsi="Times New Roman"/>
        </w:rPr>
        <w:t>The EIA document covers the entire project listed under Section 34A of the Environmental Quality Act 1974, and covers the entire territory in Kelantan</w:t>
      </w:r>
      <w:r w:rsidR="00E63703" w:rsidRPr="00B37335">
        <w:rPr>
          <w:rFonts w:ascii="Times New Roman" w:hAnsi="Times New Roman"/>
        </w:rPr>
        <w:t xml:space="preserve"> </w:t>
      </w:r>
      <w:r w:rsidR="00E3486B" w:rsidRPr="007A65EC">
        <w:rPr>
          <w:rFonts w:ascii="Times New Roman" w:hAnsi="Times New Roman"/>
          <w:shd w:val="clear" w:color="auto" w:fill="FFFFFF" w:themeFill="background1"/>
        </w:rPr>
        <w:t>(DOE</w:t>
      </w:r>
      <w:r w:rsidR="007A65EC" w:rsidRPr="007A65EC">
        <w:rPr>
          <w:rFonts w:ascii="Times New Roman" w:hAnsi="Times New Roman"/>
          <w:shd w:val="clear" w:color="auto" w:fill="FFFFFF" w:themeFill="background1"/>
        </w:rPr>
        <w:t>,</w:t>
      </w:r>
      <w:r w:rsidR="00E3486B" w:rsidRPr="007A65EC">
        <w:rPr>
          <w:rFonts w:ascii="Times New Roman" w:hAnsi="Times New Roman"/>
          <w:shd w:val="clear" w:color="auto" w:fill="FFFFFF" w:themeFill="background1"/>
        </w:rPr>
        <w:t xml:space="preserve"> 2015)</w:t>
      </w:r>
      <w:r w:rsidR="00017C69" w:rsidRPr="007A65EC">
        <w:rPr>
          <w:rFonts w:ascii="Times New Roman" w:hAnsi="Times New Roman"/>
          <w:shd w:val="clear" w:color="auto" w:fill="FFFFFF" w:themeFill="background1"/>
        </w:rPr>
        <w:t>.</w:t>
      </w:r>
      <w:r w:rsidR="00017C69" w:rsidRPr="00B37335">
        <w:rPr>
          <w:rFonts w:ascii="Times New Roman" w:hAnsi="Times New Roman"/>
        </w:rPr>
        <w:t xml:space="preserve"> </w:t>
      </w:r>
      <w:r w:rsidR="00CE078C" w:rsidRPr="00B37335">
        <w:rPr>
          <w:rFonts w:ascii="Times New Roman" w:hAnsi="Times New Roman"/>
        </w:rPr>
        <w:t xml:space="preserve">Accordingly, this study focuses only on the EIA </w:t>
      </w:r>
      <w:r w:rsidR="00F47DCC" w:rsidRPr="00B37335">
        <w:rPr>
          <w:rFonts w:ascii="Times New Roman" w:hAnsi="Times New Roman"/>
        </w:rPr>
        <w:t>report, which</w:t>
      </w:r>
      <w:r w:rsidR="00CE078C" w:rsidRPr="00B37335">
        <w:rPr>
          <w:rFonts w:ascii="Times New Roman" w:hAnsi="Times New Roman"/>
        </w:rPr>
        <w:t xml:space="preserve"> was approved in three major </w:t>
      </w:r>
      <w:r w:rsidR="00F47DCC" w:rsidRPr="00B37335">
        <w:rPr>
          <w:rFonts w:ascii="Times New Roman" w:hAnsi="Times New Roman"/>
        </w:rPr>
        <w:t>districts</w:t>
      </w:r>
      <w:r w:rsidR="00CE078C" w:rsidRPr="00B37335">
        <w:rPr>
          <w:rFonts w:ascii="Times New Roman" w:hAnsi="Times New Roman"/>
        </w:rPr>
        <w:t xml:space="preserve"> affected by the </w:t>
      </w:r>
      <w:r w:rsidR="00F47DCC" w:rsidRPr="00B37335">
        <w:rPr>
          <w:rFonts w:ascii="Times New Roman" w:hAnsi="Times New Roman"/>
        </w:rPr>
        <w:t>floods, which</w:t>
      </w:r>
      <w:r w:rsidR="00CE078C" w:rsidRPr="00B37335">
        <w:rPr>
          <w:rFonts w:ascii="Times New Roman" w:hAnsi="Times New Roman"/>
        </w:rPr>
        <w:t xml:space="preserve"> are Gua Musang, Kuala Krai </w:t>
      </w:r>
      <w:r w:rsidR="00BC67BD" w:rsidRPr="00B37335">
        <w:rPr>
          <w:rFonts w:ascii="Times New Roman" w:hAnsi="Times New Roman"/>
        </w:rPr>
        <w:t xml:space="preserve">&amp; </w:t>
      </w:r>
      <w:r w:rsidR="00CE078C" w:rsidRPr="00B37335">
        <w:rPr>
          <w:rFonts w:ascii="Times New Roman" w:hAnsi="Times New Roman"/>
        </w:rPr>
        <w:t>Tanah Merah.</w:t>
      </w:r>
      <w:r w:rsidR="00622411" w:rsidRPr="00B37335">
        <w:rPr>
          <w:rFonts w:ascii="Times New Roman" w:hAnsi="Times New Roman"/>
        </w:rPr>
        <w:t xml:space="preserve"> </w:t>
      </w:r>
      <w:r w:rsidR="00CE078C" w:rsidRPr="00B37335">
        <w:rPr>
          <w:rFonts w:ascii="Times New Roman" w:hAnsi="Times New Roman"/>
        </w:rPr>
        <w:t>The analysis is conducted was descriptive analysis.</w:t>
      </w:r>
      <w:r w:rsidR="00622411" w:rsidRPr="00B37335">
        <w:rPr>
          <w:rFonts w:ascii="Times New Roman" w:hAnsi="Times New Roman"/>
        </w:rPr>
        <w:t xml:space="preserve"> </w:t>
      </w:r>
      <w:r w:rsidR="00CE078C" w:rsidRPr="00B37335">
        <w:rPr>
          <w:rFonts w:ascii="Times New Roman" w:hAnsi="Times New Roman"/>
        </w:rPr>
        <w:t>An analysis of the potential impacts and mitigation of the impact was carried out to identify the activities undertaken and planned.</w:t>
      </w:r>
      <w:r w:rsidR="00622411" w:rsidRPr="00B37335">
        <w:rPr>
          <w:rFonts w:ascii="Times New Roman" w:hAnsi="Times New Roman"/>
        </w:rPr>
        <w:t xml:space="preserve"> </w:t>
      </w:r>
      <w:r w:rsidR="00CE078C" w:rsidRPr="00B37335">
        <w:rPr>
          <w:rFonts w:ascii="Times New Roman" w:hAnsi="Times New Roman"/>
        </w:rPr>
        <w:t xml:space="preserve">Studies on the EIA document </w:t>
      </w:r>
      <w:r w:rsidR="00DF06E9" w:rsidRPr="00B37335">
        <w:rPr>
          <w:rFonts w:ascii="Times New Roman" w:hAnsi="Times New Roman"/>
        </w:rPr>
        <w:t>is</w:t>
      </w:r>
      <w:r w:rsidR="00CE078C" w:rsidRPr="00B37335">
        <w:rPr>
          <w:rFonts w:ascii="Times New Roman" w:hAnsi="Times New Roman"/>
        </w:rPr>
        <w:t xml:space="preserve"> an important factor in unlocking the extent of agricultural and forestry activities contribute to the occurrence of floods in Kelantan recently.</w:t>
      </w:r>
    </w:p>
    <w:p w:rsidR="00DF06E9" w:rsidRPr="00B37335" w:rsidRDefault="00DF06E9" w:rsidP="00FB7846">
      <w:pPr>
        <w:jc w:val="both"/>
        <w:rPr>
          <w:rFonts w:ascii="Times New Roman" w:hAnsi="Times New Roman"/>
        </w:rPr>
      </w:pPr>
    </w:p>
    <w:p w:rsidR="00CE078C" w:rsidRPr="00B37335" w:rsidRDefault="00CE078C" w:rsidP="00FB7846">
      <w:pPr>
        <w:jc w:val="both"/>
        <w:rPr>
          <w:rFonts w:ascii="Times New Roman" w:hAnsi="Times New Roman"/>
          <w:b/>
        </w:rPr>
      </w:pPr>
    </w:p>
    <w:p w:rsidR="008450C7" w:rsidRPr="00B37335" w:rsidRDefault="000241BA" w:rsidP="00FB7846">
      <w:pPr>
        <w:jc w:val="both"/>
        <w:rPr>
          <w:rFonts w:ascii="Times New Roman" w:hAnsi="Times New Roman"/>
          <w:b/>
        </w:rPr>
      </w:pPr>
      <w:r>
        <w:rPr>
          <w:rFonts w:ascii="Times New Roman" w:hAnsi="Times New Roman"/>
          <w:b/>
        </w:rPr>
        <w:t>Results and d</w:t>
      </w:r>
      <w:r w:rsidR="00DE6814" w:rsidRPr="00B37335">
        <w:rPr>
          <w:rFonts w:ascii="Times New Roman" w:hAnsi="Times New Roman"/>
          <w:b/>
        </w:rPr>
        <w:t>iscussion</w:t>
      </w:r>
    </w:p>
    <w:p w:rsidR="00CE078C" w:rsidRPr="00B37335" w:rsidRDefault="00CE078C" w:rsidP="00FB7846">
      <w:pPr>
        <w:jc w:val="both"/>
        <w:rPr>
          <w:rFonts w:ascii="Times New Roman" w:hAnsi="Times New Roman"/>
          <w:b/>
        </w:rPr>
      </w:pPr>
    </w:p>
    <w:p w:rsidR="008450C7" w:rsidRPr="00B37335" w:rsidRDefault="00CE078C" w:rsidP="00FB7846">
      <w:pPr>
        <w:jc w:val="both"/>
        <w:rPr>
          <w:rFonts w:ascii="Times New Roman" w:hAnsi="Times New Roman"/>
        </w:rPr>
      </w:pPr>
      <w:r w:rsidRPr="00B37335">
        <w:rPr>
          <w:rFonts w:ascii="Times New Roman" w:hAnsi="Times New Roman"/>
        </w:rPr>
        <w:t xml:space="preserve">Results of a preliminary study on the EIA report </w:t>
      </w:r>
      <w:r w:rsidR="00017C69" w:rsidRPr="00B37335">
        <w:rPr>
          <w:rFonts w:ascii="Times New Roman" w:hAnsi="Times New Roman"/>
        </w:rPr>
        <w:t>presents approval</w:t>
      </w:r>
      <w:r w:rsidRPr="00B37335">
        <w:rPr>
          <w:rFonts w:ascii="Times New Roman" w:hAnsi="Times New Roman"/>
        </w:rPr>
        <w:t xml:space="preserve"> trends of the EIA report in </w:t>
      </w:r>
      <w:r w:rsidR="00017C69" w:rsidRPr="00B37335">
        <w:rPr>
          <w:rFonts w:ascii="Times New Roman" w:hAnsi="Times New Roman"/>
        </w:rPr>
        <w:t>Kelantan,</w:t>
      </w:r>
      <w:r w:rsidRPr="00B37335">
        <w:rPr>
          <w:rFonts w:ascii="Times New Roman" w:hAnsi="Times New Roman"/>
        </w:rPr>
        <w:t xml:space="preserve"> the type of project approvals, the average approval time, a list of projects by territory, exploring a forest reserve status, a list of EIA consultants in Kelantan, a list of indicators forecasting and mitigation of potential impacts the impact is envisaged, as well as the status of flood risk assessment in EIA document.</w:t>
      </w:r>
    </w:p>
    <w:p w:rsidR="00CE078C" w:rsidRPr="00B37335" w:rsidRDefault="00CE078C" w:rsidP="00FB7846">
      <w:pPr>
        <w:jc w:val="both"/>
        <w:rPr>
          <w:rFonts w:ascii="Times New Roman" w:hAnsi="Times New Roman"/>
        </w:rPr>
      </w:pPr>
    </w:p>
    <w:p w:rsidR="00FE09EC" w:rsidRPr="00B37335" w:rsidRDefault="000241BA" w:rsidP="00FB7846">
      <w:pPr>
        <w:jc w:val="both"/>
        <w:rPr>
          <w:rFonts w:ascii="Times New Roman" w:hAnsi="Times New Roman"/>
          <w:i/>
        </w:rPr>
      </w:pPr>
      <w:r>
        <w:rPr>
          <w:rFonts w:ascii="Times New Roman" w:hAnsi="Times New Roman"/>
          <w:i/>
        </w:rPr>
        <w:t>EIA a</w:t>
      </w:r>
      <w:r w:rsidR="002B24FE" w:rsidRPr="00B37335">
        <w:rPr>
          <w:rFonts w:ascii="Times New Roman" w:hAnsi="Times New Roman"/>
          <w:i/>
        </w:rPr>
        <w:t>pproval increasing</w:t>
      </w:r>
      <w:r w:rsidR="00CE078C" w:rsidRPr="00B37335">
        <w:rPr>
          <w:rFonts w:ascii="Times New Roman" w:hAnsi="Times New Roman"/>
          <w:i/>
        </w:rPr>
        <w:t xml:space="preserve"> in Kelantan 2000-2015</w:t>
      </w:r>
    </w:p>
    <w:p w:rsidR="00B07097" w:rsidRPr="00B37335" w:rsidRDefault="00B07097" w:rsidP="00FB7846">
      <w:pPr>
        <w:jc w:val="both"/>
        <w:rPr>
          <w:rFonts w:ascii="Times New Roman" w:hAnsi="Times New Roman"/>
        </w:rPr>
      </w:pPr>
    </w:p>
    <w:p w:rsidR="0012558B" w:rsidRPr="00B37335" w:rsidRDefault="002C4E2A" w:rsidP="00FB7846">
      <w:pPr>
        <w:jc w:val="both"/>
        <w:rPr>
          <w:rFonts w:ascii="Times New Roman" w:hAnsi="Times New Roman"/>
        </w:rPr>
      </w:pPr>
      <w:r w:rsidRPr="00B37335">
        <w:rPr>
          <w:rFonts w:ascii="Times New Roman" w:hAnsi="Times New Roman"/>
        </w:rPr>
        <w:t xml:space="preserve">The study found a total of 222 </w:t>
      </w:r>
      <w:r w:rsidR="002B24FE" w:rsidRPr="00B37335">
        <w:rPr>
          <w:rFonts w:ascii="Times New Roman" w:hAnsi="Times New Roman"/>
        </w:rPr>
        <w:t xml:space="preserve">EIA </w:t>
      </w:r>
      <w:r w:rsidR="00F47DCC" w:rsidRPr="00B37335">
        <w:rPr>
          <w:rFonts w:ascii="Times New Roman" w:hAnsi="Times New Roman"/>
        </w:rPr>
        <w:t>reports, which</w:t>
      </w:r>
      <w:r w:rsidR="002B24FE" w:rsidRPr="00B37335">
        <w:rPr>
          <w:rFonts w:ascii="Times New Roman" w:hAnsi="Times New Roman"/>
        </w:rPr>
        <w:t xml:space="preserve"> was approved during the period 2000-2015 in the state of Kelantan</w:t>
      </w:r>
      <w:r w:rsidR="00E3486B" w:rsidRPr="00B37335">
        <w:rPr>
          <w:rFonts w:ascii="Times New Roman" w:hAnsi="Times New Roman"/>
        </w:rPr>
        <w:t xml:space="preserve"> </w:t>
      </w:r>
      <w:r w:rsidR="00E3486B" w:rsidRPr="007A65EC">
        <w:rPr>
          <w:rFonts w:ascii="Times New Roman" w:hAnsi="Times New Roman"/>
          <w:shd w:val="clear" w:color="auto" w:fill="FFFFFF" w:themeFill="background1"/>
        </w:rPr>
        <w:t>(DOE</w:t>
      </w:r>
      <w:r w:rsidR="007A65EC" w:rsidRPr="007A65EC">
        <w:rPr>
          <w:rFonts w:ascii="Times New Roman" w:hAnsi="Times New Roman"/>
          <w:shd w:val="clear" w:color="auto" w:fill="FFFFFF" w:themeFill="background1"/>
        </w:rPr>
        <w:t>,</w:t>
      </w:r>
      <w:r w:rsidR="00E3486B" w:rsidRPr="007A65EC">
        <w:rPr>
          <w:rFonts w:ascii="Times New Roman" w:hAnsi="Times New Roman"/>
          <w:shd w:val="clear" w:color="auto" w:fill="FFFFFF" w:themeFill="background1"/>
        </w:rPr>
        <w:t xml:space="preserve"> 2015)</w:t>
      </w:r>
      <w:r w:rsidR="002B24FE" w:rsidRPr="007A65EC">
        <w:rPr>
          <w:rFonts w:ascii="Times New Roman" w:hAnsi="Times New Roman"/>
          <w:shd w:val="clear" w:color="auto" w:fill="FFFFFF" w:themeFill="background1"/>
        </w:rPr>
        <w:t>.</w:t>
      </w:r>
      <w:r w:rsidR="000448C1" w:rsidRPr="00B37335">
        <w:rPr>
          <w:rFonts w:ascii="Times New Roman" w:hAnsi="Times New Roman"/>
        </w:rPr>
        <w:t xml:space="preserve"> </w:t>
      </w:r>
      <w:r w:rsidR="002B24FE" w:rsidRPr="00B37335">
        <w:rPr>
          <w:rFonts w:ascii="Times New Roman" w:hAnsi="Times New Roman"/>
        </w:rPr>
        <w:t xml:space="preserve">Trends in the approval of </w:t>
      </w:r>
      <w:r w:rsidR="008D4022" w:rsidRPr="00B37335">
        <w:rPr>
          <w:rFonts w:ascii="Times New Roman" w:hAnsi="Times New Roman"/>
        </w:rPr>
        <w:t xml:space="preserve">EIA reports in Kelantan between </w:t>
      </w:r>
      <w:r w:rsidR="002B24FE" w:rsidRPr="00B37335">
        <w:rPr>
          <w:rFonts w:ascii="Times New Roman" w:hAnsi="Times New Roman"/>
        </w:rPr>
        <w:t>2000-2015 have shown a substantial increase (Figure 1)</w:t>
      </w:r>
      <w:r w:rsidR="00FE09EC" w:rsidRPr="00B37335">
        <w:rPr>
          <w:rFonts w:ascii="Times New Roman" w:hAnsi="Times New Roman"/>
        </w:rPr>
        <w:t xml:space="preserve">. </w:t>
      </w:r>
      <w:r w:rsidR="002B24FE" w:rsidRPr="00B37335">
        <w:rPr>
          <w:rFonts w:ascii="Times New Roman" w:hAnsi="Times New Roman"/>
        </w:rPr>
        <w:t xml:space="preserve">The increasing trend of the approval of the EIA report indicates the need for EIA approval on projects planned in Kelantan has to be taken seriously by state authorities and the Department of Environmental </w:t>
      </w:r>
      <w:r w:rsidR="002B24FE" w:rsidRPr="00B37335">
        <w:rPr>
          <w:rFonts w:ascii="Times New Roman" w:hAnsi="Times New Roman"/>
        </w:rPr>
        <w:lastRenderedPageBreak/>
        <w:t>Affairs.</w:t>
      </w:r>
      <w:r w:rsidR="0012558B" w:rsidRPr="00B37335">
        <w:rPr>
          <w:rFonts w:ascii="Times New Roman" w:hAnsi="Times New Roman"/>
        </w:rPr>
        <w:t xml:space="preserve"> </w:t>
      </w:r>
      <w:r w:rsidR="002B24FE" w:rsidRPr="00B37335">
        <w:rPr>
          <w:rFonts w:ascii="Times New Roman" w:hAnsi="Times New Roman"/>
        </w:rPr>
        <w:t>The increasing trend of approval of the EIA report showed property development and land clearing for agricultur</w:t>
      </w:r>
      <w:r w:rsidRPr="00B37335">
        <w:rPr>
          <w:rFonts w:ascii="Times New Roman" w:hAnsi="Times New Roman"/>
        </w:rPr>
        <w:t xml:space="preserve">e has been through the process </w:t>
      </w:r>
      <w:r w:rsidR="002B24FE" w:rsidRPr="00B37335">
        <w:rPr>
          <w:rFonts w:ascii="Times New Roman" w:hAnsi="Times New Roman"/>
        </w:rPr>
        <w:t>EIA accordance with the provisions of section 34A of the Environmental Quality Act 1974.</w:t>
      </w:r>
    </w:p>
    <w:p w:rsidR="00B07097" w:rsidRPr="00B37335" w:rsidRDefault="00B07097" w:rsidP="00FB7846">
      <w:pPr>
        <w:jc w:val="both"/>
        <w:rPr>
          <w:rFonts w:ascii="Times New Roman" w:hAnsi="Times New Roman"/>
        </w:rPr>
      </w:pPr>
    </w:p>
    <w:p w:rsidR="002E270E" w:rsidRPr="00B37335" w:rsidRDefault="002E270E" w:rsidP="00FB7846">
      <w:pPr>
        <w:jc w:val="both"/>
        <w:rPr>
          <w:rFonts w:ascii="Times New Roman" w:hAnsi="Times New Roman"/>
        </w:rPr>
      </w:pPr>
    </w:p>
    <w:p w:rsidR="0012558B" w:rsidRPr="00B37335" w:rsidRDefault="00C52CB9" w:rsidP="00FB7846">
      <w:pPr>
        <w:jc w:val="center"/>
        <w:rPr>
          <w:rFonts w:ascii="Times New Roman" w:hAnsi="Times New Roman"/>
        </w:rPr>
      </w:pPr>
      <w:r w:rsidRPr="00B37335">
        <w:rPr>
          <w:rFonts w:ascii="Times New Roman" w:hAnsi="Times New Roman"/>
          <w:noProof/>
          <w:lang w:val="en-MY" w:eastAsia="en-MY"/>
        </w:rPr>
        <w:drawing>
          <wp:inline distT="0" distB="0" distL="0" distR="0" wp14:anchorId="14DB724C" wp14:editId="41BC9B03">
            <wp:extent cx="4859655" cy="3361055"/>
            <wp:effectExtent l="19050" t="19050" r="17145" b="10795"/>
            <wp:docPr id="1" name="Picture 1" descr="Figure 1 Number PEIA approved by ye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gure 1 Number PEIA approved by yea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9655" cy="3361055"/>
                    </a:xfrm>
                    <a:prstGeom prst="rect">
                      <a:avLst/>
                    </a:prstGeom>
                    <a:noFill/>
                    <a:ln>
                      <a:solidFill>
                        <a:schemeClr val="tx1"/>
                      </a:solidFill>
                    </a:ln>
                  </pic:spPr>
                </pic:pic>
              </a:graphicData>
            </a:graphic>
          </wp:inline>
        </w:drawing>
      </w:r>
    </w:p>
    <w:p w:rsidR="000241BA" w:rsidRDefault="000241BA" w:rsidP="00FB7846">
      <w:pPr>
        <w:jc w:val="center"/>
        <w:rPr>
          <w:rFonts w:ascii="Times New Roman" w:hAnsi="Times New Roman"/>
          <w:b/>
          <w:sz w:val="20"/>
          <w:szCs w:val="20"/>
        </w:rPr>
      </w:pPr>
    </w:p>
    <w:p w:rsidR="00DF06E9" w:rsidRPr="007A65EC" w:rsidRDefault="00DF06E9" w:rsidP="00FB7846">
      <w:pPr>
        <w:jc w:val="center"/>
        <w:rPr>
          <w:rFonts w:ascii="Times New Roman" w:hAnsi="Times New Roman"/>
          <w:sz w:val="20"/>
          <w:szCs w:val="20"/>
        </w:rPr>
      </w:pPr>
      <w:r w:rsidRPr="007A65EC">
        <w:rPr>
          <w:rFonts w:ascii="Times New Roman" w:hAnsi="Times New Roman"/>
          <w:b/>
          <w:sz w:val="20"/>
          <w:szCs w:val="20"/>
        </w:rPr>
        <w:t>Figure 1</w:t>
      </w:r>
      <w:r w:rsidR="007A65EC">
        <w:rPr>
          <w:rFonts w:ascii="Times New Roman" w:hAnsi="Times New Roman"/>
          <w:b/>
          <w:sz w:val="20"/>
          <w:szCs w:val="20"/>
        </w:rPr>
        <w:t>.</w:t>
      </w:r>
      <w:r w:rsidRPr="007A65EC">
        <w:rPr>
          <w:rFonts w:ascii="Times New Roman" w:hAnsi="Times New Roman"/>
          <w:sz w:val="20"/>
          <w:szCs w:val="20"/>
        </w:rPr>
        <w:t xml:space="preserve"> </w:t>
      </w:r>
      <w:r w:rsidR="000241BA">
        <w:rPr>
          <w:rFonts w:ascii="Times New Roman" w:hAnsi="Times New Roman"/>
          <w:sz w:val="20"/>
          <w:szCs w:val="20"/>
        </w:rPr>
        <w:t xml:space="preserve"> </w:t>
      </w:r>
      <w:r w:rsidRPr="007A65EC">
        <w:rPr>
          <w:rFonts w:ascii="Times New Roman" w:hAnsi="Times New Roman"/>
          <w:sz w:val="20"/>
          <w:szCs w:val="20"/>
        </w:rPr>
        <w:t>Number PEIA approved by year</w:t>
      </w:r>
    </w:p>
    <w:p w:rsidR="00622411" w:rsidRPr="00B37335" w:rsidRDefault="00622411" w:rsidP="00FB7846">
      <w:pPr>
        <w:jc w:val="both"/>
        <w:rPr>
          <w:rFonts w:ascii="Times New Roman" w:hAnsi="Times New Roman"/>
        </w:rPr>
      </w:pPr>
    </w:p>
    <w:p w:rsidR="002B24FE" w:rsidRPr="00B37335" w:rsidRDefault="002C4E2A" w:rsidP="00FB7846">
      <w:pPr>
        <w:jc w:val="both"/>
        <w:rPr>
          <w:rFonts w:ascii="Times New Roman" w:hAnsi="Times New Roman"/>
          <w:i/>
        </w:rPr>
      </w:pPr>
      <w:r w:rsidRPr="00B37335">
        <w:rPr>
          <w:rFonts w:ascii="Times New Roman" w:hAnsi="Times New Roman"/>
          <w:i/>
        </w:rPr>
        <w:t>The majority of the approved projects are agricultural projects</w:t>
      </w:r>
    </w:p>
    <w:p w:rsidR="002C4E2A" w:rsidRPr="00B37335" w:rsidRDefault="002C4E2A" w:rsidP="00FB7846">
      <w:pPr>
        <w:jc w:val="both"/>
        <w:rPr>
          <w:rFonts w:ascii="Times New Roman" w:hAnsi="Times New Roman"/>
        </w:rPr>
      </w:pPr>
    </w:p>
    <w:p w:rsidR="00015CF3" w:rsidRPr="00B37335" w:rsidRDefault="002B24FE" w:rsidP="00FB7846">
      <w:pPr>
        <w:jc w:val="both"/>
        <w:rPr>
          <w:rFonts w:ascii="Times New Roman" w:hAnsi="Times New Roman"/>
        </w:rPr>
      </w:pPr>
      <w:r w:rsidRPr="00B37335">
        <w:rPr>
          <w:rFonts w:ascii="Times New Roman" w:hAnsi="Times New Roman"/>
        </w:rPr>
        <w:t>The majority of the approved projects are agricultural projects (replanting and new plantations of rubber and oil palm) as well as logging a total of 78.4%.</w:t>
      </w:r>
      <w:r w:rsidR="00CB72B6" w:rsidRPr="00B37335">
        <w:rPr>
          <w:rFonts w:ascii="Times New Roman" w:hAnsi="Times New Roman"/>
        </w:rPr>
        <w:t xml:space="preserve"> </w:t>
      </w:r>
      <w:r w:rsidRPr="00B37335">
        <w:rPr>
          <w:rFonts w:ascii="Times New Roman" w:hAnsi="Times New Roman"/>
        </w:rPr>
        <w:t>The scale of the project area is located in</w:t>
      </w:r>
      <w:r w:rsidR="002C4E2A" w:rsidRPr="00B37335">
        <w:rPr>
          <w:rFonts w:ascii="Times New Roman" w:hAnsi="Times New Roman"/>
        </w:rPr>
        <w:t xml:space="preserve"> approximately 500 hectares to 2</w:t>
      </w:r>
      <w:r w:rsidRPr="00B37335">
        <w:rPr>
          <w:rFonts w:ascii="Times New Roman" w:hAnsi="Times New Roman"/>
        </w:rPr>
        <w:t>,000 hectares.</w:t>
      </w:r>
      <w:r w:rsidR="00D715B6" w:rsidRPr="00B37335">
        <w:rPr>
          <w:rFonts w:ascii="Times New Roman" w:hAnsi="Times New Roman"/>
        </w:rPr>
        <w:t xml:space="preserve"> </w:t>
      </w:r>
      <w:r w:rsidRPr="00B37335">
        <w:rPr>
          <w:rFonts w:ascii="Times New Roman" w:hAnsi="Times New Roman"/>
        </w:rPr>
        <w:t>Agriculture and forestry projects appear to have dominated the list of approved EIA projects in Kelantan.</w:t>
      </w:r>
      <w:r w:rsidR="008D2AAA" w:rsidRPr="00B37335">
        <w:rPr>
          <w:rFonts w:ascii="Times New Roman" w:hAnsi="Times New Roman"/>
        </w:rPr>
        <w:t xml:space="preserve"> The increasing trend is seen rising around 2008 until 2014</w:t>
      </w:r>
      <w:r w:rsidR="008D4022" w:rsidRPr="00B37335">
        <w:rPr>
          <w:rFonts w:ascii="Times New Roman" w:hAnsi="Times New Roman"/>
        </w:rPr>
        <w:t xml:space="preserve"> (Table 1)</w:t>
      </w:r>
      <w:r w:rsidR="008D2AAA" w:rsidRPr="00B37335">
        <w:rPr>
          <w:rFonts w:ascii="Times New Roman" w:hAnsi="Times New Roman"/>
        </w:rPr>
        <w:t>.</w:t>
      </w:r>
    </w:p>
    <w:p w:rsidR="00DF06E9" w:rsidRPr="00B37335" w:rsidRDefault="00DF06E9" w:rsidP="00FB7846">
      <w:pPr>
        <w:jc w:val="both"/>
        <w:rPr>
          <w:rFonts w:ascii="Times New Roman" w:hAnsi="Times New Roman"/>
        </w:rPr>
      </w:pPr>
    </w:p>
    <w:p w:rsidR="000448C1" w:rsidRPr="007A65EC" w:rsidRDefault="00B84C57" w:rsidP="00FB7846">
      <w:pPr>
        <w:jc w:val="center"/>
        <w:rPr>
          <w:rFonts w:ascii="Times New Roman" w:hAnsi="Times New Roman"/>
          <w:sz w:val="20"/>
          <w:szCs w:val="20"/>
        </w:rPr>
      </w:pPr>
      <w:r w:rsidRPr="007A65EC">
        <w:rPr>
          <w:rFonts w:ascii="Times New Roman" w:hAnsi="Times New Roman"/>
          <w:b/>
          <w:sz w:val="20"/>
          <w:szCs w:val="20"/>
        </w:rPr>
        <w:t>Table 1</w:t>
      </w:r>
      <w:r w:rsidR="00DF06E9" w:rsidRPr="007A65EC">
        <w:rPr>
          <w:rFonts w:ascii="Times New Roman" w:hAnsi="Times New Roman"/>
          <w:b/>
          <w:sz w:val="20"/>
          <w:szCs w:val="20"/>
        </w:rPr>
        <w:t>.</w:t>
      </w:r>
      <w:r w:rsidR="00DF06E9" w:rsidRPr="007A65EC">
        <w:rPr>
          <w:rFonts w:ascii="Times New Roman" w:hAnsi="Times New Roman"/>
          <w:sz w:val="20"/>
          <w:szCs w:val="20"/>
        </w:rPr>
        <w:t xml:space="preserve"> </w:t>
      </w:r>
      <w:r w:rsidR="000241BA">
        <w:rPr>
          <w:rFonts w:ascii="Times New Roman" w:hAnsi="Times New Roman"/>
          <w:sz w:val="20"/>
          <w:szCs w:val="20"/>
        </w:rPr>
        <w:t xml:space="preserve"> </w:t>
      </w:r>
      <w:r w:rsidR="008D2AAA" w:rsidRPr="007A65EC">
        <w:rPr>
          <w:rFonts w:ascii="Times New Roman" w:hAnsi="Times New Roman"/>
          <w:sz w:val="20"/>
          <w:szCs w:val="20"/>
        </w:rPr>
        <w:t>Projects that have received the approval of the EIA</w:t>
      </w:r>
    </w:p>
    <w:p w:rsidR="0074022A" w:rsidRPr="00B37335" w:rsidRDefault="0074022A" w:rsidP="00FB7846">
      <w:pPr>
        <w:jc w:val="both"/>
        <w:rPr>
          <w:rFonts w:ascii="Times New Roman" w:hAnsi="Times New Roman"/>
        </w:rPr>
      </w:pPr>
    </w:p>
    <w:tbl>
      <w:tblPr>
        <w:tblW w:w="8281" w:type="dxa"/>
        <w:jc w:val="center"/>
        <w:tblLayout w:type="fixed"/>
        <w:tblLook w:val="0000" w:firstRow="0" w:lastRow="0" w:firstColumn="0" w:lastColumn="0" w:noHBand="0" w:noVBand="0"/>
      </w:tblPr>
      <w:tblGrid>
        <w:gridCol w:w="6644"/>
        <w:gridCol w:w="992"/>
        <w:gridCol w:w="645"/>
      </w:tblGrid>
      <w:tr w:rsidR="00B07097" w:rsidRPr="00453CB7" w:rsidTr="002A7927">
        <w:trPr>
          <w:trHeight w:val="305"/>
          <w:jc w:val="center"/>
        </w:trPr>
        <w:tc>
          <w:tcPr>
            <w:tcW w:w="6644" w:type="dxa"/>
            <w:tcBorders>
              <w:top w:val="single" w:sz="4" w:space="0" w:color="auto"/>
              <w:bottom w:val="single" w:sz="4" w:space="0" w:color="auto"/>
            </w:tcBorders>
            <w:shd w:val="clear" w:color="auto" w:fill="BDD6EE" w:themeFill="accent5" w:themeFillTint="66"/>
            <w:vAlign w:val="center"/>
          </w:tcPr>
          <w:p w:rsidR="00B07097" w:rsidRPr="00453CB7" w:rsidRDefault="000241BA" w:rsidP="00FB7846">
            <w:pPr>
              <w:contextualSpacing/>
              <w:jc w:val="both"/>
              <w:rPr>
                <w:rFonts w:ascii="Times New Roman" w:hAnsi="Times New Roman"/>
                <w:b/>
                <w:sz w:val="20"/>
                <w:szCs w:val="20"/>
                <w:lang w:val="ms-MY"/>
              </w:rPr>
            </w:pPr>
            <w:r>
              <w:rPr>
                <w:rFonts w:ascii="Times New Roman" w:hAnsi="Times New Roman"/>
                <w:b/>
                <w:sz w:val="20"/>
                <w:szCs w:val="20"/>
                <w:lang w:val="ms-MY"/>
              </w:rPr>
              <w:t>Type of a</w:t>
            </w:r>
            <w:r w:rsidR="00B07097" w:rsidRPr="00453CB7">
              <w:rPr>
                <w:rFonts w:ascii="Times New Roman" w:hAnsi="Times New Roman"/>
                <w:b/>
                <w:sz w:val="20"/>
                <w:szCs w:val="20"/>
                <w:lang w:val="ms-MY"/>
              </w:rPr>
              <w:t>ctivities</w:t>
            </w:r>
          </w:p>
        </w:tc>
        <w:tc>
          <w:tcPr>
            <w:tcW w:w="1637" w:type="dxa"/>
            <w:gridSpan w:val="2"/>
            <w:tcBorders>
              <w:top w:val="single" w:sz="4" w:space="0" w:color="auto"/>
              <w:bottom w:val="single" w:sz="4" w:space="0" w:color="auto"/>
            </w:tcBorders>
            <w:shd w:val="clear" w:color="auto" w:fill="BDD6EE" w:themeFill="accent5" w:themeFillTint="66"/>
            <w:vAlign w:val="center"/>
          </w:tcPr>
          <w:p w:rsidR="00B07097" w:rsidRPr="00453CB7" w:rsidRDefault="00B07097" w:rsidP="00FB7846">
            <w:pPr>
              <w:contextualSpacing/>
              <w:jc w:val="both"/>
              <w:rPr>
                <w:rFonts w:ascii="Times New Roman" w:hAnsi="Times New Roman"/>
                <w:b/>
                <w:sz w:val="20"/>
                <w:szCs w:val="20"/>
                <w:lang w:val="ms-MY"/>
              </w:rPr>
            </w:pPr>
            <w:r w:rsidRPr="00453CB7">
              <w:rPr>
                <w:rFonts w:ascii="Times New Roman" w:hAnsi="Times New Roman"/>
                <w:b/>
                <w:sz w:val="20"/>
                <w:szCs w:val="20"/>
                <w:lang w:val="ms-MY"/>
              </w:rPr>
              <w:t>Frequency</w:t>
            </w:r>
          </w:p>
        </w:tc>
      </w:tr>
      <w:tr w:rsidR="00B07097" w:rsidRPr="007A65EC" w:rsidTr="002A7927">
        <w:trPr>
          <w:trHeight w:val="290"/>
          <w:jc w:val="center"/>
        </w:trPr>
        <w:tc>
          <w:tcPr>
            <w:tcW w:w="6644" w:type="dxa"/>
            <w:tcBorders>
              <w:top w:val="single" w:sz="4" w:space="0" w:color="auto"/>
            </w:tcBorders>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 xml:space="preserve">Ferns </w:t>
            </w:r>
            <w:r w:rsidR="000241BA" w:rsidRPr="007A65EC">
              <w:rPr>
                <w:rFonts w:ascii="Times New Roman" w:hAnsi="Times New Roman"/>
                <w:color w:val="000000"/>
                <w:sz w:val="20"/>
                <w:szCs w:val="20"/>
                <w:lang w:val="ms-MY"/>
              </w:rPr>
              <w:t>rumohra asiantiformis plantation</w:t>
            </w:r>
          </w:p>
        </w:tc>
        <w:tc>
          <w:tcPr>
            <w:tcW w:w="992" w:type="dxa"/>
            <w:tcBorders>
              <w:top w:val="single" w:sz="4" w:space="0" w:color="auto"/>
            </w:tcBorders>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tcBorders>
              <w:top w:val="single" w:sz="4" w:space="0" w:color="auto"/>
            </w:tcBorders>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Fisheries</w:t>
            </w:r>
          </w:p>
        </w:tc>
        <w:tc>
          <w:tcPr>
            <w:tcW w:w="992" w:type="dxa"/>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w:t>
            </w:r>
          </w:p>
        </w:tc>
        <w:tc>
          <w:tcPr>
            <w:tcW w:w="645"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 xml:space="preserve">Forest </w:t>
            </w:r>
            <w:r w:rsidR="000241BA" w:rsidRPr="007A65EC">
              <w:rPr>
                <w:rFonts w:ascii="Times New Roman" w:hAnsi="Times New Roman"/>
                <w:color w:val="000000"/>
                <w:sz w:val="20"/>
                <w:szCs w:val="20"/>
                <w:lang w:val="ms-MY"/>
              </w:rPr>
              <w:t>enrichment/agriculture/equal</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12</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 xml:space="preserve">Forest </w:t>
            </w:r>
            <w:r w:rsidR="000241BA" w:rsidRPr="007A65EC">
              <w:rPr>
                <w:rFonts w:ascii="Times New Roman" w:hAnsi="Times New Roman"/>
                <w:color w:val="000000"/>
                <w:sz w:val="20"/>
                <w:szCs w:val="20"/>
                <w:lang w:val="ms-MY"/>
              </w:rPr>
              <w:t>timber plantation</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Housing</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w:t>
            </w:r>
          </w:p>
        </w:tc>
        <w:tc>
          <w:tcPr>
            <w:tcW w:w="645"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Industry</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Infrastructure</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13</w:t>
            </w:r>
          </w:p>
        </w:tc>
        <w:tc>
          <w:tcPr>
            <w:tcW w:w="645"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Integrated p</w:t>
            </w:r>
            <w:r w:rsidR="00B07097" w:rsidRPr="007A65EC">
              <w:rPr>
                <w:rFonts w:ascii="Times New Roman" w:hAnsi="Times New Roman"/>
                <w:color w:val="000000"/>
                <w:sz w:val="20"/>
                <w:szCs w:val="20"/>
                <w:lang w:val="ms-MY"/>
              </w:rPr>
              <w:t>lantation</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13</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Karas trees p</w:t>
            </w:r>
            <w:r w:rsidR="00B07097" w:rsidRPr="007A65EC">
              <w:rPr>
                <w:rFonts w:ascii="Times New Roman" w:hAnsi="Times New Roman"/>
                <w:color w:val="000000"/>
                <w:sz w:val="20"/>
                <w:szCs w:val="20"/>
                <w:lang w:val="ms-MY"/>
              </w:rPr>
              <w:t>lantation</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Logging/forest e</w:t>
            </w:r>
            <w:r w:rsidR="00B07097" w:rsidRPr="007A65EC">
              <w:rPr>
                <w:rFonts w:ascii="Times New Roman" w:hAnsi="Times New Roman"/>
                <w:color w:val="000000"/>
                <w:sz w:val="20"/>
                <w:szCs w:val="20"/>
                <w:lang w:val="ms-MY"/>
              </w:rPr>
              <w:t>nrichment</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6</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Mining</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3</w:t>
            </w:r>
          </w:p>
        </w:tc>
        <w:tc>
          <w:tcPr>
            <w:tcW w:w="645"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lastRenderedPageBreak/>
              <w:t xml:space="preserve">Oil </w:t>
            </w:r>
            <w:r w:rsidR="000241BA" w:rsidRPr="007A65EC">
              <w:rPr>
                <w:rFonts w:ascii="Times New Roman" w:hAnsi="Times New Roman"/>
                <w:color w:val="000000"/>
                <w:sz w:val="20"/>
                <w:szCs w:val="20"/>
                <w:lang w:val="ms-MY"/>
              </w:rPr>
              <w:t>palm plantation</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45</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tcPr>
          <w:p w:rsidR="00B07097" w:rsidRPr="000241BA" w:rsidRDefault="00B07097" w:rsidP="00FB7846">
            <w:pPr>
              <w:autoSpaceDE w:val="0"/>
              <w:autoSpaceDN w:val="0"/>
              <w:adjustRightInd w:val="0"/>
              <w:contextualSpacing/>
              <w:jc w:val="both"/>
              <w:rPr>
                <w:rFonts w:ascii="Times New Roman" w:hAnsi="Times New Roman"/>
                <w:i/>
                <w:color w:val="000000"/>
                <w:sz w:val="20"/>
                <w:szCs w:val="20"/>
                <w:lang w:val="ms-MY"/>
              </w:rPr>
            </w:pPr>
            <w:r w:rsidRPr="000241BA">
              <w:rPr>
                <w:rFonts w:ascii="Times New Roman" w:hAnsi="Times New Roman"/>
                <w:i/>
                <w:color w:val="000000"/>
                <w:sz w:val="20"/>
                <w:szCs w:val="20"/>
                <w:lang w:val="ms-MY"/>
              </w:rPr>
              <w:t xml:space="preserve">Pembangunan </w:t>
            </w:r>
            <w:r w:rsidR="000241BA" w:rsidRPr="000241BA">
              <w:rPr>
                <w:rFonts w:ascii="Times New Roman" w:hAnsi="Times New Roman"/>
                <w:i/>
                <w:color w:val="000000"/>
                <w:sz w:val="20"/>
                <w:szCs w:val="20"/>
                <w:lang w:val="ms-MY"/>
              </w:rPr>
              <w:t>ladang ternakan lembu pedaging dan per</w:t>
            </w:r>
            <w:r w:rsidRPr="000241BA">
              <w:rPr>
                <w:rFonts w:ascii="Times New Roman" w:hAnsi="Times New Roman"/>
                <w:i/>
                <w:color w:val="000000"/>
                <w:sz w:val="20"/>
                <w:szCs w:val="20"/>
                <w:lang w:val="ms-MY"/>
              </w:rPr>
              <w:t>tanian</w:t>
            </w:r>
          </w:p>
        </w:tc>
        <w:tc>
          <w:tcPr>
            <w:tcW w:w="992" w:type="dxa"/>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w:t>
            </w:r>
          </w:p>
        </w:tc>
        <w:tc>
          <w:tcPr>
            <w:tcW w:w="645"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Petroleum</w:t>
            </w:r>
          </w:p>
        </w:tc>
        <w:tc>
          <w:tcPr>
            <w:tcW w:w="992" w:type="dxa"/>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5</w:t>
            </w:r>
          </w:p>
        </w:tc>
        <w:tc>
          <w:tcPr>
            <w:tcW w:w="645"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 xml:space="preserve">Power </w:t>
            </w:r>
            <w:r w:rsidR="000241BA" w:rsidRPr="007A65EC">
              <w:rPr>
                <w:rFonts w:ascii="Times New Roman" w:hAnsi="Times New Roman"/>
                <w:color w:val="000000"/>
                <w:sz w:val="20"/>
                <w:szCs w:val="20"/>
                <w:lang w:val="ms-MY"/>
              </w:rPr>
              <w:t>generation and tra</w:t>
            </w:r>
            <w:r w:rsidRPr="007A65EC">
              <w:rPr>
                <w:rFonts w:ascii="Times New Roman" w:hAnsi="Times New Roman"/>
                <w:color w:val="000000"/>
                <w:sz w:val="20"/>
                <w:szCs w:val="20"/>
                <w:lang w:val="ms-MY"/>
              </w:rPr>
              <w:t>nsmission</w:t>
            </w:r>
          </w:p>
        </w:tc>
        <w:tc>
          <w:tcPr>
            <w:tcW w:w="992" w:type="dxa"/>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w:t>
            </w:r>
          </w:p>
        </w:tc>
        <w:tc>
          <w:tcPr>
            <w:tcW w:w="645"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Quarries</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12</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 xml:space="preserve">Resort </w:t>
            </w:r>
            <w:r w:rsidR="000241BA" w:rsidRPr="007A65EC">
              <w:rPr>
                <w:rFonts w:ascii="Times New Roman" w:hAnsi="Times New Roman"/>
                <w:color w:val="000000"/>
                <w:sz w:val="20"/>
                <w:szCs w:val="20"/>
                <w:lang w:val="ms-MY"/>
              </w:rPr>
              <w:t>and recreational development</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3</w:t>
            </w:r>
          </w:p>
        </w:tc>
        <w:tc>
          <w:tcPr>
            <w:tcW w:w="645"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shd w:val="clear" w:color="auto" w:fill="FFFFFF" w:themeFill="background1"/>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Teak forest p</w:t>
            </w:r>
            <w:r w:rsidR="00B07097" w:rsidRPr="007A65EC">
              <w:rPr>
                <w:rFonts w:ascii="Times New Roman" w:hAnsi="Times New Roman"/>
                <w:color w:val="000000"/>
                <w:sz w:val="20"/>
                <w:szCs w:val="20"/>
                <w:lang w:val="ms-MY"/>
              </w:rPr>
              <w:t>lantation</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TLC a</w:t>
            </w:r>
            <w:r w:rsidRPr="007A65EC">
              <w:rPr>
                <w:rFonts w:ascii="Times New Roman" w:hAnsi="Times New Roman"/>
                <w:color w:val="000000"/>
                <w:sz w:val="20"/>
                <w:szCs w:val="20"/>
                <w:lang w:val="ms-MY"/>
              </w:rPr>
              <w:t>nd oil palm</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3</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shd w:val="clear" w:color="auto" w:fill="FFFFFF" w:themeFill="background1"/>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TL</w:t>
            </w:r>
            <w:r w:rsidR="000241BA">
              <w:rPr>
                <w:rFonts w:ascii="Times New Roman" w:hAnsi="Times New Roman"/>
                <w:color w:val="000000"/>
                <w:sz w:val="20"/>
                <w:szCs w:val="20"/>
                <w:lang w:val="ms-MY"/>
              </w:rPr>
              <w:t>C/TLC reforestation/TLC forest e</w:t>
            </w:r>
            <w:r w:rsidRPr="007A65EC">
              <w:rPr>
                <w:rFonts w:ascii="Times New Roman" w:hAnsi="Times New Roman"/>
                <w:color w:val="000000"/>
                <w:sz w:val="20"/>
                <w:szCs w:val="20"/>
                <w:lang w:val="ms-MY"/>
              </w:rPr>
              <w:t>nrichment</w:t>
            </w:r>
          </w:p>
        </w:tc>
        <w:tc>
          <w:tcPr>
            <w:tcW w:w="992" w:type="dxa"/>
            <w:shd w:val="clear" w:color="auto" w:fill="FFFFFF" w:themeFill="background1"/>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90</w:t>
            </w:r>
          </w:p>
        </w:tc>
        <w:tc>
          <w:tcPr>
            <w:tcW w:w="645" w:type="dxa"/>
            <w:shd w:val="clear" w:color="auto" w:fill="FFFFFF" w:themeFill="background1"/>
          </w:tcPr>
          <w:p w:rsidR="00B07097" w:rsidRPr="007A65EC" w:rsidRDefault="00C355AE"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w:t>
            </w:r>
          </w:p>
        </w:tc>
      </w:tr>
      <w:tr w:rsidR="00B07097" w:rsidRPr="007A65EC" w:rsidTr="002A7927">
        <w:trPr>
          <w:trHeight w:val="290"/>
          <w:jc w:val="center"/>
        </w:trPr>
        <w:tc>
          <w:tcPr>
            <w:tcW w:w="6644"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r w:rsidRPr="007A65EC">
              <w:rPr>
                <w:rFonts w:ascii="Times New Roman" w:hAnsi="Times New Roman"/>
                <w:color w:val="000000"/>
                <w:sz w:val="20"/>
                <w:szCs w:val="20"/>
                <w:lang w:val="ms-MY"/>
              </w:rPr>
              <w:t>Vegetables</w:t>
            </w:r>
          </w:p>
        </w:tc>
        <w:tc>
          <w:tcPr>
            <w:tcW w:w="992" w:type="dxa"/>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r w:rsidR="00B07097" w:rsidRPr="007A65EC" w:rsidTr="002A7927">
        <w:trPr>
          <w:trHeight w:val="290"/>
          <w:jc w:val="center"/>
        </w:trPr>
        <w:tc>
          <w:tcPr>
            <w:tcW w:w="6644" w:type="dxa"/>
            <w:tcBorders>
              <w:bottom w:val="single" w:sz="6" w:space="0" w:color="auto"/>
            </w:tcBorders>
          </w:tcPr>
          <w:p w:rsidR="00B07097" w:rsidRPr="007A65EC" w:rsidRDefault="000241BA" w:rsidP="00FB7846">
            <w:pPr>
              <w:autoSpaceDE w:val="0"/>
              <w:autoSpaceDN w:val="0"/>
              <w:adjustRightInd w:val="0"/>
              <w:contextualSpacing/>
              <w:jc w:val="both"/>
              <w:rPr>
                <w:rFonts w:ascii="Times New Roman" w:hAnsi="Times New Roman"/>
                <w:color w:val="000000"/>
                <w:sz w:val="20"/>
                <w:szCs w:val="20"/>
                <w:lang w:val="ms-MY"/>
              </w:rPr>
            </w:pPr>
            <w:r>
              <w:rPr>
                <w:rFonts w:ascii="Times New Roman" w:hAnsi="Times New Roman"/>
                <w:color w:val="000000"/>
                <w:sz w:val="20"/>
                <w:szCs w:val="20"/>
                <w:lang w:val="ms-MY"/>
              </w:rPr>
              <w:t>Water s</w:t>
            </w:r>
            <w:r w:rsidR="00B07097" w:rsidRPr="007A65EC">
              <w:rPr>
                <w:rFonts w:ascii="Times New Roman" w:hAnsi="Times New Roman"/>
                <w:color w:val="000000"/>
                <w:sz w:val="20"/>
                <w:szCs w:val="20"/>
                <w:lang w:val="ms-MY"/>
              </w:rPr>
              <w:t>upply</w:t>
            </w:r>
          </w:p>
        </w:tc>
        <w:tc>
          <w:tcPr>
            <w:tcW w:w="992" w:type="dxa"/>
            <w:tcBorders>
              <w:bottom w:val="single" w:sz="6" w:space="0" w:color="auto"/>
            </w:tcBorders>
          </w:tcPr>
          <w:p w:rsidR="00B07097" w:rsidRPr="007A65EC" w:rsidRDefault="00B07097" w:rsidP="00FB7846">
            <w:pPr>
              <w:autoSpaceDE w:val="0"/>
              <w:autoSpaceDN w:val="0"/>
              <w:adjustRightInd w:val="0"/>
              <w:contextualSpacing/>
              <w:jc w:val="center"/>
              <w:rPr>
                <w:rFonts w:ascii="Times New Roman" w:hAnsi="Times New Roman"/>
                <w:color w:val="000000"/>
                <w:sz w:val="20"/>
                <w:szCs w:val="20"/>
                <w:lang w:val="ms-MY"/>
              </w:rPr>
            </w:pPr>
            <w:r w:rsidRPr="007A65EC">
              <w:rPr>
                <w:rFonts w:ascii="Times New Roman" w:hAnsi="Times New Roman"/>
                <w:color w:val="000000"/>
                <w:sz w:val="20"/>
                <w:szCs w:val="20"/>
                <w:lang w:val="ms-MY"/>
              </w:rPr>
              <w:t>2</w:t>
            </w:r>
          </w:p>
        </w:tc>
        <w:tc>
          <w:tcPr>
            <w:tcW w:w="645" w:type="dxa"/>
            <w:tcBorders>
              <w:bottom w:val="single" w:sz="6" w:space="0" w:color="auto"/>
            </w:tcBorders>
          </w:tcPr>
          <w:p w:rsidR="00B07097" w:rsidRPr="007A65EC" w:rsidRDefault="00B07097" w:rsidP="00FB7846">
            <w:pPr>
              <w:autoSpaceDE w:val="0"/>
              <w:autoSpaceDN w:val="0"/>
              <w:adjustRightInd w:val="0"/>
              <w:contextualSpacing/>
              <w:jc w:val="both"/>
              <w:rPr>
                <w:rFonts w:ascii="Times New Roman" w:hAnsi="Times New Roman"/>
                <w:color w:val="000000"/>
                <w:sz w:val="20"/>
                <w:szCs w:val="20"/>
                <w:lang w:val="ms-MY"/>
              </w:rPr>
            </w:pPr>
          </w:p>
        </w:tc>
      </w:tr>
    </w:tbl>
    <w:p w:rsidR="00453CB7" w:rsidRDefault="00C355AE" w:rsidP="00FB7846">
      <w:pPr>
        <w:ind w:left="540"/>
        <w:jc w:val="both"/>
        <w:rPr>
          <w:rFonts w:ascii="Times New Roman" w:hAnsi="Times New Roman"/>
          <w:sz w:val="20"/>
          <w:szCs w:val="20"/>
        </w:rPr>
      </w:pPr>
      <w:r w:rsidRPr="007A65EC">
        <w:rPr>
          <w:rFonts w:ascii="Times New Roman" w:hAnsi="Times New Roman"/>
          <w:sz w:val="20"/>
          <w:szCs w:val="20"/>
        </w:rPr>
        <w:t xml:space="preserve">* </w:t>
      </w:r>
      <w:r w:rsidRPr="007A65EC">
        <w:rPr>
          <w:rFonts w:ascii="Times New Roman" w:hAnsi="Times New Roman"/>
          <w:sz w:val="20"/>
          <w:szCs w:val="20"/>
        </w:rPr>
        <w:tab/>
      </w:r>
      <w:r w:rsidR="008D2AAA" w:rsidRPr="007A65EC">
        <w:rPr>
          <w:rFonts w:ascii="Times New Roman" w:hAnsi="Times New Roman"/>
          <w:sz w:val="20"/>
          <w:szCs w:val="20"/>
        </w:rPr>
        <w:t xml:space="preserve">Agriculture involves replanting, clearing and logging forest reserve                              </w:t>
      </w:r>
    </w:p>
    <w:p w:rsidR="00946019" w:rsidRDefault="000241BA" w:rsidP="00FB7846">
      <w:pPr>
        <w:ind w:left="540"/>
        <w:jc w:val="both"/>
        <w:rPr>
          <w:rFonts w:ascii="Times New Roman" w:hAnsi="Times New Roman"/>
          <w:sz w:val="20"/>
          <w:szCs w:val="20"/>
        </w:rPr>
      </w:pPr>
      <w:r>
        <w:rPr>
          <w:rFonts w:ascii="Times New Roman" w:hAnsi="Times New Roman"/>
          <w:sz w:val="20"/>
          <w:szCs w:val="20"/>
        </w:rPr>
        <w:t xml:space="preserve">** </w:t>
      </w:r>
      <w:r w:rsidR="008D2AAA" w:rsidRPr="007A65EC">
        <w:rPr>
          <w:rFonts w:ascii="Times New Roman" w:hAnsi="Times New Roman"/>
          <w:sz w:val="20"/>
          <w:szCs w:val="20"/>
        </w:rPr>
        <w:t>Quarrying of sand, stone and laterite</w:t>
      </w:r>
    </w:p>
    <w:p w:rsidR="00DF06E9" w:rsidRPr="00B37335" w:rsidRDefault="00DF06E9" w:rsidP="00FB7846">
      <w:pPr>
        <w:jc w:val="both"/>
        <w:rPr>
          <w:rFonts w:ascii="Times New Roman" w:hAnsi="Times New Roman"/>
        </w:rPr>
      </w:pPr>
    </w:p>
    <w:p w:rsidR="008D2AAA" w:rsidRPr="00B37335" w:rsidRDefault="008D2AAA" w:rsidP="00FB7846">
      <w:pPr>
        <w:jc w:val="both"/>
        <w:rPr>
          <w:rFonts w:ascii="Times New Roman" w:hAnsi="Times New Roman"/>
          <w:i/>
        </w:rPr>
      </w:pPr>
      <w:r w:rsidRPr="00B37335">
        <w:rPr>
          <w:rFonts w:ascii="Times New Roman" w:hAnsi="Times New Roman"/>
          <w:i/>
        </w:rPr>
        <w:t xml:space="preserve">The time period for approval of the EIA report </w:t>
      </w:r>
      <w:r w:rsidR="002C4E2A" w:rsidRPr="00B37335">
        <w:rPr>
          <w:rFonts w:ascii="Times New Roman" w:hAnsi="Times New Roman"/>
          <w:i/>
        </w:rPr>
        <w:t>was less than two (2) months</w:t>
      </w:r>
    </w:p>
    <w:p w:rsidR="002C4E2A" w:rsidRPr="00B37335" w:rsidRDefault="002C4E2A" w:rsidP="00FB7846">
      <w:pPr>
        <w:jc w:val="both"/>
        <w:rPr>
          <w:rFonts w:ascii="Times New Roman" w:hAnsi="Times New Roman"/>
          <w:b/>
          <w:i/>
        </w:rPr>
      </w:pPr>
    </w:p>
    <w:p w:rsidR="0059251B" w:rsidRPr="00B37335" w:rsidRDefault="008D2AAA" w:rsidP="00FB7846">
      <w:pPr>
        <w:jc w:val="both"/>
        <w:rPr>
          <w:rFonts w:ascii="Times New Roman" w:hAnsi="Times New Roman"/>
        </w:rPr>
      </w:pPr>
      <w:r w:rsidRPr="00B37335">
        <w:rPr>
          <w:rFonts w:ascii="Times New Roman" w:hAnsi="Times New Roman"/>
        </w:rPr>
        <w:t>EIA approval period in Kelantan for the period 2010-2015 was less than two (2) months</w:t>
      </w:r>
      <w:r w:rsidR="008D4022" w:rsidRPr="00B37335">
        <w:rPr>
          <w:rFonts w:ascii="Times New Roman" w:hAnsi="Times New Roman"/>
        </w:rPr>
        <w:t xml:space="preserve"> (Figure 2)</w:t>
      </w:r>
      <w:r w:rsidRPr="00B37335">
        <w:rPr>
          <w:rFonts w:ascii="Times New Roman" w:hAnsi="Times New Roman"/>
        </w:rPr>
        <w:t>.</w:t>
      </w:r>
      <w:r w:rsidR="0086321A" w:rsidRPr="00B37335">
        <w:rPr>
          <w:rFonts w:ascii="Times New Roman" w:hAnsi="Times New Roman"/>
        </w:rPr>
        <w:t xml:space="preserve"> </w:t>
      </w:r>
      <w:r w:rsidRPr="00B37335">
        <w:rPr>
          <w:rFonts w:ascii="Times New Roman" w:hAnsi="Times New Roman"/>
        </w:rPr>
        <w:t>The time period for approval of the EIA plays an important role in a project, as if a long period of time it can take to contribute to the</w:t>
      </w:r>
      <w:r w:rsidR="0062676E" w:rsidRPr="00B37335">
        <w:rPr>
          <w:rFonts w:ascii="Times New Roman" w:hAnsi="Times New Roman"/>
        </w:rPr>
        <w:t xml:space="preserve"> increasing of</w:t>
      </w:r>
      <w:r w:rsidRPr="00B37335">
        <w:rPr>
          <w:rFonts w:ascii="Times New Roman" w:hAnsi="Times New Roman"/>
        </w:rPr>
        <w:t xml:space="preserve"> operating costs of a project, and this is not liked by the project developer.</w:t>
      </w:r>
      <w:r w:rsidR="0062676E" w:rsidRPr="00B37335">
        <w:rPr>
          <w:rFonts w:ascii="Times New Roman" w:hAnsi="Times New Roman"/>
        </w:rPr>
        <w:t xml:space="preserve"> The length of time taken to determine a decision also reflects the efficiency of interested parties (DOE).</w:t>
      </w:r>
    </w:p>
    <w:p w:rsidR="0062676E" w:rsidRPr="00B37335" w:rsidRDefault="0062676E" w:rsidP="00FB7846">
      <w:pPr>
        <w:jc w:val="both"/>
        <w:rPr>
          <w:rFonts w:ascii="Times New Roman" w:hAnsi="Times New Roman"/>
        </w:rPr>
      </w:pPr>
    </w:p>
    <w:p w:rsidR="0059251B" w:rsidRPr="00B37335" w:rsidRDefault="00C52CB9" w:rsidP="00FB7846">
      <w:pPr>
        <w:jc w:val="center"/>
        <w:rPr>
          <w:rFonts w:ascii="Times New Roman" w:hAnsi="Times New Roman"/>
        </w:rPr>
      </w:pPr>
      <w:r w:rsidRPr="00B37335">
        <w:rPr>
          <w:rFonts w:ascii="Times New Roman" w:hAnsi="Times New Roman"/>
          <w:noProof/>
          <w:lang w:val="en-MY" w:eastAsia="en-MY"/>
        </w:rPr>
        <w:drawing>
          <wp:inline distT="0" distB="0" distL="0" distR="0" wp14:anchorId="7B938DEA" wp14:editId="66B84351">
            <wp:extent cx="5136543" cy="3307743"/>
            <wp:effectExtent l="19050" t="19050" r="26035" b="26035"/>
            <wp:docPr id="2" name="Picture 2" descr="Figure 2 The length of time for approval of the EIA report for the period 2010-2015 in Kelant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gure 2 The length of time for approval of the EIA report for the period 2010-2015 in Kelantan"/>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5745" cy="3307229"/>
                    </a:xfrm>
                    <a:prstGeom prst="rect">
                      <a:avLst/>
                    </a:prstGeom>
                    <a:noFill/>
                    <a:ln>
                      <a:solidFill>
                        <a:schemeClr val="tx1"/>
                      </a:solidFill>
                    </a:ln>
                  </pic:spPr>
                </pic:pic>
              </a:graphicData>
            </a:graphic>
          </wp:inline>
        </w:drawing>
      </w:r>
    </w:p>
    <w:p w:rsidR="006C1411" w:rsidRDefault="006C1411" w:rsidP="00FB7846">
      <w:pPr>
        <w:jc w:val="center"/>
        <w:rPr>
          <w:rFonts w:ascii="Times New Roman" w:hAnsi="Times New Roman"/>
          <w:b/>
          <w:sz w:val="20"/>
          <w:szCs w:val="20"/>
        </w:rPr>
      </w:pPr>
    </w:p>
    <w:p w:rsidR="00DF06E9" w:rsidRDefault="00DF06E9" w:rsidP="00FB7846">
      <w:pPr>
        <w:jc w:val="center"/>
        <w:rPr>
          <w:rFonts w:ascii="Times New Roman" w:hAnsi="Times New Roman"/>
          <w:sz w:val="20"/>
          <w:szCs w:val="20"/>
        </w:rPr>
      </w:pPr>
      <w:r w:rsidRPr="006C1411">
        <w:rPr>
          <w:rFonts w:ascii="Times New Roman" w:hAnsi="Times New Roman"/>
          <w:b/>
          <w:sz w:val="20"/>
          <w:szCs w:val="20"/>
        </w:rPr>
        <w:t>Figure 2</w:t>
      </w:r>
      <w:r w:rsidR="006C1411">
        <w:rPr>
          <w:rFonts w:ascii="Times New Roman" w:hAnsi="Times New Roman"/>
          <w:sz w:val="20"/>
          <w:szCs w:val="20"/>
        </w:rPr>
        <w:t xml:space="preserve">. </w:t>
      </w:r>
      <w:r w:rsidRPr="006C1411">
        <w:rPr>
          <w:rFonts w:ascii="Times New Roman" w:hAnsi="Times New Roman"/>
          <w:sz w:val="20"/>
          <w:szCs w:val="20"/>
        </w:rPr>
        <w:t>The length of time for approval of the EIA report for the period 2010-2015 in Kelantan</w:t>
      </w:r>
    </w:p>
    <w:p w:rsidR="007A69F4" w:rsidRDefault="007A69F4" w:rsidP="00FB7846">
      <w:pPr>
        <w:jc w:val="center"/>
        <w:rPr>
          <w:rFonts w:ascii="Times New Roman" w:hAnsi="Times New Roman"/>
          <w:sz w:val="20"/>
          <w:szCs w:val="20"/>
        </w:rPr>
      </w:pPr>
    </w:p>
    <w:p w:rsidR="0062676E" w:rsidRPr="00B37335" w:rsidRDefault="002C4E2A" w:rsidP="00FB7846">
      <w:pPr>
        <w:jc w:val="both"/>
        <w:rPr>
          <w:rFonts w:ascii="Times New Roman" w:hAnsi="Times New Roman"/>
          <w:i/>
        </w:rPr>
      </w:pPr>
      <w:r w:rsidRPr="00B37335">
        <w:rPr>
          <w:rFonts w:ascii="Times New Roman" w:hAnsi="Times New Roman"/>
          <w:i/>
        </w:rPr>
        <w:t>Gua Musang has high approved EIA projects</w:t>
      </w:r>
    </w:p>
    <w:p w:rsidR="002C4E2A" w:rsidRPr="00B37335" w:rsidRDefault="002C4E2A" w:rsidP="00FB7846">
      <w:pPr>
        <w:jc w:val="both"/>
        <w:rPr>
          <w:rFonts w:ascii="Times New Roman" w:hAnsi="Times New Roman"/>
          <w:b/>
          <w:i/>
        </w:rPr>
      </w:pPr>
    </w:p>
    <w:p w:rsidR="006D5925" w:rsidRDefault="0062676E" w:rsidP="00FB7846">
      <w:pPr>
        <w:jc w:val="both"/>
        <w:rPr>
          <w:rFonts w:ascii="Times New Roman" w:hAnsi="Times New Roman"/>
        </w:rPr>
      </w:pPr>
      <w:r w:rsidRPr="00B37335">
        <w:rPr>
          <w:rFonts w:ascii="Times New Roman" w:hAnsi="Times New Roman"/>
        </w:rPr>
        <w:t>The st</w:t>
      </w:r>
      <w:r w:rsidR="00A335F8" w:rsidRPr="00B37335">
        <w:rPr>
          <w:rFonts w:ascii="Times New Roman" w:hAnsi="Times New Roman"/>
        </w:rPr>
        <w:t xml:space="preserve">udy found that Gua Musang </w:t>
      </w:r>
      <w:r w:rsidR="00017C69" w:rsidRPr="00B37335">
        <w:rPr>
          <w:rFonts w:ascii="Times New Roman" w:hAnsi="Times New Roman"/>
        </w:rPr>
        <w:t>has high</w:t>
      </w:r>
      <w:r w:rsidRPr="00B37335">
        <w:rPr>
          <w:rFonts w:ascii="Times New Roman" w:hAnsi="Times New Roman"/>
        </w:rPr>
        <w:t xml:space="preserve"> approved EIA projects in number </w:t>
      </w:r>
      <w:r w:rsidR="00017C69" w:rsidRPr="00B37335">
        <w:rPr>
          <w:rFonts w:ascii="Times New Roman" w:hAnsi="Times New Roman"/>
        </w:rPr>
        <w:t>of 149</w:t>
      </w:r>
      <w:r w:rsidRPr="00B37335">
        <w:rPr>
          <w:rFonts w:ascii="Times New Roman" w:hAnsi="Times New Roman"/>
        </w:rPr>
        <w:t xml:space="preserve"> projects.</w:t>
      </w:r>
      <w:r w:rsidR="001B210E" w:rsidRPr="00B37335">
        <w:rPr>
          <w:rFonts w:ascii="Times New Roman" w:hAnsi="Times New Roman"/>
        </w:rPr>
        <w:t xml:space="preserve"> </w:t>
      </w:r>
      <w:r w:rsidR="00A335F8" w:rsidRPr="00B37335">
        <w:rPr>
          <w:rFonts w:ascii="Times New Roman" w:hAnsi="Times New Roman"/>
        </w:rPr>
        <w:t>The majority of projects are plantations, agriculture and forestry, which represents more than 80% of the project that received EIA approval</w:t>
      </w:r>
      <w:r w:rsidR="008D4022" w:rsidRPr="00B37335">
        <w:rPr>
          <w:rFonts w:ascii="Times New Roman" w:hAnsi="Times New Roman"/>
        </w:rPr>
        <w:t xml:space="preserve"> (Table 2)</w:t>
      </w:r>
      <w:r w:rsidR="00A335F8" w:rsidRPr="00B37335">
        <w:rPr>
          <w:rFonts w:ascii="Times New Roman" w:hAnsi="Times New Roman"/>
        </w:rPr>
        <w:t>.</w:t>
      </w:r>
    </w:p>
    <w:p w:rsidR="006F13D7" w:rsidRPr="00B37335" w:rsidRDefault="006F13D7" w:rsidP="00FB7846">
      <w:pPr>
        <w:jc w:val="both"/>
        <w:rPr>
          <w:rFonts w:ascii="Times New Roman" w:hAnsi="Times New Roman"/>
        </w:rPr>
      </w:pPr>
    </w:p>
    <w:p w:rsidR="002C4E2A" w:rsidRPr="003838C5" w:rsidRDefault="00B84C57" w:rsidP="00FB7846">
      <w:pPr>
        <w:jc w:val="center"/>
        <w:rPr>
          <w:rFonts w:ascii="Times New Roman" w:hAnsi="Times New Roman"/>
          <w:sz w:val="20"/>
          <w:szCs w:val="20"/>
        </w:rPr>
      </w:pPr>
      <w:r w:rsidRPr="003838C5">
        <w:rPr>
          <w:rFonts w:ascii="Times New Roman" w:hAnsi="Times New Roman"/>
          <w:b/>
          <w:sz w:val="20"/>
          <w:szCs w:val="20"/>
        </w:rPr>
        <w:lastRenderedPageBreak/>
        <w:t>Table</w:t>
      </w:r>
      <w:r w:rsidR="002C4E2A" w:rsidRPr="003838C5">
        <w:rPr>
          <w:rFonts w:ascii="Times New Roman" w:hAnsi="Times New Roman"/>
          <w:b/>
          <w:sz w:val="20"/>
          <w:szCs w:val="20"/>
        </w:rPr>
        <w:t xml:space="preserve"> </w:t>
      </w:r>
      <w:r w:rsidR="00DF06E9" w:rsidRPr="003838C5">
        <w:rPr>
          <w:rFonts w:ascii="Times New Roman" w:hAnsi="Times New Roman"/>
          <w:b/>
          <w:sz w:val="20"/>
          <w:szCs w:val="20"/>
        </w:rPr>
        <w:t>2.</w:t>
      </w:r>
      <w:r w:rsidR="002C4E2A" w:rsidRPr="003838C5">
        <w:rPr>
          <w:rFonts w:ascii="Times New Roman" w:hAnsi="Times New Roman"/>
          <w:sz w:val="20"/>
          <w:szCs w:val="20"/>
        </w:rPr>
        <w:t xml:space="preserve"> </w:t>
      </w:r>
      <w:r w:rsidR="000241BA">
        <w:rPr>
          <w:rFonts w:ascii="Times New Roman" w:hAnsi="Times New Roman"/>
          <w:sz w:val="20"/>
          <w:szCs w:val="20"/>
        </w:rPr>
        <w:t xml:space="preserve"> </w:t>
      </w:r>
      <w:r w:rsidR="002C4E2A" w:rsidRPr="003838C5">
        <w:rPr>
          <w:rFonts w:ascii="Times New Roman" w:hAnsi="Times New Roman"/>
          <w:sz w:val="20"/>
          <w:szCs w:val="20"/>
        </w:rPr>
        <w:t>List of project</w:t>
      </w:r>
      <w:r w:rsidR="00DF06E9" w:rsidRPr="003838C5">
        <w:rPr>
          <w:rFonts w:ascii="Times New Roman" w:hAnsi="Times New Roman"/>
          <w:sz w:val="20"/>
          <w:szCs w:val="20"/>
        </w:rPr>
        <w:t>s</w:t>
      </w:r>
      <w:r w:rsidR="002C4E2A" w:rsidRPr="003838C5">
        <w:rPr>
          <w:rFonts w:ascii="Times New Roman" w:hAnsi="Times New Roman"/>
          <w:sz w:val="20"/>
          <w:szCs w:val="20"/>
        </w:rPr>
        <w:t xml:space="preserve"> received EIA approval in Gua Musang, Kuala Krai and Tanah Merah</w:t>
      </w:r>
    </w:p>
    <w:p w:rsidR="002C4E2A" w:rsidRPr="00B37335" w:rsidRDefault="002C4E2A" w:rsidP="00FB7846">
      <w:pPr>
        <w:jc w:val="both"/>
        <w:rPr>
          <w:rFonts w:ascii="Times New Roman" w:hAnsi="Times New Roman"/>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84"/>
        <w:gridCol w:w="1904"/>
        <w:gridCol w:w="2666"/>
      </w:tblGrid>
      <w:tr w:rsidR="006D5925" w:rsidRPr="003838C5" w:rsidTr="002A7927">
        <w:trPr>
          <w:jc w:val="center"/>
        </w:trPr>
        <w:tc>
          <w:tcPr>
            <w:tcW w:w="1998" w:type="dxa"/>
            <w:vMerge w:val="restart"/>
            <w:tcBorders>
              <w:top w:val="single" w:sz="4" w:space="0" w:color="auto"/>
              <w:left w:val="nil"/>
              <w:bottom w:val="single" w:sz="4" w:space="0" w:color="auto"/>
              <w:right w:val="nil"/>
            </w:tcBorders>
            <w:shd w:val="clear" w:color="auto" w:fill="BDD6EE" w:themeFill="accent5" w:themeFillTint="66"/>
            <w:vAlign w:val="center"/>
          </w:tcPr>
          <w:p w:rsidR="006D5925" w:rsidRPr="003838C5" w:rsidRDefault="00106B4C" w:rsidP="00FB7846">
            <w:pPr>
              <w:jc w:val="both"/>
              <w:rPr>
                <w:rFonts w:ascii="Times New Roman" w:hAnsi="Times New Roman"/>
                <w:b/>
                <w:sz w:val="20"/>
                <w:szCs w:val="20"/>
              </w:rPr>
            </w:pPr>
            <w:r w:rsidRPr="003838C5">
              <w:rPr>
                <w:rFonts w:ascii="Times New Roman" w:hAnsi="Times New Roman"/>
                <w:b/>
                <w:sz w:val="20"/>
                <w:szCs w:val="20"/>
              </w:rPr>
              <w:t>Year</w:t>
            </w:r>
          </w:p>
        </w:tc>
        <w:tc>
          <w:tcPr>
            <w:tcW w:w="6454" w:type="dxa"/>
            <w:gridSpan w:val="3"/>
            <w:tcBorders>
              <w:top w:val="single" w:sz="4" w:space="0" w:color="auto"/>
              <w:left w:val="nil"/>
              <w:bottom w:val="single" w:sz="4" w:space="0" w:color="auto"/>
              <w:right w:val="nil"/>
            </w:tcBorders>
            <w:shd w:val="clear" w:color="auto" w:fill="BDD6EE" w:themeFill="accent5" w:themeFillTint="66"/>
            <w:vAlign w:val="center"/>
          </w:tcPr>
          <w:p w:rsidR="006D5925" w:rsidRPr="003838C5" w:rsidRDefault="00106B4C" w:rsidP="00FB7846">
            <w:pPr>
              <w:jc w:val="center"/>
              <w:rPr>
                <w:rFonts w:ascii="Times New Roman" w:hAnsi="Times New Roman"/>
                <w:b/>
                <w:sz w:val="20"/>
                <w:szCs w:val="20"/>
              </w:rPr>
            </w:pPr>
            <w:r w:rsidRPr="003838C5">
              <w:rPr>
                <w:rFonts w:ascii="Times New Roman" w:hAnsi="Times New Roman"/>
                <w:b/>
                <w:sz w:val="20"/>
                <w:szCs w:val="20"/>
              </w:rPr>
              <w:t>Number of Projects Approved EIA</w:t>
            </w:r>
          </w:p>
        </w:tc>
      </w:tr>
      <w:tr w:rsidR="006D5925" w:rsidRPr="003838C5" w:rsidTr="002A7927">
        <w:trPr>
          <w:trHeight w:val="233"/>
          <w:jc w:val="center"/>
        </w:trPr>
        <w:tc>
          <w:tcPr>
            <w:tcW w:w="1998" w:type="dxa"/>
            <w:vMerge/>
            <w:tcBorders>
              <w:top w:val="single" w:sz="4" w:space="0" w:color="auto"/>
              <w:left w:val="nil"/>
              <w:bottom w:val="single" w:sz="4" w:space="0" w:color="auto"/>
              <w:right w:val="nil"/>
            </w:tcBorders>
            <w:shd w:val="clear" w:color="auto" w:fill="auto"/>
            <w:vAlign w:val="center"/>
          </w:tcPr>
          <w:p w:rsidR="006D5925" w:rsidRPr="003838C5" w:rsidRDefault="006D5925" w:rsidP="00FB7846">
            <w:pPr>
              <w:jc w:val="both"/>
              <w:rPr>
                <w:rFonts w:ascii="Times New Roman" w:hAnsi="Times New Roman"/>
                <w:b/>
                <w:sz w:val="20"/>
                <w:szCs w:val="20"/>
              </w:rPr>
            </w:pPr>
          </w:p>
        </w:tc>
        <w:tc>
          <w:tcPr>
            <w:tcW w:w="1884" w:type="dxa"/>
            <w:tcBorders>
              <w:top w:val="single" w:sz="4" w:space="0" w:color="auto"/>
              <w:left w:val="nil"/>
              <w:bottom w:val="single" w:sz="4" w:space="0" w:color="auto"/>
              <w:right w:val="nil"/>
            </w:tcBorders>
            <w:shd w:val="clear" w:color="auto" w:fill="BDD6EE" w:themeFill="accent5" w:themeFillTint="66"/>
            <w:vAlign w:val="center"/>
          </w:tcPr>
          <w:p w:rsidR="006D5925" w:rsidRPr="003838C5" w:rsidRDefault="006D5925" w:rsidP="00FB7846">
            <w:pPr>
              <w:jc w:val="center"/>
              <w:rPr>
                <w:rFonts w:ascii="Times New Roman" w:hAnsi="Times New Roman"/>
                <w:b/>
                <w:sz w:val="20"/>
                <w:szCs w:val="20"/>
              </w:rPr>
            </w:pPr>
            <w:r w:rsidRPr="003838C5">
              <w:rPr>
                <w:rFonts w:ascii="Times New Roman" w:hAnsi="Times New Roman"/>
                <w:b/>
                <w:sz w:val="20"/>
                <w:szCs w:val="20"/>
              </w:rPr>
              <w:t>Gua Musang</w:t>
            </w:r>
          </w:p>
        </w:tc>
        <w:tc>
          <w:tcPr>
            <w:tcW w:w="1904" w:type="dxa"/>
            <w:tcBorders>
              <w:top w:val="single" w:sz="4" w:space="0" w:color="auto"/>
              <w:left w:val="nil"/>
              <w:bottom w:val="single" w:sz="4" w:space="0" w:color="auto"/>
              <w:right w:val="nil"/>
            </w:tcBorders>
            <w:shd w:val="clear" w:color="auto" w:fill="BDD6EE" w:themeFill="accent5" w:themeFillTint="66"/>
            <w:vAlign w:val="center"/>
          </w:tcPr>
          <w:p w:rsidR="006D5925" w:rsidRPr="003838C5" w:rsidRDefault="008D4022" w:rsidP="00FB7846">
            <w:pPr>
              <w:jc w:val="center"/>
              <w:rPr>
                <w:rFonts w:ascii="Times New Roman" w:hAnsi="Times New Roman"/>
                <w:b/>
                <w:sz w:val="20"/>
                <w:szCs w:val="20"/>
              </w:rPr>
            </w:pPr>
            <w:r w:rsidRPr="003838C5">
              <w:rPr>
                <w:rFonts w:ascii="Times New Roman" w:hAnsi="Times New Roman"/>
                <w:b/>
                <w:sz w:val="20"/>
                <w:szCs w:val="20"/>
              </w:rPr>
              <w:t>Kuala K</w:t>
            </w:r>
            <w:r w:rsidR="006D5925" w:rsidRPr="003838C5">
              <w:rPr>
                <w:rFonts w:ascii="Times New Roman" w:hAnsi="Times New Roman"/>
                <w:b/>
                <w:sz w:val="20"/>
                <w:szCs w:val="20"/>
              </w:rPr>
              <w:t>rai</w:t>
            </w:r>
          </w:p>
        </w:tc>
        <w:tc>
          <w:tcPr>
            <w:tcW w:w="2666" w:type="dxa"/>
            <w:tcBorders>
              <w:top w:val="single" w:sz="4" w:space="0" w:color="auto"/>
              <w:left w:val="nil"/>
              <w:bottom w:val="single" w:sz="4" w:space="0" w:color="auto"/>
              <w:right w:val="nil"/>
            </w:tcBorders>
            <w:shd w:val="clear" w:color="auto" w:fill="BDD6EE" w:themeFill="accent5" w:themeFillTint="66"/>
            <w:vAlign w:val="center"/>
          </w:tcPr>
          <w:p w:rsidR="006D5925" w:rsidRPr="003838C5" w:rsidRDefault="006D5925" w:rsidP="00FB7846">
            <w:pPr>
              <w:jc w:val="center"/>
              <w:rPr>
                <w:rFonts w:ascii="Times New Roman" w:hAnsi="Times New Roman"/>
                <w:b/>
                <w:sz w:val="20"/>
                <w:szCs w:val="20"/>
              </w:rPr>
            </w:pPr>
            <w:r w:rsidRPr="003838C5">
              <w:rPr>
                <w:rFonts w:ascii="Times New Roman" w:hAnsi="Times New Roman"/>
                <w:b/>
                <w:sz w:val="20"/>
                <w:szCs w:val="20"/>
              </w:rPr>
              <w:t>Tanah Merah</w:t>
            </w:r>
          </w:p>
        </w:tc>
      </w:tr>
      <w:tr w:rsidR="001B210E" w:rsidRPr="003838C5" w:rsidTr="002A7927">
        <w:trPr>
          <w:trHeight w:val="264"/>
          <w:jc w:val="center"/>
        </w:trPr>
        <w:tc>
          <w:tcPr>
            <w:tcW w:w="1998" w:type="dxa"/>
            <w:tcBorders>
              <w:left w:val="nil"/>
              <w:bottom w:val="nil"/>
              <w:right w:val="nil"/>
            </w:tcBorders>
            <w:shd w:val="clear" w:color="auto" w:fill="F2F2F2"/>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2000</w:t>
            </w:r>
          </w:p>
        </w:tc>
        <w:tc>
          <w:tcPr>
            <w:tcW w:w="1884" w:type="dxa"/>
            <w:tcBorders>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1</w:t>
            </w:r>
          </w:p>
        </w:tc>
        <w:tc>
          <w:tcPr>
            <w:tcW w:w="1904" w:type="dxa"/>
            <w:tcBorders>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1</w:t>
            </w:r>
          </w:p>
        </w:tc>
        <w:tc>
          <w:tcPr>
            <w:tcW w:w="2666" w:type="dxa"/>
            <w:tcBorders>
              <w:left w:val="nil"/>
              <w:bottom w:val="nil"/>
              <w:right w:val="nil"/>
            </w:tcBorders>
            <w:shd w:val="clear" w:color="auto" w:fill="F2F2F2"/>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6D5925" w:rsidRPr="003838C5" w:rsidTr="002A7927">
        <w:trPr>
          <w:jc w:val="center"/>
        </w:trPr>
        <w:tc>
          <w:tcPr>
            <w:tcW w:w="1998" w:type="dxa"/>
            <w:tcBorders>
              <w:top w:val="nil"/>
              <w:left w:val="nil"/>
              <w:bottom w:val="nil"/>
              <w:right w:val="nil"/>
            </w:tcBorders>
            <w:shd w:val="clear" w:color="auto" w:fill="auto"/>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2001</w:t>
            </w:r>
          </w:p>
        </w:tc>
        <w:tc>
          <w:tcPr>
            <w:tcW w:w="1884" w:type="dxa"/>
            <w:tcBorders>
              <w:top w:val="nil"/>
              <w:left w:val="nil"/>
              <w:bottom w:val="nil"/>
              <w:right w:val="nil"/>
            </w:tcBorders>
            <w:shd w:val="clear" w:color="auto" w:fill="auto"/>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3</w:t>
            </w:r>
          </w:p>
        </w:tc>
        <w:tc>
          <w:tcPr>
            <w:tcW w:w="1904" w:type="dxa"/>
            <w:tcBorders>
              <w:top w:val="nil"/>
              <w:left w:val="nil"/>
              <w:bottom w:val="nil"/>
              <w:right w:val="nil"/>
            </w:tcBorders>
            <w:shd w:val="clear" w:color="auto" w:fill="auto"/>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c>
          <w:tcPr>
            <w:tcW w:w="2666" w:type="dxa"/>
            <w:tcBorders>
              <w:top w:val="nil"/>
              <w:left w:val="nil"/>
              <w:bottom w:val="nil"/>
              <w:right w:val="nil"/>
            </w:tcBorders>
            <w:shd w:val="clear" w:color="auto" w:fill="auto"/>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6D5925" w:rsidRPr="003838C5" w:rsidTr="002A7927">
        <w:trPr>
          <w:jc w:val="center"/>
        </w:trPr>
        <w:tc>
          <w:tcPr>
            <w:tcW w:w="1998" w:type="dxa"/>
            <w:tcBorders>
              <w:top w:val="nil"/>
              <w:left w:val="nil"/>
              <w:bottom w:val="nil"/>
              <w:right w:val="nil"/>
            </w:tcBorders>
            <w:shd w:val="clear" w:color="auto" w:fill="F2F2F2"/>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2002</w:t>
            </w:r>
          </w:p>
        </w:tc>
        <w:tc>
          <w:tcPr>
            <w:tcW w:w="1884" w:type="dxa"/>
            <w:tcBorders>
              <w:top w:val="nil"/>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6</w:t>
            </w:r>
          </w:p>
        </w:tc>
        <w:tc>
          <w:tcPr>
            <w:tcW w:w="1904" w:type="dxa"/>
            <w:tcBorders>
              <w:top w:val="nil"/>
              <w:left w:val="nil"/>
              <w:bottom w:val="nil"/>
              <w:right w:val="nil"/>
            </w:tcBorders>
            <w:shd w:val="clear" w:color="auto" w:fill="F2F2F2"/>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c>
          <w:tcPr>
            <w:tcW w:w="2666" w:type="dxa"/>
            <w:tcBorders>
              <w:top w:val="nil"/>
              <w:left w:val="nil"/>
              <w:bottom w:val="nil"/>
              <w:right w:val="nil"/>
            </w:tcBorders>
            <w:shd w:val="clear" w:color="auto" w:fill="F2F2F2"/>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6D5925" w:rsidRPr="003838C5" w:rsidTr="002A7927">
        <w:trPr>
          <w:jc w:val="center"/>
        </w:trPr>
        <w:tc>
          <w:tcPr>
            <w:tcW w:w="1998" w:type="dxa"/>
            <w:tcBorders>
              <w:top w:val="nil"/>
              <w:left w:val="nil"/>
              <w:bottom w:val="nil"/>
              <w:right w:val="nil"/>
            </w:tcBorders>
            <w:shd w:val="clear" w:color="auto" w:fill="auto"/>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2003</w:t>
            </w:r>
          </w:p>
        </w:tc>
        <w:tc>
          <w:tcPr>
            <w:tcW w:w="1884" w:type="dxa"/>
            <w:tcBorders>
              <w:top w:val="nil"/>
              <w:left w:val="nil"/>
              <w:bottom w:val="nil"/>
              <w:right w:val="nil"/>
            </w:tcBorders>
            <w:shd w:val="clear" w:color="auto" w:fill="auto"/>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4</w:t>
            </w:r>
          </w:p>
        </w:tc>
        <w:tc>
          <w:tcPr>
            <w:tcW w:w="1904" w:type="dxa"/>
            <w:tcBorders>
              <w:top w:val="nil"/>
              <w:left w:val="nil"/>
              <w:bottom w:val="nil"/>
              <w:right w:val="nil"/>
            </w:tcBorders>
            <w:shd w:val="clear" w:color="auto" w:fill="auto"/>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c>
          <w:tcPr>
            <w:tcW w:w="2666" w:type="dxa"/>
            <w:tcBorders>
              <w:top w:val="nil"/>
              <w:left w:val="nil"/>
              <w:bottom w:val="nil"/>
              <w:right w:val="nil"/>
            </w:tcBorders>
            <w:shd w:val="clear" w:color="auto" w:fill="auto"/>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6D5925" w:rsidRPr="003838C5" w:rsidTr="002A7927">
        <w:trPr>
          <w:jc w:val="center"/>
        </w:trPr>
        <w:tc>
          <w:tcPr>
            <w:tcW w:w="1998" w:type="dxa"/>
            <w:tcBorders>
              <w:top w:val="nil"/>
              <w:left w:val="nil"/>
              <w:bottom w:val="nil"/>
              <w:right w:val="nil"/>
            </w:tcBorders>
            <w:shd w:val="clear" w:color="auto" w:fill="F2F2F2"/>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2004</w:t>
            </w:r>
          </w:p>
        </w:tc>
        <w:tc>
          <w:tcPr>
            <w:tcW w:w="1884" w:type="dxa"/>
            <w:tcBorders>
              <w:top w:val="nil"/>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8</w:t>
            </w:r>
          </w:p>
        </w:tc>
        <w:tc>
          <w:tcPr>
            <w:tcW w:w="1904" w:type="dxa"/>
            <w:tcBorders>
              <w:top w:val="nil"/>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p>
        </w:tc>
        <w:tc>
          <w:tcPr>
            <w:tcW w:w="2666" w:type="dxa"/>
            <w:tcBorders>
              <w:top w:val="nil"/>
              <w:left w:val="nil"/>
              <w:bottom w:val="nil"/>
              <w:right w:val="nil"/>
            </w:tcBorders>
            <w:shd w:val="clear" w:color="auto" w:fill="F2F2F2"/>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1</w:t>
            </w:r>
          </w:p>
        </w:tc>
      </w:tr>
      <w:tr w:rsidR="006D5925" w:rsidRPr="003838C5" w:rsidTr="002A7927">
        <w:trPr>
          <w:jc w:val="center"/>
        </w:trPr>
        <w:tc>
          <w:tcPr>
            <w:tcW w:w="1998" w:type="dxa"/>
            <w:tcBorders>
              <w:top w:val="nil"/>
              <w:left w:val="nil"/>
              <w:bottom w:val="nil"/>
              <w:right w:val="nil"/>
            </w:tcBorders>
            <w:shd w:val="clear" w:color="auto" w:fill="auto"/>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2005</w:t>
            </w:r>
          </w:p>
        </w:tc>
        <w:tc>
          <w:tcPr>
            <w:tcW w:w="1884" w:type="dxa"/>
            <w:tcBorders>
              <w:top w:val="nil"/>
              <w:left w:val="nil"/>
              <w:bottom w:val="nil"/>
              <w:right w:val="nil"/>
            </w:tcBorders>
            <w:shd w:val="clear" w:color="auto" w:fill="auto"/>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4</w:t>
            </w:r>
          </w:p>
        </w:tc>
        <w:tc>
          <w:tcPr>
            <w:tcW w:w="1904" w:type="dxa"/>
            <w:tcBorders>
              <w:top w:val="nil"/>
              <w:left w:val="nil"/>
              <w:bottom w:val="nil"/>
              <w:right w:val="nil"/>
            </w:tcBorders>
            <w:shd w:val="clear" w:color="auto" w:fill="auto"/>
            <w:vAlign w:val="center"/>
          </w:tcPr>
          <w:p w:rsidR="006D5925" w:rsidRPr="003838C5" w:rsidRDefault="006D5925" w:rsidP="00FB7846">
            <w:pPr>
              <w:jc w:val="center"/>
              <w:rPr>
                <w:rFonts w:ascii="Times New Roman" w:hAnsi="Times New Roman"/>
                <w:sz w:val="20"/>
                <w:szCs w:val="20"/>
              </w:rPr>
            </w:pPr>
            <w:r w:rsidRPr="003838C5">
              <w:rPr>
                <w:rFonts w:ascii="Times New Roman" w:hAnsi="Times New Roman"/>
                <w:sz w:val="20"/>
                <w:szCs w:val="20"/>
              </w:rPr>
              <w:t>1</w:t>
            </w:r>
          </w:p>
        </w:tc>
        <w:tc>
          <w:tcPr>
            <w:tcW w:w="2666" w:type="dxa"/>
            <w:tcBorders>
              <w:top w:val="nil"/>
              <w:left w:val="nil"/>
              <w:bottom w:val="nil"/>
              <w:right w:val="nil"/>
            </w:tcBorders>
            <w:shd w:val="clear" w:color="auto" w:fill="auto"/>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6D5925" w:rsidRPr="003838C5" w:rsidTr="002A7927">
        <w:trPr>
          <w:jc w:val="center"/>
        </w:trPr>
        <w:tc>
          <w:tcPr>
            <w:tcW w:w="1998" w:type="dxa"/>
            <w:tcBorders>
              <w:top w:val="nil"/>
              <w:left w:val="nil"/>
              <w:bottom w:val="nil"/>
              <w:right w:val="nil"/>
            </w:tcBorders>
            <w:shd w:val="clear" w:color="auto" w:fill="F2F2F2"/>
            <w:vAlign w:val="center"/>
          </w:tcPr>
          <w:p w:rsidR="006D5925" w:rsidRPr="003838C5" w:rsidRDefault="006D5925" w:rsidP="00FB7846">
            <w:pPr>
              <w:jc w:val="both"/>
              <w:rPr>
                <w:rFonts w:ascii="Times New Roman" w:hAnsi="Times New Roman"/>
                <w:sz w:val="20"/>
                <w:szCs w:val="20"/>
              </w:rPr>
            </w:pPr>
            <w:r w:rsidRPr="003838C5">
              <w:rPr>
                <w:rFonts w:ascii="Times New Roman" w:hAnsi="Times New Roman"/>
                <w:sz w:val="20"/>
                <w:szCs w:val="20"/>
              </w:rPr>
              <w:t>2006</w:t>
            </w:r>
          </w:p>
        </w:tc>
        <w:tc>
          <w:tcPr>
            <w:tcW w:w="1884" w:type="dxa"/>
            <w:tcBorders>
              <w:top w:val="nil"/>
              <w:left w:val="nil"/>
              <w:bottom w:val="nil"/>
              <w:right w:val="nil"/>
            </w:tcBorders>
            <w:shd w:val="clear" w:color="auto" w:fill="F2F2F2"/>
            <w:vAlign w:val="center"/>
          </w:tcPr>
          <w:p w:rsidR="006D5925" w:rsidRPr="003838C5" w:rsidRDefault="002671FA" w:rsidP="00FB7846">
            <w:pPr>
              <w:jc w:val="center"/>
              <w:rPr>
                <w:rFonts w:ascii="Times New Roman" w:hAnsi="Times New Roman"/>
                <w:sz w:val="20"/>
                <w:szCs w:val="20"/>
              </w:rPr>
            </w:pPr>
            <w:r w:rsidRPr="003838C5">
              <w:rPr>
                <w:rFonts w:ascii="Times New Roman" w:hAnsi="Times New Roman"/>
                <w:sz w:val="20"/>
                <w:szCs w:val="20"/>
              </w:rPr>
              <w:t>7</w:t>
            </w:r>
          </w:p>
        </w:tc>
        <w:tc>
          <w:tcPr>
            <w:tcW w:w="1904" w:type="dxa"/>
            <w:tcBorders>
              <w:top w:val="nil"/>
              <w:left w:val="nil"/>
              <w:bottom w:val="nil"/>
              <w:right w:val="nil"/>
            </w:tcBorders>
            <w:shd w:val="clear" w:color="auto" w:fill="F2F2F2"/>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c>
          <w:tcPr>
            <w:tcW w:w="2666" w:type="dxa"/>
            <w:tcBorders>
              <w:top w:val="nil"/>
              <w:left w:val="nil"/>
              <w:bottom w:val="nil"/>
              <w:right w:val="nil"/>
            </w:tcBorders>
            <w:shd w:val="clear" w:color="auto" w:fill="F2F2F2"/>
            <w:vAlign w:val="center"/>
          </w:tcPr>
          <w:p w:rsidR="006D5925"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2671FA" w:rsidRPr="003838C5" w:rsidTr="002A7927">
        <w:trPr>
          <w:jc w:val="center"/>
        </w:trPr>
        <w:tc>
          <w:tcPr>
            <w:tcW w:w="1998" w:type="dxa"/>
            <w:tcBorders>
              <w:top w:val="nil"/>
              <w:left w:val="nil"/>
              <w:bottom w:val="nil"/>
              <w:right w:val="nil"/>
            </w:tcBorders>
            <w:shd w:val="clear" w:color="auto" w:fill="auto"/>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2007</w:t>
            </w:r>
          </w:p>
        </w:tc>
        <w:tc>
          <w:tcPr>
            <w:tcW w:w="188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6</w:t>
            </w:r>
          </w:p>
        </w:tc>
        <w:tc>
          <w:tcPr>
            <w:tcW w:w="190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2</w:t>
            </w:r>
          </w:p>
        </w:tc>
        <w:tc>
          <w:tcPr>
            <w:tcW w:w="2666" w:type="dxa"/>
            <w:tcBorders>
              <w:top w:val="nil"/>
              <w:left w:val="nil"/>
              <w:bottom w:val="nil"/>
              <w:right w:val="nil"/>
            </w:tcBorders>
            <w:shd w:val="clear" w:color="auto" w:fill="auto"/>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2671FA" w:rsidRPr="003838C5" w:rsidTr="002A7927">
        <w:trPr>
          <w:jc w:val="center"/>
        </w:trPr>
        <w:tc>
          <w:tcPr>
            <w:tcW w:w="1998" w:type="dxa"/>
            <w:tcBorders>
              <w:top w:val="nil"/>
              <w:left w:val="nil"/>
              <w:bottom w:val="nil"/>
              <w:right w:val="nil"/>
            </w:tcBorders>
            <w:shd w:val="clear" w:color="auto" w:fill="F2F2F2"/>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2008</w:t>
            </w:r>
          </w:p>
        </w:tc>
        <w:tc>
          <w:tcPr>
            <w:tcW w:w="188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16</w:t>
            </w:r>
          </w:p>
        </w:tc>
        <w:tc>
          <w:tcPr>
            <w:tcW w:w="190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8</w:t>
            </w:r>
          </w:p>
        </w:tc>
        <w:tc>
          <w:tcPr>
            <w:tcW w:w="2666"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w:t>
            </w:r>
          </w:p>
        </w:tc>
      </w:tr>
      <w:tr w:rsidR="002671FA" w:rsidRPr="003838C5" w:rsidTr="002A7927">
        <w:trPr>
          <w:jc w:val="center"/>
        </w:trPr>
        <w:tc>
          <w:tcPr>
            <w:tcW w:w="1998" w:type="dxa"/>
            <w:tcBorders>
              <w:top w:val="nil"/>
              <w:left w:val="nil"/>
              <w:bottom w:val="nil"/>
              <w:right w:val="nil"/>
            </w:tcBorders>
            <w:shd w:val="clear" w:color="auto" w:fill="auto"/>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2009</w:t>
            </w:r>
          </w:p>
        </w:tc>
        <w:tc>
          <w:tcPr>
            <w:tcW w:w="188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21</w:t>
            </w:r>
          </w:p>
        </w:tc>
        <w:tc>
          <w:tcPr>
            <w:tcW w:w="190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3</w:t>
            </w:r>
          </w:p>
        </w:tc>
        <w:tc>
          <w:tcPr>
            <w:tcW w:w="2666"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w:t>
            </w:r>
          </w:p>
        </w:tc>
      </w:tr>
      <w:tr w:rsidR="002671FA" w:rsidRPr="003838C5" w:rsidTr="002A7927">
        <w:trPr>
          <w:jc w:val="center"/>
        </w:trPr>
        <w:tc>
          <w:tcPr>
            <w:tcW w:w="1998" w:type="dxa"/>
            <w:tcBorders>
              <w:top w:val="nil"/>
              <w:left w:val="nil"/>
              <w:bottom w:val="nil"/>
              <w:right w:val="nil"/>
            </w:tcBorders>
            <w:shd w:val="clear" w:color="auto" w:fill="F2F2F2"/>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2010</w:t>
            </w:r>
          </w:p>
        </w:tc>
        <w:tc>
          <w:tcPr>
            <w:tcW w:w="188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15</w:t>
            </w:r>
          </w:p>
        </w:tc>
        <w:tc>
          <w:tcPr>
            <w:tcW w:w="190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4</w:t>
            </w:r>
          </w:p>
        </w:tc>
        <w:tc>
          <w:tcPr>
            <w:tcW w:w="2666"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w:t>
            </w:r>
          </w:p>
        </w:tc>
      </w:tr>
      <w:tr w:rsidR="002671FA" w:rsidRPr="003838C5" w:rsidTr="002A7927">
        <w:trPr>
          <w:jc w:val="center"/>
        </w:trPr>
        <w:tc>
          <w:tcPr>
            <w:tcW w:w="1998" w:type="dxa"/>
            <w:tcBorders>
              <w:top w:val="nil"/>
              <w:left w:val="nil"/>
              <w:bottom w:val="nil"/>
              <w:right w:val="nil"/>
            </w:tcBorders>
            <w:shd w:val="clear" w:color="auto" w:fill="auto"/>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2011</w:t>
            </w:r>
          </w:p>
        </w:tc>
        <w:tc>
          <w:tcPr>
            <w:tcW w:w="188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8</w:t>
            </w:r>
          </w:p>
        </w:tc>
        <w:tc>
          <w:tcPr>
            <w:tcW w:w="190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4</w:t>
            </w:r>
          </w:p>
        </w:tc>
        <w:tc>
          <w:tcPr>
            <w:tcW w:w="2666" w:type="dxa"/>
            <w:tcBorders>
              <w:top w:val="nil"/>
              <w:left w:val="nil"/>
              <w:bottom w:val="nil"/>
              <w:right w:val="nil"/>
            </w:tcBorders>
            <w:shd w:val="clear" w:color="auto" w:fill="auto"/>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2671FA" w:rsidRPr="003838C5" w:rsidTr="002A7927">
        <w:trPr>
          <w:jc w:val="center"/>
        </w:trPr>
        <w:tc>
          <w:tcPr>
            <w:tcW w:w="1998" w:type="dxa"/>
            <w:tcBorders>
              <w:top w:val="nil"/>
              <w:left w:val="nil"/>
              <w:bottom w:val="nil"/>
              <w:right w:val="nil"/>
            </w:tcBorders>
            <w:shd w:val="clear" w:color="auto" w:fill="F2F2F2"/>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2012</w:t>
            </w:r>
          </w:p>
        </w:tc>
        <w:tc>
          <w:tcPr>
            <w:tcW w:w="188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17</w:t>
            </w:r>
          </w:p>
        </w:tc>
        <w:tc>
          <w:tcPr>
            <w:tcW w:w="190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5</w:t>
            </w:r>
          </w:p>
        </w:tc>
        <w:tc>
          <w:tcPr>
            <w:tcW w:w="2666"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3</w:t>
            </w:r>
          </w:p>
        </w:tc>
      </w:tr>
      <w:tr w:rsidR="002671FA" w:rsidRPr="003838C5" w:rsidTr="002A7927">
        <w:trPr>
          <w:jc w:val="center"/>
        </w:trPr>
        <w:tc>
          <w:tcPr>
            <w:tcW w:w="1998" w:type="dxa"/>
            <w:tcBorders>
              <w:top w:val="nil"/>
              <w:left w:val="nil"/>
              <w:bottom w:val="nil"/>
              <w:right w:val="nil"/>
            </w:tcBorders>
            <w:shd w:val="clear" w:color="auto" w:fill="auto"/>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2013</w:t>
            </w:r>
          </w:p>
        </w:tc>
        <w:tc>
          <w:tcPr>
            <w:tcW w:w="188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12</w:t>
            </w:r>
          </w:p>
        </w:tc>
        <w:tc>
          <w:tcPr>
            <w:tcW w:w="1904" w:type="dxa"/>
            <w:tcBorders>
              <w:top w:val="nil"/>
              <w:left w:val="nil"/>
              <w:bottom w:val="nil"/>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4</w:t>
            </w:r>
          </w:p>
        </w:tc>
        <w:tc>
          <w:tcPr>
            <w:tcW w:w="2666" w:type="dxa"/>
            <w:tcBorders>
              <w:top w:val="nil"/>
              <w:left w:val="nil"/>
              <w:bottom w:val="nil"/>
              <w:right w:val="nil"/>
            </w:tcBorders>
            <w:shd w:val="clear" w:color="auto" w:fill="auto"/>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2671FA" w:rsidRPr="003838C5" w:rsidTr="002A7927">
        <w:trPr>
          <w:jc w:val="center"/>
        </w:trPr>
        <w:tc>
          <w:tcPr>
            <w:tcW w:w="1998" w:type="dxa"/>
            <w:tcBorders>
              <w:top w:val="nil"/>
              <w:left w:val="nil"/>
              <w:bottom w:val="nil"/>
              <w:right w:val="nil"/>
            </w:tcBorders>
            <w:shd w:val="clear" w:color="auto" w:fill="F2F2F2"/>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2014</w:t>
            </w:r>
          </w:p>
        </w:tc>
        <w:tc>
          <w:tcPr>
            <w:tcW w:w="188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18</w:t>
            </w:r>
          </w:p>
        </w:tc>
        <w:tc>
          <w:tcPr>
            <w:tcW w:w="1904" w:type="dxa"/>
            <w:tcBorders>
              <w:top w:val="nil"/>
              <w:left w:val="nil"/>
              <w:bottom w:val="nil"/>
              <w:right w:val="nil"/>
            </w:tcBorders>
            <w:shd w:val="clear" w:color="auto" w:fill="F2F2F2"/>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4</w:t>
            </w:r>
          </w:p>
        </w:tc>
        <w:tc>
          <w:tcPr>
            <w:tcW w:w="2666" w:type="dxa"/>
            <w:tcBorders>
              <w:top w:val="nil"/>
              <w:left w:val="nil"/>
              <w:bottom w:val="nil"/>
              <w:right w:val="nil"/>
            </w:tcBorders>
            <w:shd w:val="clear" w:color="auto" w:fill="F2F2F2"/>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r w:rsidR="002671FA" w:rsidRPr="003838C5" w:rsidTr="002A7927">
        <w:trPr>
          <w:jc w:val="center"/>
        </w:trPr>
        <w:tc>
          <w:tcPr>
            <w:tcW w:w="1998" w:type="dxa"/>
            <w:tcBorders>
              <w:top w:val="nil"/>
              <w:left w:val="nil"/>
              <w:bottom w:val="single" w:sz="4" w:space="0" w:color="auto"/>
              <w:right w:val="nil"/>
            </w:tcBorders>
            <w:shd w:val="clear" w:color="auto" w:fill="auto"/>
            <w:vAlign w:val="center"/>
          </w:tcPr>
          <w:p w:rsidR="002671FA" w:rsidRPr="003838C5" w:rsidRDefault="002671FA" w:rsidP="00FB7846">
            <w:pPr>
              <w:jc w:val="both"/>
              <w:rPr>
                <w:rFonts w:ascii="Times New Roman" w:hAnsi="Times New Roman"/>
                <w:sz w:val="20"/>
                <w:szCs w:val="20"/>
              </w:rPr>
            </w:pPr>
            <w:r w:rsidRPr="003838C5">
              <w:rPr>
                <w:rFonts w:ascii="Times New Roman" w:hAnsi="Times New Roman"/>
                <w:sz w:val="20"/>
                <w:szCs w:val="20"/>
              </w:rPr>
              <w:t>2015</w:t>
            </w:r>
          </w:p>
        </w:tc>
        <w:tc>
          <w:tcPr>
            <w:tcW w:w="1884" w:type="dxa"/>
            <w:tcBorders>
              <w:top w:val="nil"/>
              <w:left w:val="nil"/>
              <w:bottom w:val="single" w:sz="4" w:space="0" w:color="auto"/>
              <w:right w:val="nil"/>
            </w:tcBorders>
            <w:shd w:val="clear" w:color="auto" w:fill="auto"/>
            <w:vAlign w:val="center"/>
          </w:tcPr>
          <w:p w:rsidR="002671FA" w:rsidRPr="003838C5" w:rsidRDefault="002671FA" w:rsidP="00FB7846">
            <w:pPr>
              <w:jc w:val="center"/>
              <w:rPr>
                <w:rFonts w:ascii="Times New Roman" w:hAnsi="Times New Roman"/>
                <w:sz w:val="20"/>
                <w:szCs w:val="20"/>
              </w:rPr>
            </w:pPr>
            <w:r w:rsidRPr="003838C5">
              <w:rPr>
                <w:rFonts w:ascii="Times New Roman" w:hAnsi="Times New Roman"/>
                <w:sz w:val="20"/>
                <w:szCs w:val="20"/>
              </w:rPr>
              <w:t>3</w:t>
            </w:r>
          </w:p>
        </w:tc>
        <w:tc>
          <w:tcPr>
            <w:tcW w:w="1904" w:type="dxa"/>
            <w:tcBorders>
              <w:top w:val="nil"/>
              <w:left w:val="nil"/>
              <w:bottom w:val="single" w:sz="4" w:space="0" w:color="auto"/>
              <w:right w:val="nil"/>
            </w:tcBorders>
            <w:shd w:val="clear" w:color="auto" w:fill="auto"/>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c>
          <w:tcPr>
            <w:tcW w:w="2666" w:type="dxa"/>
            <w:tcBorders>
              <w:top w:val="nil"/>
              <w:left w:val="nil"/>
              <w:bottom w:val="single" w:sz="4" w:space="0" w:color="auto"/>
              <w:right w:val="nil"/>
            </w:tcBorders>
            <w:shd w:val="clear" w:color="auto" w:fill="auto"/>
            <w:vAlign w:val="center"/>
          </w:tcPr>
          <w:p w:rsidR="002671FA" w:rsidRPr="003838C5" w:rsidRDefault="00DE6814" w:rsidP="00FB7846">
            <w:pPr>
              <w:jc w:val="center"/>
              <w:rPr>
                <w:rFonts w:ascii="Times New Roman" w:hAnsi="Times New Roman"/>
                <w:sz w:val="20"/>
                <w:szCs w:val="20"/>
              </w:rPr>
            </w:pPr>
            <w:r w:rsidRPr="003838C5">
              <w:rPr>
                <w:rFonts w:ascii="Times New Roman" w:hAnsi="Times New Roman"/>
                <w:sz w:val="20"/>
                <w:szCs w:val="20"/>
              </w:rPr>
              <w:t>-</w:t>
            </w:r>
          </w:p>
        </w:tc>
      </w:tr>
    </w:tbl>
    <w:p w:rsidR="006D5925" w:rsidRPr="00B37335" w:rsidRDefault="006D5925" w:rsidP="00FB7846">
      <w:pPr>
        <w:jc w:val="both"/>
        <w:rPr>
          <w:rFonts w:ascii="Times New Roman" w:hAnsi="Times New Roman"/>
        </w:rPr>
      </w:pPr>
    </w:p>
    <w:p w:rsidR="004C3C03" w:rsidRPr="00B37335" w:rsidRDefault="00A335F8" w:rsidP="00FB7846">
      <w:pPr>
        <w:jc w:val="both"/>
        <w:rPr>
          <w:rFonts w:ascii="Times New Roman" w:hAnsi="Times New Roman"/>
          <w:i/>
        </w:rPr>
      </w:pPr>
      <w:r w:rsidRPr="00B37335">
        <w:rPr>
          <w:rFonts w:ascii="Times New Roman" w:hAnsi="Times New Roman"/>
          <w:i/>
        </w:rPr>
        <w:t>Exploration of border and permanent forest</w:t>
      </w:r>
    </w:p>
    <w:p w:rsidR="00A335F8" w:rsidRPr="00B37335" w:rsidRDefault="00A335F8" w:rsidP="00FB7846">
      <w:pPr>
        <w:jc w:val="both"/>
        <w:rPr>
          <w:rFonts w:ascii="Times New Roman" w:hAnsi="Times New Roman"/>
        </w:rPr>
      </w:pPr>
    </w:p>
    <w:p w:rsidR="00CB72B6" w:rsidRPr="00B37335" w:rsidRDefault="00A335F8" w:rsidP="00FB7846">
      <w:pPr>
        <w:jc w:val="both"/>
        <w:rPr>
          <w:rFonts w:ascii="Times New Roman" w:hAnsi="Times New Roman"/>
        </w:rPr>
      </w:pPr>
      <w:r w:rsidRPr="00B37335">
        <w:rPr>
          <w:rFonts w:ascii="Times New Roman" w:hAnsi="Times New Roman"/>
        </w:rPr>
        <w:t>Analysis in the report of the EIA documents found that exploration of boundary of</w:t>
      </w:r>
      <w:r w:rsidR="00E7151A" w:rsidRPr="00B37335">
        <w:rPr>
          <w:rFonts w:ascii="Times New Roman" w:hAnsi="Times New Roman"/>
        </w:rPr>
        <w:t xml:space="preserve"> </w:t>
      </w:r>
      <w:r w:rsidR="002C4E2A" w:rsidRPr="00B37335">
        <w:rPr>
          <w:rFonts w:ascii="Times New Roman" w:hAnsi="Times New Roman"/>
        </w:rPr>
        <w:t>permanent forest reserves (</w:t>
      </w:r>
      <w:r w:rsidR="00017C69" w:rsidRPr="00B37335">
        <w:rPr>
          <w:rFonts w:ascii="Times New Roman" w:hAnsi="Times New Roman"/>
        </w:rPr>
        <w:t>PFR</w:t>
      </w:r>
      <w:r w:rsidR="002C4E2A" w:rsidRPr="00B37335">
        <w:rPr>
          <w:rFonts w:ascii="Times New Roman" w:hAnsi="Times New Roman"/>
        </w:rPr>
        <w:t>)</w:t>
      </w:r>
      <w:r w:rsidR="00017C69" w:rsidRPr="00B37335">
        <w:rPr>
          <w:rFonts w:ascii="Times New Roman" w:hAnsi="Times New Roman"/>
        </w:rPr>
        <w:t xml:space="preserve"> and</w:t>
      </w:r>
      <w:r w:rsidRPr="00B37335">
        <w:rPr>
          <w:rFonts w:ascii="Times New Roman" w:hAnsi="Times New Roman"/>
        </w:rPr>
        <w:t xml:space="preserve"> the forest area is often used for plantations or replanting project for timber rubber and palm clones.</w:t>
      </w:r>
      <w:r w:rsidR="00E7151A" w:rsidRPr="00B37335">
        <w:rPr>
          <w:rFonts w:ascii="Times New Roman" w:hAnsi="Times New Roman"/>
        </w:rPr>
        <w:t xml:space="preserve"> </w:t>
      </w:r>
      <w:r w:rsidR="002C4E2A" w:rsidRPr="00B37335">
        <w:rPr>
          <w:rFonts w:ascii="Times New Roman" w:hAnsi="Times New Roman"/>
        </w:rPr>
        <w:t xml:space="preserve">More than 24 PFR areas in especially in Gua Musang were explorated. </w:t>
      </w:r>
      <w:r w:rsidR="00E7151A" w:rsidRPr="00B37335">
        <w:rPr>
          <w:rFonts w:ascii="Times New Roman" w:hAnsi="Times New Roman"/>
        </w:rPr>
        <w:t>This area includes the existing farms, former logging area, secondary forest and PFR such as</w:t>
      </w:r>
      <w:r w:rsidR="00CB72B6" w:rsidRPr="00B37335">
        <w:rPr>
          <w:rFonts w:ascii="Times New Roman" w:hAnsi="Times New Roman"/>
        </w:rPr>
        <w:t xml:space="preserve"> </w:t>
      </w:r>
      <w:r w:rsidR="002C4E2A" w:rsidRPr="00B37335">
        <w:rPr>
          <w:rFonts w:ascii="Times New Roman" w:hAnsi="Times New Roman"/>
        </w:rPr>
        <w:t>PFR</w:t>
      </w:r>
      <w:r w:rsidR="00CB72B6" w:rsidRPr="00B37335">
        <w:rPr>
          <w:rFonts w:ascii="Times New Roman" w:hAnsi="Times New Roman"/>
        </w:rPr>
        <w:t xml:space="preserve"> Sungai Berok, </w:t>
      </w:r>
      <w:r w:rsidR="002C4E2A" w:rsidRPr="00B37335">
        <w:rPr>
          <w:rFonts w:ascii="Times New Roman" w:hAnsi="Times New Roman"/>
        </w:rPr>
        <w:t>PFR</w:t>
      </w:r>
      <w:r w:rsidR="00CB72B6" w:rsidRPr="00B37335">
        <w:rPr>
          <w:rFonts w:ascii="Times New Roman" w:hAnsi="Times New Roman"/>
        </w:rPr>
        <w:t xml:space="preserve"> Jentiang, </w:t>
      </w:r>
      <w:r w:rsidR="002C4E2A" w:rsidRPr="00B37335">
        <w:rPr>
          <w:rFonts w:ascii="Times New Roman" w:hAnsi="Times New Roman"/>
        </w:rPr>
        <w:t>PFR</w:t>
      </w:r>
      <w:r w:rsidR="00CB72B6" w:rsidRPr="00B37335">
        <w:rPr>
          <w:rFonts w:ascii="Times New Roman" w:hAnsi="Times New Roman"/>
        </w:rPr>
        <w:t xml:space="preserve"> Gunung Stong Selatan, </w:t>
      </w:r>
      <w:r w:rsidR="002C4E2A" w:rsidRPr="00B37335">
        <w:rPr>
          <w:rFonts w:ascii="Times New Roman" w:hAnsi="Times New Roman"/>
        </w:rPr>
        <w:t>PFR</w:t>
      </w:r>
      <w:r w:rsidR="00CB72B6" w:rsidRPr="00B37335">
        <w:rPr>
          <w:rFonts w:ascii="Times New Roman" w:hAnsi="Times New Roman"/>
        </w:rPr>
        <w:t xml:space="preserve"> Sungai Betis, Hutan Sekunder Relai, </w:t>
      </w:r>
      <w:r w:rsidR="002C4E2A" w:rsidRPr="00B37335">
        <w:rPr>
          <w:rFonts w:ascii="Times New Roman" w:hAnsi="Times New Roman"/>
        </w:rPr>
        <w:t>PFR</w:t>
      </w:r>
      <w:r w:rsidR="00CB72B6" w:rsidRPr="00B37335">
        <w:rPr>
          <w:rFonts w:ascii="Times New Roman" w:hAnsi="Times New Roman"/>
        </w:rPr>
        <w:t xml:space="preserve"> Hulu Temiang, </w:t>
      </w:r>
      <w:r w:rsidR="002C4E2A" w:rsidRPr="00B37335">
        <w:rPr>
          <w:rFonts w:ascii="Times New Roman" w:hAnsi="Times New Roman"/>
        </w:rPr>
        <w:t>PFR</w:t>
      </w:r>
      <w:r w:rsidR="00CB72B6" w:rsidRPr="00B37335">
        <w:rPr>
          <w:rFonts w:ascii="Times New Roman" w:hAnsi="Times New Roman"/>
        </w:rPr>
        <w:t xml:space="preserve"> Sokor Taku, </w:t>
      </w:r>
      <w:r w:rsidR="002C4E2A" w:rsidRPr="00B37335">
        <w:rPr>
          <w:rFonts w:ascii="Times New Roman" w:hAnsi="Times New Roman"/>
        </w:rPr>
        <w:t>PFR</w:t>
      </w:r>
      <w:r w:rsidR="00CB72B6" w:rsidRPr="00B37335">
        <w:rPr>
          <w:rFonts w:ascii="Times New Roman" w:hAnsi="Times New Roman"/>
        </w:rPr>
        <w:t xml:space="preserve"> Sejana, </w:t>
      </w:r>
      <w:r w:rsidR="002C4E2A" w:rsidRPr="00B37335">
        <w:rPr>
          <w:rFonts w:ascii="Times New Roman" w:hAnsi="Times New Roman"/>
        </w:rPr>
        <w:t>PFR</w:t>
      </w:r>
      <w:r w:rsidR="00CB72B6" w:rsidRPr="00B37335">
        <w:rPr>
          <w:rFonts w:ascii="Times New Roman" w:hAnsi="Times New Roman"/>
        </w:rPr>
        <w:t xml:space="preserve"> Sungai Sator, </w:t>
      </w:r>
      <w:r w:rsidR="002C4E2A" w:rsidRPr="00B37335">
        <w:rPr>
          <w:rFonts w:ascii="Times New Roman" w:hAnsi="Times New Roman"/>
        </w:rPr>
        <w:t>PFR</w:t>
      </w:r>
      <w:r w:rsidR="00CB72B6" w:rsidRPr="00B37335">
        <w:rPr>
          <w:rFonts w:ascii="Times New Roman" w:hAnsi="Times New Roman"/>
        </w:rPr>
        <w:t xml:space="preserve"> Batu Papan, </w:t>
      </w:r>
      <w:r w:rsidR="002C4E2A" w:rsidRPr="00B37335">
        <w:rPr>
          <w:rFonts w:ascii="Times New Roman" w:hAnsi="Times New Roman"/>
        </w:rPr>
        <w:t>PFR</w:t>
      </w:r>
      <w:r w:rsidR="00CB72B6" w:rsidRPr="00B37335">
        <w:rPr>
          <w:rFonts w:ascii="Times New Roman" w:hAnsi="Times New Roman"/>
        </w:rPr>
        <w:t xml:space="preserve"> Ulu galas, </w:t>
      </w:r>
      <w:r w:rsidR="002C4E2A" w:rsidRPr="00B37335">
        <w:rPr>
          <w:rFonts w:ascii="Times New Roman" w:hAnsi="Times New Roman"/>
        </w:rPr>
        <w:t>PFR</w:t>
      </w:r>
      <w:r w:rsidR="00CB72B6" w:rsidRPr="00B37335">
        <w:rPr>
          <w:rFonts w:ascii="Times New Roman" w:hAnsi="Times New Roman"/>
        </w:rPr>
        <w:t xml:space="preserve"> Relai, </w:t>
      </w:r>
      <w:r w:rsidR="002C4E2A" w:rsidRPr="00B37335">
        <w:rPr>
          <w:rFonts w:ascii="Times New Roman" w:hAnsi="Times New Roman"/>
        </w:rPr>
        <w:t>PFR</w:t>
      </w:r>
      <w:r w:rsidR="00CB72B6" w:rsidRPr="00B37335">
        <w:rPr>
          <w:rFonts w:ascii="Times New Roman" w:hAnsi="Times New Roman"/>
        </w:rPr>
        <w:t xml:space="preserve"> Lebir, </w:t>
      </w:r>
      <w:r w:rsidR="002C4E2A" w:rsidRPr="00B37335">
        <w:rPr>
          <w:rFonts w:ascii="Times New Roman" w:hAnsi="Times New Roman"/>
        </w:rPr>
        <w:t>PFR</w:t>
      </w:r>
      <w:r w:rsidR="00CB72B6" w:rsidRPr="00B37335">
        <w:rPr>
          <w:rFonts w:ascii="Times New Roman" w:hAnsi="Times New Roman"/>
        </w:rPr>
        <w:t xml:space="preserve"> Terah, </w:t>
      </w:r>
      <w:r w:rsidR="002C4E2A" w:rsidRPr="00B37335">
        <w:rPr>
          <w:rFonts w:ascii="Times New Roman" w:hAnsi="Times New Roman"/>
        </w:rPr>
        <w:t>PFR</w:t>
      </w:r>
      <w:r w:rsidR="00CB72B6" w:rsidRPr="00B37335">
        <w:rPr>
          <w:rFonts w:ascii="Times New Roman" w:hAnsi="Times New Roman"/>
        </w:rPr>
        <w:t xml:space="preserve"> Limau Kasturi, </w:t>
      </w:r>
      <w:r w:rsidR="002C4E2A" w:rsidRPr="00B37335">
        <w:rPr>
          <w:rFonts w:ascii="Times New Roman" w:hAnsi="Times New Roman"/>
        </w:rPr>
        <w:t>PFR</w:t>
      </w:r>
      <w:r w:rsidR="00CB72B6" w:rsidRPr="00B37335">
        <w:rPr>
          <w:rFonts w:ascii="Times New Roman" w:hAnsi="Times New Roman"/>
        </w:rPr>
        <w:t xml:space="preserve"> Batu Papan, </w:t>
      </w:r>
      <w:r w:rsidR="002C4E2A" w:rsidRPr="00B37335">
        <w:rPr>
          <w:rFonts w:ascii="Times New Roman" w:hAnsi="Times New Roman"/>
        </w:rPr>
        <w:t>PFR</w:t>
      </w:r>
      <w:r w:rsidR="00CB72B6" w:rsidRPr="00B37335">
        <w:rPr>
          <w:rFonts w:ascii="Times New Roman" w:hAnsi="Times New Roman"/>
        </w:rPr>
        <w:t xml:space="preserve"> Sungai Durian, </w:t>
      </w:r>
      <w:r w:rsidR="002C4E2A" w:rsidRPr="00B37335">
        <w:rPr>
          <w:rFonts w:ascii="Times New Roman" w:hAnsi="Times New Roman"/>
        </w:rPr>
        <w:t>PFR</w:t>
      </w:r>
      <w:r w:rsidR="00CB72B6" w:rsidRPr="00B37335">
        <w:rPr>
          <w:rFonts w:ascii="Times New Roman" w:hAnsi="Times New Roman"/>
        </w:rPr>
        <w:t xml:space="preserve"> Sungai Nenggiri, </w:t>
      </w:r>
      <w:r w:rsidR="002C4E2A" w:rsidRPr="00B37335">
        <w:rPr>
          <w:rFonts w:ascii="Times New Roman" w:hAnsi="Times New Roman"/>
        </w:rPr>
        <w:t>PFR</w:t>
      </w:r>
      <w:r w:rsidR="00CB72B6" w:rsidRPr="00B37335">
        <w:rPr>
          <w:rFonts w:ascii="Times New Roman" w:hAnsi="Times New Roman"/>
        </w:rPr>
        <w:t xml:space="preserve"> Sungai Perias, </w:t>
      </w:r>
      <w:r w:rsidR="002C4E2A" w:rsidRPr="00B37335">
        <w:rPr>
          <w:rFonts w:ascii="Times New Roman" w:hAnsi="Times New Roman"/>
        </w:rPr>
        <w:t>PFR</w:t>
      </w:r>
      <w:r w:rsidR="00CB72B6" w:rsidRPr="00B37335">
        <w:rPr>
          <w:rFonts w:ascii="Times New Roman" w:hAnsi="Times New Roman"/>
        </w:rPr>
        <w:t xml:space="preserve"> Loging, </w:t>
      </w:r>
      <w:r w:rsidR="002C4E2A" w:rsidRPr="00B37335">
        <w:rPr>
          <w:rFonts w:ascii="Times New Roman" w:hAnsi="Times New Roman"/>
        </w:rPr>
        <w:t>PFR</w:t>
      </w:r>
      <w:r w:rsidR="00CB72B6" w:rsidRPr="00B37335">
        <w:rPr>
          <w:rFonts w:ascii="Times New Roman" w:hAnsi="Times New Roman"/>
        </w:rPr>
        <w:t xml:space="preserve"> Sokor Taku, </w:t>
      </w:r>
      <w:r w:rsidR="002C4E2A" w:rsidRPr="00B37335">
        <w:rPr>
          <w:rFonts w:ascii="Times New Roman" w:hAnsi="Times New Roman"/>
        </w:rPr>
        <w:t>PFR</w:t>
      </w:r>
      <w:r w:rsidR="00CB72B6" w:rsidRPr="00B37335">
        <w:rPr>
          <w:rFonts w:ascii="Times New Roman" w:hAnsi="Times New Roman"/>
        </w:rPr>
        <w:t xml:space="preserve"> Serasa, </w:t>
      </w:r>
      <w:r w:rsidR="002C4E2A" w:rsidRPr="00B37335">
        <w:rPr>
          <w:rFonts w:ascii="Times New Roman" w:hAnsi="Times New Roman"/>
        </w:rPr>
        <w:t>PFR</w:t>
      </w:r>
      <w:r w:rsidR="00CB72B6" w:rsidRPr="00B37335">
        <w:rPr>
          <w:rFonts w:ascii="Times New Roman" w:hAnsi="Times New Roman"/>
        </w:rPr>
        <w:t xml:space="preserve"> Miskin dan </w:t>
      </w:r>
      <w:r w:rsidR="002C4E2A" w:rsidRPr="00B37335">
        <w:rPr>
          <w:rFonts w:ascii="Times New Roman" w:hAnsi="Times New Roman"/>
        </w:rPr>
        <w:t>PFR</w:t>
      </w:r>
      <w:r w:rsidR="00CB72B6" w:rsidRPr="00B37335">
        <w:rPr>
          <w:rFonts w:ascii="Times New Roman" w:hAnsi="Times New Roman"/>
        </w:rPr>
        <w:t xml:space="preserve"> Gunong Rabong</w:t>
      </w:r>
      <w:r w:rsidR="00872945" w:rsidRPr="00B37335">
        <w:rPr>
          <w:rFonts w:ascii="Times New Roman" w:hAnsi="Times New Roman"/>
        </w:rPr>
        <w:t>.</w:t>
      </w:r>
    </w:p>
    <w:p w:rsidR="004C3C03" w:rsidRPr="00B37335" w:rsidRDefault="004C3C03" w:rsidP="00FB7846">
      <w:pPr>
        <w:jc w:val="both"/>
        <w:rPr>
          <w:rFonts w:ascii="Times New Roman" w:hAnsi="Times New Roman"/>
        </w:rPr>
      </w:pPr>
    </w:p>
    <w:p w:rsidR="00E7151A" w:rsidRPr="00B37335" w:rsidRDefault="004D1ED3" w:rsidP="00FB7846">
      <w:pPr>
        <w:jc w:val="both"/>
        <w:rPr>
          <w:rFonts w:ascii="Times New Roman" w:hAnsi="Times New Roman"/>
          <w:i/>
        </w:rPr>
      </w:pPr>
      <w:r w:rsidRPr="00B37335">
        <w:rPr>
          <w:rFonts w:ascii="Times New Roman" w:hAnsi="Times New Roman"/>
          <w:i/>
        </w:rPr>
        <w:t>C</w:t>
      </w:r>
      <w:r w:rsidR="003873E5" w:rsidRPr="00B37335">
        <w:rPr>
          <w:rFonts w:ascii="Times New Roman" w:hAnsi="Times New Roman"/>
          <w:i/>
        </w:rPr>
        <w:t>onsulting company active in the preparation of the EIA report in Kelantan</w:t>
      </w:r>
    </w:p>
    <w:p w:rsidR="003873E5" w:rsidRPr="00B37335" w:rsidRDefault="003873E5" w:rsidP="00FB7846">
      <w:pPr>
        <w:jc w:val="both"/>
        <w:rPr>
          <w:rFonts w:ascii="Times New Roman" w:hAnsi="Times New Roman"/>
          <w:b/>
          <w:i/>
        </w:rPr>
      </w:pPr>
    </w:p>
    <w:p w:rsidR="00EE2094" w:rsidRPr="00B37335" w:rsidRDefault="00E7151A" w:rsidP="00FB7846">
      <w:pPr>
        <w:jc w:val="both"/>
        <w:rPr>
          <w:rFonts w:ascii="Times New Roman" w:hAnsi="Times New Roman"/>
        </w:rPr>
      </w:pPr>
      <w:r w:rsidRPr="00B37335">
        <w:rPr>
          <w:rFonts w:ascii="Times New Roman" w:hAnsi="Times New Roman"/>
        </w:rPr>
        <w:t>EIA consultant plays a key role in the preparation of the EIA report.</w:t>
      </w:r>
      <w:r w:rsidR="009B7239" w:rsidRPr="00B37335">
        <w:rPr>
          <w:rFonts w:ascii="Times New Roman" w:hAnsi="Times New Roman"/>
        </w:rPr>
        <w:t xml:space="preserve"> </w:t>
      </w:r>
      <w:r w:rsidRPr="00B37335">
        <w:rPr>
          <w:rFonts w:ascii="Times New Roman" w:hAnsi="Times New Roman"/>
        </w:rPr>
        <w:t>The developer is responsible for selecting and identifying qualified consultant (registered with the Department of Environment Malaysia) for the preparation of the EIA report.</w:t>
      </w:r>
      <w:r w:rsidR="009B7239" w:rsidRPr="00B37335">
        <w:rPr>
          <w:rFonts w:ascii="Times New Roman" w:hAnsi="Times New Roman"/>
        </w:rPr>
        <w:t xml:space="preserve"> </w:t>
      </w:r>
      <w:r w:rsidRPr="00B37335">
        <w:rPr>
          <w:rFonts w:ascii="Times New Roman" w:hAnsi="Times New Roman"/>
        </w:rPr>
        <w:t>Descriptive analysis of EIA documents found there are eight (8) consulting company active in the preparation of the EIA report in Kelantan.</w:t>
      </w:r>
      <w:r w:rsidR="009B7239" w:rsidRPr="00B37335">
        <w:rPr>
          <w:rFonts w:ascii="Times New Roman" w:hAnsi="Times New Roman"/>
        </w:rPr>
        <w:t xml:space="preserve"> </w:t>
      </w:r>
      <w:r w:rsidRPr="00B37335">
        <w:rPr>
          <w:rFonts w:ascii="Times New Roman" w:hAnsi="Times New Roman"/>
        </w:rPr>
        <w:t xml:space="preserve">A total of three (3) EIA consulting firm responsible for providing more than 10 EIA documents during the period 2000-2015. However, the consulting company I.Z. Environment is seen between the </w:t>
      </w:r>
      <w:r w:rsidR="00A25898" w:rsidRPr="00B37335">
        <w:rPr>
          <w:rFonts w:ascii="Times New Roman" w:hAnsi="Times New Roman"/>
        </w:rPr>
        <w:t>companies</w:t>
      </w:r>
      <w:r w:rsidRPr="00B37335">
        <w:rPr>
          <w:rFonts w:ascii="Times New Roman" w:hAnsi="Times New Roman"/>
        </w:rPr>
        <w:t xml:space="preserve"> of choice for project developers in preparation of the EIA report in Kelantan</w:t>
      </w:r>
      <w:r w:rsidR="008D4022" w:rsidRPr="00B37335">
        <w:rPr>
          <w:rFonts w:ascii="Times New Roman" w:hAnsi="Times New Roman"/>
        </w:rPr>
        <w:t xml:space="preserve"> (Table 3)</w:t>
      </w:r>
      <w:r w:rsidRPr="00B37335">
        <w:rPr>
          <w:rFonts w:ascii="Times New Roman" w:hAnsi="Times New Roman"/>
        </w:rPr>
        <w:t>.</w:t>
      </w:r>
    </w:p>
    <w:p w:rsidR="003873E5" w:rsidRPr="00B37335" w:rsidRDefault="003873E5" w:rsidP="00FB7846">
      <w:pPr>
        <w:jc w:val="both"/>
        <w:rPr>
          <w:rFonts w:ascii="Times New Roman" w:hAnsi="Times New Roman"/>
        </w:rPr>
      </w:pPr>
    </w:p>
    <w:p w:rsidR="00B84C57" w:rsidRDefault="00153B8C" w:rsidP="00FB7846">
      <w:pPr>
        <w:jc w:val="center"/>
        <w:rPr>
          <w:rFonts w:ascii="Times New Roman" w:hAnsi="Times New Roman"/>
          <w:sz w:val="20"/>
          <w:szCs w:val="20"/>
        </w:rPr>
      </w:pPr>
      <w:r w:rsidRPr="00153B8C">
        <w:rPr>
          <w:rFonts w:ascii="Times New Roman" w:hAnsi="Times New Roman"/>
          <w:b/>
          <w:sz w:val="20"/>
          <w:szCs w:val="20"/>
        </w:rPr>
        <w:t>Table 3</w:t>
      </w:r>
      <w:r>
        <w:rPr>
          <w:rFonts w:ascii="Times New Roman" w:hAnsi="Times New Roman"/>
          <w:sz w:val="20"/>
          <w:szCs w:val="20"/>
        </w:rPr>
        <w:t>.</w:t>
      </w:r>
      <w:r w:rsidR="000241BA">
        <w:rPr>
          <w:rFonts w:ascii="Times New Roman" w:hAnsi="Times New Roman"/>
          <w:sz w:val="20"/>
          <w:szCs w:val="20"/>
        </w:rPr>
        <w:t xml:space="preserve"> </w:t>
      </w:r>
      <w:r w:rsidR="00DF06E9" w:rsidRPr="00153B8C">
        <w:rPr>
          <w:rFonts w:ascii="Times New Roman" w:hAnsi="Times New Roman"/>
          <w:sz w:val="20"/>
          <w:szCs w:val="20"/>
        </w:rPr>
        <w:t xml:space="preserve"> The frequency of consultant c</w:t>
      </w:r>
      <w:r w:rsidR="00B84C57" w:rsidRPr="00153B8C">
        <w:rPr>
          <w:rFonts w:ascii="Times New Roman" w:hAnsi="Times New Roman"/>
          <w:sz w:val="20"/>
          <w:szCs w:val="20"/>
        </w:rPr>
        <w:t>ompany</w:t>
      </w:r>
    </w:p>
    <w:p w:rsidR="0006087A" w:rsidRPr="00153B8C" w:rsidRDefault="0006087A" w:rsidP="00FB7846">
      <w:pPr>
        <w:jc w:val="both"/>
        <w:rPr>
          <w:rFonts w:ascii="Times New Roman" w:hAnsi="Times New Roman"/>
          <w:sz w:val="20"/>
          <w:szCs w:val="20"/>
        </w:rPr>
      </w:pPr>
    </w:p>
    <w:tbl>
      <w:tblPr>
        <w:tblW w:w="8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239"/>
        <w:gridCol w:w="2520"/>
        <w:gridCol w:w="1800"/>
      </w:tblGrid>
      <w:tr w:rsidR="00BC2C4A" w:rsidRPr="00153B8C" w:rsidTr="002A7927">
        <w:trPr>
          <w:trHeight w:val="332"/>
        </w:trPr>
        <w:tc>
          <w:tcPr>
            <w:tcW w:w="2991" w:type="dxa"/>
            <w:tcBorders>
              <w:top w:val="single" w:sz="4" w:space="0" w:color="auto"/>
              <w:left w:val="nil"/>
              <w:bottom w:val="single" w:sz="4" w:space="0" w:color="auto"/>
              <w:right w:val="nil"/>
            </w:tcBorders>
            <w:shd w:val="clear" w:color="auto" w:fill="BDD6EE" w:themeFill="accent5" w:themeFillTint="66"/>
            <w:vAlign w:val="center"/>
          </w:tcPr>
          <w:p w:rsidR="00BC2C4A" w:rsidRPr="00153B8C" w:rsidRDefault="000241BA" w:rsidP="00FB7846">
            <w:pPr>
              <w:jc w:val="center"/>
              <w:rPr>
                <w:rFonts w:ascii="Times New Roman" w:hAnsi="Times New Roman"/>
                <w:b/>
                <w:sz w:val="20"/>
                <w:szCs w:val="20"/>
              </w:rPr>
            </w:pPr>
            <w:r>
              <w:rPr>
                <w:rFonts w:ascii="Times New Roman" w:hAnsi="Times New Roman"/>
                <w:b/>
                <w:sz w:val="20"/>
                <w:szCs w:val="20"/>
              </w:rPr>
              <w:t>Consultant c</w:t>
            </w:r>
            <w:r w:rsidR="00BC2C4A" w:rsidRPr="00153B8C">
              <w:rPr>
                <w:rFonts w:ascii="Times New Roman" w:hAnsi="Times New Roman"/>
                <w:b/>
                <w:sz w:val="20"/>
                <w:szCs w:val="20"/>
              </w:rPr>
              <w:t>ompany</w:t>
            </w:r>
          </w:p>
        </w:tc>
        <w:tc>
          <w:tcPr>
            <w:tcW w:w="1239" w:type="dxa"/>
            <w:tcBorders>
              <w:top w:val="single" w:sz="4" w:space="0" w:color="auto"/>
              <w:left w:val="nil"/>
              <w:bottom w:val="single" w:sz="4" w:space="0" w:color="auto"/>
              <w:right w:val="nil"/>
            </w:tcBorders>
            <w:shd w:val="clear" w:color="auto" w:fill="BDD6EE" w:themeFill="accent5" w:themeFillTint="66"/>
            <w:vAlign w:val="center"/>
          </w:tcPr>
          <w:p w:rsidR="00BC2C4A" w:rsidRPr="00153B8C" w:rsidRDefault="00BC2C4A" w:rsidP="00FB7846">
            <w:pPr>
              <w:jc w:val="center"/>
              <w:rPr>
                <w:rFonts w:ascii="Times New Roman" w:hAnsi="Times New Roman"/>
                <w:b/>
                <w:sz w:val="20"/>
                <w:szCs w:val="20"/>
              </w:rPr>
            </w:pPr>
            <w:r w:rsidRPr="00153B8C">
              <w:rPr>
                <w:rFonts w:ascii="Times New Roman" w:hAnsi="Times New Roman"/>
                <w:b/>
                <w:sz w:val="20"/>
                <w:szCs w:val="20"/>
              </w:rPr>
              <w:t>Frequency</w:t>
            </w:r>
          </w:p>
        </w:tc>
        <w:tc>
          <w:tcPr>
            <w:tcW w:w="2520" w:type="dxa"/>
            <w:tcBorders>
              <w:top w:val="single" w:sz="4" w:space="0" w:color="auto"/>
              <w:left w:val="nil"/>
              <w:bottom w:val="single" w:sz="4" w:space="0" w:color="auto"/>
              <w:right w:val="nil"/>
            </w:tcBorders>
            <w:shd w:val="clear" w:color="auto" w:fill="BDD6EE" w:themeFill="accent5" w:themeFillTint="66"/>
            <w:vAlign w:val="center"/>
          </w:tcPr>
          <w:p w:rsidR="00BC2C4A" w:rsidRPr="00153B8C" w:rsidRDefault="000241BA" w:rsidP="00FB7846">
            <w:pPr>
              <w:jc w:val="center"/>
              <w:rPr>
                <w:rFonts w:ascii="Times New Roman" w:hAnsi="Times New Roman"/>
                <w:b/>
                <w:sz w:val="20"/>
                <w:szCs w:val="20"/>
              </w:rPr>
            </w:pPr>
            <w:r>
              <w:rPr>
                <w:rFonts w:ascii="Times New Roman" w:hAnsi="Times New Roman"/>
                <w:b/>
                <w:sz w:val="20"/>
                <w:szCs w:val="20"/>
              </w:rPr>
              <w:t>Consultant c</w:t>
            </w:r>
            <w:r w:rsidR="00BC2C4A" w:rsidRPr="00153B8C">
              <w:rPr>
                <w:rFonts w:ascii="Times New Roman" w:hAnsi="Times New Roman"/>
                <w:b/>
                <w:sz w:val="20"/>
                <w:szCs w:val="20"/>
              </w:rPr>
              <w:t>ompany</w:t>
            </w:r>
          </w:p>
        </w:tc>
        <w:tc>
          <w:tcPr>
            <w:tcW w:w="1800" w:type="dxa"/>
            <w:tcBorders>
              <w:top w:val="single" w:sz="4" w:space="0" w:color="auto"/>
              <w:left w:val="nil"/>
              <w:bottom w:val="single" w:sz="4" w:space="0" w:color="auto"/>
              <w:right w:val="nil"/>
            </w:tcBorders>
            <w:shd w:val="clear" w:color="auto" w:fill="BDD6EE" w:themeFill="accent5" w:themeFillTint="66"/>
            <w:vAlign w:val="center"/>
          </w:tcPr>
          <w:p w:rsidR="00BC2C4A" w:rsidRPr="00153B8C" w:rsidRDefault="00BC2C4A" w:rsidP="00FB7846">
            <w:pPr>
              <w:jc w:val="center"/>
              <w:rPr>
                <w:rFonts w:ascii="Times New Roman" w:hAnsi="Times New Roman"/>
                <w:b/>
                <w:sz w:val="20"/>
                <w:szCs w:val="20"/>
              </w:rPr>
            </w:pPr>
            <w:r w:rsidRPr="00153B8C">
              <w:rPr>
                <w:rFonts w:ascii="Times New Roman" w:hAnsi="Times New Roman"/>
                <w:b/>
                <w:sz w:val="20"/>
                <w:szCs w:val="20"/>
              </w:rPr>
              <w:t>Frequency</w:t>
            </w:r>
          </w:p>
        </w:tc>
      </w:tr>
      <w:tr w:rsidR="00BC2C4A" w:rsidRPr="00153B8C" w:rsidTr="002A7927">
        <w:tc>
          <w:tcPr>
            <w:tcW w:w="2991" w:type="dxa"/>
            <w:tcBorders>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Alamsutira Sdn Bhd</w:t>
            </w:r>
          </w:p>
        </w:tc>
        <w:tc>
          <w:tcPr>
            <w:tcW w:w="1239" w:type="dxa"/>
            <w:tcBorders>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Gs Alam Lestari Solutions</w:t>
            </w:r>
          </w:p>
        </w:tc>
        <w:tc>
          <w:tcPr>
            <w:tcW w:w="1800" w:type="dxa"/>
            <w:tcBorders>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Anuar Mining And Environmental Consultant</w:t>
            </w:r>
          </w:p>
        </w:tc>
        <w:tc>
          <w:tcPr>
            <w:tcW w:w="1239"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c>
          <w:tcPr>
            <w:tcW w:w="252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Hydec Engineering Sdn Bhd,</w:t>
            </w:r>
          </w:p>
        </w:tc>
        <w:tc>
          <w:tcPr>
            <w:tcW w:w="180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Atmostech Multi-Trade &amp; Ser</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I.Z Environmind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95</w:t>
            </w:r>
          </w:p>
        </w:tc>
      </w:tr>
      <w:tr w:rsidR="00BC2C4A" w:rsidRPr="00153B8C" w:rsidTr="002A7927">
        <w:tc>
          <w:tcPr>
            <w:tcW w:w="2991"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Azm Engineers</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Institut Penyelidikan, Pembangunan &amp; Pengkomersilan (Irdc)</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lastRenderedPageBreak/>
              <w:t>Capai Cerah Sdn Bhd</w:t>
            </w:r>
          </w:p>
        </w:tc>
        <w:tc>
          <w:tcPr>
            <w:tcW w:w="1239"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c>
          <w:tcPr>
            <w:tcW w:w="252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Integrated Envirotech Sdn Bhd</w:t>
            </w:r>
          </w:p>
        </w:tc>
        <w:tc>
          <w:tcPr>
            <w:tcW w:w="180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Chemsain Konsultant Sdn Bhd</w:t>
            </w:r>
          </w:p>
        </w:tc>
        <w:tc>
          <w:tcPr>
            <w:tcW w:w="1239"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Iz Environmental Sdn Bhd</w:t>
            </w:r>
          </w:p>
        </w:tc>
        <w:tc>
          <w:tcPr>
            <w:tcW w:w="1800" w:type="dxa"/>
            <w:tcBorders>
              <w:top w:val="nil"/>
              <w:left w:val="nil"/>
              <w:bottom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Engineering And Environmental Consultants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Kenep Consultancy &amp; Services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r>
      <w:tr w:rsidR="00BC2C4A" w:rsidRPr="00153B8C" w:rsidTr="002A7927">
        <w:trPr>
          <w:trHeight w:val="441"/>
        </w:trPr>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Environmental Resources Management (M)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4</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Kiwiheng Wood And Environmental Consultants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Eqm Consultancy Services</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Lankenv Environmental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Europasia Engineering Services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Mab Environmental Consultants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Forestcare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Mareff Management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3</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Ghazali &amp; Associates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Masa Environmental Consultant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7</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Glisten Env. Consultan S/B</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Mendiraya Urus Services</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5</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Green Hope Consultancy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32</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Msk &amp; Associates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Gs Alam Lestari Solutions</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Mso Associates S/B</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Pakar Management Technology (M)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3</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Ukm Pakarunding</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Puncak Moriah Engineering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15</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Unisza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4</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Pusat Pembangunan Perniagaan Universiti Putra Malaysia</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4</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Unit Perunding Universiti Malaya</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Sangga Engineering &amp; Enviroservices (Abdul Wahab Ali)</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Universiti Pertanian Malaysia</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Sba Consultant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4</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Upm Consultancy &amp; Services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Sentosa Ventures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W &amp; R Envirobina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Shoh Consultancy</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Wiranda (M)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r>
      <w:tr w:rsidR="00BC2C4A" w:rsidRPr="00153B8C" w:rsidTr="002A7927">
        <w:tc>
          <w:tcPr>
            <w:tcW w:w="2991"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Ssm Associates Sdn Bhd</w:t>
            </w:r>
          </w:p>
        </w:tc>
        <w:tc>
          <w:tcPr>
            <w:tcW w:w="1239"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Wiranda (M) Sdn Bhd</w:t>
            </w:r>
          </w:p>
        </w:tc>
        <w:tc>
          <w:tcPr>
            <w:tcW w:w="1800" w:type="dxa"/>
            <w:tcBorders>
              <w:top w:val="nil"/>
              <w:left w:val="nil"/>
              <w:bottom w:val="nil"/>
              <w:right w:val="nil"/>
            </w:tcBorders>
            <w:shd w:val="clear" w:color="auto" w:fill="FFFFFF" w:themeFill="background1"/>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r>
      <w:tr w:rsidR="00BC2C4A" w:rsidRPr="00153B8C" w:rsidTr="002A7927">
        <w:tc>
          <w:tcPr>
            <w:tcW w:w="2991" w:type="dxa"/>
            <w:tcBorders>
              <w:top w:val="nil"/>
              <w:left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Surawaki Environmental Sdn Bhd</w:t>
            </w:r>
          </w:p>
        </w:tc>
        <w:tc>
          <w:tcPr>
            <w:tcW w:w="1239" w:type="dxa"/>
            <w:tcBorders>
              <w:top w:val="nil"/>
              <w:left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1</w:t>
            </w:r>
          </w:p>
        </w:tc>
        <w:tc>
          <w:tcPr>
            <w:tcW w:w="2520" w:type="dxa"/>
            <w:tcBorders>
              <w:top w:val="nil"/>
              <w:left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Yes Enviro Services Management</w:t>
            </w:r>
          </w:p>
        </w:tc>
        <w:tc>
          <w:tcPr>
            <w:tcW w:w="1800" w:type="dxa"/>
            <w:tcBorders>
              <w:top w:val="nil"/>
              <w:left w:val="nil"/>
              <w:right w:val="nil"/>
            </w:tcBorders>
            <w:shd w:val="clear" w:color="auto" w:fill="auto"/>
          </w:tcPr>
          <w:p w:rsidR="00BC2C4A" w:rsidRPr="00153B8C" w:rsidRDefault="00EE2094" w:rsidP="00FB7846">
            <w:pPr>
              <w:jc w:val="center"/>
              <w:rPr>
                <w:rFonts w:ascii="Times New Roman" w:hAnsi="Times New Roman"/>
                <w:color w:val="000000"/>
                <w:sz w:val="20"/>
                <w:szCs w:val="20"/>
              </w:rPr>
            </w:pPr>
            <w:r w:rsidRPr="00153B8C">
              <w:rPr>
                <w:rFonts w:ascii="Times New Roman" w:hAnsi="Times New Roman"/>
                <w:color w:val="000000"/>
                <w:sz w:val="20"/>
                <w:szCs w:val="20"/>
              </w:rPr>
              <w:t>2</w:t>
            </w:r>
          </w:p>
        </w:tc>
      </w:tr>
    </w:tbl>
    <w:p w:rsidR="001B210E" w:rsidRPr="00B37335" w:rsidRDefault="001B210E" w:rsidP="00FB7846">
      <w:pPr>
        <w:jc w:val="both"/>
        <w:rPr>
          <w:rFonts w:ascii="Times New Roman" w:hAnsi="Times New Roman"/>
          <w:b/>
        </w:rPr>
      </w:pPr>
    </w:p>
    <w:p w:rsidR="00E7151A" w:rsidRPr="00B37335" w:rsidRDefault="00E7151A" w:rsidP="00FB7846">
      <w:pPr>
        <w:jc w:val="both"/>
        <w:rPr>
          <w:rFonts w:ascii="Times New Roman" w:hAnsi="Times New Roman"/>
          <w:i/>
        </w:rPr>
      </w:pPr>
      <w:r w:rsidRPr="00B37335">
        <w:rPr>
          <w:rFonts w:ascii="Times New Roman" w:hAnsi="Times New Roman"/>
          <w:i/>
        </w:rPr>
        <w:t xml:space="preserve">Indicators in Forecasting Potential Impacts and proposal for mitigation of the impact </w:t>
      </w:r>
    </w:p>
    <w:p w:rsidR="003873E5" w:rsidRPr="00B37335" w:rsidRDefault="003873E5" w:rsidP="00FB7846">
      <w:pPr>
        <w:jc w:val="both"/>
        <w:rPr>
          <w:rFonts w:ascii="Times New Roman" w:hAnsi="Times New Roman"/>
          <w:b/>
          <w:i/>
        </w:rPr>
      </w:pPr>
    </w:p>
    <w:p w:rsidR="00872945" w:rsidRPr="00B37335" w:rsidRDefault="003248B2" w:rsidP="00FB7846">
      <w:pPr>
        <w:jc w:val="both"/>
        <w:rPr>
          <w:rFonts w:ascii="Times New Roman" w:hAnsi="Times New Roman"/>
        </w:rPr>
      </w:pPr>
      <w:r w:rsidRPr="00B37335">
        <w:rPr>
          <w:rFonts w:ascii="Times New Roman" w:hAnsi="Times New Roman"/>
        </w:rPr>
        <w:t xml:space="preserve">There are 12 indicators used in the prediction of potential impacts and mitigation plan of the </w:t>
      </w:r>
      <w:r w:rsidR="00017C69" w:rsidRPr="00B37335">
        <w:rPr>
          <w:rFonts w:ascii="Times New Roman" w:hAnsi="Times New Roman"/>
        </w:rPr>
        <w:t>impact in</w:t>
      </w:r>
      <w:r w:rsidRPr="00B37335">
        <w:rPr>
          <w:rFonts w:ascii="Times New Roman" w:hAnsi="Times New Roman"/>
        </w:rPr>
        <w:t xml:space="preserve"> the EIA report in Kelantan. All potential impacts and mitigation plan of the impacts vary according to the current status of land use, type of project, size of the project site and the location of the project.</w:t>
      </w:r>
    </w:p>
    <w:p w:rsidR="004A3DE0" w:rsidRPr="00B37335" w:rsidRDefault="004A3DE0" w:rsidP="00FB7846">
      <w:pPr>
        <w:jc w:val="both"/>
        <w:rPr>
          <w:rFonts w:ascii="Times New Roman" w:hAnsi="Times New Roman"/>
        </w:rPr>
      </w:pPr>
    </w:p>
    <w:tbl>
      <w:tblPr>
        <w:tblW w:w="0" w:type="auto"/>
        <w:tblLook w:val="04A0" w:firstRow="1" w:lastRow="0" w:firstColumn="1" w:lastColumn="0" w:noHBand="0" w:noVBand="1"/>
      </w:tblPr>
      <w:tblGrid>
        <w:gridCol w:w="4258"/>
        <w:gridCol w:w="4258"/>
      </w:tblGrid>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Soil erosion</w:t>
            </w:r>
          </w:p>
        </w:tc>
        <w:tc>
          <w:tcPr>
            <w:tcW w:w="4258" w:type="dxa"/>
            <w:shd w:val="clear" w:color="auto" w:fill="auto"/>
          </w:tcPr>
          <w:p w:rsidR="00872945" w:rsidRPr="00B37335" w:rsidRDefault="00872945" w:rsidP="00FB7846">
            <w:pPr>
              <w:pStyle w:val="MediumGrid1-Accent21"/>
              <w:tabs>
                <w:tab w:val="left" w:pos="420"/>
              </w:tabs>
              <w:ind w:left="137"/>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7.  Solid waste disposal</w:t>
            </w:r>
          </w:p>
        </w:tc>
      </w:tr>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Surface runoff</w:t>
            </w:r>
          </w:p>
        </w:tc>
        <w:tc>
          <w:tcPr>
            <w:tcW w:w="4258" w:type="dxa"/>
            <w:shd w:val="clear" w:color="auto" w:fill="auto"/>
          </w:tcPr>
          <w:p w:rsidR="00872945" w:rsidRPr="00B37335" w:rsidRDefault="00872945" w:rsidP="00FB7846">
            <w:pPr>
              <w:pStyle w:val="MediumGrid1-Accent21"/>
              <w:numPr>
                <w:ilvl w:val="0"/>
                <w:numId w:val="3"/>
              </w:numPr>
              <w:tabs>
                <w:tab w:val="left" w:pos="420"/>
              </w:tabs>
              <w:ind w:left="137" w:firstLine="0"/>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Scheduled waste</w:t>
            </w:r>
          </w:p>
        </w:tc>
      </w:tr>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Sedimentation</w:t>
            </w:r>
          </w:p>
        </w:tc>
        <w:tc>
          <w:tcPr>
            <w:tcW w:w="4258" w:type="dxa"/>
            <w:shd w:val="clear" w:color="auto" w:fill="auto"/>
          </w:tcPr>
          <w:p w:rsidR="00872945" w:rsidRPr="00B37335" w:rsidRDefault="00872945" w:rsidP="00FB7846">
            <w:pPr>
              <w:pStyle w:val="MediumGrid1-Accent21"/>
              <w:numPr>
                <w:ilvl w:val="0"/>
                <w:numId w:val="3"/>
              </w:numPr>
              <w:tabs>
                <w:tab w:val="left" w:pos="420"/>
              </w:tabs>
              <w:ind w:left="137" w:firstLine="0"/>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Traffic congestion</w:t>
            </w:r>
          </w:p>
        </w:tc>
      </w:tr>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Noise generation</w:t>
            </w:r>
          </w:p>
        </w:tc>
        <w:tc>
          <w:tcPr>
            <w:tcW w:w="4258" w:type="dxa"/>
            <w:shd w:val="clear" w:color="auto" w:fill="auto"/>
          </w:tcPr>
          <w:p w:rsidR="00872945" w:rsidRPr="00B37335" w:rsidRDefault="00872945" w:rsidP="00FB7846">
            <w:pPr>
              <w:pStyle w:val="MediumGrid1-Accent21"/>
              <w:numPr>
                <w:ilvl w:val="0"/>
                <w:numId w:val="3"/>
              </w:numPr>
              <w:tabs>
                <w:tab w:val="left" w:pos="420"/>
              </w:tabs>
              <w:ind w:left="137" w:firstLine="0"/>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Ecology (fauna &amp;flora)</w:t>
            </w:r>
          </w:p>
        </w:tc>
      </w:tr>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Air pollution</w:t>
            </w:r>
          </w:p>
        </w:tc>
        <w:tc>
          <w:tcPr>
            <w:tcW w:w="4258" w:type="dxa"/>
            <w:shd w:val="clear" w:color="auto" w:fill="auto"/>
          </w:tcPr>
          <w:p w:rsidR="00872945" w:rsidRPr="00B37335" w:rsidRDefault="00872945" w:rsidP="00FB7846">
            <w:pPr>
              <w:pStyle w:val="MediumGrid1-Accent21"/>
              <w:numPr>
                <w:ilvl w:val="0"/>
                <w:numId w:val="3"/>
              </w:numPr>
              <w:tabs>
                <w:tab w:val="left" w:pos="420"/>
              </w:tabs>
              <w:ind w:left="137" w:firstLine="0"/>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Forest fire</w:t>
            </w:r>
          </w:p>
        </w:tc>
      </w:tr>
      <w:tr w:rsidR="00872945" w:rsidRPr="00B37335" w:rsidTr="00946019">
        <w:tc>
          <w:tcPr>
            <w:tcW w:w="4258" w:type="dxa"/>
            <w:shd w:val="clear" w:color="auto" w:fill="auto"/>
          </w:tcPr>
          <w:p w:rsidR="00872945" w:rsidRPr="00B37335" w:rsidRDefault="00872945" w:rsidP="00FB7846">
            <w:pPr>
              <w:pStyle w:val="MediumGrid1-Accent21"/>
              <w:numPr>
                <w:ilvl w:val="0"/>
                <w:numId w:val="1"/>
              </w:numPr>
              <w:ind w:left="284" w:hanging="284"/>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Water pollution</w:t>
            </w:r>
          </w:p>
        </w:tc>
        <w:tc>
          <w:tcPr>
            <w:tcW w:w="4258" w:type="dxa"/>
            <w:shd w:val="clear" w:color="auto" w:fill="auto"/>
          </w:tcPr>
          <w:p w:rsidR="00872945" w:rsidRPr="00B37335" w:rsidRDefault="00872945" w:rsidP="00FB7846">
            <w:pPr>
              <w:pStyle w:val="MediumGrid1-Accent21"/>
              <w:numPr>
                <w:ilvl w:val="0"/>
                <w:numId w:val="3"/>
              </w:numPr>
              <w:tabs>
                <w:tab w:val="left" w:pos="420"/>
              </w:tabs>
              <w:ind w:left="137" w:firstLine="0"/>
              <w:jc w:val="both"/>
              <w:rPr>
                <w:rFonts w:ascii="Times New Roman" w:eastAsia="Times New Roman" w:hAnsi="Times New Roman"/>
                <w:color w:val="000000"/>
                <w:shd w:val="clear" w:color="auto" w:fill="FFFFFF"/>
              </w:rPr>
            </w:pPr>
            <w:r w:rsidRPr="00B37335">
              <w:rPr>
                <w:rFonts w:ascii="Times New Roman" w:eastAsia="Times New Roman" w:hAnsi="Times New Roman"/>
                <w:color w:val="000000"/>
                <w:shd w:val="clear" w:color="auto" w:fill="FFFFFF"/>
                <w:lang w:val="ms-MY" w:eastAsia="ms-MY"/>
              </w:rPr>
              <w:t>Socio-economy</w:t>
            </w:r>
          </w:p>
        </w:tc>
      </w:tr>
    </w:tbl>
    <w:p w:rsidR="009F1EB5" w:rsidRDefault="009F1EB5" w:rsidP="00FB7846">
      <w:pPr>
        <w:jc w:val="both"/>
        <w:rPr>
          <w:rFonts w:ascii="Times New Roman" w:hAnsi="Times New Roman"/>
          <w:b/>
        </w:rPr>
      </w:pPr>
    </w:p>
    <w:p w:rsidR="004415F0" w:rsidRPr="00B37335" w:rsidRDefault="004415F0" w:rsidP="00FB7846">
      <w:pPr>
        <w:jc w:val="both"/>
        <w:rPr>
          <w:rFonts w:ascii="Times New Roman" w:hAnsi="Times New Roman"/>
          <w:b/>
        </w:rPr>
      </w:pPr>
    </w:p>
    <w:p w:rsidR="00897AF4" w:rsidRPr="00B37335" w:rsidRDefault="003248B2" w:rsidP="00FB7846">
      <w:pPr>
        <w:jc w:val="both"/>
        <w:rPr>
          <w:rFonts w:ascii="Times New Roman" w:hAnsi="Times New Roman"/>
          <w:b/>
        </w:rPr>
      </w:pPr>
      <w:r w:rsidRPr="00B37335">
        <w:rPr>
          <w:rFonts w:ascii="Times New Roman" w:hAnsi="Times New Roman"/>
          <w:b/>
        </w:rPr>
        <w:t>Conclusion</w:t>
      </w:r>
    </w:p>
    <w:p w:rsidR="003248B2" w:rsidRPr="004415F0" w:rsidRDefault="003248B2" w:rsidP="00FB7846">
      <w:pPr>
        <w:jc w:val="both"/>
        <w:rPr>
          <w:rFonts w:ascii="Times New Roman" w:hAnsi="Times New Roman"/>
          <w:b/>
        </w:rPr>
      </w:pPr>
    </w:p>
    <w:p w:rsidR="003873E5" w:rsidRDefault="003873E5" w:rsidP="00FB7846">
      <w:pPr>
        <w:jc w:val="both"/>
        <w:rPr>
          <w:rFonts w:ascii="Times New Roman" w:hAnsi="Times New Roman"/>
        </w:rPr>
      </w:pPr>
      <w:r w:rsidRPr="00B37335">
        <w:rPr>
          <w:rFonts w:ascii="Times New Roman" w:hAnsi="Times New Roman"/>
        </w:rPr>
        <w:t>Even though the EIA is a part of important measurement tool in helping to reduce adverse impact on the environment, widespread approval with limited regular monitoring, had contributed to the vulnerability of the environment, especially forests and catchments area</w:t>
      </w:r>
      <w:r w:rsidR="00E3486B" w:rsidRPr="00B37335">
        <w:rPr>
          <w:rFonts w:ascii="Times New Roman" w:hAnsi="Times New Roman"/>
        </w:rPr>
        <w:t xml:space="preserve"> </w:t>
      </w:r>
      <w:r w:rsidR="00E3486B" w:rsidRPr="004415F0">
        <w:rPr>
          <w:rFonts w:ascii="Times New Roman" w:hAnsi="Times New Roman"/>
        </w:rPr>
        <w:lastRenderedPageBreak/>
        <w:t>(Mohd Nadzri</w:t>
      </w:r>
      <w:r w:rsidR="00E3486B" w:rsidRPr="004415F0">
        <w:rPr>
          <w:rFonts w:ascii="Times New Roman" w:eastAsia="Times New Roman" w:hAnsi="Times New Roman"/>
          <w:lang w:eastAsia="ms-MY"/>
        </w:rPr>
        <w:t xml:space="preserve"> </w:t>
      </w:r>
      <w:r w:rsidR="004415F0" w:rsidRPr="004415F0">
        <w:rPr>
          <w:rFonts w:ascii="Times New Roman" w:eastAsia="Times New Roman" w:hAnsi="Times New Roman"/>
          <w:lang w:eastAsia="ms-MY"/>
        </w:rPr>
        <w:t>&amp;</w:t>
      </w:r>
      <w:r w:rsidR="00E3486B" w:rsidRPr="004415F0">
        <w:rPr>
          <w:rFonts w:ascii="Times New Roman" w:eastAsia="Times New Roman" w:hAnsi="Times New Roman"/>
          <w:lang w:eastAsia="ms-MY"/>
        </w:rPr>
        <w:t xml:space="preserve"> </w:t>
      </w:r>
      <w:r w:rsidR="00E3486B" w:rsidRPr="004415F0">
        <w:rPr>
          <w:rFonts w:ascii="Times New Roman" w:hAnsi="Times New Roman"/>
        </w:rPr>
        <w:t>Maziah</w:t>
      </w:r>
      <w:r w:rsidR="004415F0" w:rsidRPr="004415F0">
        <w:rPr>
          <w:rFonts w:ascii="Times New Roman" w:hAnsi="Times New Roman"/>
        </w:rPr>
        <w:t>,</w:t>
      </w:r>
      <w:r w:rsidR="00E3486B" w:rsidRPr="004415F0">
        <w:rPr>
          <w:rFonts w:ascii="Times New Roman" w:hAnsi="Times New Roman"/>
        </w:rPr>
        <w:t xml:space="preserve"> 1998)</w:t>
      </w:r>
      <w:r w:rsidRPr="004415F0">
        <w:rPr>
          <w:rFonts w:ascii="Times New Roman" w:hAnsi="Times New Roman"/>
        </w:rPr>
        <w:t>.</w:t>
      </w:r>
      <w:r w:rsidRPr="00B37335">
        <w:rPr>
          <w:rFonts w:ascii="Times New Roman" w:hAnsi="Times New Roman"/>
        </w:rPr>
        <w:t xml:space="preserve"> Preliminary studies on EIA reports found a high growth of EIA submission since 2000 to 2015 (Figure 1). Agricultural projects, logging and quarrying are dominating 78% of overall approved EIA reports that received by the Department of Environment Kelantan. The study also found out that many plantations, agriculture and logging have occurred in the district of Gua Musang. Open farmland, farming and logging have led to the exploitation of secondary forest, logged forest area, the existing plantation as well as exploitation on a number of permanent forest reserves. Majority of the affected area are hilly, water catchment areas and the main tributaries of Sungai Kelantan. The results of this study clearly indicate that the clearing of forest on a large scale with the approval of EIA may also be associated with the floods in Kelantan recently.</w:t>
      </w:r>
    </w:p>
    <w:p w:rsidR="004415F0" w:rsidRDefault="004415F0" w:rsidP="00FB7846">
      <w:pPr>
        <w:jc w:val="both"/>
        <w:rPr>
          <w:rFonts w:ascii="Times New Roman" w:hAnsi="Times New Roman"/>
        </w:rPr>
      </w:pPr>
    </w:p>
    <w:p w:rsidR="007A425F" w:rsidRPr="00B37335" w:rsidRDefault="007A425F" w:rsidP="00FB7846">
      <w:pPr>
        <w:jc w:val="both"/>
        <w:rPr>
          <w:rFonts w:ascii="Times New Roman" w:hAnsi="Times New Roman"/>
        </w:rPr>
      </w:pPr>
    </w:p>
    <w:p w:rsidR="007A425F" w:rsidRPr="00B37335" w:rsidRDefault="007A425F" w:rsidP="00FB7846">
      <w:pPr>
        <w:tabs>
          <w:tab w:val="left" w:pos="1426"/>
        </w:tabs>
        <w:jc w:val="both"/>
        <w:rPr>
          <w:rFonts w:ascii="Times New Roman" w:hAnsi="Times New Roman"/>
          <w:b/>
        </w:rPr>
      </w:pPr>
      <w:r w:rsidRPr="00B37335">
        <w:rPr>
          <w:rFonts w:ascii="Times New Roman" w:hAnsi="Times New Roman"/>
          <w:b/>
        </w:rPr>
        <w:t>Acknowledgements</w:t>
      </w:r>
    </w:p>
    <w:p w:rsidR="007A425F" w:rsidRPr="00B37335" w:rsidRDefault="007A425F" w:rsidP="00FB7846">
      <w:pPr>
        <w:autoSpaceDE w:val="0"/>
        <w:autoSpaceDN w:val="0"/>
        <w:adjustRightInd w:val="0"/>
        <w:jc w:val="both"/>
        <w:rPr>
          <w:rFonts w:ascii="Times New Roman" w:hAnsi="Times New Roman"/>
          <w:lang w:val="ms-MY"/>
        </w:rPr>
      </w:pPr>
    </w:p>
    <w:p w:rsidR="007A425F" w:rsidRDefault="007A425F" w:rsidP="00FB7846">
      <w:pPr>
        <w:jc w:val="both"/>
        <w:rPr>
          <w:rFonts w:ascii="Times New Roman" w:hAnsi="Times New Roman"/>
        </w:rPr>
      </w:pPr>
      <w:r w:rsidRPr="00B37335">
        <w:rPr>
          <w:rFonts w:ascii="Times New Roman" w:hAnsi="Times New Roman"/>
          <w:lang w:val="ms-MY"/>
        </w:rPr>
        <w:t xml:space="preserve">This research is conducted by using the research funding of the </w:t>
      </w:r>
      <w:r w:rsidRPr="00B37335">
        <w:rPr>
          <w:rFonts w:ascii="Times New Roman" w:hAnsi="Times New Roman"/>
        </w:rPr>
        <w:t>TRGS/1/2015/USM/01/4/5 project.</w:t>
      </w:r>
    </w:p>
    <w:p w:rsidR="004415F0" w:rsidRDefault="004415F0" w:rsidP="00FB7846">
      <w:pPr>
        <w:jc w:val="both"/>
        <w:rPr>
          <w:rFonts w:ascii="Times New Roman" w:hAnsi="Times New Roman"/>
        </w:rPr>
      </w:pPr>
    </w:p>
    <w:p w:rsidR="007A425F" w:rsidRPr="00B37335" w:rsidRDefault="007A425F" w:rsidP="00FB7846">
      <w:pPr>
        <w:jc w:val="both"/>
        <w:rPr>
          <w:rFonts w:ascii="Times New Roman" w:hAnsi="Times New Roman"/>
          <w:b/>
        </w:rPr>
      </w:pPr>
    </w:p>
    <w:p w:rsidR="007A425F" w:rsidRDefault="007A425F" w:rsidP="00FB7846">
      <w:pPr>
        <w:jc w:val="both"/>
        <w:rPr>
          <w:rFonts w:ascii="Times New Roman" w:hAnsi="Times New Roman"/>
          <w:b/>
        </w:rPr>
      </w:pPr>
      <w:r w:rsidRPr="00B37335">
        <w:rPr>
          <w:rFonts w:ascii="Times New Roman" w:hAnsi="Times New Roman"/>
          <w:b/>
        </w:rPr>
        <w:t>References</w:t>
      </w:r>
    </w:p>
    <w:p w:rsidR="00CF7095" w:rsidRDefault="00CF7095" w:rsidP="00FB7846">
      <w:pPr>
        <w:jc w:val="both"/>
        <w:rPr>
          <w:rFonts w:ascii="Times New Roman" w:hAnsi="Times New Roman"/>
          <w:b/>
        </w:rPr>
      </w:pPr>
    </w:p>
    <w:p w:rsidR="00CF7095" w:rsidRPr="00B37335" w:rsidRDefault="00CF7095" w:rsidP="00FB7846">
      <w:pPr>
        <w:ind w:left="567" w:hanging="567"/>
        <w:jc w:val="both"/>
        <w:rPr>
          <w:rFonts w:ascii="Times New Roman" w:eastAsia="Times New Roman" w:hAnsi="Times New Roman"/>
          <w:lang w:eastAsia="ms-MY"/>
        </w:rPr>
      </w:pPr>
      <w:r w:rsidRPr="00B37335">
        <w:rPr>
          <w:rFonts w:ascii="Times New Roman" w:hAnsi="Times New Roman"/>
        </w:rPr>
        <w:t>Abdul Rahman</w:t>
      </w:r>
      <w:r w:rsidR="001569D5">
        <w:rPr>
          <w:rFonts w:ascii="Times New Roman" w:hAnsi="Times New Roman"/>
        </w:rPr>
        <w:t>,</w:t>
      </w:r>
      <w:r w:rsidRPr="00B37335">
        <w:rPr>
          <w:rFonts w:ascii="Times New Roman" w:hAnsi="Times New Roman"/>
        </w:rPr>
        <w:t xml:space="preserve"> Mahmud</w:t>
      </w:r>
      <w:r w:rsidR="008549BD">
        <w:rPr>
          <w:rFonts w:ascii="Times New Roman" w:hAnsi="Times New Roman"/>
        </w:rPr>
        <w:t>,</w:t>
      </w:r>
      <w:r w:rsidRPr="00B37335">
        <w:rPr>
          <w:rFonts w:ascii="Times New Roman" w:hAnsi="Times New Roman"/>
        </w:rPr>
        <w:t xml:space="preserve"> </w:t>
      </w:r>
      <w:r w:rsidR="001569D5">
        <w:rPr>
          <w:rFonts w:ascii="Times New Roman" w:hAnsi="Times New Roman"/>
        </w:rPr>
        <w:t>&amp;</w:t>
      </w:r>
      <w:r w:rsidR="00D7344E">
        <w:rPr>
          <w:rFonts w:ascii="Times New Roman" w:hAnsi="Times New Roman"/>
        </w:rPr>
        <w:t xml:space="preserve"> Zaini Sakawi. (</w:t>
      </w:r>
      <w:r w:rsidRPr="00B37335">
        <w:rPr>
          <w:rFonts w:ascii="Times New Roman" w:hAnsi="Times New Roman"/>
        </w:rPr>
        <w:t>2015</w:t>
      </w:r>
      <w:r w:rsidR="00D7344E">
        <w:rPr>
          <w:rFonts w:ascii="Times New Roman" w:hAnsi="Times New Roman"/>
        </w:rPr>
        <w:t>)</w:t>
      </w:r>
      <w:r w:rsidRPr="00B37335">
        <w:rPr>
          <w:rFonts w:ascii="Times New Roman" w:hAnsi="Times New Roman"/>
        </w:rPr>
        <w:t>. Aspek kawalan hakisan tanah dan sedimentasi sebagai syarat kelulusan EIA di Malaysia: Kajian status kepatuhan di Negeri Kedah.</w:t>
      </w:r>
      <w:r w:rsidRPr="00B37335">
        <w:rPr>
          <w:rFonts w:ascii="Times New Roman" w:eastAsia="Times New Roman" w:hAnsi="Times New Roman"/>
          <w:lang w:eastAsia="ms-MY"/>
        </w:rPr>
        <w:t xml:space="preserve"> </w:t>
      </w:r>
      <w:r w:rsidRPr="00B37335">
        <w:rPr>
          <w:rFonts w:ascii="Times New Roman" w:eastAsia="Times New Roman" w:hAnsi="Times New Roman"/>
          <w:i/>
          <w:lang w:eastAsia="ms-MY"/>
        </w:rPr>
        <w:t>Geografia</w:t>
      </w:r>
      <w:r w:rsidRPr="00B37335">
        <w:rPr>
          <w:rFonts w:ascii="Times New Roman" w:hAnsi="Times New Roman"/>
          <w:i/>
        </w:rPr>
        <w:t xml:space="preserve"> </w:t>
      </w:r>
      <w:r w:rsidRPr="00B37335">
        <w:rPr>
          <w:rFonts w:ascii="Times New Roman" w:eastAsia="Times New Roman" w:hAnsi="Times New Roman"/>
          <w:i/>
          <w:lang w:eastAsia="ms-MY"/>
        </w:rPr>
        <w:t>Malaysian Journal of Society and Space</w:t>
      </w:r>
      <w:r w:rsidR="001569D5">
        <w:rPr>
          <w:rFonts w:ascii="Times New Roman" w:eastAsia="Times New Roman" w:hAnsi="Times New Roman"/>
          <w:i/>
          <w:lang w:eastAsia="ms-MY"/>
        </w:rPr>
        <w:t>,</w:t>
      </w:r>
      <w:r w:rsidRPr="00B37335">
        <w:rPr>
          <w:rFonts w:ascii="Times New Roman" w:eastAsia="Times New Roman" w:hAnsi="Times New Roman"/>
          <w:i/>
          <w:lang w:eastAsia="ms-MY"/>
        </w:rPr>
        <w:t xml:space="preserve"> 11</w:t>
      </w:r>
      <w:r>
        <w:rPr>
          <w:rFonts w:ascii="Times New Roman" w:eastAsia="Times New Roman" w:hAnsi="Times New Roman"/>
          <w:lang w:eastAsia="ms-MY"/>
        </w:rPr>
        <w:t xml:space="preserve">(1), </w:t>
      </w:r>
      <w:r w:rsidRPr="00B37335">
        <w:rPr>
          <w:rFonts w:ascii="Times New Roman" w:eastAsia="Times New Roman" w:hAnsi="Times New Roman"/>
          <w:lang w:eastAsia="ms-MY"/>
        </w:rPr>
        <w:t>42-52</w:t>
      </w:r>
      <w:r w:rsidR="001569D5">
        <w:rPr>
          <w:rFonts w:ascii="Times New Roman" w:eastAsia="Times New Roman" w:hAnsi="Times New Roman"/>
          <w:lang w:eastAsia="ms-MY"/>
        </w:rPr>
        <w:t>.</w:t>
      </w:r>
    </w:p>
    <w:p w:rsidR="00CF7095" w:rsidRPr="00B37335" w:rsidRDefault="00CF7095" w:rsidP="00FB7846">
      <w:pPr>
        <w:ind w:left="567" w:hanging="567"/>
        <w:jc w:val="both"/>
        <w:rPr>
          <w:rFonts w:ascii="Times New Roman" w:eastAsia="Times New Roman" w:hAnsi="Times New Roman"/>
          <w:lang w:eastAsia="ms-MY"/>
        </w:rPr>
      </w:pPr>
      <w:r w:rsidRPr="00B37335">
        <w:rPr>
          <w:rFonts w:ascii="Times New Roman" w:hAnsi="Times New Roman"/>
        </w:rPr>
        <w:t>Abdul Rahman</w:t>
      </w:r>
      <w:r w:rsidR="00D7344E">
        <w:rPr>
          <w:rFonts w:ascii="Times New Roman" w:hAnsi="Times New Roman"/>
        </w:rPr>
        <w:t>,</w:t>
      </w:r>
      <w:r w:rsidRPr="00B37335">
        <w:rPr>
          <w:rFonts w:ascii="Times New Roman" w:hAnsi="Times New Roman"/>
        </w:rPr>
        <w:t xml:space="preserve"> Mahmud, Zaini Sakawi</w:t>
      </w:r>
      <w:r w:rsidR="00D21DB6">
        <w:rPr>
          <w:rFonts w:ascii="Times New Roman" w:hAnsi="Times New Roman"/>
        </w:rPr>
        <w:t>,</w:t>
      </w:r>
      <w:r w:rsidRPr="00B37335">
        <w:rPr>
          <w:rFonts w:ascii="Times New Roman" w:hAnsi="Times New Roman"/>
        </w:rPr>
        <w:t xml:space="preserve"> </w:t>
      </w:r>
      <w:r w:rsidR="00D7344E">
        <w:rPr>
          <w:rFonts w:ascii="Times New Roman" w:hAnsi="Times New Roman"/>
        </w:rPr>
        <w:t>&amp;</w:t>
      </w:r>
      <w:r w:rsidRPr="00B37335">
        <w:rPr>
          <w:rFonts w:ascii="Times New Roman" w:hAnsi="Times New Roman"/>
        </w:rPr>
        <w:t xml:space="preserve"> Khairul Nizam Abdul Maulud. </w:t>
      </w:r>
      <w:r w:rsidR="00D7344E">
        <w:rPr>
          <w:rFonts w:ascii="Times New Roman" w:hAnsi="Times New Roman"/>
        </w:rPr>
        <w:t>(</w:t>
      </w:r>
      <w:r w:rsidRPr="00B37335">
        <w:rPr>
          <w:rFonts w:ascii="Times New Roman" w:hAnsi="Times New Roman"/>
        </w:rPr>
        <w:t>2017</w:t>
      </w:r>
      <w:r w:rsidR="00D7344E">
        <w:rPr>
          <w:rFonts w:ascii="Times New Roman" w:hAnsi="Times New Roman"/>
        </w:rPr>
        <w:t>)</w:t>
      </w:r>
      <w:r w:rsidRPr="00B37335">
        <w:rPr>
          <w:rFonts w:ascii="Times New Roman" w:hAnsi="Times New Roman"/>
        </w:rPr>
        <w:t xml:space="preserve">. Analisa terhadap kaedah pengulasan laporan Penilaian Kesan kepada Alam Sekeliling (EIA) di Malaysia. </w:t>
      </w:r>
      <w:r w:rsidRPr="00B37335">
        <w:rPr>
          <w:rFonts w:ascii="Times New Roman" w:eastAsia="Times New Roman" w:hAnsi="Times New Roman"/>
          <w:i/>
          <w:lang w:eastAsia="ms-MY"/>
        </w:rPr>
        <w:t>Geografia Malaysian Journal of Society and Space</w:t>
      </w:r>
      <w:r w:rsidR="00D7344E">
        <w:rPr>
          <w:rFonts w:ascii="Times New Roman" w:eastAsia="Times New Roman" w:hAnsi="Times New Roman"/>
          <w:i/>
          <w:lang w:eastAsia="ms-MY"/>
        </w:rPr>
        <w:t>,</w:t>
      </w:r>
      <w:r w:rsidRPr="00B37335">
        <w:rPr>
          <w:rFonts w:ascii="Times New Roman" w:eastAsia="Times New Roman" w:hAnsi="Times New Roman"/>
          <w:i/>
          <w:lang w:eastAsia="ms-MY"/>
        </w:rPr>
        <w:t xml:space="preserve"> 13</w:t>
      </w:r>
      <w:r>
        <w:rPr>
          <w:rFonts w:ascii="Times New Roman" w:eastAsia="Times New Roman" w:hAnsi="Times New Roman"/>
          <w:lang w:eastAsia="ms-MY"/>
        </w:rPr>
        <w:t>(4),</w:t>
      </w:r>
      <w:r w:rsidRPr="00B37335">
        <w:rPr>
          <w:rFonts w:ascii="Times New Roman" w:eastAsia="Times New Roman" w:hAnsi="Times New Roman"/>
          <w:lang w:eastAsia="ms-MY"/>
        </w:rPr>
        <w:t xml:space="preserve"> 11-21</w:t>
      </w:r>
      <w:r w:rsidR="00D21DB6">
        <w:rPr>
          <w:rFonts w:ascii="Times New Roman" w:eastAsia="Times New Roman" w:hAnsi="Times New Roman"/>
          <w:lang w:eastAsia="ms-MY"/>
        </w:rPr>
        <w:t>.</w:t>
      </w:r>
    </w:p>
    <w:p w:rsidR="00CF7095" w:rsidRPr="00B37335" w:rsidRDefault="00F22CFE" w:rsidP="00FB7846">
      <w:pPr>
        <w:pStyle w:val="MediumGrid1-Accent21"/>
        <w:autoSpaceDE w:val="0"/>
        <w:autoSpaceDN w:val="0"/>
        <w:adjustRightInd w:val="0"/>
        <w:ind w:left="567" w:hanging="567"/>
        <w:jc w:val="both"/>
        <w:rPr>
          <w:rFonts w:ascii="Times New Roman" w:eastAsia="Times New Roman" w:hAnsi="Times New Roman"/>
          <w:lang w:eastAsia="ms-MY"/>
        </w:rPr>
      </w:pPr>
      <w:hyperlink r:id="rId17" w:history="1">
        <w:r w:rsidR="00CF7095" w:rsidRPr="00B37335">
          <w:rPr>
            <w:rFonts w:ascii="Times New Roman" w:eastAsia="Times New Roman" w:hAnsi="Times New Roman"/>
            <w:lang w:eastAsia="ms-MY"/>
          </w:rPr>
          <w:t>Ayla Bilgin</w:t>
        </w:r>
      </w:hyperlink>
      <w:r w:rsidR="00D617CF">
        <w:rPr>
          <w:rFonts w:ascii="Times New Roman" w:hAnsi="Times New Roman"/>
        </w:rPr>
        <w:t>.</w:t>
      </w:r>
      <w:r w:rsidR="00CF7095" w:rsidRPr="00B37335">
        <w:rPr>
          <w:rFonts w:ascii="Times New Roman" w:eastAsia="Times New Roman" w:hAnsi="Times New Roman"/>
          <w:bCs/>
          <w:kern w:val="36"/>
          <w:lang w:eastAsia="ms-MY"/>
        </w:rPr>
        <w:t xml:space="preserve"> </w:t>
      </w:r>
      <w:r w:rsidR="00F16206">
        <w:rPr>
          <w:rFonts w:ascii="Times New Roman" w:eastAsia="Times New Roman" w:hAnsi="Times New Roman"/>
          <w:bCs/>
          <w:kern w:val="36"/>
          <w:lang w:eastAsia="ms-MY"/>
        </w:rPr>
        <w:t>(</w:t>
      </w:r>
      <w:r w:rsidR="00CF7095" w:rsidRPr="00B37335">
        <w:rPr>
          <w:rFonts w:ascii="Times New Roman" w:eastAsia="Times New Roman" w:hAnsi="Times New Roman"/>
          <w:lang w:eastAsia="ms-MY"/>
        </w:rPr>
        <w:t>2015</w:t>
      </w:r>
      <w:r w:rsidR="00F16206">
        <w:rPr>
          <w:rFonts w:ascii="Times New Roman" w:eastAsia="Times New Roman" w:hAnsi="Times New Roman"/>
          <w:lang w:eastAsia="ms-MY"/>
        </w:rPr>
        <w:t>)</w:t>
      </w:r>
      <w:r w:rsidR="00CF7095" w:rsidRPr="00B37335">
        <w:rPr>
          <w:rFonts w:ascii="Times New Roman" w:eastAsia="Times New Roman" w:hAnsi="Times New Roman"/>
          <w:lang w:eastAsia="ms-MY"/>
        </w:rPr>
        <w:t xml:space="preserve">. </w:t>
      </w:r>
      <w:r w:rsidR="00CF7095" w:rsidRPr="00B37335">
        <w:rPr>
          <w:rFonts w:ascii="Times New Roman" w:eastAsia="Times New Roman" w:hAnsi="Times New Roman"/>
          <w:bCs/>
          <w:kern w:val="36"/>
          <w:lang w:eastAsia="ms-MY"/>
        </w:rPr>
        <w:t xml:space="preserve">Analysis of the environmental impact assessment (EIA) </w:t>
      </w:r>
      <w:r w:rsidR="00D617CF">
        <w:rPr>
          <w:rFonts w:ascii="Times New Roman" w:eastAsia="Times New Roman" w:hAnsi="Times New Roman"/>
          <w:bCs/>
          <w:kern w:val="36"/>
          <w:lang w:eastAsia="ms-MY"/>
        </w:rPr>
        <w:t>d</w:t>
      </w:r>
      <w:r w:rsidR="00CF7095" w:rsidRPr="00B37335">
        <w:rPr>
          <w:rFonts w:ascii="Times New Roman" w:eastAsia="Times New Roman" w:hAnsi="Times New Roman"/>
          <w:bCs/>
          <w:kern w:val="36"/>
          <w:lang w:eastAsia="ms-MY"/>
        </w:rPr>
        <w:t xml:space="preserve">irective and the EIA decision in Turkey, </w:t>
      </w:r>
      <w:hyperlink r:id="rId18" w:tooltip="Go to Environmental Impact Assessment Review on ScienceDirect" w:history="1">
        <w:r w:rsidR="00CF7095" w:rsidRPr="00D617CF">
          <w:rPr>
            <w:rFonts w:ascii="Times New Roman" w:eastAsia="Times New Roman" w:hAnsi="Times New Roman"/>
            <w:i/>
            <w:lang w:eastAsia="ms-MY"/>
          </w:rPr>
          <w:t>Environmental Impact Assessment Review</w:t>
        </w:r>
      </w:hyperlink>
      <w:r w:rsidR="00CF7095" w:rsidRPr="00B37335">
        <w:rPr>
          <w:rFonts w:ascii="Times New Roman" w:hAnsi="Times New Roman"/>
        </w:rPr>
        <w:t>,</w:t>
      </w:r>
      <w:r w:rsidR="00CF7095" w:rsidRPr="00B37335">
        <w:rPr>
          <w:rFonts w:ascii="Times New Roman" w:eastAsia="Times New Roman" w:hAnsi="Times New Roman"/>
          <w:bCs/>
          <w:kern w:val="36"/>
          <w:lang w:eastAsia="ms-MY"/>
        </w:rPr>
        <w:t xml:space="preserve"> </w:t>
      </w:r>
      <w:r w:rsidR="00CF7095" w:rsidRPr="00F16206">
        <w:rPr>
          <w:rFonts w:ascii="Times New Roman" w:eastAsia="Times New Roman" w:hAnsi="Times New Roman"/>
          <w:bCs/>
          <w:i/>
          <w:kern w:val="36"/>
          <w:lang w:eastAsia="ms-MY"/>
        </w:rPr>
        <w:t>53</w:t>
      </w:r>
      <w:r w:rsidR="00CF7095" w:rsidRPr="00B37335">
        <w:rPr>
          <w:rFonts w:ascii="Times New Roman" w:eastAsia="Times New Roman" w:hAnsi="Times New Roman"/>
          <w:bCs/>
          <w:kern w:val="36"/>
          <w:lang w:eastAsia="ms-MY"/>
        </w:rPr>
        <w:t>,</w:t>
      </w:r>
      <w:r w:rsidR="008549BD">
        <w:rPr>
          <w:rFonts w:ascii="Times New Roman" w:eastAsia="Times New Roman" w:hAnsi="Times New Roman"/>
          <w:lang w:eastAsia="ms-MY"/>
        </w:rPr>
        <w:t xml:space="preserve"> </w:t>
      </w:r>
      <w:r w:rsidR="00F16206">
        <w:rPr>
          <w:rFonts w:ascii="Times New Roman" w:eastAsia="Times New Roman" w:hAnsi="Times New Roman"/>
          <w:lang w:eastAsia="ms-MY"/>
        </w:rPr>
        <w:t>40-</w:t>
      </w:r>
      <w:r w:rsidR="00CF7095" w:rsidRPr="00B37335">
        <w:rPr>
          <w:rFonts w:ascii="Times New Roman" w:eastAsia="Times New Roman" w:hAnsi="Times New Roman"/>
          <w:lang w:eastAsia="ms-MY"/>
        </w:rPr>
        <w:t>51.</w:t>
      </w:r>
    </w:p>
    <w:p w:rsidR="00CF7095" w:rsidRPr="00B37335" w:rsidRDefault="00D617CF" w:rsidP="00FB7846">
      <w:pPr>
        <w:pStyle w:val="MediumGrid1-Accent21"/>
        <w:autoSpaceDE w:val="0"/>
        <w:autoSpaceDN w:val="0"/>
        <w:adjustRightInd w:val="0"/>
        <w:ind w:left="567" w:hanging="567"/>
        <w:jc w:val="both"/>
        <w:outlineLvl w:val="0"/>
        <w:rPr>
          <w:rFonts w:ascii="Times New Roman" w:hAnsi="Times New Roman"/>
          <w:color w:val="000000"/>
        </w:rPr>
      </w:pPr>
      <w:r>
        <w:rPr>
          <w:rFonts w:ascii="Times New Roman" w:hAnsi="Times New Roman"/>
        </w:rPr>
        <w:t>DOE.</w:t>
      </w:r>
      <w:r w:rsidR="001569D5">
        <w:rPr>
          <w:rFonts w:ascii="Times New Roman" w:hAnsi="Times New Roman"/>
        </w:rPr>
        <w:t xml:space="preserve"> </w:t>
      </w:r>
      <w:r w:rsidR="00F16206">
        <w:rPr>
          <w:rFonts w:ascii="Times New Roman" w:hAnsi="Times New Roman"/>
        </w:rPr>
        <w:t>(</w:t>
      </w:r>
      <w:r w:rsidR="001569D5">
        <w:rPr>
          <w:rFonts w:ascii="Times New Roman" w:hAnsi="Times New Roman"/>
        </w:rPr>
        <w:t>2015</w:t>
      </w:r>
      <w:r w:rsidR="00F16206">
        <w:rPr>
          <w:rFonts w:ascii="Times New Roman" w:hAnsi="Times New Roman"/>
        </w:rPr>
        <w:t>)</w:t>
      </w:r>
      <w:r w:rsidR="001569D5">
        <w:rPr>
          <w:rFonts w:ascii="Times New Roman" w:hAnsi="Times New Roman"/>
        </w:rPr>
        <w:t xml:space="preserve">. </w:t>
      </w:r>
      <w:r w:rsidR="00CF7095" w:rsidRPr="00B37335">
        <w:rPr>
          <w:rFonts w:ascii="Times New Roman" w:hAnsi="Times New Roman"/>
        </w:rPr>
        <w:t>Prosedur EIA</w:t>
      </w:r>
      <w:r w:rsidR="001569D5">
        <w:rPr>
          <w:rFonts w:ascii="Times New Roman" w:hAnsi="Times New Roman"/>
          <w:color w:val="000000"/>
        </w:rPr>
        <w:t xml:space="preserve">. </w:t>
      </w:r>
      <w:r>
        <w:rPr>
          <w:rFonts w:ascii="Times New Roman" w:hAnsi="Times New Roman"/>
          <w:color w:val="000000"/>
        </w:rPr>
        <w:t xml:space="preserve">Retrieved from </w:t>
      </w:r>
      <w:r w:rsidR="00CF7095" w:rsidRPr="00B37335">
        <w:rPr>
          <w:rFonts w:ascii="Times New Roman" w:hAnsi="Times New Roman"/>
        </w:rPr>
        <w:t>http://www.doe.gov.my</w:t>
      </w:r>
      <w:r w:rsidR="001569D5">
        <w:rPr>
          <w:rFonts w:ascii="Times New Roman" w:hAnsi="Times New Roman"/>
          <w:color w:val="000000"/>
        </w:rPr>
        <w:t>.</w:t>
      </w:r>
    </w:p>
    <w:p w:rsidR="00CF7095" w:rsidRPr="00B37335" w:rsidRDefault="00F16206" w:rsidP="00FB7846">
      <w:pPr>
        <w:pStyle w:val="MediumGrid1-Accent21"/>
        <w:ind w:left="567" w:hanging="567"/>
        <w:jc w:val="both"/>
        <w:outlineLvl w:val="0"/>
        <w:rPr>
          <w:rFonts w:ascii="Times New Roman" w:eastAsia="Times New Roman" w:hAnsi="Times New Roman"/>
          <w:lang w:eastAsia="ms-MY"/>
        </w:rPr>
      </w:pPr>
      <w:r>
        <w:rPr>
          <w:rFonts w:ascii="Times New Roman" w:eastAsia="Times New Roman" w:hAnsi="Times New Roman"/>
          <w:lang w:eastAsia="ms-MY"/>
        </w:rPr>
        <w:t xml:space="preserve">Glasson, </w:t>
      </w:r>
      <w:r w:rsidR="00CF7095" w:rsidRPr="00B37335">
        <w:rPr>
          <w:rFonts w:ascii="Times New Roman" w:eastAsia="Times New Roman" w:hAnsi="Times New Roman"/>
          <w:lang w:eastAsia="ms-MY"/>
        </w:rPr>
        <w:t xml:space="preserve">J., Therivel R., &amp; Chadwick, A. </w:t>
      </w:r>
      <w:r>
        <w:rPr>
          <w:rFonts w:ascii="Times New Roman" w:eastAsia="Times New Roman" w:hAnsi="Times New Roman"/>
          <w:lang w:eastAsia="ms-MY"/>
        </w:rPr>
        <w:t>(</w:t>
      </w:r>
      <w:r w:rsidR="00CF7095" w:rsidRPr="00B37335">
        <w:rPr>
          <w:rFonts w:ascii="Times New Roman" w:eastAsia="Times New Roman" w:hAnsi="Times New Roman"/>
          <w:lang w:eastAsia="ms-MY"/>
        </w:rPr>
        <w:t>2012</w:t>
      </w:r>
      <w:r>
        <w:rPr>
          <w:rFonts w:ascii="Times New Roman" w:eastAsia="Times New Roman" w:hAnsi="Times New Roman"/>
          <w:lang w:eastAsia="ms-MY"/>
        </w:rPr>
        <w:t>)</w:t>
      </w:r>
      <w:r w:rsidR="00CF7095" w:rsidRPr="00B37335">
        <w:rPr>
          <w:rFonts w:ascii="Times New Roman" w:eastAsia="Times New Roman" w:hAnsi="Times New Roman"/>
          <w:lang w:eastAsia="ms-MY"/>
        </w:rPr>
        <w:t xml:space="preserve">. </w:t>
      </w:r>
      <w:r w:rsidR="00CF7095" w:rsidRPr="00B37335">
        <w:rPr>
          <w:rFonts w:ascii="Times New Roman" w:eastAsia="Times New Roman" w:hAnsi="Times New Roman"/>
          <w:i/>
          <w:lang w:eastAsia="ms-MY"/>
        </w:rPr>
        <w:t>Introduction to environmental impact assessment</w:t>
      </w:r>
      <w:r w:rsidR="008549BD">
        <w:rPr>
          <w:rFonts w:ascii="Times New Roman" w:eastAsia="Times New Roman" w:hAnsi="Times New Roman"/>
          <w:lang w:eastAsia="ms-MY"/>
        </w:rPr>
        <w:t>.</w:t>
      </w:r>
      <w:r w:rsidR="00CF7095" w:rsidRPr="00B37335">
        <w:rPr>
          <w:rFonts w:ascii="Times New Roman" w:eastAsia="Times New Roman" w:hAnsi="Times New Roman"/>
          <w:lang w:eastAsia="ms-MY"/>
        </w:rPr>
        <w:t xml:space="preserve"> </w:t>
      </w:r>
      <w:r w:rsidR="008549BD">
        <w:rPr>
          <w:rFonts w:ascii="Times New Roman" w:eastAsia="Times New Roman" w:hAnsi="Times New Roman"/>
          <w:lang w:eastAsia="ms-MY"/>
        </w:rPr>
        <w:t>(</w:t>
      </w:r>
      <w:r w:rsidR="00CF7095" w:rsidRPr="00B37335">
        <w:rPr>
          <w:rFonts w:ascii="Times New Roman" w:eastAsia="Times New Roman" w:hAnsi="Times New Roman"/>
          <w:lang w:eastAsia="ms-MY"/>
        </w:rPr>
        <w:t>4th ed.</w:t>
      </w:r>
      <w:r w:rsidR="008549BD">
        <w:rPr>
          <w:rFonts w:ascii="Times New Roman" w:eastAsia="Times New Roman" w:hAnsi="Times New Roman"/>
          <w:lang w:eastAsia="ms-MY"/>
        </w:rPr>
        <w:t xml:space="preserve">). (pp. </w:t>
      </w:r>
      <w:r w:rsidR="00CF7095" w:rsidRPr="00B37335">
        <w:rPr>
          <w:rFonts w:ascii="Times New Roman" w:eastAsia="Times New Roman" w:hAnsi="Times New Roman"/>
          <w:lang w:eastAsia="ms-MY"/>
        </w:rPr>
        <w:t>30</w:t>
      </w:r>
      <w:r w:rsidR="008549BD">
        <w:rPr>
          <w:rFonts w:ascii="Times New Roman" w:eastAsia="Times New Roman" w:hAnsi="Times New Roman"/>
          <w:lang w:eastAsia="ms-MY"/>
        </w:rPr>
        <w:t>)</w:t>
      </w:r>
      <w:r w:rsidR="00CF7095" w:rsidRPr="00B37335">
        <w:rPr>
          <w:rFonts w:ascii="Times New Roman" w:eastAsia="Times New Roman" w:hAnsi="Times New Roman"/>
          <w:lang w:eastAsia="ms-MY"/>
        </w:rPr>
        <w:t>, Oxford Brookes University, London</w:t>
      </w:r>
      <w:r w:rsidR="008549BD">
        <w:rPr>
          <w:rFonts w:ascii="Times New Roman" w:eastAsia="Times New Roman" w:hAnsi="Times New Roman"/>
          <w:lang w:eastAsia="ms-MY"/>
        </w:rPr>
        <w:t>.</w:t>
      </w:r>
    </w:p>
    <w:p w:rsidR="00CF7095" w:rsidRPr="00B37335" w:rsidRDefault="00F22CFE" w:rsidP="00FB7846">
      <w:pPr>
        <w:pStyle w:val="MediumGrid1-Accent21"/>
        <w:ind w:left="567" w:hanging="567"/>
        <w:jc w:val="both"/>
        <w:outlineLvl w:val="0"/>
        <w:rPr>
          <w:rFonts w:ascii="Times New Roman" w:eastAsia="Times New Roman" w:hAnsi="Times New Roman"/>
          <w:lang w:eastAsia="ms-MY"/>
        </w:rPr>
      </w:pPr>
      <w:hyperlink r:id="rId19" w:history="1">
        <w:r w:rsidR="00CF7095" w:rsidRPr="00B37335">
          <w:rPr>
            <w:rFonts w:ascii="Times New Roman" w:eastAsia="Times New Roman" w:hAnsi="Times New Roman"/>
            <w:lang w:eastAsia="ms-MY"/>
          </w:rPr>
          <w:t>Katarina Pavlickova</w:t>
        </w:r>
      </w:hyperlink>
      <w:r w:rsidR="001569D5">
        <w:rPr>
          <w:rFonts w:ascii="Times New Roman" w:eastAsia="Times New Roman" w:hAnsi="Times New Roman"/>
          <w:lang w:eastAsia="ms-MY"/>
        </w:rPr>
        <w:t>,</w:t>
      </w:r>
      <w:r w:rsidR="00CF7095" w:rsidRPr="00B37335">
        <w:rPr>
          <w:rFonts w:ascii="Times New Roman" w:eastAsia="Times New Roman" w:hAnsi="Times New Roman"/>
          <w:lang w:eastAsia="ms-MY"/>
        </w:rPr>
        <w:t xml:space="preserve"> &amp; </w:t>
      </w:r>
      <w:hyperlink r:id="rId20" w:history="1">
        <w:r w:rsidR="00CF7095" w:rsidRPr="00B37335">
          <w:rPr>
            <w:rFonts w:ascii="Times New Roman" w:eastAsia="Times New Roman" w:hAnsi="Times New Roman"/>
            <w:lang w:eastAsia="ms-MY"/>
          </w:rPr>
          <w:t>Monika Vyskupova</w:t>
        </w:r>
      </w:hyperlink>
      <w:r w:rsidR="00355C4D">
        <w:rPr>
          <w:rFonts w:ascii="Times New Roman" w:eastAsia="Times New Roman" w:hAnsi="Times New Roman"/>
          <w:lang w:eastAsia="ms-MY"/>
        </w:rPr>
        <w:t>.</w:t>
      </w:r>
      <w:r w:rsidR="00CF7095" w:rsidRPr="00B37335">
        <w:rPr>
          <w:rFonts w:ascii="Times New Roman" w:eastAsia="Times New Roman" w:hAnsi="Times New Roman"/>
          <w:bCs/>
          <w:kern w:val="36"/>
          <w:lang w:eastAsia="ms-MY"/>
        </w:rPr>
        <w:t xml:space="preserve"> </w:t>
      </w:r>
      <w:r w:rsidR="00F16206">
        <w:rPr>
          <w:rFonts w:ascii="Times New Roman" w:eastAsia="Times New Roman" w:hAnsi="Times New Roman"/>
          <w:bCs/>
          <w:kern w:val="36"/>
          <w:lang w:eastAsia="ms-MY"/>
        </w:rPr>
        <w:t>(</w:t>
      </w:r>
      <w:r w:rsidR="00CF7095" w:rsidRPr="00B37335">
        <w:rPr>
          <w:rFonts w:ascii="Times New Roman" w:eastAsia="Times New Roman" w:hAnsi="Times New Roman"/>
          <w:bCs/>
          <w:kern w:val="36"/>
          <w:lang w:eastAsia="ms-MY"/>
        </w:rPr>
        <w:t>2015</w:t>
      </w:r>
      <w:r w:rsidR="00F16206">
        <w:rPr>
          <w:rFonts w:ascii="Times New Roman" w:eastAsia="Times New Roman" w:hAnsi="Times New Roman"/>
          <w:bCs/>
          <w:kern w:val="36"/>
          <w:lang w:eastAsia="ms-MY"/>
        </w:rPr>
        <w:t>)</w:t>
      </w:r>
      <w:r w:rsidR="00CF7095" w:rsidRPr="00B37335">
        <w:rPr>
          <w:rFonts w:ascii="Times New Roman" w:eastAsia="Times New Roman" w:hAnsi="Times New Roman"/>
          <w:bCs/>
          <w:kern w:val="36"/>
          <w:lang w:eastAsia="ms-MY"/>
        </w:rPr>
        <w:t xml:space="preserve">. A method proposal for cumulative environmental impact assessment based on the landscape vulnerability evaluation, </w:t>
      </w:r>
      <w:hyperlink r:id="rId21" w:tooltip="Go to Environmental Impact Assessment Review on ScienceDirect" w:history="1">
        <w:r w:rsidR="00CF7095" w:rsidRPr="00B37335">
          <w:rPr>
            <w:rFonts w:ascii="Times New Roman" w:eastAsia="Times New Roman" w:hAnsi="Times New Roman"/>
            <w:i/>
            <w:lang w:eastAsia="ms-MY"/>
          </w:rPr>
          <w:t>Environmental Impact Assessment Review</w:t>
        </w:r>
      </w:hyperlink>
      <w:r w:rsidR="00CF7095" w:rsidRPr="00B37335">
        <w:rPr>
          <w:rFonts w:ascii="Times New Roman" w:hAnsi="Times New Roman"/>
        </w:rPr>
        <w:t>,</w:t>
      </w:r>
      <w:r w:rsidR="00CF7095" w:rsidRPr="00B37335">
        <w:rPr>
          <w:rFonts w:ascii="Times New Roman" w:eastAsia="Times New Roman" w:hAnsi="Times New Roman"/>
          <w:lang w:eastAsia="ms-MY"/>
        </w:rPr>
        <w:t xml:space="preserve"> </w:t>
      </w:r>
      <w:r w:rsidR="00CF7095" w:rsidRPr="00F16206">
        <w:rPr>
          <w:rFonts w:ascii="Times New Roman" w:eastAsia="Times New Roman" w:hAnsi="Times New Roman"/>
          <w:i/>
          <w:lang w:eastAsia="ms-MY"/>
        </w:rPr>
        <w:t>50</w:t>
      </w:r>
      <w:r w:rsidR="00CF7095" w:rsidRPr="00B37335">
        <w:rPr>
          <w:rFonts w:ascii="Times New Roman" w:eastAsia="Times New Roman" w:hAnsi="Times New Roman"/>
          <w:lang w:eastAsia="ms-MY"/>
        </w:rPr>
        <w:t>, 74</w:t>
      </w:r>
      <w:r w:rsidR="00355C4D">
        <w:rPr>
          <w:rFonts w:ascii="Times New Roman" w:eastAsia="Times New Roman" w:hAnsi="Times New Roman"/>
          <w:lang w:eastAsia="ms-MY"/>
        </w:rPr>
        <w:t>-</w:t>
      </w:r>
      <w:r w:rsidR="00CF7095" w:rsidRPr="00B37335">
        <w:rPr>
          <w:rFonts w:ascii="Times New Roman" w:eastAsia="Times New Roman" w:hAnsi="Times New Roman"/>
          <w:lang w:eastAsia="ms-MY"/>
        </w:rPr>
        <w:t>84.</w:t>
      </w:r>
    </w:p>
    <w:p w:rsidR="00CF7095" w:rsidRPr="00B37335" w:rsidRDefault="00F22CFE" w:rsidP="00FB7846">
      <w:pPr>
        <w:pStyle w:val="MediumGrid1-Accent21"/>
        <w:ind w:left="567" w:hanging="567"/>
        <w:jc w:val="both"/>
        <w:outlineLvl w:val="0"/>
        <w:rPr>
          <w:rFonts w:ascii="Times New Roman" w:eastAsia="Times New Roman" w:hAnsi="Times New Roman"/>
          <w:lang w:eastAsia="ms-MY"/>
        </w:rPr>
      </w:pPr>
      <w:hyperlink r:id="rId22" w:history="1">
        <w:r w:rsidR="00CF7095" w:rsidRPr="00B37335">
          <w:rPr>
            <w:rFonts w:ascii="Times New Roman" w:eastAsia="Times New Roman" w:hAnsi="Times New Roman"/>
            <w:lang w:eastAsia="ms-MY"/>
          </w:rPr>
          <w:t>Mohan B. Dangi</w:t>
        </w:r>
      </w:hyperlink>
      <w:r w:rsidR="00CF7095" w:rsidRPr="00B37335">
        <w:rPr>
          <w:rFonts w:ascii="Times New Roman" w:eastAsia="Times New Roman" w:hAnsi="Times New Roman"/>
          <w:lang w:eastAsia="ms-MY"/>
        </w:rPr>
        <w:t xml:space="preserve">, </w:t>
      </w:r>
      <w:hyperlink r:id="rId23" w:history="1">
        <w:r w:rsidR="00CF7095" w:rsidRPr="00B37335">
          <w:rPr>
            <w:rFonts w:ascii="Times New Roman" w:eastAsia="Times New Roman" w:hAnsi="Times New Roman"/>
            <w:lang w:eastAsia="ms-MY"/>
          </w:rPr>
          <w:t>Deanna Fernandez</w:t>
        </w:r>
      </w:hyperlink>
      <w:r w:rsidR="00CF7095" w:rsidRPr="00B37335">
        <w:rPr>
          <w:rFonts w:ascii="Times New Roman" w:eastAsia="Times New Roman" w:hAnsi="Times New Roman"/>
          <w:lang w:eastAsia="ms-MY"/>
        </w:rPr>
        <w:t xml:space="preserve">, </w:t>
      </w:r>
      <w:hyperlink r:id="rId24" w:history="1">
        <w:r w:rsidR="00CF7095" w:rsidRPr="00B37335">
          <w:rPr>
            <w:rFonts w:ascii="Times New Roman" w:eastAsia="Times New Roman" w:hAnsi="Times New Roman"/>
            <w:lang w:eastAsia="ms-MY"/>
          </w:rPr>
          <w:t>Upendra B. Bom</w:t>
        </w:r>
      </w:hyperlink>
      <w:r w:rsidR="00CF7095" w:rsidRPr="00B37335">
        <w:rPr>
          <w:rFonts w:ascii="Times New Roman" w:eastAsia="Times New Roman" w:hAnsi="Times New Roman"/>
          <w:lang w:eastAsia="ms-MY"/>
        </w:rPr>
        <w:t xml:space="preserve">, </w:t>
      </w:r>
      <w:hyperlink r:id="rId25" w:history="1">
        <w:r w:rsidR="00CF7095" w:rsidRPr="00B37335">
          <w:rPr>
            <w:rFonts w:ascii="Times New Roman" w:eastAsia="Times New Roman" w:hAnsi="Times New Roman"/>
            <w:lang w:eastAsia="ms-MY"/>
          </w:rPr>
          <w:t>Shashidhar Belbase</w:t>
        </w:r>
      </w:hyperlink>
      <w:r w:rsidR="008549BD">
        <w:rPr>
          <w:rFonts w:ascii="Times New Roman" w:eastAsia="Times New Roman" w:hAnsi="Times New Roman"/>
          <w:lang w:eastAsia="ms-MY"/>
        </w:rPr>
        <w:t>,</w:t>
      </w:r>
      <w:r w:rsidR="00CF7095" w:rsidRPr="00B37335">
        <w:rPr>
          <w:rFonts w:ascii="Times New Roman" w:eastAsia="Times New Roman" w:hAnsi="Times New Roman"/>
          <w:lang w:eastAsia="ms-MY"/>
        </w:rPr>
        <w:t xml:space="preserve"> &amp; </w:t>
      </w:r>
      <w:hyperlink r:id="rId26" w:history="1">
        <w:r w:rsidR="00CF7095" w:rsidRPr="00B37335">
          <w:rPr>
            <w:rFonts w:ascii="Times New Roman" w:eastAsia="Times New Roman" w:hAnsi="Times New Roman"/>
            <w:lang w:eastAsia="ms-MY"/>
          </w:rPr>
          <w:t>Rameshwor Kaphle</w:t>
        </w:r>
      </w:hyperlink>
      <w:r w:rsidR="00CF7095" w:rsidRPr="00B37335">
        <w:rPr>
          <w:rFonts w:ascii="Times New Roman" w:eastAsia="Times New Roman" w:hAnsi="Times New Roman"/>
          <w:lang w:eastAsia="ms-MY"/>
        </w:rPr>
        <w:t xml:space="preserve">. </w:t>
      </w:r>
      <w:r w:rsidR="00F16206">
        <w:rPr>
          <w:rFonts w:ascii="Times New Roman" w:eastAsia="Times New Roman" w:hAnsi="Times New Roman"/>
          <w:lang w:eastAsia="ms-MY"/>
        </w:rPr>
        <w:t>(</w:t>
      </w:r>
      <w:r w:rsidR="00CF7095" w:rsidRPr="00B37335">
        <w:rPr>
          <w:rFonts w:ascii="Times New Roman" w:eastAsia="Times New Roman" w:hAnsi="Times New Roman"/>
          <w:lang w:eastAsia="ms-MY"/>
        </w:rPr>
        <w:t>2015</w:t>
      </w:r>
      <w:r w:rsidR="00F16206">
        <w:rPr>
          <w:rFonts w:ascii="Times New Roman" w:eastAsia="Times New Roman" w:hAnsi="Times New Roman"/>
          <w:lang w:eastAsia="ms-MY"/>
        </w:rPr>
        <w:t>)</w:t>
      </w:r>
      <w:r w:rsidR="00CF7095" w:rsidRPr="00B37335">
        <w:rPr>
          <w:rFonts w:ascii="Times New Roman" w:eastAsia="Times New Roman" w:hAnsi="Times New Roman"/>
          <w:lang w:eastAsia="ms-MY"/>
        </w:rPr>
        <w:t>.</w:t>
      </w:r>
      <w:r w:rsidR="00CF7095" w:rsidRPr="00B37335">
        <w:rPr>
          <w:rFonts w:ascii="Times New Roman" w:eastAsia="Times New Roman" w:hAnsi="Times New Roman"/>
          <w:bCs/>
          <w:kern w:val="36"/>
          <w:lang w:eastAsia="ms-MY"/>
        </w:rPr>
        <w:t xml:space="preserve"> Evaluation of environmental impact assessment report preparation and public participation in landfill projects in Nepal, </w:t>
      </w:r>
      <w:hyperlink r:id="rId27" w:tooltip="Go to Habitat International on ScienceDirect" w:history="1">
        <w:r w:rsidR="00CF7095" w:rsidRPr="00B37335">
          <w:rPr>
            <w:rFonts w:ascii="Times New Roman" w:eastAsia="Times New Roman" w:hAnsi="Times New Roman"/>
            <w:i/>
            <w:lang w:eastAsia="ms-MY"/>
          </w:rPr>
          <w:t>Habitat International</w:t>
        </w:r>
      </w:hyperlink>
      <w:r w:rsidR="00CF7095" w:rsidRPr="00B37335">
        <w:rPr>
          <w:rFonts w:ascii="Times New Roman" w:hAnsi="Times New Roman"/>
          <w:i/>
        </w:rPr>
        <w:t xml:space="preserve">, </w:t>
      </w:r>
      <w:r w:rsidR="00CF7095" w:rsidRPr="00B37335">
        <w:rPr>
          <w:rFonts w:ascii="Times New Roman" w:eastAsia="Times New Roman" w:hAnsi="Times New Roman"/>
          <w:i/>
          <w:lang w:eastAsia="ms-MY"/>
        </w:rPr>
        <w:t>46</w:t>
      </w:r>
      <w:r w:rsidR="00F16206">
        <w:rPr>
          <w:rFonts w:ascii="Times New Roman" w:eastAsia="Times New Roman" w:hAnsi="Times New Roman"/>
          <w:lang w:eastAsia="ms-MY"/>
        </w:rPr>
        <w:t>, 72-81</w:t>
      </w:r>
      <w:r w:rsidR="00CF7095" w:rsidRPr="00B37335">
        <w:rPr>
          <w:rFonts w:ascii="Times New Roman" w:eastAsia="Times New Roman" w:hAnsi="Times New Roman"/>
          <w:lang w:eastAsia="ms-MY"/>
        </w:rPr>
        <w:t>.</w:t>
      </w:r>
    </w:p>
    <w:p w:rsidR="00CF7095" w:rsidRPr="00B37335" w:rsidRDefault="00F16206" w:rsidP="00FB7846">
      <w:pPr>
        <w:pStyle w:val="MediumGrid1-Accent21"/>
        <w:autoSpaceDE w:val="0"/>
        <w:autoSpaceDN w:val="0"/>
        <w:adjustRightInd w:val="0"/>
        <w:ind w:left="567" w:hanging="567"/>
        <w:jc w:val="both"/>
        <w:rPr>
          <w:rFonts w:ascii="Times New Roman" w:eastAsia="Times New Roman" w:hAnsi="Times New Roman"/>
          <w:lang w:eastAsia="ms-MY"/>
        </w:rPr>
      </w:pPr>
      <w:r>
        <w:rPr>
          <w:rFonts w:ascii="Times New Roman" w:eastAsia="Times New Roman" w:hAnsi="Times New Roman"/>
          <w:lang w:eastAsia="ms-MY"/>
        </w:rPr>
        <w:t>Mohd, N.</w:t>
      </w:r>
      <w:r w:rsidR="00CF7095" w:rsidRPr="00B37335">
        <w:rPr>
          <w:rFonts w:ascii="Times New Roman" w:eastAsia="Times New Roman" w:hAnsi="Times New Roman"/>
          <w:lang w:eastAsia="ms-MY"/>
        </w:rPr>
        <w:t>J.</w:t>
      </w:r>
      <w:r>
        <w:rPr>
          <w:rFonts w:ascii="Times New Roman" w:eastAsia="Times New Roman" w:hAnsi="Times New Roman"/>
          <w:lang w:eastAsia="ms-MY"/>
        </w:rPr>
        <w:t>,</w:t>
      </w:r>
      <w:r w:rsidR="00CF7095" w:rsidRPr="00B37335">
        <w:rPr>
          <w:rFonts w:ascii="Times New Roman" w:eastAsia="Times New Roman" w:hAnsi="Times New Roman"/>
          <w:lang w:eastAsia="ms-MY"/>
        </w:rPr>
        <w:t xml:space="preserve"> </w:t>
      </w:r>
      <w:r>
        <w:rPr>
          <w:rFonts w:ascii="Times New Roman" w:eastAsia="Times New Roman" w:hAnsi="Times New Roman"/>
          <w:lang w:eastAsia="ms-MY"/>
        </w:rPr>
        <w:t>&amp;</w:t>
      </w:r>
      <w:r w:rsidR="00CF7095" w:rsidRPr="00B37335">
        <w:rPr>
          <w:rFonts w:ascii="Times New Roman" w:eastAsia="Times New Roman" w:hAnsi="Times New Roman"/>
          <w:lang w:eastAsia="ms-MY"/>
        </w:rPr>
        <w:t xml:space="preserve"> Maziah I. </w:t>
      </w:r>
      <w:r>
        <w:rPr>
          <w:rFonts w:ascii="Times New Roman" w:eastAsia="Times New Roman" w:hAnsi="Times New Roman"/>
          <w:lang w:eastAsia="ms-MY"/>
        </w:rPr>
        <w:t>(</w:t>
      </w:r>
      <w:r w:rsidR="00CF7095" w:rsidRPr="00B37335">
        <w:rPr>
          <w:rFonts w:ascii="Times New Roman" w:eastAsia="Times New Roman" w:hAnsi="Times New Roman"/>
          <w:lang w:eastAsia="ms-MY"/>
        </w:rPr>
        <w:t>1998</w:t>
      </w:r>
      <w:r>
        <w:rPr>
          <w:rFonts w:ascii="Times New Roman" w:eastAsia="Times New Roman" w:hAnsi="Times New Roman"/>
          <w:lang w:eastAsia="ms-MY"/>
        </w:rPr>
        <w:t>)</w:t>
      </w:r>
      <w:r w:rsidR="00CF7095" w:rsidRPr="00B37335">
        <w:rPr>
          <w:rFonts w:ascii="Times New Roman" w:eastAsia="Times New Roman" w:hAnsi="Times New Roman"/>
          <w:lang w:eastAsia="ms-MY"/>
        </w:rPr>
        <w:t>. Permasalahan dalam mengendalikan keperluan laporan penilaian kesan alam sekitar (</w:t>
      </w:r>
      <w:r w:rsidR="008549BD">
        <w:rPr>
          <w:rFonts w:ascii="Times New Roman" w:eastAsia="Times New Roman" w:hAnsi="Times New Roman"/>
          <w:lang w:eastAsia="ms-MY"/>
        </w:rPr>
        <w:t>Environmental Impact A</w:t>
      </w:r>
      <w:r w:rsidR="009B2309">
        <w:rPr>
          <w:rFonts w:ascii="Times New Roman" w:eastAsia="Times New Roman" w:hAnsi="Times New Roman"/>
          <w:lang w:eastAsia="ms-MY"/>
        </w:rPr>
        <w:t>ssessment-</w:t>
      </w:r>
      <w:r w:rsidR="00CF7095" w:rsidRPr="00B37335">
        <w:rPr>
          <w:rFonts w:ascii="Times New Roman" w:eastAsia="Times New Roman" w:hAnsi="Times New Roman"/>
          <w:lang w:eastAsia="ms-MY"/>
        </w:rPr>
        <w:t>EIA) terhadap pembangunan hartanah dari sudut pemaju dan jab</w:t>
      </w:r>
      <w:r>
        <w:rPr>
          <w:rFonts w:ascii="Times New Roman" w:eastAsia="Times New Roman" w:hAnsi="Times New Roman"/>
          <w:lang w:eastAsia="ms-MY"/>
        </w:rPr>
        <w:t>atan alam sekitar</w:t>
      </w:r>
      <w:r w:rsidR="009B2309">
        <w:rPr>
          <w:rFonts w:ascii="Times New Roman" w:eastAsia="Times New Roman" w:hAnsi="Times New Roman"/>
          <w:lang w:eastAsia="ms-MY"/>
        </w:rPr>
        <w:t xml:space="preserve">. </w:t>
      </w:r>
      <w:r w:rsidR="00CF7095" w:rsidRPr="00F16206">
        <w:rPr>
          <w:rFonts w:ascii="Times New Roman" w:eastAsia="Times New Roman" w:hAnsi="Times New Roman"/>
          <w:i/>
          <w:lang w:eastAsia="ms-MY"/>
        </w:rPr>
        <w:t xml:space="preserve">Buletin </w:t>
      </w:r>
      <w:r w:rsidRPr="00F16206">
        <w:rPr>
          <w:rFonts w:ascii="Times New Roman" w:eastAsia="Times New Roman" w:hAnsi="Times New Roman"/>
          <w:i/>
          <w:lang w:eastAsia="ms-MY"/>
        </w:rPr>
        <w:t>Geoinformasi 2 dan 1</w:t>
      </w:r>
      <w:r>
        <w:rPr>
          <w:rFonts w:ascii="Times New Roman" w:eastAsia="Times New Roman" w:hAnsi="Times New Roman"/>
          <w:lang w:eastAsia="ms-MY"/>
        </w:rPr>
        <w:t>, 183-193</w:t>
      </w:r>
      <w:r w:rsidR="00CF7095" w:rsidRPr="00B37335">
        <w:rPr>
          <w:rFonts w:ascii="Times New Roman" w:eastAsia="Times New Roman" w:hAnsi="Times New Roman"/>
          <w:lang w:eastAsia="ms-MY"/>
        </w:rPr>
        <w:t>.</w:t>
      </w:r>
    </w:p>
    <w:p w:rsidR="00CF7095" w:rsidRPr="00B37335" w:rsidRDefault="00CF7095" w:rsidP="00FB7846">
      <w:pPr>
        <w:pStyle w:val="MediumGrid1-Accent21"/>
        <w:ind w:left="567" w:hanging="567"/>
        <w:jc w:val="both"/>
        <w:outlineLvl w:val="0"/>
        <w:rPr>
          <w:rFonts w:ascii="Times New Roman" w:eastAsia="Times New Roman" w:hAnsi="Times New Roman"/>
          <w:lang w:eastAsia="ms-MY"/>
        </w:rPr>
      </w:pPr>
      <w:r w:rsidRPr="00B37335">
        <w:rPr>
          <w:rFonts w:ascii="Times New Roman" w:eastAsia="Times New Roman" w:hAnsi="Times New Roman"/>
          <w:lang w:eastAsia="ms-MY"/>
        </w:rPr>
        <w:t>Mohmadisa Hashim, Wan Ruslan Ismail, Zullyadini A. Rahaman, Nasir Nayan, Zainudin Othman</w:t>
      </w:r>
      <w:r w:rsidR="008549BD">
        <w:rPr>
          <w:rFonts w:ascii="Times New Roman" w:eastAsia="Times New Roman" w:hAnsi="Times New Roman"/>
          <w:lang w:eastAsia="ms-MY"/>
        </w:rPr>
        <w:t>,</w:t>
      </w:r>
      <w:r w:rsidRPr="00B37335">
        <w:rPr>
          <w:rFonts w:ascii="Times New Roman" w:eastAsia="Times New Roman" w:hAnsi="Times New Roman"/>
          <w:lang w:eastAsia="ms-MY"/>
        </w:rPr>
        <w:t xml:space="preserve"> </w:t>
      </w:r>
      <w:r w:rsidR="009B2309">
        <w:rPr>
          <w:rFonts w:ascii="Times New Roman" w:eastAsia="Times New Roman" w:hAnsi="Times New Roman"/>
          <w:lang w:eastAsia="ms-MY"/>
        </w:rPr>
        <w:t>&amp;</w:t>
      </w:r>
      <w:r w:rsidRPr="00B37335">
        <w:rPr>
          <w:rFonts w:ascii="Times New Roman" w:eastAsia="Times New Roman" w:hAnsi="Times New Roman"/>
          <w:lang w:eastAsia="ms-MY"/>
        </w:rPr>
        <w:t xml:space="preserve"> Yazid Saleh. </w:t>
      </w:r>
      <w:r w:rsidR="009B2309">
        <w:rPr>
          <w:rFonts w:ascii="Times New Roman" w:eastAsia="Times New Roman" w:hAnsi="Times New Roman"/>
          <w:lang w:eastAsia="ms-MY"/>
        </w:rPr>
        <w:t>(</w:t>
      </w:r>
      <w:r w:rsidRPr="00B37335">
        <w:rPr>
          <w:rFonts w:ascii="Times New Roman" w:eastAsia="Times New Roman" w:hAnsi="Times New Roman"/>
          <w:lang w:eastAsia="ms-MY"/>
        </w:rPr>
        <w:t>2016</w:t>
      </w:r>
      <w:r w:rsidR="009B2309">
        <w:rPr>
          <w:rFonts w:ascii="Times New Roman" w:eastAsia="Times New Roman" w:hAnsi="Times New Roman"/>
          <w:lang w:eastAsia="ms-MY"/>
        </w:rPr>
        <w:t>)</w:t>
      </w:r>
      <w:r w:rsidRPr="00B37335">
        <w:rPr>
          <w:rFonts w:ascii="Times New Roman" w:eastAsia="Times New Roman" w:hAnsi="Times New Roman"/>
          <w:lang w:eastAsia="ms-MY"/>
        </w:rPr>
        <w:t xml:space="preserve">. Accelerated development and changes in rainfall trends and variations in Malaysia: A case study of the Kinta River basin 1960- 2006. </w:t>
      </w:r>
      <w:r w:rsidRPr="00B37335">
        <w:rPr>
          <w:rFonts w:ascii="Times New Roman" w:eastAsia="Times New Roman" w:hAnsi="Times New Roman"/>
          <w:i/>
          <w:lang w:eastAsia="ms-MY"/>
        </w:rPr>
        <w:t>Geografia Malaysian Journal of Society and Space</w:t>
      </w:r>
      <w:r w:rsidR="009B2309">
        <w:rPr>
          <w:rFonts w:ascii="Times New Roman" w:eastAsia="Times New Roman" w:hAnsi="Times New Roman"/>
          <w:i/>
          <w:lang w:eastAsia="ms-MY"/>
        </w:rPr>
        <w:t>,</w:t>
      </w:r>
      <w:r w:rsidRPr="00B37335">
        <w:rPr>
          <w:rFonts w:ascii="Times New Roman" w:eastAsia="Times New Roman" w:hAnsi="Times New Roman"/>
          <w:i/>
          <w:lang w:eastAsia="ms-MY"/>
        </w:rPr>
        <w:t xml:space="preserve"> 12</w:t>
      </w:r>
      <w:r w:rsidR="009B2309">
        <w:rPr>
          <w:rFonts w:ascii="Times New Roman" w:eastAsia="Times New Roman" w:hAnsi="Times New Roman"/>
          <w:lang w:eastAsia="ms-MY"/>
        </w:rPr>
        <w:t>(6), 126 -</w:t>
      </w:r>
      <w:r w:rsidRPr="00B37335">
        <w:rPr>
          <w:rFonts w:ascii="Times New Roman" w:eastAsia="Times New Roman" w:hAnsi="Times New Roman"/>
          <w:lang w:eastAsia="ms-MY"/>
        </w:rPr>
        <w:t>141</w:t>
      </w:r>
    </w:p>
    <w:p w:rsidR="00CF7095" w:rsidRPr="00B37335" w:rsidRDefault="00CF7095" w:rsidP="00FB7846">
      <w:pPr>
        <w:pStyle w:val="MediumGrid1-Accent21"/>
        <w:ind w:left="567" w:hanging="567"/>
        <w:jc w:val="both"/>
        <w:outlineLvl w:val="0"/>
        <w:rPr>
          <w:rFonts w:ascii="Times New Roman" w:eastAsia="Times New Roman" w:hAnsi="Times New Roman"/>
          <w:lang w:eastAsia="ms-MY"/>
        </w:rPr>
      </w:pPr>
      <w:r w:rsidRPr="00B37335">
        <w:rPr>
          <w:rFonts w:ascii="Times New Roman" w:eastAsia="Times New Roman" w:hAnsi="Times New Roman"/>
          <w:lang w:eastAsia="ms-MY"/>
        </w:rPr>
        <w:t>Shaharudin Idrus, Lim Choun Sian</w:t>
      </w:r>
      <w:r w:rsidR="00D21DB6">
        <w:rPr>
          <w:rFonts w:ascii="Times New Roman" w:eastAsia="Times New Roman" w:hAnsi="Times New Roman"/>
          <w:lang w:eastAsia="ms-MY"/>
        </w:rPr>
        <w:t>,</w:t>
      </w:r>
      <w:r w:rsidR="004A24F9">
        <w:rPr>
          <w:rFonts w:ascii="Times New Roman" w:eastAsia="Times New Roman" w:hAnsi="Times New Roman"/>
          <w:lang w:eastAsia="ms-MY"/>
        </w:rPr>
        <w:t xml:space="preserve"> &amp; Abdul Samad Hadi. </w:t>
      </w:r>
      <w:r w:rsidR="009B2309">
        <w:rPr>
          <w:rFonts w:ascii="Times New Roman" w:eastAsia="Times New Roman" w:hAnsi="Times New Roman"/>
          <w:lang w:eastAsia="ms-MY"/>
        </w:rPr>
        <w:t>(</w:t>
      </w:r>
      <w:r w:rsidRPr="00B37335">
        <w:rPr>
          <w:rFonts w:ascii="Times New Roman" w:eastAsia="Times New Roman" w:hAnsi="Times New Roman"/>
          <w:lang w:eastAsia="ms-MY"/>
        </w:rPr>
        <w:t>2004</w:t>
      </w:r>
      <w:r w:rsidR="009B2309">
        <w:rPr>
          <w:rFonts w:ascii="Times New Roman" w:eastAsia="Times New Roman" w:hAnsi="Times New Roman"/>
          <w:lang w:eastAsia="ms-MY"/>
        </w:rPr>
        <w:t>)</w:t>
      </w:r>
      <w:r w:rsidRPr="00B37335">
        <w:rPr>
          <w:rFonts w:ascii="Times New Roman" w:eastAsia="Times New Roman" w:hAnsi="Times New Roman"/>
          <w:lang w:eastAsia="ms-MY"/>
        </w:rPr>
        <w:t>. Kemudahterancaman (</w:t>
      </w:r>
      <w:r w:rsidRPr="008549BD">
        <w:rPr>
          <w:rFonts w:ascii="Times New Roman" w:eastAsia="Times New Roman" w:hAnsi="Times New Roman"/>
          <w:i/>
          <w:lang w:eastAsia="ms-MY"/>
        </w:rPr>
        <w:t>Vulnerability</w:t>
      </w:r>
      <w:r w:rsidRPr="00B37335">
        <w:rPr>
          <w:rFonts w:ascii="Times New Roman" w:eastAsia="Times New Roman" w:hAnsi="Times New Roman"/>
          <w:lang w:eastAsia="ms-MY"/>
        </w:rPr>
        <w:t>) penduduk terhadap perubahan guna tanah di Selangor.</w:t>
      </w:r>
      <w:r w:rsidRPr="00B37335">
        <w:rPr>
          <w:rFonts w:ascii="Times New Roman" w:hAnsi="Times New Roman"/>
        </w:rPr>
        <w:t xml:space="preserve"> </w:t>
      </w:r>
      <w:r w:rsidRPr="00B37335">
        <w:rPr>
          <w:rFonts w:ascii="Times New Roman" w:eastAsia="Times New Roman" w:hAnsi="Times New Roman"/>
          <w:i/>
          <w:lang w:eastAsia="ms-MY"/>
        </w:rPr>
        <w:t>Malaysian Journal of Environmental Management</w:t>
      </w:r>
      <w:r w:rsidRPr="008549BD">
        <w:rPr>
          <w:rFonts w:ascii="Times New Roman" w:eastAsia="Times New Roman" w:hAnsi="Times New Roman"/>
          <w:lang w:eastAsia="ms-MY"/>
        </w:rPr>
        <w:t>,</w:t>
      </w:r>
      <w:r w:rsidRPr="00B37335">
        <w:rPr>
          <w:rFonts w:ascii="Times New Roman" w:eastAsia="Times New Roman" w:hAnsi="Times New Roman"/>
          <w:i/>
          <w:lang w:eastAsia="ms-MY"/>
        </w:rPr>
        <w:t xml:space="preserve"> </w:t>
      </w:r>
      <w:r w:rsidR="004A24F9" w:rsidRPr="004A24F9">
        <w:rPr>
          <w:rFonts w:ascii="Times New Roman" w:eastAsia="Times New Roman" w:hAnsi="Times New Roman"/>
          <w:i/>
          <w:lang w:eastAsia="ms-MY"/>
        </w:rPr>
        <w:t>5</w:t>
      </w:r>
      <w:r w:rsidR="008549BD">
        <w:rPr>
          <w:rFonts w:ascii="Times New Roman" w:eastAsia="Times New Roman" w:hAnsi="Times New Roman"/>
          <w:lang w:eastAsia="ms-MY"/>
        </w:rPr>
        <w:t>,</w:t>
      </w:r>
      <w:r w:rsidR="004A24F9">
        <w:rPr>
          <w:rFonts w:ascii="Times New Roman" w:eastAsia="Times New Roman" w:hAnsi="Times New Roman"/>
          <w:lang w:eastAsia="ms-MY"/>
        </w:rPr>
        <w:t xml:space="preserve"> 79-98</w:t>
      </w:r>
      <w:r w:rsidRPr="00B37335">
        <w:rPr>
          <w:rFonts w:ascii="Times New Roman" w:eastAsia="Times New Roman" w:hAnsi="Times New Roman"/>
          <w:lang w:eastAsia="ms-MY"/>
        </w:rPr>
        <w:t>.</w:t>
      </w:r>
    </w:p>
    <w:p w:rsidR="00CF7095" w:rsidRPr="00B37335" w:rsidRDefault="00CF7095" w:rsidP="00FB7846">
      <w:pPr>
        <w:pStyle w:val="MediumGrid1-Accent21"/>
        <w:ind w:left="567" w:hanging="567"/>
        <w:jc w:val="both"/>
        <w:outlineLvl w:val="0"/>
        <w:rPr>
          <w:rFonts w:ascii="Times New Roman" w:hAnsi="Times New Roman"/>
        </w:rPr>
      </w:pPr>
      <w:r w:rsidRPr="00B37335">
        <w:rPr>
          <w:rFonts w:ascii="Times New Roman" w:hAnsi="Times New Roman"/>
        </w:rPr>
        <w:lastRenderedPageBreak/>
        <w:t>Toro, J., Requena, I., Duarte, O.</w:t>
      </w:r>
      <w:r w:rsidR="00D21DB6">
        <w:rPr>
          <w:rFonts w:ascii="Times New Roman" w:hAnsi="Times New Roman"/>
        </w:rPr>
        <w:t>,</w:t>
      </w:r>
      <w:r w:rsidRPr="00B37335">
        <w:rPr>
          <w:rFonts w:ascii="Times New Roman" w:hAnsi="Times New Roman"/>
        </w:rPr>
        <w:t xml:space="preserve"> &amp; Zamorano, M. </w:t>
      </w:r>
      <w:r w:rsidR="006F7B12">
        <w:rPr>
          <w:rFonts w:ascii="Times New Roman" w:hAnsi="Times New Roman"/>
        </w:rPr>
        <w:t>(</w:t>
      </w:r>
      <w:r w:rsidRPr="00B37335">
        <w:rPr>
          <w:rFonts w:ascii="Times New Roman" w:hAnsi="Times New Roman"/>
        </w:rPr>
        <w:t>2013</w:t>
      </w:r>
      <w:r w:rsidR="006F7B12">
        <w:rPr>
          <w:rFonts w:ascii="Times New Roman" w:hAnsi="Times New Roman"/>
        </w:rPr>
        <w:t>)</w:t>
      </w:r>
      <w:r w:rsidRPr="00B37335">
        <w:rPr>
          <w:rFonts w:ascii="Times New Roman" w:hAnsi="Times New Roman"/>
        </w:rPr>
        <w:t xml:space="preserve">. A qualitative method proposal to improve environmental impact assessment, </w:t>
      </w:r>
      <w:r w:rsidRPr="006F7B12">
        <w:rPr>
          <w:rFonts w:ascii="Times New Roman" w:hAnsi="Times New Roman"/>
          <w:i/>
        </w:rPr>
        <w:t xml:space="preserve">Environmental </w:t>
      </w:r>
      <w:r w:rsidR="006F7B12" w:rsidRPr="006F7B12">
        <w:rPr>
          <w:rFonts w:ascii="Times New Roman" w:hAnsi="Times New Roman"/>
          <w:i/>
        </w:rPr>
        <w:t>Impact Assessment Review</w:t>
      </w:r>
      <w:r w:rsidR="006F7B12">
        <w:rPr>
          <w:rFonts w:ascii="Times New Roman" w:hAnsi="Times New Roman"/>
        </w:rPr>
        <w:t xml:space="preserve">, </w:t>
      </w:r>
      <w:r w:rsidR="006F7B12" w:rsidRPr="006F7B12">
        <w:rPr>
          <w:rFonts w:ascii="Times New Roman" w:hAnsi="Times New Roman"/>
          <w:i/>
        </w:rPr>
        <w:t>43</w:t>
      </w:r>
      <w:r w:rsidR="006F7B12">
        <w:rPr>
          <w:rFonts w:ascii="Times New Roman" w:hAnsi="Times New Roman"/>
        </w:rPr>
        <w:t>, 9-20</w:t>
      </w:r>
      <w:r w:rsidRPr="00B37335">
        <w:rPr>
          <w:rFonts w:ascii="Times New Roman" w:hAnsi="Times New Roman"/>
        </w:rPr>
        <w:t>.</w:t>
      </w:r>
    </w:p>
    <w:p w:rsidR="00CF7095" w:rsidRPr="00B37335" w:rsidRDefault="00CF7095" w:rsidP="00FB7846">
      <w:pPr>
        <w:pStyle w:val="MediumGrid1-Accent21"/>
        <w:ind w:left="567" w:hanging="567"/>
        <w:jc w:val="both"/>
        <w:outlineLvl w:val="0"/>
        <w:rPr>
          <w:rFonts w:ascii="Times New Roman" w:hAnsi="Times New Roman"/>
        </w:rPr>
      </w:pPr>
      <w:r w:rsidRPr="00B37335">
        <w:rPr>
          <w:rFonts w:ascii="Times New Roman" w:hAnsi="Times New Roman"/>
        </w:rPr>
        <w:t>Tuan Pah Rokiah Syed Hussain</w:t>
      </w:r>
      <w:r w:rsidR="008549BD">
        <w:rPr>
          <w:rFonts w:ascii="Times New Roman" w:hAnsi="Times New Roman"/>
        </w:rPr>
        <w:t>,</w:t>
      </w:r>
      <w:r w:rsidRPr="00B37335">
        <w:rPr>
          <w:rFonts w:ascii="Times New Roman" w:hAnsi="Times New Roman"/>
        </w:rPr>
        <w:t xml:space="preserve"> &amp; Hamidi Ismail. </w:t>
      </w:r>
      <w:r w:rsidR="006F7B12">
        <w:rPr>
          <w:rFonts w:ascii="Times New Roman" w:hAnsi="Times New Roman"/>
        </w:rPr>
        <w:t>(</w:t>
      </w:r>
      <w:r w:rsidRPr="00B37335">
        <w:rPr>
          <w:rFonts w:ascii="Times New Roman" w:hAnsi="Times New Roman"/>
        </w:rPr>
        <w:t>2016</w:t>
      </w:r>
      <w:r w:rsidR="006F7B12">
        <w:rPr>
          <w:rFonts w:ascii="Times New Roman" w:hAnsi="Times New Roman"/>
        </w:rPr>
        <w:t>)</w:t>
      </w:r>
      <w:r w:rsidRPr="00B37335">
        <w:rPr>
          <w:rFonts w:ascii="Times New Roman" w:hAnsi="Times New Roman"/>
        </w:rPr>
        <w:t xml:space="preserve">. Perubahan gunatanah dan kejadian banjir di Lembangan Saliran Kelantan. </w:t>
      </w:r>
      <w:r w:rsidRPr="00B37335">
        <w:rPr>
          <w:rFonts w:ascii="Times New Roman" w:hAnsi="Times New Roman"/>
          <w:i/>
        </w:rPr>
        <w:t>Geografia Malaysian Journal of Society and Space</w:t>
      </w:r>
      <w:r w:rsidR="00EC5B24">
        <w:rPr>
          <w:rFonts w:ascii="Times New Roman" w:hAnsi="Times New Roman"/>
          <w:i/>
        </w:rPr>
        <w:t>,</w:t>
      </w:r>
      <w:r w:rsidRPr="00B37335">
        <w:rPr>
          <w:rFonts w:ascii="Times New Roman" w:hAnsi="Times New Roman"/>
          <w:i/>
        </w:rPr>
        <w:t xml:space="preserve"> </w:t>
      </w:r>
      <w:r w:rsidRPr="006F7B12">
        <w:rPr>
          <w:rFonts w:ascii="Times New Roman" w:hAnsi="Times New Roman"/>
          <w:i/>
        </w:rPr>
        <w:t>12</w:t>
      </w:r>
      <w:r w:rsidR="006F7B12">
        <w:rPr>
          <w:rFonts w:ascii="Times New Roman" w:hAnsi="Times New Roman"/>
        </w:rPr>
        <w:t>(</w:t>
      </w:r>
      <w:r w:rsidRPr="00B37335">
        <w:rPr>
          <w:rFonts w:ascii="Times New Roman" w:hAnsi="Times New Roman"/>
        </w:rPr>
        <w:t>1</w:t>
      </w:r>
      <w:r w:rsidR="008549BD">
        <w:rPr>
          <w:rFonts w:ascii="Times New Roman" w:hAnsi="Times New Roman"/>
        </w:rPr>
        <w:t>), 118</w:t>
      </w:r>
      <w:r w:rsidR="006F7B12">
        <w:rPr>
          <w:rFonts w:ascii="Times New Roman" w:hAnsi="Times New Roman"/>
        </w:rPr>
        <w:t>-128</w:t>
      </w:r>
      <w:r w:rsidRPr="00B37335">
        <w:rPr>
          <w:rFonts w:ascii="Times New Roman" w:hAnsi="Times New Roman"/>
        </w:rPr>
        <w:t>.</w:t>
      </w:r>
    </w:p>
    <w:p w:rsidR="00CF7095" w:rsidRPr="00B37335" w:rsidRDefault="00CF7095" w:rsidP="00FB7846">
      <w:pPr>
        <w:pStyle w:val="MediumGrid1-Accent21"/>
        <w:autoSpaceDE w:val="0"/>
        <w:autoSpaceDN w:val="0"/>
        <w:adjustRightInd w:val="0"/>
        <w:ind w:left="567" w:hanging="567"/>
        <w:jc w:val="both"/>
        <w:rPr>
          <w:rFonts w:ascii="Times New Roman" w:hAnsi="Times New Roman"/>
        </w:rPr>
      </w:pPr>
      <w:r w:rsidRPr="00B37335">
        <w:rPr>
          <w:rFonts w:ascii="Times New Roman" w:hAnsi="Times New Roman"/>
        </w:rPr>
        <w:t xml:space="preserve">Wood, Ch. </w:t>
      </w:r>
      <w:r w:rsidR="006F7B12">
        <w:rPr>
          <w:rFonts w:ascii="Times New Roman" w:hAnsi="Times New Roman"/>
        </w:rPr>
        <w:t>(</w:t>
      </w:r>
      <w:r w:rsidRPr="00B37335">
        <w:rPr>
          <w:rFonts w:ascii="Times New Roman" w:hAnsi="Times New Roman"/>
        </w:rPr>
        <w:t>2003</w:t>
      </w:r>
      <w:r w:rsidR="006F7B12">
        <w:rPr>
          <w:rFonts w:ascii="Times New Roman" w:hAnsi="Times New Roman"/>
        </w:rPr>
        <w:t>)</w:t>
      </w:r>
      <w:r w:rsidRPr="00B37335">
        <w:rPr>
          <w:rFonts w:ascii="Times New Roman" w:hAnsi="Times New Roman"/>
        </w:rPr>
        <w:t xml:space="preserve">. </w:t>
      </w:r>
      <w:r w:rsidRPr="00B37335">
        <w:rPr>
          <w:rFonts w:ascii="Times New Roman" w:hAnsi="Times New Roman"/>
          <w:i/>
        </w:rPr>
        <w:t xml:space="preserve">Environmental Impact Assessment: A </w:t>
      </w:r>
      <w:r w:rsidR="008549BD" w:rsidRPr="00B37335">
        <w:rPr>
          <w:rFonts w:ascii="Times New Roman" w:hAnsi="Times New Roman"/>
          <w:i/>
        </w:rPr>
        <w:t>comparative review</w:t>
      </w:r>
      <w:r w:rsidRPr="00B37335">
        <w:rPr>
          <w:rFonts w:ascii="Times New Roman" w:hAnsi="Times New Roman"/>
        </w:rPr>
        <w:t xml:space="preserve">. </w:t>
      </w:r>
      <w:r w:rsidR="008549BD">
        <w:rPr>
          <w:rFonts w:ascii="Times New Roman" w:hAnsi="Times New Roman"/>
        </w:rPr>
        <w:t>(</w:t>
      </w:r>
      <w:r w:rsidRPr="00B37335">
        <w:rPr>
          <w:rFonts w:ascii="Times New Roman" w:hAnsi="Times New Roman"/>
        </w:rPr>
        <w:t>2</w:t>
      </w:r>
      <w:r w:rsidRPr="00B37335">
        <w:rPr>
          <w:rFonts w:ascii="Times New Roman" w:hAnsi="Times New Roman"/>
          <w:vertAlign w:val="superscript"/>
        </w:rPr>
        <w:t>nd</w:t>
      </w:r>
      <w:r w:rsidRPr="00B37335">
        <w:rPr>
          <w:rFonts w:ascii="Times New Roman" w:hAnsi="Times New Roman"/>
        </w:rPr>
        <w:t xml:space="preserve"> ed.</w:t>
      </w:r>
      <w:r w:rsidR="008549BD">
        <w:rPr>
          <w:rFonts w:ascii="Times New Roman" w:hAnsi="Times New Roman"/>
        </w:rPr>
        <w:t xml:space="preserve">). </w:t>
      </w:r>
      <w:r w:rsidRPr="00B37335">
        <w:rPr>
          <w:rFonts w:ascii="Times New Roman" w:hAnsi="Times New Roman"/>
        </w:rPr>
        <w:t>Prentice Hall, London.</w:t>
      </w:r>
    </w:p>
    <w:p w:rsidR="00CF7095" w:rsidRPr="00B37335" w:rsidRDefault="006F7B12" w:rsidP="00FB7846">
      <w:pPr>
        <w:pStyle w:val="MediumGrid1-Accent21"/>
        <w:autoSpaceDE w:val="0"/>
        <w:autoSpaceDN w:val="0"/>
        <w:adjustRightInd w:val="0"/>
        <w:ind w:left="567" w:hanging="567"/>
        <w:jc w:val="both"/>
        <w:outlineLvl w:val="0"/>
        <w:rPr>
          <w:rFonts w:ascii="Times New Roman" w:hAnsi="Times New Roman"/>
        </w:rPr>
      </w:pPr>
      <w:r>
        <w:rPr>
          <w:rFonts w:ascii="Times New Roman" w:hAnsi="Times New Roman"/>
        </w:rPr>
        <w:t>Zulhazman Hamzah. (</w:t>
      </w:r>
      <w:r w:rsidR="00CF7095" w:rsidRPr="00B37335">
        <w:rPr>
          <w:rFonts w:ascii="Times New Roman" w:hAnsi="Times New Roman"/>
        </w:rPr>
        <w:t>2015</w:t>
      </w:r>
      <w:r w:rsidR="008549BD">
        <w:rPr>
          <w:rFonts w:ascii="Times New Roman" w:hAnsi="Times New Roman"/>
        </w:rPr>
        <w:t>, January 2</w:t>
      </w:r>
      <w:r>
        <w:rPr>
          <w:rFonts w:ascii="Times New Roman" w:hAnsi="Times New Roman"/>
        </w:rPr>
        <w:t>)</w:t>
      </w:r>
      <w:r w:rsidR="00CF7095" w:rsidRPr="00B37335">
        <w:rPr>
          <w:rFonts w:ascii="Times New Roman" w:hAnsi="Times New Roman"/>
        </w:rPr>
        <w:t xml:space="preserve">. Kejadian banjir di Kelantan. </w:t>
      </w:r>
      <w:r w:rsidR="008549BD" w:rsidRPr="008549BD">
        <w:rPr>
          <w:rFonts w:ascii="Times New Roman" w:hAnsi="Times New Roman"/>
        </w:rPr>
        <w:t>Personal interview</w:t>
      </w:r>
      <w:r w:rsidR="008549BD">
        <w:rPr>
          <w:rFonts w:ascii="Times New Roman" w:hAnsi="Times New Roman"/>
          <w:i/>
        </w:rPr>
        <w:t>.</w:t>
      </w:r>
      <w:r w:rsidR="00CF7095" w:rsidRPr="00B37335">
        <w:rPr>
          <w:rFonts w:ascii="Times New Roman" w:hAnsi="Times New Roman"/>
        </w:rPr>
        <w:t xml:space="preserve"> </w:t>
      </w:r>
    </w:p>
    <w:sectPr w:rsidR="00CF7095" w:rsidRPr="00B37335" w:rsidSect="00FB7846">
      <w:headerReference w:type="even" r:id="rId28"/>
      <w:headerReference w:type="default" r:id="rId29"/>
      <w:footerReference w:type="even" r:id="rId30"/>
      <w:footerReference w:type="default" r:id="rId31"/>
      <w:headerReference w:type="first" r:id="rId32"/>
      <w:footerReference w:type="first" r:id="rId33"/>
      <w:pgSz w:w="11900" w:h="16840" w:code="9"/>
      <w:pgMar w:top="1440" w:right="1440" w:bottom="1440" w:left="1440" w:header="709" w:footer="709" w:gutter="0"/>
      <w:pgNumType w:start="3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CFE" w:rsidRDefault="00F22CFE" w:rsidP="0062676E">
      <w:r>
        <w:separator/>
      </w:r>
    </w:p>
  </w:endnote>
  <w:endnote w:type="continuationSeparator" w:id="0">
    <w:p w:rsidR="00F22CFE" w:rsidRDefault="00F22CFE" w:rsidP="0062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5" w:rsidRDefault="006975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5" w:rsidRDefault="006975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5" w:rsidRDefault="006975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CFE" w:rsidRDefault="00F22CFE" w:rsidP="0062676E">
      <w:r>
        <w:separator/>
      </w:r>
    </w:p>
  </w:footnote>
  <w:footnote w:type="continuationSeparator" w:id="0">
    <w:p w:rsidR="00F22CFE" w:rsidRDefault="00F22CFE" w:rsidP="006267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5" w:rsidRDefault="006975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006025"/>
      <w:docPartObj>
        <w:docPartGallery w:val="Page Numbers (Top of Page)"/>
        <w:docPartUnique/>
      </w:docPartObj>
    </w:sdtPr>
    <w:sdtEndPr>
      <w:rPr>
        <w:rFonts w:ascii="Times New Roman" w:hAnsi="Times New Roman"/>
        <w:noProof/>
        <w:sz w:val="18"/>
        <w:szCs w:val="18"/>
      </w:rPr>
    </w:sdtEndPr>
    <w:sdtContent>
      <w:p w:rsidR="00FB7846" w:rsidRPr="00FB7846" w:rsidRDefault="00FB7846" w:rsidP="00FB7846">
        <w:pPr>
          <w:widowControl w:val="0"/>
          <w:autoSpaceDE w:val="0"/>
          <w:autoSpaceDN w:val="0"/>
          <w:adjustRightInd w:val="0"/>
          <w:rPr>
            <w:rFonts w:ascii="Times New Roman" w:hAnsi="Times New Roman"/>
            <w:sz w:val="18"/>
            <w:szCs w:val="18"/>
          </w:rPr>
        </w:pPr>
        <w:r w:rsidRPr="00FB7846">
          <w:rPr>
            <w:rFonts w:ascii="Times New Roman" w:hAnsi="Times New Roman"/>
            <w:sz w:val="18"/>
            <w:szCs w:val="18"/>
          </w:rPr>
          <w:t>GEOGRAFIA Online</w:t>
        </w:r>
        <w:r w:rsidRPr="00FB7846">
          <w:rPr>
            <w:rFonts w:ascii="Times New Roman" w:hAnsi="Times New Roman"/>
            <w:sz w:val="18"/>
            <w:szCs w:val="18"/>
            <w:vertAlign w:val="superscript"/>
          </w:rPr>
          <w:t>TM</w:t>
        </w:r>
        <w:r w:rsidRPr="00FB7846">
          <w:rPr>
            <w:rFonts w:ascii="Times New Roman" w:hAnsi="Times New Roman"/>
            <w:sz w:val="18"/>
            <w:szCs w:val="18"/>
          </w:rPr>
          <w:t xml:space="preserve"> Malaysian Journal of Society and Space 14 issue 4 (</w:t>
        </w:r>
        <w:r w:rsidRPr="00FB7846">
          <w:rPr>
            <w:rFonts w:ascii="Times New Roman" w:hAnsi="Times New Roman"/>
            <w:iCs/>
            <w:sz w:val="18"/>
            <w:szCs w:val="18"/>
          </w:rPr>
          <w:t>322-331</w:t>
        </w:r>
        <w:r w:rsidRPr="00FB7846">
          <w:rPr>
            <w:rFonts w:ascii="Times New Roman" w:hAnsi="Times New Roman"/>
            <w:sz w:val="18"/>
            <w:szCs w:val="18"/>
          </w:rPr>
          <w:t>)</w:t>
        </w:r>
      </w:p>
      <w:p w:rsidR="00FB7846" w:rsidRPr="00FB7846" w:rsidRDefault="00FB7846" w:rsidP="00FB7846">
        <w:pPr>
          <w:widowControl w:val="0"/>
          <w:autoSpaceDE w:val="0"/>
          <w:autoSpaceDN w:val="0"/>
          <w:adjustRightInd w:val="0"/>
          <w:rPr>
            <w:rFonts w:ascii="Times New Roman" w:hAnsi="Times New Roman"/>
            <w:sz w:val="18"/>
            <w:szCs w:val="18"/>
          </w:rPr>
        </w:pPr>
        <w:r w:rsidRPr="00FB7846">
          <w:rPr>
            <w:rFonts w:ascii="Times New Roman" w:hAnsi="Times New Roman"/>
            <w:sz w:val="18"/>
            <w:szCs w:val="18"/>
          </w:rPr>
          <w:t>© 2018, e-ISSN 2680-2491</w:t>
        </w:r>
        <w:r w:rsidR="00697595">
          <w:rPr>
            <w:rFonts w:ascii="Times New Roman" w:hAnsi="Times New Roman"/>
            <w:sz w:val="18"/>
            <w:szCs w:val="18"/>
          </w:rPr>
          <w:t xml:space="preserve">   </w:t>
        </w:r>
        <w:r>
          <w:rPr>
            <w:rFonts w:ascii="Times New Roman" w:hAnsi="Times New Roman"/>
            <w:sz w:val="18"/>
            <w:szCs w:val="18"/>
          </w:rPr>
          <w:tab/>
        </w:r>
        <w:bookmarkStart w:id="0" w:name="_GoBack"/>
        <w:r w:rsidR="00697595" w:rsidRPr="00697595">
          <w:rPr>
            <w:rFonts w:ascii="Times New Roman" w:hAnsi="Times New Roman"/>
            <w:color w:val="000000" w:themeColor="text1"/>
            <w:sz w:val="18"/>
            <w:szCs w:val="18"/>
          </w:rPr>
          <w:fldChar w:fldCharType="begin"/>
        </w:r>
        <w:r w:rsidR="00697595" w:rsidRPr="00697595">
          <w:rPr>
            <w:rFonts w:ascii="Times New Roman" w:hAnsi="Times New Roman"/>
            <w:color w:val="000000" w:themeColor="text1"/>
            <w:sz w:val="18"/>
            <w:szCs w:val="18"/>
          </w:rPr>
          <w:instrText xml:space="preserve"> HYPERLINK "http://ejournal.ukm.my/gmjss/article/view/29101" </w:instrText>
        </w:r>
        <w:r w:rsidR="00697595" w:rsidRPr="00697595">
          <w:rPr>
            <w:rFonts w:ascii="Times New Roman" w:hAnsi="Times New Roman"/>
            <w:color w:val="000000" w:themeColor="text1"/>
            <w:sz w:val="18"/>
            <w:szCs w:val="18"/>
          </w:rPr>
        </w:r>
        <w:r w:rsidR="00697595" w:rsidRPr="00697595">
          <w:rPr>
            <w:rFonts w:ascii="Times New Roman" w:hAnsi="Times New Roman"/>
            <w:color w:val="000000" w:themeColor="text1"/>
            <w:sz w:val="18"/>
            <w:szCs w:val="18"/>
          </w:rPr>
          <w:fldChar w:fldCharType="separate"/>
        </w:r>
        <w:r w:rsidR="00697595" w:rsidRPr="00697595">
          <w:rPr>
            <w:rStyle w:val="Hyperlink"/>
            <w:rFonts w:ascii="Times New Roman" w:hAnsi="Times New Roman"/>
            <w:color w:val="000000" w:themeColor="text1"/>
            <w:sz w:val="18"/>
            <w:szCs w:val="18"/>
            <w:u w:val="none"/>
          </w:rPr>
          <w:t>https://doi.org/</w:t>
        </w:r>
        <w:r w:rsidR="00697595" w:rsidRPr="00697595">
          <w:rPr>
            <w:rStyle w:val="Hyperlink"/>
            <w:rFonts w:ascii="Times New Roman" w:hAnsi="Times New Roman"/>
            <w:bCs/>
            <w:color w:val="000000" w:themeColor="text1"/>
            <w:sz w:val="18"/>
            <w:szCs w:val="18"/>
            <w:u w:val="none"/>
          </w:rPr>
          <w:t>10.17576/geo-2018-1404-26</w:t>
        </w:r>
        <w:r w:rsidR="00697595" w:rsidRPr="00697595">
          <w:rPr>
            <w:rFonts w:ascii="Times New Roman" w:hAnsi="Times New Roman"/>
            <w:color w:val="000000" w:themeColor="text1"/>
            <w:sz w:val="18"/>
            <w:szCs w:val="18"/>
          </w:rPr>
          <w:fldChar w:fldCharType="end"/>
        </w:r>
        <w:bookmarkEnd w:id="0"/>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FB7846">
          <w:rPr>
            <w:rFonts w:ascii="Times New Roman" w:hAnsi="Times New Roman"/>
            <w:sz w:val="18"/>
            <w:szCs w:val="18"/>
          </w:rPr>
          <w:fldChar w:fldCharType="begin"/>
        </w:r>
        <w:r w:rsidRPr="00FB7846">
          <w:rPr>
            <w:rFonts w:ascii="Times New Roman" w:hAnsi="Times New Roman"/>
            <w:sz w:val="18"/>
            <w:szCs w:val="18"/>
          </w:rPr>
          <w:instrText xml:space="preserve"> PAGE   \* MERGEFORMAT </w:instrText>
        </w:r>
        <w:r w:rsidRPr="00FB7846">
          <w:rPr>
            <w:rFonts w:ascii="Times New Roman" w:hAnsi="Times New Roman"/>
            <w:sz w:val="18"/>
            <w:szCs w:val="18"/>
          </w:rPr>
          <w:fldChar w:fldCharType="separate"/>
        </w:r>
        <w:r w:rsidR="00697595">
          <w:rPr>
            <w:rFonts w:ascii="Times New Roman" w:hAnsi="Times New Roman"/>
            <w:noProof/>
            <w:sz w:val="18"/>
            <w:szCs w:val="18"/>
          </w:rPr>
          <w:t>322</w:t>
        </w:r>
        <w:r w:rsidRPr="00FB7846">
          <w:rPr>
            <w:rFonts w:ascii="Times New Roman" w:hAnsi="Times New Roman"/>
            <w:noProof/>
            <w:sz w:val="18"/>
            <w:szCs w:val="18"/>
          </w:rPr>
          <w:fldChar w:fldCharType="end"/>
        </w:r>
      </w:p>
    </w:sdtContent>
  </w:sdt>
  <w:p w:rsidR="00FB7846" w:rsidRDefault="00FB7846" w:rsidP="00FB7846">
    <w:pPr>
      <w:widowControl w:val="0"/>
      <w:autoSpaceDE w:val="0"/>
      <w:autoSpaceDN w:val="0"/>
      <w:adjustRightInd w:v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5" w:rsidRDefault="006975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34E0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F6AD5"/>
    <w:multiLevelType w:val="hybridMultilevel"/>
    <w:tmpl w:val="74FED09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396776A1"/>
    <w:multiLevelType w:val="hybridMultilevel"/>
    <w:tmpl w:val="913084F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496C7B86"/>
    <w:multiLevelType w:val="hybridMultilevel"/>
    <w:tmpl w:val="6F769016"/>
    <w:lvl w:ilvl="0" w:tplc="64300B28">
      <w:start w:val="8"/>
      <w:numFmt w:val="decimal"/>
      <w:lvlText w:val="%1."/>
      <w:lvlJc w:val="left"/>
      <w:pPr>
        <w:ind w:left="1080" w:hanging="36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4" w15:restartNumberingAfterBreak="0">
    <w:nsid w:val="63D826C5"/>
    <w:multiLevelType w:val="hybridMultilevel"/>
    <w:tmpl w:val="F324630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SyNDY1MDE1NDQ3NTFU0lEKTi0uzszPAykwqgUAn3g9/ywAAAA="/>
  </w:docVars>
  <w:rsids>
    <w:rsidRoot w:val="00FE7E9F"/>
    <w:rsid w:val="00015CF3"/>
    <w:rsid w:val="00017C69"/>
    <w:rsid w:val="000241BA"/>
    <w:rsid w:val="00025DF1"/>
    <w:rsid w:val="000448C1"/>
    <w:rsid w:val="00051173"/>
    <w:rsid w:val="0005170A"/>
    <w:rsid w:val="0006087A"/>
    <w:rsid w:val="000936AB"/>
    <w:rsid w:val="000944FA"/>
    <w:rsid w:val="000A0BEC"/>
    <w:rsid w:val="000C645F"/>
    <w:rsid w:val="000D1156"/>
    <w:rsid w:val="00106B4C"/>
    <w:rsid w:val="00124A70"/>
    <w:rsid w:val="0012558B"/>
    <w:rsid w:val="00142D03"/>
    <w:rsid w:val="00146A60"/>
    <w:rsid w:val="00153B8C"/>
    <w:rsid w:val="001569D5"/>
    <w:rsid w:val="0018048F"/>
    <w:rsid w:val="00186725"/>
    <w:rsid w:val="001B210E"/>
    <w:rsid w:val="001B78EF"/>
    <w:rsid w:val="001C1766"/>
    <w:rsid w:val="001D76CD"/>
    <w:rsid w:val="001E3C95"/>
    <w:rsid w:val="00214AF8"/>
    <w:rsid w:val="00216A6A"/>
    <w:rsid w:val="00235772"/>
    <w:rsid w:val="002574BC"/>
    <w:rsid w:val="002575B3"/>
    <w:rsid w:val="002610C4"/>
    <w:rsid w:val="002615C7"/>
    <w:rsid w:val="002671FA"/>
    <w:rsid w:val="002737C7"/>
    <w:rsid w:val="00297BF3"/>
    <w:rsid w:val="002A1C44"/>
    <w:rsid w:val="002A7927"/>
    <w:rsid w:val="002B24FE"/>
    <w:rsid w:val="002B69D9"/>
    <w:rsid w:val="002C4E2A"/>
    <w:rsid w:val="002C6D06"/>
    <w:rsid w:val="002E0204"/>
    <w:rsid w:val="002E270E"/>
    <w:rsid w:val="00307102"/>
    <w:rsid w:val="003105E1"/>
    <w:rsid w:val="003248B2"/>
    <w:rsid w:val="00331C25"/>
    <w:rsid w:val="00334B01"/>
    <w:rsid w:val="00337D27"/>
    <w:rsid w:val="003558E9"/>
    <w:rsid w:val="00355C4D"/>
    <w:rsid w:val="003838C5"/>
    <w:rsid w:val="003873E5"/>
    <w:rsid w:val="003B2F72"/>
    <w:rsid w:val="003C5E70"/>
    <w:rsid w:val="003D43CE"/>
    <w:rsid w:val="003D4C5A"/>
    <w:rsid w:val="003E50F4"/>
    <w:rsid w:val="003F2A47"/>
    <w:rsid w:val="00404638"/>
    <w:rsid w:val="0041254A"/>
    <w:rsid w:val="00421DB1"/>
    <w:rsid w:val="0042791F"/>
    <w:rsid w:val="0043461C"/>
    <w:rsid w:val="004415F0"/>
    <w:rsid w:val="004461D4"/>
    <w:rsid w:val="00453CB7"/>
    <w:rsid w:val="0046656C"/>
    <w:rsid w:val="004A24F9"/>
    <w:rsid w:val="004A3DE0"/>
    <w:rsid w:val="004B3A1B"/>
    <w:rsid w:val="004C21CC"/>
    <w:rsid w:val="004C33BD"/>
    <w:rsid w:val="004C3C03"/>
    <w:rsid w:val="004C6579"/>
    <w:rsid w:val="004D1ED3"/>
    <w:rsid w:val="004D33BA"/>
    <w:rsid w:val="004F2C3D"/>
    <w:rsid w:val="00503EAB"/>
    <w:rsid w:val="00522D9A"/>
    <w:rsid w:val="00523601"/>
    <w:rsid w:val="00530AE1"/>
    <w:rsid w:val="0055166D"/>
    <w:rsid w:val="005556DD"/>
    <w:rsid w:val="0059132F"/>
    <w:rsid w:val="0059251B"/>
    <w:rsid w:val="005A74D4"/>
    <w:rsid w:val="005D2141"/>
    <w:rsid w:val="005F16D7"/>
    <w:rsid w:val="006112CF"/>
    <w:rsid w:val="00622411"/>
    <w:rsid w:val="0062676E"/>
    <w:rsid w:val="006309F2"/>
    <w:rsid w:val="006417CF"/>
    <w:rsid w:val="006444C5"/>
    <w:rsid w:val="0064647E"/>
    <w:rsid w:val="006652C8"/>
    <w:rsid w:val="0067043C"/>
    <w:rsid w:val="00674ACD"/>
    <w:rsid w:val="00686D57"/>
    <w:rsid w:val="00691912"/>
    <w:rsid w:val="00697595"/>
    <w:rsid w:val="006B0027"/>
    <w:rsid w:val="006C1411"/>
    <w:rsid w:val="006D03C4"/>
    <w:rsid w:val="006D5925"/>
    <w:rsid w:val="006F13D7"/>
    <w:rsid w:val="006F7B12"/>
    <w:rsid w:val="0071089E"/>
    <w:rsid w:val="00734011"/>
    <w:rsid w:val="00735226"/>
    <w:rsid w:val="0074022A"/>
    <w:rsid w:val="00740F2C"/>
    <w:rsid w:val="0074498E"/>
    <w:rsid w:val="007455A0"/>
    <w:rsid w:val="007607DE"/>
    <w:rsid w:val="00762072"/>
    <w:rsid w:val="00762B19"/>
    <w:rsid w:val="00786CFE"/>
    <w:rsid w:val="00797D6E"/>
    <w:rsid w:val="007A2D70"/>
    <w:rsid w:val="007A3F99"/>
    <w:rsid w:val="007A425F"/>
    <w:rsid w:val="007A65EC"/>
    <w:rsid w:val="007A69F4"/>
    <w:rsid w:val="007D3624"/>
    <w:rsid w:val="007E3FE7"/>
    <w:rsid w:val="007F2A8D"/>
    <w:rsid w:val="007F495D"/>
    <w:rsid w:val="00802736"/>
    <w:rsid w:val="00817368"/>
    <w:rsid w:val="008209D4"/>
    <w:rsid w:val="008315E3"/>
    <w:rsid w:val="00831DF5"/>
    <w:rsid w:val="0083689E"/>
    <w:rsid w:val="00841715"/>
    <w:rsid w:val="008450C7"/>
    <w:rsid w:val="008549BD"/>
    <w:rsid w:val="0086321A"/>
    <w:rsid w:val="00863C2F"/>
    <w:rsid w:val="00872945"/>
    <w:rsid w:val="008863F9"/>
    <w:rsid w:val="00897AF4"/>
    <w:rsid w:val="008A0750"/>
    <w:rsid w:val="008A0843"/>
    <w:rsid w:val="008D2AAA"/>
    <w:rsid w:val="008D4022"/>
    <w:rsid w:val="008F41F9"/>
    <w:rsid w:val="00906D98"/>
    <w:rsid w:val="009262A8"/>
    <w:rsid w:val="009320DC"/>
    <w:rsid w:val="00946019"/>
    <w:rsid w:val="0094635C"/>
    <w:rsid w:val="00953FC2"/>
    <w:rsid w:val="0098469E"/>
    <w:rsid w:val="00986F5A"/>
    <w:rsid w:val="009B2309"/>
    <w:rsid w:val="009B7239"/>
    <w:rsid w:val="009B759B"/>
    <w:rsid w:val="009C71E3"/>
    <w:rsid w:val="009D6F63"/>
    <w:rsid w:val="009E057B"/>
    <w:rsid w:val="009E600C"/>
    <w:rsid w:val="009F1D2A"/>
    <w:rsid w:val="009F1EB5"/>
    <w:rsid w:val="00A051B6"/>
    <w:rsid w:val="00A07A34"/>
    <w:rsid w:val="00A25898"/>
    <w:rsid w:val="00A30509"/>
    <w:rsid w:val="00A335F8"/>
    <w:rsid w:val="00A428DC"/>
    <w:rsid w:val="00A4729C"/>
    <w:rsid w:val="00A54547"/>
    <w:rsid w:val="00AA6392"/>
    <w:rsid w:val="00AB4204"/>
    <w:rsid w:val="00AC0D05"/>
    <w:rsid w:val="00AC700F"/>
    <w:rsid w:val="00AD0D7A"/>
    <w:rsid w:val="00AE1678"/>
    <w:rsid w:val="00AE28C4"/>
    <w:rsid w:val="00B07097"/>
    <w:rsid w:val="00B37335"/>
    <w:rsid w:val="00B4252A"/>
    <w:rsid w:val="00B646EB"/>
    <w:rsid w:val="00B84C57"/>
    <w:rsid w:val="00B90A09"/>
    <w:rsid w:val="00BA4046"/>
    <w:rsid w:val="00BA611F"/>
    <w:rsid w:val="00BB30E4"/>
    <w:rsid w:val="00BC2C4A"/>
    <w:rsid w:val="00BC548F"/>
    <w:rsid w:val="00BC67BD"/>
    <w:rsid w:val="00BC78E3"/>
    <w:rsid w:val="00C02876"/>
    <w:rsid w:val="00C11AB0"/>
    <w:rsid w:val="00C26F2F"/>
    <w:rsid w:val="00C355AE"/>
    <w:rsid w:val="00C40504"/>
    <w:rsid w:val="00C50C32"/>
    <w:rsid w:val="00C52CB9"/>
    <w:rsid w:val="00C558B2"/>
    <w:rsid w:val="00C66828"/>
    <w:rsid w:val="00C70934"/>
    <w:rsid w:val="00C809F7"/>
    <w:rsid w:val="00C954B0"/>
    <w:rsid w:val="00C96A88"/>
    <w:rsid w:val="00CA2BFA"/>
    <w:rsid w:val="00CA57EA"/>
    <w:rsid w:val="00CB3C82"/>
    <w:rsid w:val="00CB72B6"/>
    <w:rsid w:val="00CC6DCC"/>
    <w:rsid w:val="00CD086C"/>
    <w:rsid w:val="00CE078C"/>
    <w:rsid w:val="00CE36AC"/>
    <w:rsid w:val="00CF6AAB"/>
    <w:rsid w:val="00CF7095"/>
    <w:rsid w:val="00D010F8"/>
    <w:rsid w:val="00D21DB6"/>
    <w:rsid w:val="00D37537"/>
    <w:rsid w:val="00D617CF"/>
    <w:rsid w:val="00D6585B"/>
    <w:rsid w:val="00D715B6"/>
    <w:rsid w:val="00D7344E"/>
    <w:rsid w:val="00DE6814"/>
    <w:rsid w:val="00DF06E9"/>
    <w:rsid w:val="00E0033A"/>
    <w:rsid w:val="00E11338"/>
    <w:rsid w:val="00E13623"/>
    <w:rsid w:val="00E254DB"/>
    <w:rsid w:val="00E25A74"/>
    <w:rsid w:val="00E3486B"/>
    <w:rsid w:val="00E37808"/>
    <w:rsid w:val="00E54C46"/>
    <w:rsid w:val="00E61378"/>
    <w:rsid w:val="00E63703"/>
    <w:rsid w:val="00E7151A"/>
    <w:rsid w:val="00EA6808"/>
    <w:rsid w:val="00EB04FF"/>
    <w:rsid w:val="00EB2CCC"/>
    <w:rsid w:val="00EC1BF1"/>
    <w:rsid w:val="00EC5B24"/>
    <w:rsid w:val="00EE2094"/>
    <w:rsid w:val="00EF3351"/>
    <w:rsid w:val="00EF491F"/>
    <w:rsid w:val="00F11D6F"/>
    <w:rsid w:val="00F13067"/>
    <w:rsid w:val="00F16206"/>
    <w:rsid w:val="00F22CFE"/>
    <w:rsid w:val="00F430D9"/>
    <w:rsid w:val="00F47DCC"/>
    <w:rsid w:val="00F53EA6"/>
    <w:rsid w:val="00F5441D"/>
    <w:rsid w:val="00F56909"/>
    <w:rsid w:val="00F678E2"/>
    <w:rsid w:val="00F70710"/>
    <w:rsid w:val="00F72F26"/>
    <w:rsid w:val="00F964D3"/>
    <w:rsid w:val="00FA56C0"/>
    <w:rsid w:val="00FB5640"/>
    <w:rsid w:val="00FB7053"/>
    <w:rsid w:val="00FB7846"/>
    <w:rsid w:val="00FD5638"/>
    <w:rsid w:val="00FE09EC"/>
    <w:rsid w:val="00FE7E9F"/>
    <w:rsid w:val="00FF113B"/>
    <w:rsid w:val="00FF5AE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ADD07"/>
  <w14:defaultImageDpi w14:val="330"/>
  <w15:docId w15:val="{ADE9DB4B-F9E8-41E4-8AF5-48B81B96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MY"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71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097"/>
    <w:rPr>
      <w:rFonts w:ascii="Tahoma" w:hAnsi="Tahoma"/>
      <w:sz w:val="16"/>
      <w:szCs w:val="16"/>
      <w:lang w:val="x-none" w:eastAsia="x-none"/>
    </w:rPr>
  </w:style>
  <w:style w:type="character" w:customStyle="1" w:styleId="BalloonTextChar">
    <w:name w:val="Balloon Text Char"/>
    <w:link w:val="BalloonText"/>
    <w:uiPriority w:val="99"/>
    <w:semiHidden/>
    <w:rsid w:val="00B07097"/>
    <w:rPr>
      <w:rFonts w:ascii="Tahoma" w:hAnsi="Tahoma" w:cs="Tahoma"/>
      <w:sz w:val="16"/>
      <w:szCs w:val="16"/>
    </w:rPr>
  </w:style>
  <w:style w:type="paragraph" w:customStyle="1" w:styleId="MediumGrid1-Accent21">
    <w:name w:val="Medium Grid 1 - Accent 21"/>
    <w:basedOn w:val="Normal"/>
    <w:uiPriority w:val="34"/>
    <w:qFormat/>
    <w:rsid w:val="00C355AE"/>
    <w:pPr>
      <w:ind w:left="720"/>
      <w:contextualSpacing/>
    </w:pPr>
  </w:style>
  <w:style w:type="table" w:styleId="TableGrid">
    <w:name w:val="Table Grid"/>
    <w:basedOn w:val="TableNormal"/>
    <w:uiPriority w:val="59"/>
    <w:rsid w:val="004C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2D03"/>
    <w:pPr>
      <w:spacing w:before="100" w:beforeAutospacing="1" w:after="100" w:afterAutospacing="1"/>
    </w:pPr>
    <w:rPr>
      <w:rFonts w:ascii="Times New Roman" w:eastAsia="Times New Roman" w:hAnsi="Times New Roman"/>
      <w:lang w:val="ms-MY" w:eastAsia="ms-MY"/>
    </w:rPr>
  </w:style>
  <w:style w:type="character" w:customStyle="1" w:styleId="hps">
    <w:name w:val="hps"/>
    <w:basedOn w:val="DefaultParagraphFont"/>
    <w:rsid w:val="003E50F4"/>
  </w:style>
  <w:style w:type="character" w:customStyle="1" w:styleId="shorttext">
    <w:name w:val="short_text"/>
    <w:basedOn w:val="DefaultParagraphFont"/>
    <w:rsid w:val="002737C7"/>
  </w:style>
  <w:style w:type="paragraph" w:styleId="HTMLPreformatted">
    <w:name w:val="HTML Preformatted"/>
    <w:basedOn w:val="Normal"/>
    <w:link w:val="HTMLPreformattedChar"/>
    <w:uiPriority w:val="99"/>
    <w:semiHidden/>
    <w:unhideWhenUsed/>
    <w:rsid w:val="002C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MY" w:eastAsia="en-MY"/>
    </w:rPr>
  </w:style>
  <w:style w:type="character" w:customStyle="1" w:styleId="HTMLPreformattedChar">
    <w:name w:val="HTML Preformatted Char"/>
    <w:link w:val="HTMLPreformatted"/>
    <w:uiPriority w:val="99"/>
    <w:semiHidden/>
    <w:rsid w:val="002C6D06"/>
    <w:rPr>
      <w:rFonts w:ascii="Courier New" w:eastAsia="Times New Roman" w:hAnsi="Courier New" w:cs="Courier New"/>
      <w:sz w:val="20"/>
      <w:szCs w:val="20"/>
      <w:lang w:val="en-MY" w:eastAsia="en-MY"/>
    </w:rPr>
  </w:style>
  <w:style w:type="paragraph" w:styleId="Header">
    <w:name w:val="header"/>
    <w:basedOn w:val="Normal"/>
    <w:link w:val="HeaderChar"/>
    <w:uiPriority w:val="99"/>
    <w:unhideWhenUsed/>
    <w:rsid w:val="0062676E"/>
    <w:pPr>
      <w:tabs>
        <w:tab w:val="center" w:pos="4513"/>
        <w:tab w:val="right" w:pos="9026"/>
      </w:tabs>
    </w:pPr>
  </w:style>
  <w:style w:type="character" w:customStyle="1" w:styleId="HeaderChar">
    <w:name w:val="Header Char"/>
    <w:basedOn w:val="DefaultParagraphFont"/>
    <w:link w:val="Header"/>
    <w:uiPriority w:val="99"/>
    <w:rsid w:val="0062676E"/>
  </w:style>
  <w:style w:type="paragraph" w:styleId="Footer">
    <w:name w:val="footer"/>
    <w:basedOn w:val="Normal"/>
    <w:link w:val="FooterChar"/>
    <w:uiPriority w:val="99"/>
    <w:unhideWhenUsed/>
    <w:rsid w:val="0062676E"/>
    <w:pPr>
      <w:tabs>
        <w:tab w:val="center" w:pos="4513"/>
        <w:tab w:val="right" w:pos="9026"/>
      </w:tabs>
    </w:pPr>
  </w:style>
  <w:style w:type="character" w:customStyle="1" w:styleId="FooterChar">
    <w:name w:val="Footer Char"/>
    <w:basedOn w:val="DefaultParagraphFont"/>
    <w:link w:val="Footer"/>
    <w:uiPriority w:val="99"/>
    <w:rsid w:val="0062676E"/>
  </w:style>
  <w:style w:type="character" w:styleId="Hyperlink">
    <w:name w:val="Hyperlink"/>
    <w:uiPriority w:val="99"/>
    <w:unhideWhenUsed/>
    <w:rsid w:val="004A3DE0"/>
    <w:rPr>
      <w:color w:val="0000FF"/>
      <w:u w:val="single"/>
    </w:rPr>
  </w:style>
  <w:style w:type="character" w:styleId="LineNumber">
    <w:name w:val="line number"/>
    <w:basedOn w:val="DefaultParagraphFont"/>
    <w:uiPriority w:val="99"/>
    <w:semiHidden/>
    <w:unhideWhenUsed/>
    <w:rsid w:val="007A3F99"/>
  </w:style>
  <w:style w:type="character" w:styleId="FollowedHyperlink">
    <w:name w:val="FollowedHyperlink"/>
    <w:uiPriority w:val="99"/>
    <w:semiHidden/>
    <w:unhideWhenUsed/>
    <w:rsid w:val="008863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7384">
      <w:bodyDiv w:val="1"/>
      <w:marLeft w:val="0"/>
      <w:marRight w:val="0"/>
      <w:marTop w:val="0"/>
      <w:marBottom w:val="0"/>
      <w:divBdr>
        <w:top w:val="none" w:sz="0" w:space="0" w:color="auto"/>
        <w:left w:val="none" w:sz="0" w:space="0" w:color="auto"/>
        <w:bottom w:val="none" w:sz="0" w:space="0" w:color="auto"/>
        <w:right w:val="none" w:sz="0" w:space="0" w:color="auto"/>
      </w:divBdr>
      <w:divsChild>
        <w:div w:id="1752652970">
          <w:marLeft w:val="0"/>
          <w:marRight w:val="0"/>
          <w:marTop w:val="0"/>
          <w:marBottom w:val="0"/>
          <w:divBdr>
            <w:top w:val="none" w:sz="0" w:space="0" w:color="auto"/>
            <w:left w:val="none" w:sz="0" w:space="0" w:color="auto"/>
            <w:bottom w:val="none" w:sz="0" w:space="0" w:color="auto"/>
            <w:right w:val="none" w:sz="0" w:space="0" w:color="auto"/>
          </w:divBdr>
        </w:div>
      </w:divsChild>
    </w:div>
    <w:div w:id="343942141">
      <w:bodyDiv w:val="1"/>
      <w:marLeft w:val="0"/>
      <w:marRight w:val="0"/>
      <w:marTop w:val="0"/>
      <w:marBottom w:val="0"/>
      <w:divBdr>
        <w:top w:val="none" w:sz="0" w:space="0" w:color="auto"/>
        <w:left w:val="none" w:sz="0" w:space="0" w:color="auto"/>
        <w:bottom w:val="none" w:sz="0" w:space="0" w:color="auto"/>
        <w:right w:val="none" w:sz="0" w:space="0" w:color="auto"/>
      </w:divBdr>
      <w:divsChild>
        <w:div w:id="1693800074">
          <w:marLeft w:val="0"/>
          <w:marRight w:val="0"/>
          <w:marTop w:val="0"/>
          <w:marBottom w:val="0"/>
          <w:divBdr>
            <w:top w:val="none" w:sz="0" w:space="0" w:color="auto"/>
            <w:left w:val="none" w:sz="0" w:space="0" w:color="auto"/>
            <w:bottom w:val="none" w:sz="0" w:space="0" w:color="auto"/>
            <w:right w:val="none" w:sz="0" w:space="0" w:color="auto"/>
          </w:divBdr>
        </w:div>
      </w:divsChild>
    </w:div>
    <w:div w:id="414590851">
      <w:bodyDiv w:val="1"/>
      <w:marLeft w:val="0"/>
      <w:marRight w:val="0"/>
      <w:marTop w:val="0"/>
      <w:marBottom w:val="0"/>
      <w:divBdr>
        <w:top w:val="none" w:sz="0" w:space="0" w:color="auto"/>
        <w:left w:val="none" w:sz="0" w:space="0" w:color="auto"/>
        <w:bottom w:val="none" w:sz="0" w:space="0" w:color="auto"/>
        <w:right w:val="none" w:sz="0" w:space="0" w:color="auto"/>
      </w:divBdr>
      <w:divsChild>
        <w:div w:id="807743205">
          <w:marLeft w:val="0"/>
          <w:marRight w:val="0"/>
          <w:marTop w:val="0"/>
          <w:marBottom w:val="0"/>
          <w:divBdr>
            <w:top w:val="none" w:sz="0" w:space="0" w:color="auto"/>
            <w:left w:val="none" w:sz="0" w:space="0" w:color="auto"/>
            <w:bottom w:val="none" w:sz="0" w:space="0" w:color="auto"/>
            <w:right w:val="none" w:sz="0" w:space="0" w:color="auto"/>
          </w:divBdr>
        </w:div>
      </w:divsChild>
    </w:div>
    <w:div w:id="769277750">
      <w:bodyDiv w:val="1"/>
      <w:marLeft w:val="0"/>
      <w:marRight w:val="0"/>
      <w:marTop w:val="0"/>
      <w:marBottom w:val="0"/>
      <w:divBdr>
        <w:top w:val="none" w:sz="0" w:space="0" w:color="auto"/>
        <w:left w:val="none" w:sz="0" w:space="0" w:color="auto"/>
        <w:bottom w:val="none" w:sz="0" w:space="0" w:color="auto"/>
        <w:right w:val="none" w:sz="0" w:space="0" w:color="auto"/>
      </w:divBdr>
      <w:divsChild>
        <w:div w:id="964694208">
          <w:marLeft w:val="0"/>
          <w:marRight w:val="0"/>
          <w:marTop w:val="0"/>
          <w:marBottom w:val="0"/>
          <w:divBdr>
            <w:top w:val="none" w:sz="0" w:space="0" w:color="auto"/>
            <w:left w:val="none" w:sz="0" w:space="0" w:color="auto"/>
            <w:bottom w:val="none" w:sz="0" w:space="0" w:color="auto"/>
            <w:right w:val="none" w:sz="0" w:space="0" w:color="auto"/>
          </w:divBdr>
          <w:divsChild>
            <w:div w:id="762530873">
              <w:marLeft w:val="0"/>
              <w:marRight w:val="0"/>
              <w:marTop w:val="0"/>
              <w:marBottom w:val="0"/>
              <w:divBdr>
                <w:top w:val="none" w:sz="0" w:space="0" w:color="auto"/>
                <w:left w:val="none" w:sz="0" w:space="0" w:color="auto"/>
                <w:bottom w:val="none" w:sz="0" w:space="0" w:color="auto"/>
                <w:right w:val="none" w:sz="0" w:space="0" w:color="auto"/>
              </w:divBdr>
              <w:divsChild>
                <w:div w:id="9612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664">
      <w:bodyDiv w:val="1"/>
      <w:marLeft w:val="0"/>
      <w:marRight w:val="0"/>
      <w:marTop w:val="0"/>
      <w:marBottom w:val="0"/>
      <w:divBdr>
        <w:top w:val="none" w:sz="0" w:space="0" w:color="auto"/>
        <w:left w:val="none" w:sz="0" w:space="0" w:color="auto"/>
        <w:bottom w:val="none" w:sz="0" w:space="0" w:color="auto"/>
        <w:right w:val="none" w:sz="0" w:space="0" w:color="auto"/>
      </w:divBdr>
      <w:divsChild>
        <w:div w:id="1304700785">
          <w:marLeft w:val="0"/>
          <w:marRight w:val="0"/>
          <w:marTop w:val="0"/>
          <w:marBottom w:val="0"/>
          <w:divBdr>
            <w:top w:val="none" w:sz="0" w:space="0" w:color="auto"/>
            <w:left w:val="none" w:sz="0" w:space="0" w:color="auto"/>
            <w:bottom w:val="none" w:sz="0" w:space="0" w:color="auto"/>
            <w:right w:val="none" w:sz="0" w:space="0" w:color="auto"/>
          </w:divBdr>
          <w:divsChild>
            <w:div w:id="1356231386">
              <w:marLeft w:val="0"/>
              <w:marRight w:val="0"/>
              <w:marTop w:val="0"/>
              <w:marBottom w:val="0"/>
              <w:divBdr>
                <w:top w:val="none" w:sz="0" w:space="0" w:color="auto"/>
                <w:left w:val="none" w:sz="0" w:space="0" w:color="auto"/>
                <w:bottom w:val="none" w:sz="0" w:space="0" w:color="auto"/>
                <w:right w:val="none" w:sz="0" w:space="0" w:color="auto"/>
              </w:divBdr>
              <w:divsChild>
                <w:div w:id="12918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5816">
      <w:bodyDiv w:val="1"/>
      <w:marLeft w:val="0"/>
      <w:marRight w:val="0"/>
      <w:marTop w:val="0"/>
      <w:marBottom w:val="0"/>
      <w:divBdr>
        <w:top w:val="none" w:sz="0" w:space="0" w:color="auto"/>
        <w:left w:val="none" w:sz="0" w:space="0" w:color="auto"/>
        <w:bottom w:val="none" w:sz="0" w:space="0" w:color="auto"/>
        <w:right w:val="none" w:sz="0" w:space="0" w:color="auto"/>
      </w:divBdr>
    </w:div>
    <w:div w:id="1180003683">
      <w:bodyDiv w:val="1"/>
      <w:marLeft w:val="0"/>
      <w:marRight w:val="0"/>
      <w:marTop w:val="0"/>
      <w:marBottom w:val="0"/>
      <w:divBdr>
        <w:top w:val="none" w:sz="0" w:space="0" w:color="auto"/>
        <w:left w:val="none" w:sz="0" w:space="0" w:color="auto"/>
        <w:bottom w:val="none" w:sz="0" w:space="0" w:color="auto"/>
        <w:right w:val="none" w:sz="0" w:space="0" w:color="auto"/>
      </w:divBdr>
      <w:divsChild>
        <w:div w:id="1696149199">
          <w:marLeft w:val="0"/>
          <w:marRight w:val="0"/>
          <w:marTop w:val="0"/>
          <w:marBottom w:val="0"/>
          <w:divBdr>
            <w:top w:val="none" w:sz="0" w:space="0" w:color="auto"/>
            <w:left w:val="none" w:sz="0" w:space="0" w:color="auto"/>
            <w:bottom w:val="none" w:sz="0" w:space="0" w:color="auto"/>
            <w:right w:val="none" w:sz="0" w:space="0" w:color="auto"/>
          </w:divBdr>
          <w:divsChild>
            <w:div w:id="591594062">
              <w:marLeft w:val="0"/>
              <w:marRight w:val="0"/>
              <w:marTop w:val="0"/>
              <w:marBottom w:val="0"/>
              <w:divBdr>
                <w:top w:val="none" w:sz="0" w:space="0" w:color="auto"/>
                <w:left w:val="none" w:sz="0" w:space="0" w:color="auto"/>
                <w:bottom w:val="none" w:sz="0" w:space="0" w:color="auto"/>
                <w:right w:val="none" w:sz="0" w:space="0" w:color="auto"/>
              </w:divBdr>
              <w:divsChild>
                <w:div w:id="8700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7168">
      <w:bodyDiv w:val="1"/>
      <w:marLeft w:val="0"/>
      <w:marRight w:val="0"/>
      <w:marTop w:val="0"/>
      <w:marBottom w:val="0"/>
      <w:divBdr>
        <w:top w:val="none" w:sz="0" w:space="0" w:color="auto"/>
        <w:left w:val="none" w:sz="0" w:space="0" w:color="auto"/>
        <w:bottom w:val="none" w:sz="0" w:space="0" w:color="auto"/>
        <w:right w:val="none" w:sz="0" w:space="0" w:color="auto"/>
      </w:divBdr>
      <w:divsChild>
        <w:div w:id="349382171">
          <w:marLeft w:val="0"/>
          <w:marRight w:val="0"/>
          <w:marTop w:val="0"/>
          <w:marBottom w:val="0"/>
          <w:divBdr>
            <w:top w:val="none" w:sz="0" w:space="0" w:color="auto"/>
            <w:left w:val="none" w:sz="0" w:space="0" w:color="auto"/>
            <w:bottom w:val="none" w:sz="0" w:space="0" w:color="auto"/>
            <w:right w:val="none" w:sz="0" w:space="0" w:color="auto"/>
          </w:divBdr>
        </w:div>
        <w:div w:id="629016118">
          <w:marLeft w:val="0"/>
          <w:marRight w:val="0"/>
          <w:marTop w:val="0"/>
          <w:marBottom w:val="0"/>
          <w:divBdr>
            <w:top w:val="none" w:sz="0" w:space="0" w:color="auto"/>
            <w:left w:val="none" w:sz="0" w:space="0" w:color="auto"/>
            <w:bottom w:val="none" w:sz="0" w:space="0" w:color="auto"/>
            <w:right w:val="none" w:sz="0" w:space="0" w:color="auto"/>
          </w:divBdr>
        </w:div>
        <w:div w:id="669990625">
          <w:marLeft w:val="0"/>
          <w:marRight w:val="0"/>
          <w:marTop w:val="0"/>
          <w:marBottom w:val="0"/>
          <w:divBdr>
            <w:top w:val="none" w:sz="0" w:space="0" w:color="auto"/>
            <w:left w:val="none" w:sz="0" w:space="0" w:color="auto"/>
            <w:bottom w:val="none" w:sz="0" w:space="0" w:color="auto"/>
            <w:right w:val="none" w:sz="0" w:space="0" w:color="auto"/>
          </w:divBdr>
        </w:div>
        <w:div w:id="850947577">
          <w:marLeft w:val="0"/>
          <w:marRight w:val="0"/>
          <w:marTop w:val="0"/>
          <w:marBottom w:val="0"/>
          <w:divBdr>
            <w:top w:val="none" w:sz="0" w:space="0" w:color="auto"/>
            <w:left w:val="none" w:sz="0" w:space="0" w:color="auto"/>
            <w:bottom w:val="none" w:sz="0" w:space="0" w:color="auto"/>
            <w:right w:val="none" w:sz="0" w:space="0" w:color="auto"/>
          </w:divBdr>
        </w:div>
        <w:div w:id="961764187">
          <w:marLeft w:val="0"/>
          <w:marRight w:val="0"/>
          <w:marTop w:val="0"/>
          <w:marBottom w:val="0"/>
          <w:divBdr>
            <w:top w:val="none" w:sz="0" w:space="0" w:color="auto"/>
            <w:left w:val="none" w:sz="0" w:space="0" w:color="auto"/>
            <w:bottom w:val="none" w:sz="0" w:space="0" w:color="auto"/>
            <w:right w:val="none" w:sz="0" w:space="0" w:color="auto"/>
          </w:divBdr>
        </w:div>
        <w:div w:id="992879446">
          <w:marLeft w:val="0"/>
          <w:marRight w:val="0"/>
          <w:marTop w:val="0"/>
          <w:marBottom w:val="0"/>
          <w:divBdr>
            <w:top w:val="none" w:sz="0" w:space="0" w:color="auto"/>
            <w:left w:val="none" w:sz="0" w:space="0" w:color="auto"/>
            <w:bottom w:val="none" w:sz="0" w:space="0" w:color="auto"/>
            <w:right w:val="none" w:sz="0" w:space="0" w:color="auto"/>
          </w:divBdr>
        </w:div>
        <w:div w:id="1224441479">
          <w:marLeft w:val="0"/>
          <w:marRight w:val="0"/>
          <w:marTop w:val="0"/>
          <w:marBottom w:val="0"/>
          <w:divBdr>
            <w:top w:val="none" w:sz="0" w:space="0" w:color="auto"/>
            <w:left w:val="none" w:sz="0" w:space="0" w:color="auto"/>
            <w:bottom w:val="none" w:sz="0" w:space="0" w:color="auto"/>
            <w:right w:val="none" w:sz="0" w:space="0" w:color="auto"/>
          </w:divBdr>
        </w:div>
        <w:div w:id="1417899066">
          <w:marLeft w:val="0"/>
          <w:marRight w:val="0"/>
          <w:marTop w:val="0"/>
          <w:marBottom w:val="0"/>
          <w:divBdr>
            <w:top w:val="none" w:sz="0" w:space="0" w:color="auto"/>
            <w:left w:val="none" w:sz="0" w:space="0" w:color="auto"/>
            <w:bottom w:val="none" w:sz="0" w:space="0" w:color="auto"/>
            <w:right w:val="none" w:sz="0" w:space="0" w:color="auto"/>
          </w:divBdr>
        </w:div>
        <w:div w:id="1576671285">
          <w:marLeft w:val="0"/>
          <w:marRight w:val="0"/>
          <w:marTop w:val="0"/>
          <w:marBottom w:val="0"/>
          <w:divBdr>
            <w:top w:val="none" w:sz="0" w:space="0" w:color="auto"/>
            <w:left w:val="none" w:sz="0" w:space="0" w:color="auto"/>
            <w:bottom w:val="none" w:sz="0" w:space="0" w:color="auto"/>
            <w:right w:val="none" w:sz="0" w:space="0" w:color="auto"/>
          </w:divBdr>
        </w:div>
        <w:div w:id="1599025822">
          <w:marLeft w:val="0"/>
          <w:marRight w:val="0"/>
          <w:marTop w:val="0"/>
          <w:marBottom w:val="0"/>
          <w:divBdr>
            <w:top w:val="none" w:sz="0" w:space="0" w:color="auto"/>
            <w:left w:val="none" w:sz="0" w:space="0" w:color="auto"/>
            <w:bottom w:val="none" w:sz="0" w:space="0" w:color="auto"/>
            <w:right w:val="none" w:sz="0" w:space="0" w:color="auto"/>
          </w:divBdr>
        </w:div>
        <w:div w:id="1709715742">
          <w:marLeft w:val="0"/>
          <w:marRight w:val="0"/>
          <w:marTop w:val="0"/>
          <w:marBottom w:val="0"/>
          <w:divBdr>
            <w:top w:val="none" w:sz="0" w:space="0" w:color="auto"/>
            <w:left w:val="none" w:sz="0" w:space="0" w:color="auto"/>
            <w:bottom w:val="none" w:sz="0" w:space="0" w:color="auto"/>
            <w:right w:val="none" w:sz="0" w:space="0" w:color="auto"/>
          </w:divBdr>
        </w:div>
        <w:div w:id="1772433773">
          <w:marLeft w:val="0"/>
          <w:marRight w:val="0"/>
          <w:marTop w:val="0"/>
          <w:marBottom w:val="0"/>
          <w:divBdr>
            <w:top w:val="none" w:sz="0" w:space="0" w:color="auto"/>
            <w:left w:val="none" w:sz="0" w:space="0" w:color="auto"/>
            <w:bottom w:val="none" w:sz="0" w:space="0" w:color="auto"/>
            <w:right w:val="none" w:sz="0" w:space="0" w:color="auto"/>
          </w:divBdr>
        </w:div>
      </w:divsChild>
    </w:div>
    <w:div w:id="1496261369">
      <w:bodyDiv w:val="1"/>
      <w:marLeft w:val="0"/>
      <w:marRight w:val="0"/>
      <w:marTop w:val="0"/>
      <w:marBottom w:val="0"/>
      <w:divBdr>
        <w:top w:val="none" w:sz="0" w:space="0" w:color="auto"/>
        <w:left w:val="none" w:sz="0" w:space="0" w:color="auto"/>
        <w:bottom w:val="none" w:sz="0" w:space="0" w:color="auto"/>
        <w:right w:val="none" w:sz="0" w:space="0" w:color="auto"/>
      </w:divBdr>
      <w:divsChild>
        <w:div w:id="2068911651">
          <w:marLeft w:val="0"/>
          <w:marRight w:val="0"/>
          <w:marTop w:val="0"/>
          <w:marBottom w:val="0"/>
          <w:divBdr>
            <w:top w:val="none" w:sz="0" w:space="0" w:color="auto"/>
            <w:left w:val="none" w:sz="0" w:space="0" w:color="auto"/>
            <w:bottom w:val="none" w:sz="0" w:space="0" w:color="auto"/>
            <w:right w:val="none" w:sz="0" w:space="0" w:color="auto"/>
          </w:divBdr>
        </w:div>
      </w:divsChild>
    </w:div>
    <w:div w:id="1677152480">
      <w:bodyDiv w:val="1"/>
      <w:marLeft w:val="0"/>
      <w:marRight w:val="0"/>
      <w:marTop w:val="0"/>
      <w:marBottom w:val="0"/>
      <w:divBdr>
        <w:top w:val="none" w:sz="0" w:space="0" w:color="auto"/>
        <w:left w:val="none" w:sz="0" w:space="0" w:color="auto"/>
        <w:bottom w:val="none" w:sz="0" w:space="0" w:color="auto"/>
        <w:right w:val="none" w:sz="0" w:space="0" w:color="auto"/>
      </w:divBdr>
    </w:div>
    <w:div w:id="1702514351">
      <w:bodyDiv w:val="1"/>
      <w:marLeft w:val="0"/>
      <w:marRight w:val="0"/>
      <w:marTop w:val="0"/>
      <w:marBottom w:val="0"/>
      <w:divBdr>
        <w:top w:val="none" w:sz="0" w:space="0" w:color="auto"/>
        <w:left w:val="none" w:sz="0" w:space="0" w:color="auto"/>
        <w:bottom w:val="none" w:sz="0" w:space="0" w:color="auto"/>
        <w:right w:val="none" w:sz="0" w:space="0" w:color="auto"/>
      </w:divBdr>
      <w:divsChild>
        <w:div w:id="958679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article/pii/S0195925514000791" TargetMode="External"/><Relationship Id="rId18" Type="http://schemas.openxmlformats.org/officeDocument/2006/relationships/hyperlink" Target="http://ezproxy.usm.my:2061/science/journal/01959255" TargetMode="External"/><Relationship Id="rId26" Type="http://schemas.openxmlformats.org/officeDocument/2006/relationships/hyperlink" Target="http://ezproxy.usm.my:2061/science/article/pii/S0197397514001593" TargetMode="External"/><Relationship Id="rId3" Type="http://schemas.openxmlformats.org/officeDocument/2006/relationships/styles" Target="styles.xml"/><Relationship Id="rId21" Type="http://schemas.openxmlformats.org/officeDocument/2006/relationships/hyperlink" Target="http://www.sciencedirect.com/science/journal/0195925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zproxy.usm.my:2061/science/article/pii/S0197397514001593" TargetMode="External"/><Relationship Id="rId17" Type="http://schemas.openxmlformats.org/officeDocument/2006/relationships/hyperlink" Target="http://ezproxy.usm.my:2061/science/article/pii/S0195925515000323?np=y" TargetMode="External"/><Relationship Id="rId25" Type="http://schemas.openxmlformats.org/officeDocument/2006/relationships/hyperlink" Target="http://ezproxy.usm.my:2061/science/article/pii/S019739751400159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sciencedirect.com/science/article/pii/S019592551400079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195925514000791" TargetMode="External"/><Relationship Id="rId24" Type="http://schemas.openxmlformats.org/officeDocument/2006/relationships/hyperlink" Target="http://ezproxy.usm.my:2061/science/article/pii/S019739751400159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ezproxy.usm.my:2061/science/article/pii/S0197397514001593" TargetMode="External"/><Relationship Id="rId28" Type="http://schemas.openxmlformats.org/officeDocument/2006/relationships/header" Target="header1.xml"/><Relationship Id="rId10" Type="http://schemas.openxmlformats.org/officeDocument/2006/relationships/hyperlink" Target="http://www.sciencedirect.com/science/article/pii/S0195925514000791" TargetMode="External"/><Relationship Id="rId19" Type="http://schemas.openxmlformats.org/officeDocument/2006/relationships/hyperlink" Target="http://www.sciencedirect.com/science/article/pii/S019592551400079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il:%20msdin@usm.my" TargetMode="External"/><Relationship Id="rId14" Type="http://schemas.openxmlformats.org/officeDocument/2006/relationships/hyperlink" Target="http://www.sciencedirect.com/science/article/pii/S0195925514000791" TargetMode="External"/><Relationship Id="rId22" Type="http://schemas.openxmlformats.org/officeDocument/2006/relationships/hyperlink" Target="http://ezproxy.usm.my:2061/science/article/pii/S0197397514001593" TargetMode="External"/><Relationship Id="rId27" Type="http://schemas.openxmlformats.org/officeDocument/2006/relationships/hyperlink" Target="http://ezproxy.usm.my:2061/science/journal/0197397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7720-CC77-4C7E-9764-635A154B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10</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msdin</Company>
  <LinksUpToDate>false</LinksUpToDate>
  <CharactersWithSpaces>26071</CharactersWithSpaces>
  <SharedDoc>false</SharedDoc>
  <HLinks>
    <vt:vector size="102" baseType="variant">
      <vt:variant>
        <vt:i4>6750334</vt:i4>
      </vt:variant>
      <vt:variant>
        <vt:i4>48</vt:i4>
      </vt:variant>
      <vt:variant>
        <vt:i4>0</vt:i4>
      </vt:variant>
      <vt:variant>
        <vt:i4>5</vt:i4>
      </vt:variant>
      <vt:variant>
        <vt:lpwstr>http://ezproxy.usm.my:2061/science/journal/01973975</vt:lpwstr>
      </vt:variant>
      <vt:variant>
        <vt:lpwstr/>
      </vt:variant>
      <vt:variant>
        <vt:i4>393224</vt:i4>
      </vt:variant>
      <vt:variant>
        <vt:i4>45</vt:i4>
      </vt:variant>
      <vt:variant>
        <vt:i4>0</vt:i4>
      </vt:variant>
      <vt:variant>
        <vt:i4>5</vt:i4>
      </vt:variant>
      <vt:variant>
        <vt:lpwstr>http://ezproxy.usm.my:2061/science/article/pii/S0197397514001593</vt:lpwstr>
      </vt:variant>
      <vt:variant>
        <vt:lpwstr/>
      </vt:variant>
      <vt:variant>
        <vt:i4>393224</vt:i4>
      </vt:variant>
      <vt:variant>
        <vt:i4>42</vt:i4>
      </vt:variant>
      <vt:variant>
        <vt:i4>0</vt:i4>
      </vt:variant>
      <vt:variant>
        <vt:i4>5</vt:i4>
      </vt:variant>
      <vt:variant>
        <vt:lpwstr>http://ezproxy.usm.my:2061/science/article/pii/S0197397514001593</vt:lpwstr>
      </vt:variant>
      <vt:variant>
        <vt:lpwstr/>
      </vt:variant>
      <vt:variant>
        <vt:i4>393224</vt:i4>
      </vt:variant>
      <vt:variant>
        <vt:i4>39</vt:i4>
      </vt:variant>
      <vt:variant>
        <vt:i4>0</vt:i4>
      </vt:variant>
      <vt:variant>
        <vt:i4>5</vt:i4>
      </vt:variant>
      <vt:variant>
        <vt:lpwstr>http://ezproxy.usm.my:2061/science/article/pii/S0197397514001593</vt:lpwstr>
      </vt:variant>
      <vt:variant>
        <vt:lpwstr/>
      </vt:variant>
      <vt:variant>
        <vt:i4>393224</vt:i4>
      </vt:variant>
      <vt:variant>
        <vt:i4>36</vt:i4>
      </vt:variant>
      <vt:variant>
        <vt:i4>0</vt:i4>
      </vt:variant>
      <vt:variant>
        <vt:i4>5</vt:i4>
      </vt:variant>
      <vt:variant>
        <vt:lpwstr>http://ezproxy.usm.my:2061/science/article/pii/S0197397514001593</vt:lpwstr>
      </vt:variant>
      <vt:variant>
        <vt:lpwstr/>
      </vt:variant>
      <vt:variant>
        <vt:i4>393224</vt:i4>
      </vt:variant>
      <vt:variant>
        <vt:i4>33</vt:i4>
      </vt:variant>
      <vt:variant>
        <vt:i4>0</vt:i4>
      </vt:variant>
      <vt:variant>
        <vt:i4>5</vt:i4>
      </vt:variant>
      <vt:variant>
        <vt:lpwstr>http://ezproxy.usm.my:2061/science/article/pii/S0197397514001593</vt:lpwstr>
      </vt:variant>
      <vt:variant>
        <vt:lpwstr/>
      </vt:variant>
      <vt:variant>
        <vt:i4>4521985</vt:i4>
      </vt:variant>
      <vt:variant>
        <vt:i4>30</vt:i4>
      </vt:variant>
      <vt:variant>
        <vt:i4>0</vt:i4>
      </vt:variant>
      <vt:variant>
        <vt:i4>5</vt:i4>
      </vt:variant>
      <vt:variant>
        <vt:lpwstr>http://www.sciencedirect.com/science/journal/01959255</vt:lpwstr>
      </vt:variant>
      <vt:variant>
        <vt:lpwstr/>
      </vt:variant>
      <vt:variant>
        <vt:i4>2424951</vt:i4>
      </vt:variant>
      <vt:variant>
        <vt:i4>27</vt:i4>
      </vt:variant>
      <vt:variant>
        <vt:i4>0</vt:i4>
      </vt:variant>
      <vt:variant>
        <vt:i4>5</vt:i4>
      </vt:variant>
      <vt:variant>
        <vt:lpwstr>http://www.sciencedirect.com/science/article/pii/S0195925514000791</vt:lpwstr>
      </vt:variant>
      <vt:variant>
        <vt:lpwstr/>
      </vt:variant>
      <vt:variant>
        <vt:i4>2424951</vt:i4>
      </vt:variant>
      <vt:variant>
        <vt:i4>24</vt:i4>
      </vt:variant>
      <vt:variant>
        <vt:i4>0</vt:i4>
      </vt:variant>
      <vt:variant>
        <vt:i4>5</vt:i4>
      </vt:variant>
      <vt:variant>
        <vt:lpwstr>http://www.sciencedirect.com/science/article/pii/S0195925514000791</vt:lpwstr>
      </vt:variant>
      <vt:variant>
        <vt:lpwstr/>
      </vt:variant>
      <vt:variant>
        <vt:i4>7274615</vt:i4>
      </vt:variant>
      <vt:variant>
        <vt:i4>21</vt:i4>
      </vt:variant>
      <vt:variant>
        <vt:i4>0</vt:i4>
      </vt:variant>
      <vt:variant>
        <vt:i4>5</vt:i4>
      </vt:variant>
      <vt:variant>
        <vt:lpwstr>http://ezproxy.usm.my:2061/science/journal/01959255</vt:lpwstr>
      </vt:variant>
      <vt:variant>
        <vt:lpwstr/>
      </vt:variant>
      <vt:variant>
        <vt:i4>5963845</vt:i4>
      </vt:variant>
      <vt:variant>
        <vt:i4>18</vt:i4>
      </vt:variant>
      <vt:variant>
        <vt:i4>0</vt:i4>
      </vt:variant>
      <vt:variant>
        <vt:i4>5</vt:i4>
      </vt:variant>
      <vt:variant>
        <vt:lpwstr>http://ezproxy.usm.my:2061/science/article/pii/S0195925515000323?np=y</vt:lpwstr>
      </vt:variant>
      <vt:variant>
        <vt:lpwstr/>
      </vt:variant>
      <vt:variant>
        <vt:i4>2424951</vt:i4>
      </vt:variant>
      <vt:variant>
        <vt:i4>15</vt:i4>
      </vt:variant>
      <vt:variant>
        <vt:i4>0</vt:i4>
      </vt:variant>
      <vt:variant>
        <vt:i4>5</vt:i4>
      </vt:variant>
      <vt:variant>
        <vt:lpwstr>http://www.sciencedirect.com/science/article/pii/S0195925514000791</vt:lpwstr>
      </vt:variant>
      <vt:variant>
        <vt:lpwstr/>
      </vt:variant>
      <vt:variant>
        <vt:i4>2424951</vt:i4>
      </vt:variant>
      <vt:variant>
        <vt:i4>12</vt:i4>
      </vt:variant>
      <vt:variant>
        <vt:i4>0</vt:i4>
      </vt:variant>
      <vt:variant>
        <vt:i4>5</vt:i4>
      </vt:variant>
      <vt:variant>
        <vt:lpwstr>http://www.sciencedirect.com/science/article/pii/S0195925514000791</vt:lpwstr>
      </vt:variant>
      <vt:variant>
        <vt:lpwstr/>
      </vt:variant>
      <vt:variant>
        <vt:i4>2424951</vt:i4>
      </vt:variant>
      <vt:variant>
        <vt:i4>9</vt:i4>
      </vt:variant>
      <vt:variant>
        <vt:i4>0</vt:i4>
      </vt:variant>
      <vt:variant>
        <vt:i4>5</vt:i4>
      </vt:variant>
      <vt:variant>
        <vt:lpwstr>http://www.sciencedirect.com/science/article/pii/S0195925514000791</vt:lpwstr>
      </vt:variant>
      <vt:variant>
        <vt:lpwstr/>
      </vt:variant>
      <vt:variant>
        <vt:i4>2424951</vt:i4>
      </vt:variant>
      <vt:variant>
        <vt:i4>6</vt:i4>
      </vt:variant>
      <vt:variant>
        <vt:i4>0</vt:i4>
      </vt:variant>
      <vt:variant>
        <vt:i4>5</vt:i4>
      </vt:variant>
      <vt:variant>
        <vt:lpwstr>http://www.sciencedirect.com/science/article/pii/S0195925514000791</vt:lpwstr>
      </vt:variant>
      <vt:variant>
        <vt:lpwstr/>
      </vt:variant>
      <vt:variant>
        <vt:i4>393224</vt:i4>
      </vt:variant>
      <vt:variant>
        <vt:i4>3</vt:i4>
      </vt:variant>
      <vt:variant>
        <vt:i4>0</vt:i4>
      </vt:variant>
      <vt:variant>
        <vt:i4>5</vt:i4>
      </vt:variant>
      <vt:variant>
        <vt:lpwstr>http://ezproxy.usm.my:2061/science/article/pii/S0197397514001593</vt:lpwstr>
      </vt:variant>
      <vt:variant>
        <vt:lpwstr/>
      </vt:variant>
      <vt:variant>
        <vt:i4>5505072</vt:i4>
      </vt:variant>
      <vt:variant>
        <vt:i4>0</vt:i4>
      </vt:variant>
      <vt:variant>
        <vt:i4>0</vt:i4>
      </vt:variant>
      <vt:variant>
        <vt:i4>5</vt:i4>
      </vt:variant>
      <vt:variant>
        <vt:lpwstr>mailto:(email:%20msdin@usm.my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shaharudin samsurijan</dc:creator>
  <cp:lastModifiedBy>SKAG6033</cp:lastModifiedBy>
  <cp:revision>30</cp:revision>
  <cp:lastPrinted>2018-09-23T10:00:00Z</cp:lastPrinted>
  <dcterms:created xsi:type="dcterms:W3CDTF">2018-11-12T08:53:00Z</dcterms:created>
  <dcterms:modified xsi:type="dcterms:W3CDTF">2018-11-23T12:09:00Z</dcterms:modified>
</cp:coreProperties>
</file>