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F5" w:rsidRPr="00E20DF5" w:rsidRDefault="00CC3138" w:rsidP="00D9735B">
      <w:pPr>
        <w:pStyle w:val="NoSpacing"/>
        <w:jc w:val="both"/>
        <w:rPr>
          <w:rFonts w:ascii="Times New Roman" w:hAnsi="Times New Roman"/>
          <w:b/>
        </w:rPr>
      </w:pPr>
      <w:bookmarkStart w:id="0" w:name="_GoBack"/>
      <w:bookmarkEnd w:id="0"/>
      <w:r>
        <w:rPr>
          <w:rFonts w:ascii="Times New Roman" w:hAnsi="Times New Roman"/>
          <w:b/>
          <w:noProof/>
        </w:rPr>
        <w:drawing>
          <wp:inline distT="0" distB="0" distL="0" distR="0">
            <wp:extent cx="5967095" cy="498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7095" cy="498475"/>
                    </a:xfrm>
                    <a:prstGeom prst="rect">
                      <a:avLst/>
                    </a:prstGeom>
                    <a:noFill/>
                    <a:ln>
                      <a:noFill/>
                    </a:ln>
                  </pic:spPr>
                </pic:pic>
              </a:graphicData>
            </a:graphic>
          </wp:inline>
        </w:drawing>
      </w:r>
    </w:p>
    <w:p w:rsidR="00E20DF5" w:rsidRDefault="00E20DF5" w:rsidP="00D9735B">
      <w:pPr>
        <w:pStyle w:val="NoSpacing"/>
        <w:jc w:val="both"/>
        <w:rPr>
          <w:rFonts w:ascii="Times New Roman" w:hAnsi="Times New Roman"/>
          <w:b/>
        </w:rPr>
      </w:pPr>
    </w:p>
    <w:p w:rsidR="00690B87" w:rsidRPr="00D10850" w:rsidRDefault="00BF265C" w:rsidP="00D9735B">
      <w:pPr>
        <w:pStyle w:val="NoSpacing"/>
        <w:jc w:val="center"/>
        <w:rPr>
          <w:rFonts w:ascii="Times New Roman" w:hAnsi="Times New Roman"/>
          <w:b/>
          <w:bCs/>
          <w:sz w:val="28"/>
        </w:rPr>
      </w:pPr>
      <w:r w:rsidRPr="00BF265C">
        <w:rPr>
          <w:rFonts w:ascii="Times New Roman" w:hAnsi="Times New Roman"/>
          <w:b/>
          <w:bCs/>
          <w:sz w:val="28"/>
        </w:rPr>
        <w:t xml:space="preserve">Demographic </w:t>
      </w:r>
      <w:r w:rsidR="00CC3138">
        <w:rPr>
          <w:rFonts w:ascii="Times New Roman" w:hAnsi="Times New Roman"/>
          <w:b/>
          <w:bCs/>
          <w:sz w:val="28"/>
        </w:rPr>
        <w:t>a</w:t>
      </w:r>
      <w:r w:rsidRPr="00BF265C">
        <w:rPr>
          <w:rFonts w:ascii="Times New Roman" w:hAnsi="Times New Roman"/>
          <w:b/>
          <w:bCs/>
          <w:sz w:val="28"/>
        </w:rPr>
        <w:t>nal</w:t>
      </w:r>
      <w:r w:rsidR="00D71FDD">
        <w:rPr>
          <w:rFonts w:ascii="Times New Roman" w:hAnsi="Times New Roman"/>
          <w:b/>
          <w:bCs/>
          <w:sz w:val="28"/>
        </w:rPr>
        <w:t xml:space="preserve">ysis </w:t>
      </w:r>
      <w:r w:rsidR="009A0C71">
        <w:rPr>
          <w:rFonts w:ascii="Times New Roman" w:hAnsi="Times New Roman"/>
          <w:b/>
          <w:bCs/>
          <w:sz w:val="28"/>
        </w:rPr>
        <w:t>towards</w:t>
      </w:r>
      <w:r w:rsidR="00D71FDD">
        <w:rPr>
          <w:rFonts w:ascii="Times New Roman" w:hAnsi="Times New Roman"/>
          <w:b/>
          <w:bCs/>
          <w:sz w:val="28"/>
        </w:rPr>
        <w:t xml:space="preserve"> </w:t>
      </w:r>
      <w:r w:rsidR="009A0C71">
        <w:rPr>
          <w:rFonts w:ascii="Times New Roman" w:hAnsi="Times New Roman"/>
          <w:b/>
          <w:bCs/>
          <w:sz w:val="28"/>
        </w:rPr>
        <w:t>the</w:t>
      </w:r>
      <w:r>
        <w:rPr>
          <w:rFonts w:ascii="Times New Roman" w:hAnsi="Times New Roman"/>
          <w:b/>
          <w:bCs/>
          <w:sz w:val="28"/>
        </w:rPr>
        <w:t xml:space="preserve"> </w:t>
      </w:r>
      <w:r w:rsidR="00CC3138">
        <w:rPr>
          <w:rFonts w:ascii="Times New Roman" w:hAnsi="Times New Roman"/>
          <w:b/>
          <w:bCs/>
          <w:sz w:val="28"/>
        </w:rPr>
        <w:t>u</w:t>
      </w:r>
      <w:r>
        <w:rPr>
          <w:rFonts w:ascii="Times New Roman" w:hAnsi="Times New Roman"/>
          <w:b/>
          <w:bCs/>
          <w:sz w:val="28"/>
        </w:rPr>
        <w:t>nderstanding o</w:t>
      </w:r>
      <w:r w:rsidRPr="00BF265C">
        <w:rPr>
          <w:rFonts w:ascii="Times New Roman" w:hAnsi="Times New Roman"/>
          <w:b/>
          <w:bCs/>
          <w:sz w:val="28"/>
        </w:rPr>
        <w:t xml:space="preserve">f Education Takaful (Islamic Insurance) Plan </w:t>
      </w:r>
    </w:p>
    <w:p w:rsidR="006B1C2A" w:rsidRPr="00690B87" w:rsidRDefault="006B1C2A" w:rsidP="00D9735B">
      <w:pPr>
        <w:pStyle w:val="NoSpacing"/>
        <w:jc w:val="center"/>
        <w:rPr>
          <w:rFonts w:ascii="Times New Roman" w:hAnsi="Times New Roman"/>
          <w:b/>
          <w:bCs/>
        </w:rPr>
      </w:pPr>
    </w:p>
    <w:p w:rsidR="00045280" w:rsidRPr="00352410" w:rsidRDefault="00045280" w:rsidP="00045280">
      <w:pPr>
        <w:pStyle w:val="NoSpacing"/>
        <w:jc w:val="center"/>
        <w:rPr>
          <w:rFonts w:ascii="Times New Roman" w:hAnsi="Times New Roman"/>
        </w:rPr>
      </w:pPr>
      <w:proofErr w:type="spellStart"/>
      <w:r w:rsidRPr="00352410">
        <w:rPr>
          <w:rFonts w:ascii="Times New Roman" w:hAnsi="Times New Roman"/>
        </w:rPr>
        <w:t>Rubayah</w:t>
      </w:r>
      <w:proofErr w:type="spellEnd"/>
      <w:r w:rsidRPr="00352410">
        <w:rPr>
          <w:rFonts w:ascii="Times New Roman" w:hAnsi="Times New Roman"/>
        </w:rPr>
        <w:t xml:space="preserve"> </w:t>
      </w:r>
      <w:proofErr w:type="spellStart"/>
      <w:r w:rsidRPr="00352410">
        <w:rPr>
          <w:rFonts w:ascii="Times New Roman" w:hAnsi="Times New Roman"/>
        </w:rPr>
        <w:t>Yakob</w:t>
      </w:r>
      <w:proofErr w:type="spellEnd"/>
      <w:r w:rsidRPr="00352410">
        <w:rPr>
          <w:rFonts w:ascii="Times New Roman" w:hAnsi="Times New Roman"/>
        </w:rPr>
        <w:t xml:space="preserve">, </w:t>
      </w:r>
      <w:proofErr w:type="spellStart"/>
      <w:r w:rsidRPr="00352410">
        <w:rPr>
          <w:rFonts w:ascii="Times New Roman" w:hAnsi="Times New Roman"/>
        </w:rPr>
        <w:t>Hafizuddin-Syah</w:t>
      </w:r>
      <w:proofErr w:type="spellEnd"/>
      <w:r w:rsidRPr="00352410">
        <w:rPr>
          <w:rFonts w:ascii="Times New Roman" w:hAnsi="Times New Roman"/>
        </w:rPr>
        <w:t xml:space="preserve"> B.A.M, </w:t>
      </w:r>
      <w:proofErr w:type="spellStart"/>
      <w:r w:rsidRPr="00352410">
        <w:rPr>
          <w:rFonts w:ascii="Times New Roman" w:hAnsi="Times New Roman"/>
        </w:rPr>
        <w:t>Nurfarhana</w:t>
      </w:r>
      <w:proofErr w:type="spellEnd"/>
      <w:r w:rsidRPr="00352410">
        <w:rPr>
          <w:rFonts w:ascii="Times New Roman" w:hAnsi="Times New Roman"/>
        </w:rPr>
        <w:t xml:space="preserve"> Hani </w:t>
      </w:r>
      <w:proofErr w:type="spellStart"/>
      <w:r w:rsidRPr="00352410">
        <w:rPr>
          <w:rFonts w:ascii="Times New Roman" w:hAnsi="Times New Roman"/>
        </w:rPr>
        <w:t>Badrul</w:t>
      </w:r>
      <w:proofErr w:type="spellEnd"/>
      <w:r w:rsidRPr="00352410">
        <w:rPr>
          <w:rFonts w:ascii="Times New Roman" w:hAnsi="Times New Roman"/>
        </w:rPr>
        <w:t xml:space="preserve"> </w:t>
      </w:r>
      <w:proofErr w:type="spellStart"/>
      <w:r w:rsidRPr="00352410">
        <w:rPr>
          <w:rFonts w:ascii="Times New Roman" w:hAnsi="Times New Roman"/>
        </w:rPr>
        <w:t>Hisham</w:t>
      </w:r>
      <w:proofErr w:type="spellEnd"/>
    </w:p>
    <w:p w:rsidR="00352410" w:rsidRDefault="00352410" w:rsidP="00045280">
      <w:pPr>
        <w:pStyle w:val="NoSpacing"/>
        <w:jc w:val="center"/>
        <w:rPr>
          <w:rFonts w:ascii="Times New Roman" w:hAnsi="Times New Roman"/>
        </w:rPr>
      </w:pPr>
    </w:p>
    <w:p w:rsidR="00045280" w:rsidRPr="00352410" w:rsidRDefault="00045280" w:rsidP="00045280">
      <w:pPr>
        <w:pStyle w:val="NoSpacing"/>
        <w:jc w:val="center"/>
        <w:rPr>
          <w:rFonts w:ascii="Times New Roman" w:hAnsi="Times New Roman"/>
        </w:rPr>
      </w:pPr>
      <w:r w:rsidRPr="00352410">
        <w:rPr>
          <w:rFonts w:ascii="Times New Roman" w:hAnsi="Times New Roman"/>
        </w:rPr>
        <w:t>Governance, Resilience &amp; Accountability Center</w:t>
      </w:r>
    </w:p>
    <w:p w:rsidR="00045280" w:rsidRPr="00352410" w:rsidRDefault="00045280" w:rsidP="00045280">
      <w:pPr>
        <w:pStyle w:val="NoSpacing"/>
        <w:jc w:val="center"/>
        <w:rPr>
          <w:rFonts w:ascii="Times New Roman" w:hAnsi="Times New Roman"/>
        </w:rPr>
      </w:pPr>
      <w:r w:rsidRPr="00352410">
        <w:rPr>
          <w:rFonts w:ascii="Times New Roman" w:hAnsi="Times New Roman"/>
        </w:rPr>
        <w:t>Faculty of Economics and Management</w:t>
      </w:r>
    </w:p>
    <w:p w:rsidR="00045280" w:rsidRPr="00352410" w:rsidRDefault="00045280" w:rsidP="00045280">
      <w:pPr>
        <w:pStyle w:val="NoSpacing"/>
        <w:jc w:val="center"/>
        <w:rPr>
          <w:rFonts w:ascii="Times New Roman" w:hAnsi="Times New Roman"/>
        </w:rPr>
      </w:pPr>
      <w:proofErr w:type="spellStart"/>
      <w:r w:rsidRPr="00352410">
        <w:rPr>
          <w:rFonts w:ascii="Times New Roman" w:hAnsi="Times New Roman"/>
        </w:rPr>
        <w:t>Universiti</w:t>
      </w:r>
      <w:proofErr w:type="spellEnd"/>
      <w:r w:rsidRPr="00352410">
        <w:rPr>
          <w:rFonts w:ascii="Times New Roman" w:hAnsi="Times New Roman"/>
        </w:rPr>
        <w:t xml:space="preserve"> </w:t>
      </w:r>
      <w:proofErr w:type="spellStart"/>
      <w:r w:rsidRPr="00352410">
        <w:rPr>
          <w:rFonts w:ascii="Times New Roman" w:hAnsi="Times New Roman"/>
        </w:rPr>
        <w:t>Kebangsaan</w:t>
      </w:r>
      <w:proofErr w:type="spellEnd"/>
      <w:r w:rsidRPr="00352410">
        <w:rPr>
          <w:rFonts w:ascii="Times New Roman" w:hAnsi="Times New Roman"/>
        </w:rPr>
        <w:t xml:space="preserve"> Malaysia</w:t>
      </w:r>
    </w:p>
    <w:p w:rsidR="00700BAD" w:rsidRPr="00352410" w:rsidRDefault="00045280" w:rsidP="00045280">
      <w:pPr>
        <w:pStyle w:val="NoSpacing"/>
        <w:jc w:val="center"/>
        <w:rPr>
          <w:rFonts w:ascii="Times New Roman" w:hAnsi="Times New Roman"/>
        </w:rPr>
      </w:pPr>
      <w:r w:rsidRPr="00352410">
        <w:rPr>
          <w:rFonts w:ascii="Times New Roman" w:hAnsi="Times New Roman"/>
        </w:rPr>
        <w:t>Malaysia</w:t>
      </w:r>
    </w:p>
    <w:p w:rsidR="00352410" w:rsidRDefault="00352410" w:rsidP="00045280">
      <w:pPr>
        <w:pStyle w:val="NoSpacing"/>
        <w:jc w:val="center"/>
        <w:rPr>
          <w:rFonts w:ascii="Times New Roman" w:hAnsi="Times New Roman"/>
        </w:rPr>
      </w:pPr>
    </w:p>
    <w:p w:rsidR="00352410" w:rsidRPr="00045280" w:rsidRDefault="00352410" w:rsidP="00045280">
      <w:pPr>
        <w:pStyle w:val="NoSpacing"/>
        <w:jc w:val="center"/>
        <w:rPr>
          <w:rFonts w:ascii="Times New Roman" w:hAnsi="Times New Roman"/>
        </w:rPr>
      </w:pPr>
      <w:r w:rsidRPr="00352410">
        <w:rPr>
          <w:rFonts w:ascii="Times New Roman" w:hAnsi="Times New Roman"/>
        </w:rPr>
        <w:t>Correspondence:</w:t>
      </w:r>
      <w:r>
        <w:rPr>
          <w:rFonts w:ascii="Times New Roman" w:hAnsi="Times New Roman"/>
        </w:rPr>
        <w:t xml:space="preserve"> </w:t>
      </w:r>
      <w:proofErr w:type="spellStart"/>
      <w:r w:rsidRPr="00352410">
        <w:rPr>
          <w:rFonts w:ascii="Times New Roman" w:hAnsi="Times New Roman"/>
        </w:rPr>
        <w:t>Hafizuddin-Syah</w:t>
      </w:r>
      <w:proofErr w:type="spellEnd"/>
      <w:r w:rsidRPr="00352410">
        <w:rPr>
          <w:rFonts w:ascii="Times New Roman" w:hAnsi="Times New Roman"/>
        </w:rPr>
        <w:t xml:space="preserve"> B.A.M</w:t>
      </w:r>
      <w:r>
        <w:rPr>
          <w:rFonts w:ascii="Times New Roman" w:hAnsi="Times New Roman"/>
        </w:rPr>
        <w:t xml:space="preserve"> (m_hafiz@ukm.edu.my)</w:t>
      </w:r>
    </w:p>
    <w:p w:rsidR="00B23D15" w:rsidRDefault="00B23D15" w:rsidP="00700BAD">
      <w:pPr>
        <w:pStyle w:val="NoSpacing"/>
        <w:jc w:val="both"/>
        <w:rPr>
          <w:rFonts w:ascii="Times New Roman" w:hAnsi="Times New Roman"/>
          <w:b/>
          <w:bCs/>
          <w:sz w:val="24"/>
          <w:szCs w:val="24"/>
        </w:rPr>
      </w:pPr>
    </w:p>
    <w:p w:rsidR="0008710B" w:rsidRDefault="0008710B" w:rsidP="00700BAD">
      <w:pPr>
        <w:pStyle w:val="NoSpacing"/>
        <w:jc w:val="both"/>
        <w:rPr>
          <w:rFonts w:ascii="Times New Roman" w:hAnsi="Times New Roman"/>
          <w:b/>
          <w:bCs/>
          <w:sz w:val="24"/>
          <w:szCs w:val="24"/>
        </w:rPr>
      </w:pPr>
    </w:p>
    <w:p w:rsidR="00C80832" w:rsidRDefault="0008710B" w:rsidP="00700BAD">
      <w:pPr>
        <w:pStyle w:val="NoSpacing"/>
        <w:jc w:val="both"/>
        <w:rPr>
          <w:rFonts w:ascii="Times New Roman" w:hAnsi="Times New Roman"/>
        </w:rPr>
      </w:pPr>
      <w:r w:rsidRPr="0008710B">
        <w:rPr>
          <w:rFonts w:ascii="Times New Roman" w:hAnsi="Times New Roman"/>
        </w:rPr>
        <w:t>Received:</w:t>
      </w:r>
      <w:r w:rsidR="00F13CBC">
        <w:rPr>
          <w:rFonts w:ascii="Times New Roman" w:hAnsi="Times New Roman"/>
        </w:rPr>
        <w:t xml:space="preserve"> 11 June 2019</w:t>
      </w:r>
      <w:r w:rsidRPr="0008710B">
        <w:rPr>
          <w:rFonts w:ascii="Times New Roman" w:hAnsi="Times New Roman"/>
        </w:rPr>
        <w:t xml:space="preserve">; Accepted: </w:t>
      </w:r>
      <w:r w:rsidR="00F13CBC">
        <w:rPr>
          <w:rFonts w:ascii="Times New Roman" w:hAnsi="Times New Roman"/>
        </w:rPr>
        <w:t xml:space="preserve">21 October </w:t>
      </w:r>
      <w:r w:rsidRPr="0008710B">
        <w:rPr>
          <w:rFonts w:ascii="Times New Roman" w:hAnsi="Times New Roman"/>
        </w:rPr>
        <w:t xml:space="preserve">2019; Published: </w:t>
      </w:r>
      <w:r w:rsidR="00F13CBC">
        <w:rPr>
          <w:rFonts w:ascii="Times New Roman" w:hAnsi="Times New Roman"/>
        </w:rPr>
        <w:t xml:space="preserve">25 November </w:t>
      </w:r>
      <w:r w:rsidRPr="0008710B">
        <w:rPr>
          <w:rFonts w:ascii="Times New Roman" w:hAnsi="Times New Roman"/>
        </w:rPr>
        <w:t>2019</w:t>
      </w:r>
    </w:p>
    <w:p w:rsidR="0008710B" w:rsidRDefault="0008710B" w:rsidP="00700BAD">
      <w:pPr>
        <w:pStyle w:val="NoSpacing"/>
        <w:jc w:val="both"/>
        <w:rPr>
          <w:rFonts w:ascii="Times New Roman" w:hAnsi="Times New Roman"/>
        </w:rPr>
      </w:pPr>
    </w:p>
    <w:p w:rsidR="0008710B" w:rsidRPr="0008710B" w:rsidRDefault="0008710B" w:rsidP="00700BAD">
      <w:pPr>
        <w:pStyle w:val="NoSpacing"/>
        <w:jc w:val="both"/>
        <w:rPr>
          <w:rFonts w:ascii="Times New Roman" w:hAnsi="Times New Roman"/>
          <w:b/>
          <w:bCs/>
          <w:sz w:val="24"/>
          <w:szCs w:val="24"/>
        </w:rPr>
      </w:pPr>
    </w:p>
    <w:p w:rsidR="00690B87" w:rsidRPr="007144ED" w:rsidRDefault="00700BAD" w:rsidP="00700BAD">
      <w:pPr>
        <w:pStyle w:val="NoSpacing"/>
        <w:jc w:val="both"/>
        <w:rPr>
          <w:rFonts w:ascii="Times New Roman" w:hAnsi="Times New Roman"/>
          <w:b/>
          <w:sz w:val="24"/>
          <w:szCs w:val="24"/>
        </w:rPr>
      </w:pPr>
      <w:r>
        <w:rPr>
          <w:rFonts w:ascii="Times New Roman" w:hAnsi="Times New Roman"/>
          <w:b/>
          <w:bCs/>
          <w:sz w:val="24"/>
          <w:szCs w:val="24"/>
        </w:rPr>
        <w:t>Abstract</w:t>
      </w:r>
    </w:p>
    <w:p w:rsidR="00690B87" w:rsidRPr="007144ED" w:rsidRDefault="00690B87" w:rsidP="00700BAD">
      <w:pPr>
        <w:pStyle w:val="NoSpacing"/>
        <w:jc w:val="both"/>
        <w:rPr>
          <w:rFonts w:ascii="Times New Roman" w:hAnsi="Times New Roman"/>
          <w:b/>
          <w:sz w:val="24"/>
          <w:szCs w:val="24"/>
        </w:rPr>
      </w:pPr>
      <w:r w:rsidRPr="007144ED">
        <w:rPr>
          <w:rFonts w:ascii="Times New Roman" w:hAnsi="Times New Roman"/>
          <w:b/>
          <w:sz w:val="24"/>
          <w:szCs w:val="24"/>
        </w:rPr>
        <w:t xml:space="preserve"> </w:t>
      </w:r>
    </w:p>
    <w:p w:rsidR="00690B87" w:rsidRPr="007144ED" w:rsidRDefault="00700BAD" w:rsidP="00700BAD">
      <w:pPr>
        <w:pStyle w:val="NoSpacing"/>
        <w:jc w:val="both"/>
        <w:rPr>
          <w:rFonts w:ascii="Times New Roman" w:hAnsi="Times New Roman"/>
          <w:b/>
          <w:bCs/>
          <w:sz w:val="24"/>
          <w:szCs w:val="24"/>
        </w:rPr>
      </w:pPr>
      <w:r w:rsidRPr="00700BAD">
        <w:rPr>
          <w:rFonts w:ascii="Times New Roman" w:hAnsi="Times New Roman"/>
          <w:sz w:val="24"/>
          <w:szCs w:val="24"/>
        </w:rPr>
        <w:t xml:space="preserve">This study aims to identify the demographic characteristics affecting the level of understanding of education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plan. The data was </w:t>
      </w:r>
      <w:r w:rsidR="00542932">
        <w:rPr>
          <w:rFonts w:ascii="Times New Roman" w:hAnsi="Times New Roman"/>
          <w:sz w:val="24"/>
          <w:szCs w:val="24"/>
        </w:rPr>
        <w:t>collected</w:t>
      </w:r>
      <w:r w:rsidRPr="00700BAD">
        <w:rPr>
          <w:rFonts w:ascii="Times New Roman" w:hAnsi="Times New Roman"/>
          <w:sz w:val="24"/>
          <w:szCs w:val="24"/>
        </w:rPr>
        <w:t xml:space="preserve"> </w:t>
      </w:r>
      <w:r w:rsidR="00542932">
        <w:rPr>
          <w:rFonts w:ascii="Times New Roman" w:hAnsi="Times New Roman"/>
          <w:sz w:val="24"/>
          <w:szCs w:val="24"/>
        </w:rPr>
        <w:t>through</w:t>
      </w:r>
      <w:r w:rsidRPr="00700BAD">
        <w:rPr>
          <w:rFonts w:ascii="Times New Roman" w:hAnsi="Times New Roman"/>
          <w:sz w:val="24"/>
          <w:szCs w:val="24"/>
        </w:rPr>
        <w:t xml:space="preserve"> questionnaires</w:t>
      </w:r>
      <w:r w:rsidR="00542932">
        <w:rPr>
          <w:rFonts w:ascii="Times New Roman" w:hAnsi="Times New Roman"/>
          <w:sz w:val="24"/>
          <w:szCs w:val="24"/>
        </w:rPr>
        <w:t xml:space="preserve"> from </w:t>
      </w:r>
      <w:r w:rsidRPr="00700BAD">
        <w:rPr>
          <w:rFonts w:ascii="Times New Roman" w:hAnsi="Times New Roman"/>
          <w:sz w:val="24"/>
          <w:szCs w:val="24"/>
        </w:rPr>
        <w:t xml:space="preserve">145 </w:t>
      </w:r>
      <w:r w:rsidR="00573791">
        <w:rPr>
          <w:rFonts w:ascii="Times New Roman" w:hAnsi="Times New Roman"/>
          <w:sz w:val="24"/>
          <w:szCs w:val="24"/>
        </w:rPr>
        <w:t xml:space="preserve">respondents </w:t>
      </w:r>
      <w:r w:rsidR="00542932">
        <w:rPr>
          <w:rFonts w:ascii="Times New Roman" w:hAnsi="Times New Roman"/>
          <w:sz w:val="24"/>
          <w:szCs w:val="24"/>
        </w:rPr>
        <w:t xml:space="preserve">in </w:t>
      </w:r>
      <w:proofErr w:type="spellStart"/>
      <w:r w:rsidRPr="00700BAD">
        <w:rPr>
          <w:rFonts w:ascii="Times New Roman" w:hAnsi="Times New Roman"/>
          <w:sz w:val="24"/>
          <w:szCs w:val="24"/>
        </w:rPr>
        <w:t>Klang</w:t>
      </w:r>
      <w:proofErr w:type="spellEnd"/>
      <w:r w:rsidRPr="00700BAD">
        <w:rPr>
          <w:rFonts w:ascii="Times New Roman" w:hAnsi="Times New Roman"/>
          <w:sz w:val="24"/>
          <w:szCs w:val="24"/>
        </w:rPr>
        <w:t xml:space="preserve"> Valley,</w:t>
      </w:r>
      <w:r w:rsidR="00573791">
        <w:rPr>
          <w:rFonts w:ascii="Times New Roman" w:hAnsi="Times New Roman"/>
          <w:sz w:val="24"/>
          <w:szCs w:val="24"/>
        </w:rPr>
        <w:t xml:space="preserve"> Malaysia, which chosen</w:t>
      </w:r>
      <w:r w:rsidRPr="00700BAD">
        <w:rPr>
          <w:rFonts w:ascii="Times New Roman" w:hAnsi="Times New Roman"/>
          <w:sz w:val="24"/>
          <w:szCs w:val="24"/>
        </w:rPr>
        <w:t xml:space="preserve"> based on the convenience sampling technique. </w:t>
      </w:r>
      <w:r w:rsidR="00573791">
        <w:rPr>
          <w:rFonts w:ascii="Times New Roman" w:hAnsi="Times New Roman"/>
          <w:sz w:val="24"/>
          <w:szCs w:val="24"/>
        </w:rPr>
        <w:t xml:space="preserve">Results from the </w:t>
      </w:r>
      <w:r w:rsidRPr="00700BAD">
        <w:rPr>
          <w:rFonts w:ascii="Times New Roman" w:hAnsi="Times New Roman"/>
          <w:sz w:val="24"/>
          <w:szCs w:val="24"/>
        </w:rPr>
        <w:t>independent sample t-test and one-way ANOVA</w:t>
      </w:r>
      <w:r w:rsidR="00573791">
        <w:rPr>
          <w:rFonts w:ascii="Times New Roman" w:hAnsi="Times New Roman"/>
          <w:sz w:val="24"/>
          <w:szCs w:val="24"/>
        </w:rPr>
        <w:t xml:space="preserve"> showed </w:t>
      </w:r>
      <w:r w:rsidRPr="00700BAD">
        <w:rPr>
          <w:rFonts w:ascii="Times New Roman" w:hAnsi="Times New Roman"/>
          <w:sz w:val="24"/>
          <w:szCs w:val="24"/>
        </w:rPr>
        <w:t xml:space="preserve">that </w:t>
      </w:r>
      <w:r w:rsidR="00573791">
        <w:rPr>
          <w:rFonts w:ascii="Times New Roman" w:hAnsi="Times New Roman"/>
          <w:sz w:val="24"/>
          <w:szCs w:val="24"/>
        </w:rPr>
        <w:t>female</w:t>
      </w:r>
      <w:r w:rsidRPr="00700BAD">
        <w:rPr>
          <w:rFonts w:ascii="Times New Roman" w:hAnsi="Times New Roman"/>
          <w:sz w:val="24"/>
          <w:szCs w:val="24"/>
        </w:rPr>
        <w:t xml:space="preserve"> </w:t>
      </w:r>
      <w:r w:rsidR="00542932">
        <w:rPr>
          <w:rFonts w:ascii="Times New Roman" w:hAnsi="Times New Roman"/>
          <w:sz w:val="24"/>
          <w:szCs w:val="24"/>
        </w:rPr>
        <w:t xml:space="preserve">possess </w:t>
      </w:r>
      <w:r w:rsidRPr="00700BAD">
        <w:rPr>
          <w:rFonts w:ascii="Times New Roman" w:hAnsi="Times New Roman"/>
          <w:sz w:val="24"/>
          <w:szCs w:val="24"/>
        </w:rPr>
        <w:t xml:space="preserve">higher level of understanding of education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than </w:t>
      </w:r>
      <w:r w:rsidR="00573791">
        <w:rPr>
          <w:rFonts w:ascii="Times New Roman" w:hAnsi="Times New Roman"/>
          <w:sz w:val="24"/>
          <w:szCs w:val="24"/>
        </w:rPr>
        <w:t>male</w:t>
      </w:r>
      <w:r w:rsidRPr="00700BAD">
        <w:rPr>
          <w:rFonts w:ascii="Times New Roman" w:hAnsi="Times New Roman"/>
          <w:sz w:val="24"/>
          <w:szCs w:val="24"/>
        </w:rPr>
        <w:t>. Moreover, workers in</w:t>
      </w:r>
      <w:r w:rsidR="00951C2A">
        <w:rPr>
          <w:rFonts w:ascii="Times New Roman" w:hAnsi="Times New Roman"/>
          <w:sz w:val="24"/>
          <w:szCs w:val="24"/>
        </w:rPr>
        <w:t xml:space="preserve"> the government sector have better</w:t>
      </w:r>
      <w:r w:rsidRPr="00700BAD">
        <w:rPr>
          <w:rFonts w:ascii="Times New Roman" w:hAnsi="Times New Roman"/>
          <w:sz w:val="24"/>
          <w:szCs w:val="24"/>
        </w:rPr>
        <w:t xml:space="preserve"> understanding </w:t>
      </w:r>
      <w:r w:rsidR="00951C2A">
        <w:rPr>
          <w:rFonts w:ascii="Times New Roman" w:hAnsi="Times New Roman"/>
          <w:sz w:val="24"/>
          <w:szCs w:val="24"/>
        </w:rPr>
        <w:t>on</w:t>
      </w:r>
      <w:r w:rsidRPr="00700BAD">
        <w:rPr>
          <w:rFonts w:ascii="Times New Roman" w:hAnsi="Times New Roman"/>
          <w:sz w:val="24"/>
          <w:szCs w:val="24"/>
        </w:rPr>
        <w:t xml:space="preserve"> education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w:t>
      </w:r>
      <w:r w:rsidR="00951C2A">
        <w:rPr>
          <w:rFonts w:ascii="Times New Roman" w:hAnsi="Times New Roman"/>
          <w:sz w:val="24"/>
          <w:szCs w:val="24"/>
        </w:rPr>
        <w:t xml:space="preserve">as </w:t>
      </w:r>
      <w:r w:rsidRPr="00700BAD">
        <w:rPr>
          <w:rFonts w:ascii="Times New Roman" w:hAnsi="Times New Roman"/>
          <w:sz w:val="24"/>
          <w:szCs w:val="24"/>
        </w:rPr>
        <w:t xml:space="preserve">compared to self-employed and </w:t>
      </w:r>
      <w:r w:rsidR="00573791">
        <w:rPr>
          <w:rFonts w:ascii="Times New Roman" w:hAnsi="Times New Roman"/>
          <w:sz w:val="24"/>
          <w:szCs w:val="24"/>
        </w:rPr>
        <w:t>student</w:t>
      </w:r>
      <w:r w:rsidR="00F020E6">
        <w:rPr>
          <w:rFonts w:ascii="Times New Roman" w:hAnsi="Times New Roman"/>
          <w:sz w:val="24"/>
          <w:szCs w:val="24"/>
        </w:rPr>
        <w:t>s</w:t>
      </w:r>
      <w:r w:rsidRPr="00700BAD">
        <w:rPr>
          <w:rFonts w:ascii="Times New Roman" w:hAnsi="Times New Roman"/>
          <w:sz w:val="24"/>
          <w:szCs w:val="24"/>
        </w:rPr>
        <w:t>. However, the</w:t>
      </w:r>
      <w:r w:rsidR="00BF2852">
        <w:rPr>
          <w:rFonts w:ascii="Times New Roman" w:hAnsi="Times New Roman"/>
          <w:sz w:val="24"/>
          <w:szCs w:val="24"/>
        </w:rPr>
        <w:t xml:space="preserve">re </w:t>
      </w:r>
      <w:r w:rsidR="002E5AE3">
        <w:rPr>
          <w:rFonts w:ascii="Times New Roman" w:hAnsi="Times New Roman"/>
          <w:sz w:val="24"/>
          <w:szCs w:val="24"/>
        </w:rPr>
        <w:t>are no significant differences</w:t>
      </w:r>
      <w:r w:rsidR="00BF2852">
        <w:rPr>
          <w:rFonts w:ascii="Times New Roman" w:hAnsi="Times New Roman"/>
          <w:sz w:val="24"/>
          <w:szCs w:val="24"/>
        </w:rPr>
        <w:t xml:space="preserve"> on the</w:t>
      </w:r>
      <w:r w:rsidRPr="00700BAD">
        <w:rPr>
          <w:rFonts w:ascii="Times New Roman" w:hAnsi="Times New Roman"/>
          <w:sz w:val="24"/>
          <w:szCs w:val="24"/>
        </w:rPr>
        <w:t xml:space="preserve"> understanding of education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between government and private sector. </w:t>
      </w:r>
      <w:r w:rsidR="00681F73">
        <w:rPr>
          <w:rFonts w:ascii="Times New Roman" w:hAnsi="Times New Roman"/>
          <w:sz w:val="24"/>
          <w:szCs w:val="24"/>
        </w:rPr>
        <w:t>This study a</w:t>
      </w:r>
      <w:r w:rsidR="00630D8D">
        <w:rPr>
          <w:rFonts w:ascii="Times New Roman" w:hAnsi="Times New Roman"/>
          <w:sz w:val="24"/>
          <w:szCs w:val="24"/>
        </w:rPr>
        <w:t xml:space="preserve">lso found that those who have 1 to </w:t>
      </w:r>
      <w:r w:rsidR="00681F73">
        <w:rPr>
          <w:rFonts w:ascii="Times New Roman" w:hAnsi="Times New Roman"/>
          <w:sz w:val="24"/>
          <w:szCs w:val="24"/>
        </w:rPr>
        <w:t xml:space="preserve">3 children demonstrate higher </w:t>
      </w:r>
      <w:r w:rsidRPr="00700BAD">
        <w:rPr>
          <w:rFonts w:ascii="Times New Roman" w:hAnsi="Times New Roman"/>
          <w:sz w:val="24"/>
          <w:szCs w:val="24"/>
        </w:rPr>
        <w:t>und</w:t>
      </w:r>
      <w:r w:rsidR="00681F73">
        <w:rPr>
          <w:rFonts w:ascii="Times New Roman" w:hAnsi="Times New Roman"/>
          <w:sz w:val="24"/>
          <w:szCs w:val="24"/>
        </w:rPr>
        <w:t xml:space="preserve">erstanding of education </w:t>
      </w:r>
      <w:proofErr w:type="spellStart"/>
      <w:r w:rsidR="00681F73">
        <w:rPr>
          <w:rFonts w:ascii="Times New Roman" w:hAnsi="Times New Roman"/>
          <w:sz w:val="24"/>
          <w:szCs w:val="24"/>
        </w:rPr>
        <w:t>takaful</w:t>
      </w:r>
      <w:proofErr w:type="spellEnd"/>
      <w:r w:rsidR="00681F73">
        <w:rPr>
          <w:rFonts w:ascii="Times New Roman" w:hAnsi="Times New Roman"/>
          <w:sz w:val="24"/>
          <w:szCs w:val="24"/>
        </w:rPr>
        <w:t xml:space="preserve">. </w:t>
      </w:r>
      <w:r w:rsidR="004F1A37">
        <w:rPr>
          <w:rFonts w:ascii="Times New Roman" w:hAnsi="Times New Roman"/>
          <w:sz w:val="24"/>
          <w:szCs w:val="24"/>
        </w:rPr>
        <w:t xml:space="preserve">Overall, </w:t>
      </w:r>
      <w:r w:rsidRPr="00700BAD">
        <w:rPr>
          <w:rFonts w:ascii="Times New Roman" w:hAnsi="Times New Roman"/>
          <w:sz w:val="24"/>
          <w:szCs w:val="24"/>
        </w:rPr>
        <w:t xml:space="preserve">the employment sector and number of </w:t>
      </w:r>
      <w:r w:rsidR="00630D8D">
        <w:rPr>
          <w:rFonts w:ascii="Times New Roman" w:hAnsi="Times New Roman"/>
          <w:sz w:val="24"/>
          <w:szCs w:val="24"/>
        </w:rPr>
        <w:t>children</w:t>
      </w:r>
      <w:r w:rsidRPr="00700BAD">
        <w:rPr>
          <w:rFonts w:ascii="Times New Roman" w:hAnsi="Times New Roman"/>
          <w:sz w:val="24"/>
          <w:szCs w:val="24"/>
        </w:rPr>
        <w:t xml:space="preserve"> had a significant influence on the understanding of education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w:t>
      </w:r>
      <w:r w:rsidR="00AD24ED" w:rsidRPr="00700BAD">
        <w:rPr>
          <w:rFonts w:ascii="Times New Roman" w:hAnsi="Times New Roman"/>
          <w:sz w:val="24"/>
          <w:szCs w:val="24"/>
        </w:rPr>
        <w:t>T</w:t>
      </w:r>
      <w:r w:rsidRPr="00700BAD">
        <w:rPr>
          <w:rFonts w:ascii="Times New Roman" w:hAnsi="Times New Roman"/>
          <w:sz w:val="24"/>
          <w:szCs w:val="24"/>
        </w:rPr>
        <w:t>his study provide</w:t>
      </w:r>
      <w:r w:rsidR="00AD24ED">
        <w:rPr>
          <w:rFonts w:ascii="Times New Roman" w:hAnsi="Times New Roman"/>
          <w:sz w:val="24"/>
          <w:szCs w:val="24"/>
        </w:rPr>
        <w:t>s</w:t>
      </w:r>
      <w:r w:rsidRPr="00700BAD">
        <w:rPr>
          <w:rFonts w:ascii="Times New Roman" w:hAnsi="Times New Roman"/>
          <w:sz w:val="24"/>
          <w:szCs w:val="24"/>
        </w:rPr>
        <w:t xml:space="preserve"> a preliminary overview of the demographic factors affecting the understanding of education </w:t>
      </w:r>
      <w:proofErr w:type="spellStart"/>
      <w:r w:rsidRPr="00700BAD">
        <w:rPr>
          <w:rFonts w:ascii="Times New Roman" w:hAnsi="Times New Roman"/>
          <w:sz w:val="24"/>
          <w:szCs w:val="24"/>
        </w:rPr>
        <w:t>takaful</w:t>
      </w:r>
      <w:proofErr w:type="spellEnd"/>
      <w:r w:rsidR="003F522D">
        <w:rPr>
          <w:rFonts w:ascii="Times New Roman" w:hAnsi="Times New Roman"/>
          <w:sz w:val="24"/>
          <w:szCs w:val="24"/>
        </w:rPr>
        <w:t xml:space="preserve"> in Malaysia</w:t>
      </w:r>
      <w:r w:rsidR="00103E39">
        <w:rPr>
          <w:rFonts w:ascii="Times New Roman" w:hAnsi="Times New Roman"/>
          <w:sz w:val="24"/>
          <w:szCs w:val="24"/>
        </w:rPr>
        <w:t xml:space="preserve">, which can be used by the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industry to </w:t>
      </w:r>
      <w:proofErr w:type="gramStart"/>
      <w:r w:rsidRPr="00700BAD">
        <w:rPr>
          <w:rFonts w:ascii="Times New Roman" w:hAnsi="Times New Roman"/>
          <w:sz w:val="24"/>
          <w:szCs w:val="24"/>
        </w:rPr>
        <w:t>strengthen</w:t>
      </w:r>
      <w:proofErr w:type="gramEnd"/>
      <w:r w:rsidRPr="00700BAD">
        <w:rPr>
          <w:rFonts w:ascii="Times New Roman" w:hAnsi="Times New Roman"/>
          <w:sz w:val="24"/>
          <w:szCs w:val="24"/>
        </w:rPr>
        <w:t xml:space="preserve"> and manage their product development and marketing strategies</w:t>
      </w:r>
      <w:r w:rsidR="00103E39">
        <w:rPr>
          <w:rFonts w:ascii="Times New Roman" w:hAnsi="Times New Roman"/>
          <w:sz w:val="24"/>
          <w:szCs w:val="24"/>
        </w:rPr>
        <w:t xml:space="preserve">. It </w:t>
      </w:r>
      <w:r w:rsidR="003719AE">
        <w:rPr>
          <w:rFonts w:ascii="Times New Roman" w:hAnsi="Times New Roman"/>
          <w:sz w:val="24"/>
          <w:szCs w:val="24"/>
        </w:rPr>
        <w:t xml:space="preserve">subsequently </w:t>
      </w:r>
      <w:r w:rsidR="002E5AE3">
        <w:rPr>
          <w:rFonts w:ascii="Times New Roman" w:hAnsi="Times New Roman"/>
          <w:sz w:val="24"/>
          <w:szCs w:val="24"/>
        </w:rPr>
        <w:t>helps</w:t>
      </w:r>
      <w:r w:rsidR="003719AE">
        <w:rPr>
          <w:rFonts w:ascii="Times New Roman" w:hAnsi="Times New Roman"/>
          <w:sz w:val="24"/>
          <w:szCs w:val="24"/>
        </w:rPr>
        <w:t xml:space="preserve"> to achieve</w:t>
      </w:r>
      <w:r w:rsidRPr="00700BAD">
        <w:rPr>
          <w:rFonts w:ascii="Times New Roman" w:hAnsi="Times New Roman"/>
          <w:sz w:val="24"/>
          <w:szCs w:val="24"/>
        </w:rPr>
        <w:t xml:space="preserve"> the target population penetration rate of 25%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ownership by 2020. </w:t>
      </w:r>
      <w:r w:rsidR="00690B87" w:rsidRPr="007144ED">
        <w:rPr>
          <w:rFonts w:ascii="Times New Roman" w:hAnsi="Times New Roman"/>
          <w:b/>
          <w:bCs/>
          <w:sz w:val="24"/>
          <w:szCs w:val="24"/>
        </w:rPr>
        <w:t xml:space="preserve"> </w:t>
      </w:r>
    </w:p>
    <w:p w:rsidR="00700BAD" w:rsidRDefault="00700BAD" w:rsidP="00700BAD">
      <w:pPr>
        <w:pStyle w:val="NoSpacing"/>
        <w:jc w:val="both"/>
        <w:rPr>
          <w:rFonts w:ascii="Times New Roman" w:hAnsi="Times New Roman"/>
          <w:b/>
          <w:bCs/>
          <w:sz w:val="24"/>
          <w:szCs w:val="24"/>
        </w:rPr>
      </w:pPr>
    </w:p>
    <w:p w:rsidR="00690B87" w:rsidRPr="007144ED" w:rsidRDefault="00690B87" w:rsidP="00700BAD">
      <w:pPr>
        <w:pStyle w:val="NoSpacing"/>
        <w:jc w:val="both"/>
        <w:rPr>
          <w:rFonts w:ascii="Times New Roman" w:hAnsi="Times New Roman"/>
          <w:sz w:val="24"/>
          <w:szCs w:val="24"/>
        </w:rPr>
      </w:pPr>
      <w:r w:rsidRPr="007144ED">
        <w:rPr>
          <w:rFonts w:ascii="Times New Roman" w:hAnsi="Times New Roman"/>
          <w:b/>
          <w:bCs/>
          <w:sz w:val="24"/>
          <w:szCs w:val="24"/>
        </w:rPr>
        <w:t xml:space="preserve">Keywords: </w:t>
      </w:r>
      <w:r w:rsidR="00700BAD">
        <w:rPr>
          <w:rFonts w:ascii="Times New Roman" w:hAnsi="Times New Roman"/>
          <w:sz w:val="24"/>
          <w:szCs w:val="24"/>
        </w:rPr>
        <w:t>d</w:t>
      </w:r>
      <w:r w:rsidR="00700BAD" w:rsidRPr="00700BAD">
        <w:rPr>
          <w:rFonts w:ascii="Times New Roman" w:hAnsi="Times New Roman"/>
          <w:sz w:val="24"/>
          <w:szCs w:val="24"/>
        </w:rPr>
        <w:t>emographic</w:t>
      </w:r>
      <w:r w:rsidR="00700BAD">
        <w:rPr>
          <w:rFonts w:ascii="Times New Roman" w:hAnsi="Times New Roman"/>
          <w:sz w:val="24"/>
          <w:szCs w:val="24"/>
        </w:rPr>
        <w:t xml:space="preserve">, education, </w:t>
      </w:r>
      <w:r w:rsidR="00700BAD" w:rsidRPr="00700BAD">
        <w:rPr>
          <w:rFonts w:ascii="Times New Roman" w:hAnsi="Times New Roman"/>
          <w:sz w:val="24"/>
          <w:szCs w:val="24"/>
        </w:rPr>
        <w:t xml:space="preserve">risk, </w:t>
      </w:r>
      <w:proofErr w:type="spellStart"/>
      <w:r w:rsidR="00700BAD">
        <w:rPr>
          <w:rFonts w:ascii="Times New Roman" w:hAnsi="Times New Roman"/>
          <w:sz w:val="24"/>
          <w:szCs w:val="24"/>
        </w:rPr>
        <w:t>t</w:t>
      </w:r>
      <w:r w:rsidR="00700BAD" w:rsidRPr="00700BAD">
        <w:rPr>
          <w:rFonts w:ascii="Times New Roman" w:hAnsi="Times New Roman"/>
          <w:sz w:val="24"/>
          <w:szCs w:val="24"/>
        </w:rPr>
        <w:t>akaful</w:t>
      </w:r>
      <w:proofErr w:type="spellEnd"/>
      <w:r w:rsidR="00700BAD" w:rsidRPr="00700BAD">
        <w:rPr>
          <w:rFonts w:ascii="Times New Roman" w:hAnsi="Times New Roman"/>
          <w:sz w:val="24"/>
          <w:szCs w:val="24"/>
        </w:rPr>
        <w:t xml:space="preserve">, </w:t>
      </w:r>
      <w:r w:rsidR="00700BAD">
        <w:rPr>
          <w:rFonts w:ascii="Times New Roman" w:hAnsi="Times New Roman"/>
          <w:sz w:val="24"/>
          <w:szCs w:val="24"/>
        </w:rPr>
        <w:t>understanding</w:t>
      </w:r>
    </w:p>
    <w:p w:rsidR="00D41152" w:rsidRDefault="00D41152" w:rsidP="00D9735B">
      <w:pPr>
        <w:pStyle w:val="NoSpacing"/>
        <w:jc w:val="both"/>
        <w:rPr>
          <w:rFonts w:ascii="Times New Roman" w:hAnsi="Times New Roman"/>
          <w:b/>
          <w:sz w:val="24"/>
          <w:szCs w:val="24"/>
        </w:rPr>
      </w:pPr>
    </w:p>
    <w:p w:rsidR="00D41152" w:rsidRDefault="00D41152" w:rsidP="00D9735B">
      <w:pPr>
        <w:pStyle w:val="NoSpacing"/>
        <w:jc w:val="both"/>
        <w:rPr>
          <w:rFonts w:ascii="Times New Roman" w:hAnsi="Times New Roman"/>
          <w:b/>
          <w:sz w:val="24"/>
          <w:szCs w:val="24"/>
        </w:rPr>
      </w:pPr>
    </w:p>
    <w:p w:rsidR="00690B87" w:rsidRPr="00D41152" w:rsidRDefault="00B328AF" w:rsidP="00D9735B">
      <w:pPr>
        <w:pStyle w:val="NoSpacing"/>
        <w:jc w:val="both"/>
        <w:rPr>
          <w:rFonts w:ascii="Times New Roman" w:hAnsi="Times New Roman"/>
          <w:b/>
          <w:sz w:val="24"/>
          <w:szCs w:val="24"/>
        </w:rPr>
      </w:pPr>
      <w:r>
        <w:rPr>
          <w:rFonts w:ascii="Times New Roman" w:hAnsi="Times New Roman"/>
          <w:b/>
          <w:bCs/>
          <w:sz w:val="24"/>
          <w:szCs w:val="24"/>
        </w:rPr>
        <w:t>Introduction</w:t>
      </w:r>
      <w:r w:rsidR="00690B87" w:rsidRPr="007144ED">
        <w:rPr>
          <w:rFonts w:ascii="Times New Roman" w:hAnsi="Times New Roman"/>
          <w:b/>
          <w:bCs/>
          <w:sz w:val="24"/>
          <w:szCs w:val="24"/>
        </w:rPr>
        <w:t xml:space="preserve"> </w:t>
      </w:r>
    </w:p>
    <w:p w:rsidR="00690B87" w:rsidRPr="007144ED" w:rsidRDefault="00690B87" w:rsidP="00D9735B">
      <w:pPr>
        <w:pStyle w:val="NoSpacing"/>
        <w:jc w:val="both"/>
        <w:rPr>
          <w:rFonts w:ascii="Times New Roman" w:hAnsi="Times New Roman"/>
          <w:b/>
          <w:sz w:val="24"/>
          <w:szCs w:val="24"/>
        </w:rPr>
      </w:pPr>
    </w:p>
    <w:p w:rsidR="00700BAD" w:rsidRPr="00700BAD" w:rsidRDefault="00700BAD" w:rsidP="00700BAD">
      <w:pPr>
        <w:pStyle w:val="NoSpacing"/>
        <w:jc w:val="both"/>
        <w:rPr>
          <w:rFonts w:ascii="Times New Roman" w:hAnsi="Times New Roman"/>
          <w:sz w:val="24"/>
          <w:szCs w:val="24"/>
        </w:rPr>
      </w:pPr>
      <w:r w:rsidRPr="00700BAD">
        <w:rPr>
          <w:rFonts w:ascii="Times New Roman" w:hAnsi="Times New Roman"/>
          <w:sz w:val="24"/>
          <w:szCs w:val="24"/>
        </w:rPr>
        <w:t>Higher</w:t>
      </w:r>
      <w:r w:rsidR="006C629E">
        <w:rPr>
          <w:rFonts w:ascii="Times New Roman" w:hAnsi="Times New Roman"/>
          <w:sz w:val="24"/>
          <w:szCs w:val="24"/>
        </w:rPr>
        <w:t xml:space="preserve"> </w:t>
      </w:r>
      <w:r w:rsidR="006C629E" w:rsidRPr="00700BAD">
        <w:rPr>
          <w:rFonts w:ascii="Times New Roman" w:hAnsi="Times New Roman"/>
          <w:sz w:val="24"/>
          <w:szCs w:val="24"/>
        </w:rPr>
        <w:t>education</w:t>
      </w:r>
      <w:r w:rsidRPr="00700BAD">
        <w:rPr>
          <w:rFonts w:ascii="Times New Roman" w:hAnsi="Times New Roman"/>
          <w:sz w:val="24"/>
          <w:szCs w:val="24"/>
        </w:rPr>
        <w:t xml:space="preserve"> is important for any individual</w:t>
      </w:r>
      <w:r w:rsidR="00064518">
        <w:rPr>
          <w:rFonts w:ascii="Times New Roman" w:hAnsi="Times New Roman"/>
          <w:sz w:val="24"/>
          <w:szCs w:val="24"/>
        </w:rPr>
        <w:t xml:space="preserve"> and </w:t>
      </w:r>
      <w:r w:rsidRPr="00700BAD">
        <w:rPr>
          <w:rFonts w:ascii="Times New Roman" w:hAnsi="Times New Roman"/>
          <w:sz w:val="24"/>
          <w:szCs w:val="24"/>
        </w:rPr>
        <w:t xml:space="preserve">often </w:t>
      </w:r>
      <w:r w:rsidR="00064518">
        <w:rPr>
          <w:rFonts w:ascii="Times New Roman" w:hAnsi="Times New Roman"/>
          <w:sz w:val="24"/>
          <w:szCs w:val="24"/>
        </w:rPr>
        <w:t>view</w:t>
      </w:r>
      <w:r w:rsidRPr="00700BAD">
        <w:rPr>
          <w:rFonts w:ascii="Times New Roman" w:hAnsi="Times New Roman"/>
          <w:sz w:val="24"/>
          <w:szCs w:val="24"/>
        </w:rPr>
        <w:t>ed as a stepping stone to secure better employ</w:t>
      </w:r>
      <w:r w:rsidR="00455D06">
        <w:rPr>
          <w:rFonts w:ascii="Times New Roman" w:hAnsi="Times New Roman"/>
          <w:sz w:val="24"/>
          <w:szCs w:val="24"/>
        </w:rPr>
        <w:t xml:space="preserve">ment in the future. However, </w:t>
      </w:r>
      <w:r w:rsidR="00831822">
        <w:rPr>
          <w:rFonts w:ascii="Times New Roman" w:hAnsi="Times New Roman"/>
          <w:sz w:val="24"/>
          <w:szCs w:val="24"/>
        </w:rPr>
        <w:t>the</w:t>
      </w:r>
      <w:r w:rsidR="00223C79">
        <w:rPr>
          <w:rFonts w:ascii="Times New Roman" w:hAnsi="Times New Roman"/>
          <w:sz w:val="24"/>
          <w:szCs w:val="24"/>
        </w:rPr>
        <w:t xml:space="preserve"> cost of higher</w:t>
      </w:r>
      <w:r w:rsidR="00831822">
        <w:rPr>
          <w:rFonts w:ascii="Times New Roman" w:hAnsi="Times New Roman"/>
          <w:sz w:val="24"/>
          <w:szCs w:val="24"/>
        </w:rPr>
        <w:t xml:space="preserve"> </w:t>
      </w:r>
      <w:r w:rsidR="00831822" w:rsidRPr="00700BAD">
        <w:rPr>
          <w:rFonts w:ascii="Times New Roman" w:hAnsi="Times New Roman"/>
          <w:sz w:val="24"/>
          <w:szCs w:val="24"/>
        </w:rPr>
        <w:t xml:space="preserve">education in </w:t>
      </w:r>
      <w:r w:rsidR="00831822">
        <w:rPr>
          <w:rFonts w:ascii="Times New Roman" w:hAnsi="Times New Roman"/>
          <w:sz w:val="24"/>
          <w:szCs w:val="24"/>
        </w:rPr>
        <w:t>Malaysia is</w:t>
      </w:r>
      <w:r w:rsidR="00831822" w:rsidRPr="00700BAD">
        <w:rPr>
          <w:rFonts w:ascii="Times New Roman" w:hAnsi="Times New Roman"/>
          <w:sz w:val="24"/>
          <w:szCs w:val="24"/>
        </w:rPr>
        <w:t xml:space="preserve"> getting expensive</w:t>
      </w:r>
      <w:r w:rsidR="00831822">
        <w:rPr>
          <w:rFonts w:ascii="Times New Roman" w:hAnsi="Times New Roman"/>
          <w:sz w:val="24"/>
          <w:szCs w:val="24"/>
        </w:rPr>
        <w:t xml:space="preserve"> (</w:t>
      </w:r>
      <w:proofErr w:type="spellStart"/>
      <w:r w:rsidR="00831822">
        <w:rPr>
          <w:rFonts w:ascii="Times New Roman" w:hAnsi="Times New Roman"/>
          <w:sz w:val="24"/>
          <w:szCs w:val="24"/>
        </w:rPr>
        <w:t>Morshidi</w:t>
      </w:r>
      <w:proofErr w:type="spellEnd"/>
      <w:r w:rsidR="00831822">
        <w:rPr>
          <w:rFonts w:ascii="Times New Roman" w:hAnsi="Times New Roman"/>
          <w:sz w:val="24"/>
          <w:szCs w:val="24"/>
        </w:rPr>
        <w:t xml:space="preserve"> </w:t>
      </w:r>
      <w:proofErr w:type="spellStart"/>
      <w:r w:rsidR="00831822">
        <w:rPr>
          <w:rFonts w:ascii="Times New Roman" w:hAnsi="Times New Roman"/>
          <w:sz w:val="24"/>
          <w:szCs w:val="24"/>
        </w:rPr>
        <w:t>Sirat</w:t>
      </w:r>
      <w:proofErr w:type="spellEnd"/>
      <w:r w:rsidR="00831822">
        <w:rPr>
          <w:rFonts w:ascii="Times New Roman" w:hAnsi="Times New Roman"/>
          <w:sz w:val="24"/>
          <w:szCs w:val="24"/>
        </w:rPr>
        <w:t xml:space="preserve">, </w:t>
      </w:r>
      <w:r w:rsidR="00831822" w:rsidRPr="00700BAD">
        <w:rPr>
          <w:rFonts w:ascii="Times New Roman" w:hAnsi="Times New Roman"/>
          <w:sz w:val="24"/>
          <w:szCs w:val="24"/>
        </w:rPr>
        <w:t>2018)</w:t>
      </w:r>
      <w:r w:rsidR="00831822">
        <w:rPr>
          <w:rFonts w:ascii="Times New Roman" w:hAnsi="Times New Roman"/>
          <w:sz w:val="24"/>
          <w:szCs w:val="24"/>
        </w:rPr>
        <w:t xml:space="preserve"> and can reach </w:t>
      </w:r>
      <w:r w:rsidR="00831822" w:rsidRPr="00700BAD">
        <w:rPr>
          <w:rFonts w:ascii="Times New Roman" w:hAnsi="Times New Roman"/>
          <w:sz w:val="24"/>
          <w:szCs w:val="24"/>
        </w:rPr>
        <w:t>hundreds of thousands of Malaysian Ringgit</w:t>
      </w:r>
      <w:r w:rsidR="00831822">
        <w:rPr>
          <w:rFonts w:ascii="Times New Roman" w:hAnsi="Times New Roman"/>
          <w:sz w:val="24"/>
          <w:szCs w:val="24"/>
        </w:rPr>
        <w:t xml:space="preserve"> (</w:t>
      </w:r>
      <w:proofErr w:type="spellStart"/>
      <w:r w:rsidR="00831822">
        <w:rPr>
          <w:rFonts w:ascii="Times New Roman" w:hAnsi="Times New Roman"/>
          <w:sz w:val="24"/>
          <w:szCs w:val="24"/>
        </w:rPr>
        <w:t>Zulita</w:t>
      </w:r>
      <w:proofErr w:type="spellEnd"/>
      <w:r w:rsidR="00831822">
        <w:rPr>
          <w:rFonts w:ascii="Times New Roman" w:hAnsi="Times New Roman"/>
          <w:sz w:val="24"/>
          <w:szCs w:val="24"/>
        </w:rPr>
        <w:t xml:space="preserve"> Mustafa, </w:t>
      </w:r>
      <w:r w:rsidR="00831822" w:rsidRPr="00700BAD">
        <w:rPr>
          <w:rFonts w:ascii="Times New Roman" w:hAnsi="Times New Roman"/>
          <w:sz w:val="24"/>
          <w:szCs w:val="24"/>
        </w:rPr>
        <w:t>2017).</w:t>
      </w:r>
      <w:r w:rsidR="00831822">
        <w:rPr>
          <w:rFonts w:ascii="Times New Roman" w:hAnsi="Times New Roman"/>
          <w:sz w:val="24"/>
          <w:szCs w:val="24"/>
        </w:rPr>
        <w:t xml:space="preserve"> This situation </w:t>
      </w:r>
      <w:r w:rsidR="00925483">
        <w:rPr>
          <w:rFonts w:ascii="Times New Roman" w:hAnsi="Times New Roman"/>
          <w:sz w:val="24"/>
          <w:szCs w:val="24"/>
        </w:rPr>
        <w:t>had</w:t>
      </w:r>
      <w:r w:rsidRPr="00700BAD">
        <w:rPr>
          <w:rFonts w:ascii="Times New Roman" w:hAnsi="Times New Roman"/>
          <w:sz w:val="24"/>
          <w:szCs w:val="24"/>
        </w:rPr>
        <w:t xml:space="preserve"> left many parents facing the problem </w:t>
      </w:r>
      <w:r w:rsidR="007B0014">
        <w:rPr>
          <w:rFonts w:ascii="Times New Roman" w:hAnsi="Times New Roman"/>
          <w:sz w:val="24"/>
          <w:szCs w:val="24"/>
        </w:rPr>
        <w:t>in raising sufficient tertiary education fund for t</w:t>
      </w:r>
      <w:r w:rsidR="0019726B">
        <w:rPr>
          <w:rFonts w:ascii="Times New Roman" w:hAnsi="Times New Roman"/>
          <w:sz w:val="24"/>
          <w:szCs w:val="24"/>
        </w:rPr>
        <w:t>heir children</w:t>
      </w:r>
      <w:r w:rsidR="00925483">
        <w:rPr>
          <w:rFonts w:ascii="Times New Roman" w:hAnsi="Times New Roman"/>
          <w:sz w:val="24"/>
          <w:szCs w:val="24"/>
        </w:rPr>
        <w:t>.</w:t>
      </w:r>
      <w:r w:rsidR="00893A3C">
        <w:rPr>
          <w:rFonts w:ascii="Times New Roman" w:hAnsi="Times New Roman"/>
          <w:sz w:val="24"/>
          <w:szCs w:val="24"/>
        </w:rPr>
        <w:t xml:space="preserve"> The driving </w:t>
      </w:r>
      <w:r w:rsidR="002E5AE3">
        <w:rPr>
          <w:rFonts w:ascii="Times New Roman" w:hAnsi="Times New Roman"/>
          <w:sz w:val="24"/>
          <w:szCs w:val="24"/>
        </w:rPr>
        <w:t xml:space="preserve">factors for this </w:t>
      </w:r>
      <w:r w:rsidR="002E5AE3" w:rsidRPr="00700BAD">
        <w:rPr>
          <w:rFonts w:ascii="Times New Roman" w:hAnsi="Times New Roman"/>
          <w:sz w:val="24"/>
          <w:szCs w:val="24"/>
        </w:rPr>
        <w:t xml:space="preserve">problem </w:t>
      </w:r>
      <w:r w:rsidR="002E5AE3">
        <w:rPr>
          <w:rFonts w:ascii="Times New Roman" w:hAnsi="Times New Roman"/>
          <w:sz w:val="24"/>
          <w:szCs w:val="24"/>
        </w:rPr>
        <w:t>include</w:t>
      </w:r>
      <w:r w:rsidR="00C244D5">
        <w:rPr>
          <w:rFonts w:ascii="Times New Roman" w:hAnsi="Times New Roman"/>
          <w:sz w:val="24"/>
          <w:szCs w:val="24"/>
        </w:rPr>
        <w:t xml:space="preserve"> </w:t>
      </w:r>
      <w:r w:rsidR="00893A3C">
        <w:rPr>
          <w:rFonts w:ascii="Times New Roman" w:hAnsi="Times New Roman"/>
          <w:sz w:val="24"/>
          <w:szCs w:val="24"/>
        </w:rPr>
        <w:lastRenderedPageBreak/>
        <w:t>the</w:t>
      </w:r>
      <w:r w:rsidR="00925483" w:rsidRPr="00700BAD">
        <w:rPr>
          <w:rFonts w:ascii="Times New Roman" w:hAnsi="Times New Roman"/>
          <w:sz w:val="24"/>
          <w:szCs w:val="24"/>
        </w:rPr>
        <w:t xml:space="preserve"> rising cost of living, increase in the </w:t>
      </w:r>
      <w:r w:rsidR="00C244D5">
        <w:rPr>
          <w:rFonts w:ascii="Times New Roman" w:hAnsi="Times New Roman"/>
          <w:sz w:val="24"/>
          <w:szCs w:val="24"/>
        </w:rPr>
        <w:t xml:space="preserve">education </w:t>
      </w:r>
      <w:r w:rsidR="00925483" w:rsidRPr="00700BAD">
        <w:rPr>
          <w:rFonts w:ascii="Times New Roman" w:hAnsi="Times New Roman"/>
          <w:sz w:val="24"/>
          <w:szCs w:val="24"/>
        </w:rPr>
        <w:t>cost and the declining</w:t>
      </w:r>
      <w:r w:rsidR="00C244D5">
        <w:rPr>
          <w:rFonts w:ascii="Times New Roman" w:hAnsi="Times New Roman"/>
          <w:sz w:val="24"/>
          <w:szCs w:val="24"/>
        </w:rPr>
        <w:t xml:space="preserve"> offering of</w:t>
      </w:r>
      <w:r w:rsidR="00925483" w:rsidRPr="00700BAD">
        <w:rPr>
          <w:rFonts w:ascii="Times New Roman" w:hAnsi="Times New Roman"/>
          <w:sz w:val="24"/>
          <w:szCs w:val="24"/>
        </w:rPr>
        <w:t xml:space="preserve"> government scholarship. </w:t>
      </w:r>
      <w:r w:rsidRPr="00700BAD">
        <w:rPr>
          <w:rFonts w:ascii="Times New Roman" w:hAnsi="Times New Roman"/>
          <w:sz w:val="24"/>
          <w:szCs w:val="24"/>
        </w:rPr>
        <w:t xml:space="preserve">Another factor of insufficient funding of children's education </w:t>
      </w:r>
      <w:r w:rsidR="00AF0615">
        <w:rPr>
          <w:rFonts w:ascii="Times New Roman" w:hAnsi="Times New Roman"/>
          <w:sz w:val="24"/>
          <w:szCs w:val="24"/>
        </w:rPr>
        <w:t xml:space="preserve">is the contingent </w:t>
      </w:r>
      <w:r w:rsidR="00D90FE3">
        <w:rPr>
          <w:rFonts w:ascii="Times New Roman" w:hAnsi="Times New Roman"/>
          <w:sz w:val="24"/>
          <w:szCs w:val="24"/>
        </w:rPr>
        <w:t xml:space="preserve">risks </w:t>
      </w:r>
      <w:r w:rsidR="00AF0615">
        <w:rPr>
          <w:rFonts w:ascii="Times New Roman" w:hAnsi="Times New Roman"/>
          <w:sz w:val="24"/>
          <w:szCs w:val="24"/>
        </w:rPr>
        <w:t xml:space="preserve">such as </w:t>
      </w:r>
      <w:r w:rsidR="00AF0615" w:rsidRPr="00700BAD">
        <w:rPr>
          <w:rFonts w:ascii="Times New Roman" w:hAnsi="Times New Roman"/>
          <w:sz w:val="24"/>
          <w:szCs w:val="24"/>
        </w:rPr>
        <w:t>pre-mature death, disability, and critical illness</w:t>
      </w:r>
      <w:r w:rsidR="00AF0615">
        <w:rPr>
          <w:rFonts w:ascii="Times New Roman" w:hAnsi="Times New Roman"/>
          <w:sz w:val="24"/>
          <w:szCs w:val="24"/>
        </w:rPr>
        <w:t xml:space="preserve"> that may</w:t>
      </w:r>
      <w:r w:rsidRPr="00700BAD">
        <w:rPr>
          <w:rFonts w:ascii="Times New Roman" w:hAnsi="Times New Roman"/>
          <w:sz w:val="24"/>
          <w:szCs w:val="24"/>
        </w:rPr>
        <w:t xml:space="preserve"> </w:t>
      </w:r>
      <w:r w:rsidR="00AF0615">
        <w:rPr>
          <w:rFonts w:ascii="Times New Roman" w:hAnsi="Times New Roman"/>
          <w:sz w:val="24"/>
          <w:szCs w:val="24"/>
        </w:rPr>
        <w:t xml:space="preserve">befall </w:t>
      </w:r>
      <w:r w:rsidR="00E1278D">
        <w:rPr>
          <w:rFonts w:ascii="Times New Roman" w:hAnsi="Times New Roman"/>
          <w:sz w:val="24"/>
          <w:szCs w:val="24"/>
        </w:rPr>
        <w:t xml:space="preserve">their </w:t>
      </w:r>
      <w:r w:rsidR="00AF0615">
        <w:rPr>
          <w:rFonts w:ascii="Times New Roman" w:hAnsi="Times New Roman"/>
          <w:sz w:val="24"/>
          <w:szCs w:val="24"/>
        </w:rPr>
        <w:t xml:space="preserve">parents. </w:t>
      </w:r>
      <w:r w:rsidR="00D90FE3">
        <w:rPr>
          <w:rFonts w:ascii="Times New Roman" w:hAnsi="Times New Roman"/>
          <w:sz w:val="24"/>
          <w:szCs w:val="24"/>
        </w:rPr>
        <w:t>T</w:t>
      </w:r>
      <w:r w:rsidRPr="00700BAD">
        <w:rPr>
          <w:rFonts w:ascii="Times New Roman" w:hAnsi="Times New Roman"/>
          <w:sz w:val="24"/>
          <w:szCs w:val="24"/>
        </w:rPr>
        <w:t xml:space="preserve">hese risks disrupt the financial sustainability of a family when unforeseen events occur, especially to the breadwinner. </w:t>
      </w:r>
      <w:r w:rsidR="00E1278D">
        <w:rPr>
          <w:rFonts w:ascii="Times New Roman" w:hAnsi="Times New Roman"/>
          <w:sz w:val="24"/>
          <w:szCs w:val="24"/>
        </w:rPr>
        <w:t>A</w:t>
      </w:r>
      <w:r w:rsidR="00D90FE3">
        <w:rPr>
          <w:rFonts w:ascii="Times New Roman" w:hAnsi="Times New Roman"/>
          <w:sz w:val="24"/>
          <w:szCs w:val="24"/>
        </w:rPr>
        <w:t xml:space="preserve">ny saving that been made will be adversely affected </w:t>
      </w:r>
      <w:r w:rsidRPr="00700BAD">
        <w:rPr>
          <w:rFonts w:ascii="Times New Roman" w:hAnsi="Times New Roman"/>
          <w:sz w:val="24"/>
          <w:szCs w:val="24"/>
        </w:rPr>
        <w:t xml:space="preserve">if the breadwinner of the family suddenly passed away, become disable or afflicted with critical illnesses. As a result, the </w:t>
      </w:r>
      <w:r w:rsidR="00B2782F">
        <w:rPr>
          <w:rFonts w:ascii="Times New Roman" w:hAnsi="Times New Roman"/>
          <w:sz w:val="24"/>
          <w:szCs w:val="24"/>
        </w:rPr>
        <w:t xml:space="preserve">spouse </w:t>
      </w:r>
      <w:r w:rsidRPr="00700BAD">
        <w:rPr>
          <w:rFonts w:ascii="Times New Roman" w:hAnsi="Times New Roman"/>
          <w:sz w:val="24"/>
          <w:szCs w:val="24"/>
        </w:rPr>
        <w:t xml:space="preserve">and children left behind </w:t>
      </w:r>
      <w:r w:rsidR="00B2782F">
        <w:rPr>
          <w:rFonts w:ascii="Times New Roman" w:hAnsi="Times New Roman"/>
          <w:sz w:val="24"/>
          <w:szCs w:val="24"/>
        </w:rPr>
        <w:t xml:space="preserve">will </w:t>
      </w:r>
      <w:r w:rsidR="00D67C8B">
        <w:rPr>
          <w:rFonts w:ascii="Times New Roman" w:hAnsi="Times New Roman"/>
          <w:sz w:val="24"/>
          <w:szCs w:val="24"/>
        </w:rPr>
        <w:t>highly expose to the risk of insufficient fund for living and lead to severe financ</w:t>
      </w:r>
      <w:r w:rsidRPr="00700BAD">
        <w:rPr>
          <w:rFonts w:ascii="Times New Roman" w:hAnsi="Times New Roman"/>
          <w:sz w:val="24"/>
          <w:szCs w:val="24"/>
        </w:rPr>
        <w:t xml:space="preserve">ial difficulties. </w:t>
      </w:r>
      <w:r w:rsidR="001F53C9">
        <w:rPr>
          <w:rFonts w:ascii="Times New Roman" w:hAnsi="Times New Roman"/>
          <w:sz w:val="24"/>
          <w:szCs w:val="24"/>
        </w:rPr>
        <w:t xml:space="preserve">Consequently, </w:t>
      </w:r>
      <w:r w:rsidRPr="00700BAD">
        <w:rPr>
          <w:rFonts w:ascii="Times New Roman" w:hAnsi="Times New Roman"/>
          <w:sz w:val="24"/>
          <w:szCs w:val="24"/>
        </w:rPr>
        <w:t xml:space="preserve">the education funds for the children to pursue higher education will be </w:t>
      </w:r>
      <w:r w:rsidR="001F53C9">
        <w:rPr>
          <w:rFonts w:ascii="Times New Roman" w:hAnsi="Times New Roman"/>
          <w:sz w:val="24"/>
          <w:szCs w:val="24"/>
        </w:rPr>
        <w:t xml:space="preserve">also </w:t>
      </w:r>
      <w:r w:rsidRPr="00700BAD">
        <w:rPr>
          <w:rFonts w:ascii="Times New Roman" w:hAnsi="Times New Roman"/>
          <w:sz w:val="24"/>
          <w:szCs w:val="24"/>
        </w:rPr>
        <w:t>affected.</w:t>
      </w:r>
    </w:p>
    <w:p w:rsidR="00690B87" w:rsidRDefault="00700BAD" w:rsidP="00A61455">
      <w:pPr>
        <w:pStyle w:val="NoSpacing"/>
        <w:ind w:firstLine="360"/>
        <w:jc w:val="both"/>
        <w:rPr>
          <w:rFonts w:ascii="Times New Roman" w:hAnsi="Times New Roman"/>
          <w:b/>
          <w:bCs/>
          <w:sz w:val="24"/>
          <w:szCs w:val="24"/>
        </w:rPr>
      </w:pPr>
      <w:r w:rsidRPr="00700BAD">
        <w:rPr>
          <w:rFonts w:ascii="Times New Roman" w:hAnsi="Times New Roman"/>
          <w:sz w:val="24"/>
          <w:szCs w:val="24"/>
        </w:rPr>
        <w:t xml:space="preserve">Therefore, these contingent risks </w:t>
      </w:r>
      <w:r w:rsidR="00F315B4">
        <w:rPr>
          <w:rFonts w:ascii="Times New Roman" w:hAnsi="Times New Roman"/>
          <w:sz w:val="24"/>
          <w:szCs w:val="24"/>
        </w:rPr>
        <w:t>must</w:t>
      </w:r>
      <w:r w:rsidRPr="00700BAD">
        <w:rPr>
          <w:rFonts w:ascii="Times New Roman" w:hAnsi="Times New Roman"/>
          <w:sz w:val="24"/>
          <w:szCs w:val="24"/>
        </w:rPr>
        <w:t xml:space="preserve"> be managed accordingly to minimize </w:t>
      </w:r>
      <w:r w:rsidR="00F315B4">
        <w:rPr>
          <w:rFonts w:ascii="Times New Roman" w:hAnsi="Times New Roman"/>
          <w:sz w:val="24"/>
          <w:szCs w:val="24"/>
        </w:rPr>
        <w:t>the</w:t>
      </w:r>
      <w:r w:rsidRPr="00700BAD">
        <w:rPr>
          <w:rFonts w:ascii="Times New Roman" w:hAnsi="Times New Roman"/>
          <w:sz w:val="24"/>
          <w:szCs w:val="24"/>
        </w:rPr>
        <w:t xml:space="preserve"> negative impact. One of the systematic methods </w:t>
      </w:r>
      <w:r w:rsidR="00F315B4">
        <w:rPr>
          <w:rFonts w:ascii="Times New Roman" w:hAnsi="Times New Roman"/>
          <w:sz w:val="24"/>
          <w:szCs w:val="24"/>
        </w:rPr>
        <w:t xml:space="preserve">is </w:t>
      </w:r>
      <w:r w:rsidRPr="00700BAD">
        <w:rPr>
          <w:rFonts w:ascii="Times New Roman" w:hAnsi="Times New Roman"/>
          <w:sz w:val="24"/>
          <w:szCs w:val="24"/>
        </w:rPr>
        <w:t xml:space="preserve">the purchase of education </w:t>
      </w:r>
      <w:proofErr w:type="spellStart"/>
      <w:r w:rsidRPr="00700BAD">
        <w:rPr>
          <w:rFonts w:ascii="Times New Roman" w:hAnsi="Times New Roman"/>
          <w:sz w:val="24"/>
          <w:szCs w:val="24"/>
        </w:rPr>
        <w:t>taka</w:t>
      </w:r>
      <w:r w:rsidR="00FB7730">
        <w:rPr>
          <w:rFonts w:ascii="Times New Roman" w:hAnsi="Times New Roman"/>
          <w:sz w:val="24"/>
          <w:szCs w:val="24"/>
        </w:rPr>
        <w:t>ful</w:t>
      </w:r>
      <w:proofErr w:type="spellEnd"/>
      <w:r w:rsidR="00FB7730">
        <w:rPr>
          <w:rFonts w:ascii="Times New Roman" w:hAnsi="Times New Roman"/>
          <w:sz w:val="24"/>
          <w:szCs w:val="24"/>
        </w:rPr>
        <w:t xml:space="preserve"> (Islamic insurance) plan</w:t>
      </w:r>
      <w:r w:rsidRPr="00700BAD">
        <w:rPr>
          <w:rFonts w:ascii="Times New Roman" w:hAnsi="Times New Roman"/>
          <w:sz w:val="24"/>
          <w:szCs w:val="24"/>
        </w:rPr>
        <w:t xml:space="preserve">. In particular, education </w:t>
      </w:r>
      <w:proofErr w:type="spellStart"/>
      <w:r w:rsidRPr="00700BAD">
        <w:rPr>
          <w:rFonts w:ascii="Times New Roman" w:hAnsi="Times New Roman"/>
          <w:sz w:val="24"/>
          <w:szCs w:val="24"/>
        </w:rPr>
        <w:t>takafu</w:t>
      </w:r>
      <w:r w:rsidR="00FB7730">
        <w:rPr>
          <w:rFonts w:ascii="Times New Roman" w:hAnsi="Times New Roman"/>
          <w:sz w:val="24"/>
          <w:szCs w:val="24"/>
        </w:rPr>
        <w:t>l</w:t>
      </w:r>
      <w:proofErr w:type="spellEnd"/>
      <w:r w:rsidR="00FB7730">
        <w:rPr>
          <w:rFonts w:ascii="Times New Roman" w:hAnsi="Times New Roman"/>
          <w:sz w:val="24"/>
          <w:szCs w:val="24"/>
        </w:rPr>
        <w:t xml:space="preserve"> plan</w:t>
      </w:r>
      <w:r w:rsidRPr="00700BAD">
        <w:rPr>
          <w:rFonts w:ascii="Times New Roman" w:hAnsi="Times New Roman"/>
          <w:sz w:val="24"/>
          <w:szCs w:val="24"/>
        </w:rPr>
        <w:t xml:space="preserve"> provide</w:t>
      </w:r>
      <w:r w:rsidR="00E1278D">
        <w:rPr>
          <w:rFonts w:ascii="Times New Roman" w:hAnsi="Times New Roman"/>
          <w:sz w:val="24"/>
          <w:szCs w:val="24"/>
        </w:rPr>
        <w:t>s education funds</w:t>
      </w:r>
      <w:r w:rsidRPr="00700BAD">
        <w:rPr>
          <w:rFonts w:ascii="Times New Roman" w:hAnsi="Times New Roman"/>
          <w:sz w:val="24"/>
          <w:szCs w:val="24"/>
        </w:rPr>
        <w:t xml:space="preserve"> and </w:t>
      </w:r>
      <w:r w:rsidR="005E22FF">
        <w:rPr>
          <w:rFonts w:ascii="Times New Roman" w:hAnsi="Times New Roman"/>
          <w:sz w:val="24"/>
          <w:szCs w:val="24"/>
        </w:rPr>
        <w:t>p</w:t>
      </w:r>
      <w:r w:rsidRPr="00700BAD">
        <w:rPr>
          <w:rFonts w:ascii="Times New Roman" w:hAnsi="Times New Roman"/>
          <w:sz w:val="24"/>
          <w:szCs w:val="24"/>
        </w:rPr>
        <w:t>rotection against pre-mature death, disability and critical illness</w:t>
      </w:r>
      <w:r w:rsidR="005E22FF">
        <w:rPr>
          <w:rFonts w:ascii="Times New Roman" w:hAnsi="Times New Roman"/>
          <w:sz w:val="24"/>
          <w:szCs w:val="24"/>
        </w:rPr>
        <w:t xml:space="preserve">. </w:t>
      </w:r>
      <w:r w:rsidRPr="00700BAD">
        <w:rPr>
          <w:rFonts w:ascii="Times New Roman" w:hAnsi="Times New Roman"/>
          <w:sz w:val="24"/>
          <w:szCs w:val="24"/>
        </w:rPr>
        <w:t xml:space="preserve">In Malaysia, there are several education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plans such as </w:t>
      </w:r>
      <w:proofErr w:type="spellStart"/>
      <w:r w:rsidRPr="00700BAD">
        <w:rPr>
          <w:rFonts w:ascii="Times New Roman" w:hAnsi="Times New Roman"/>
          <w:sz w:val="24"/>
          <w:szCs w:val="24"/>
        </w:rPr>
        <w:t>Polisi</w:t>
      </w:r>
      <w:proofErr w:type="spellEnd"/>
      <w:r w:rsidRPr="00700BAD">
        <w:rPr>
          <w:rFonts w:ascii="Times New Roman" w:hAnsi="Times New Roman"/>
          <w:sz w:val="24"/>
          <w:szCs w:val="24"/>
        </w:rPr>
        <w:t xml:space="preserve"> </w:t>
      </w:r>
      <w:proofErr w:type="spellStart"/>
      <w:r w:rsidRPr="00700BAD">
        <w:rPr>
          <w:rFonts w:ascii="Times New Roman" w:hAnsi="Times New Roman"/>
          <w:sz w:val="24"/>
          <w:szCs w:val="24"/>
        </w:rPr>
        <w:t>Intelek</w:t>
      </w:r>
      <w:proofErr w:type="spellEnd"/>
      <w:r w:rsidRPr="00700BAD">
        <w:rPr>
          <w:rFonts w:ascii="Times New Roman" w:hAnsi="Times New Roman"/>
          <w:sz w:val="24"/>
          <w:szCs w:val="24"/>
        </w:rPr>
        <w:t xml:space="preserve">, </w:t>
      </w:r>
      <w:proofErr w:type="spellStart"/>
      <w:r w:rsidRPr="00700BAD">
        <w:rPr>
          <w:rFonts w:ascii="Times New Roman" w:hAnsi="Times New Roman"/>
          <w:sz w:val="24"/>
          <w:szCs w:val="24"/>
        </w:rPr>
        <w:t>Pelan</w:t>
      </w:r>
      <w:proofErr w:type="spellEnd"/>
      <w:r w:rsidRPr="00700BAD">
        <w:rPr>
          <w:rFonts w:ascii="Times New Roman" w:hAnsi="Times New Roman"/>
          <w:sz w:val="24"/>
          <w:szCs w:val="24"/>
        </w:rPr>
        <w:t xml:space="preserve"> </w:t>
      </w:r>
      <w:proofErr w:type="spellStart"/>
      <w:r w:rsidRPr="00700BAD">
        <w:rPr>
          <w:rFonts w:ascii="Times New Roman" w:hAnsi="Times New Roman"/>
          <w:sz w:val="24"/>
          <w:szCs w:val="24"/>
        </w:rPr>
        <w:t>Pendidikan</w:t>
      </w:r>
      <w:proofErr w:type="spellEnd"/>
      <w:r w:rsidRPr="00700BAD">
        <w:rPr>
          <w:rFonts w:ascii="Times New Roman" w:hAnsi="Times New Roman"/>
          <w:sz w:val="24"/>
          <w:szCs w:val="24"/>
        </w:rPr>
        <w:t xml:space="preserve"> Takaful, </w:t>
      </w:r>
      <w:proofErr w:type="gramStart"/>
      <w:r w:rsidRPr="00700BAD">
        <w:rPr>
          <w:rFonts w:ascii="Times New Roman" w:hAnsi="Times New Roman"/>
          <w:sz w:val="24"/>
          <w:szCs w:val="24"/>
        </w:rPr>
        <w:t>HLM</w:t>
      </w:r>
      <w:proofErr w:type="gramEnd"/>
      <w:r w:rsidRPr="00700BAD">
        <w:rPr>
          <w:rFonts w:ascii="Times New Roman" w:hAnsi="Times New Roman"/>
          <w:sz w:val="24"/>
          <w:szCs w:val="24"/>
        </w:rPr>
        <w:t xml:space="preserve"> Takaful </w:t>
      </w:r>
      <w:proofErr w:type="spellStart"/>
      <w:r w:rsidRPr="00700BAD">
        <w:rPr>
          <w:rFonts w:ascii="Times New Roman" w:hAnsi="Times New Roman"/>
          <w:sz w:val="24"/>
          <w:szCs w:val="24"/>
        </w:rPr>
        <w:t>i</w:t>
      </w:r>
      <w:proofErr w:type="spellEnd"/>
      <w:r w:rsidRPr="00700BAD">
        <w:rPr>
          <w:rFonts w:ascii="Times New Roman" w:hAnsi="Times New Roman"/>
          <w:sz w:val="24"/>
          <w:szCs w:val="24"/>
        </w:rPr>
        <w:t xml:space="preserve">-Grad, </w:t>
      </w:r>
      <w:proofErr w:type="spellStart"/>
      <w:r w:rsidRPr="00700BAD">
        <w:rPr>
          <w:rFonts w:ascii="Times New Roman" w:hAnsi="Times New Roman"/>
          <w:sz w:val="24"/>
          <w:szCs w:val="24"/>
        </w:rPr>
        <w:t>PruBSN</w:t>
      </w:r>
      <w:proofErr w:type="spellEnd"/>
      <w:r w:rsidRPr="00700BAD">
        <w:rPr>
          <w:rFonts w:ascii="Times New Roman" w:hAnsi="Times New Roman"/>
          <w:sz w:val="24"/>
          <w:szCs w:val="24"/>
        </w:rPr>
        <w:t xml:space="preserve"> </w:t>
      </w:r>
      <w:proofErr w:type="spellStart"/>
      <w:r w:rsidRPr="00700BAD">
        <w:rPr>
          <w:rFonts w:ascii="Times New Roman" w:hAnsi="Times New Roman"/>
          <w:sz w:val="24"/>
          <w:szCs w:val="24"/>
        </w:rPr>
        <w:t>SmartLink</w:t>
      </w:r>
      <w:proofErr w:type="spellEnd"/>
      <w:r w:rsidRPr="00700BAD">
        <w:rPr>
          <w:rFonts w:ascii="Times New Roman" w:hAnsi="Times New Roman"/>
          <w:sz w:val="24"/>
          <w:szCs w:val="24"/>
        </w:rPr>
        <w:t xml:space="preserve">, Sun </w:t>
      </w:r>
      <w:proofErr w:type="spellStart"/>
      <w:r w:rsidRPr="00700BAD">
        <w:rPr>
          <w:rFonts w:ascii="Times New Roman" w:hAnsi="Times New Roman"/>
          <w:sz w:val="24"/>
          <w:szCs w:val="24"/>
        </w:rPr>
        <w:t>EduSmart</w:t>
      </w:r>
      <w:proofErr w:type="spellEnd"/>
      <w:r w:rsidRPr="00700BAD">
        <w:rPr>
          <w:rFonts w:ascii="Times New Roman" w:hAnsi="Times New Roman"/>
          <w:sz w:val="24"/>
          <w:szCs w:val="24"/>
        </w:rPr>
        <w:t xml:space="preserve"> and </w:t>
      </w:r>
      <w:proofErr w:type="spellStart"/>
      <w:r w:rsidRPr="00700BAD">
        <w:rPr>
          <w:rFonts w:ascii="Times New Roman" w:hAnsi="Times New Roman"/>
          <w:sz w:val="24"/>
          <w:szCs w:val="24"/>
        </w:rPr>
        <w:t>EduCAre-i</w:t>
      </w:r>
      <w:proofErr w:type="spellEnd"/>
      <w:r w:rsidRPr="00700BAD">
        <w:rPr>
          <w:rFonts w:ascii="Times New Roman" w:hAnsi="Times New Roman"/>
          <w:sz w:val="24"/>
          <w:szCs w:val="24"/>
        </w:rPr>
        <w:t xml:space="preserve"> </w:t>
      </w:r>
      <w:proofErr w:type="spellStart"/>
      <w:r w:rsidRPr="00700BAD">
        <w:rPr>
          <w:rFonts w:ascii="Times New Roman" w:hAnsi="Times New Roman"/>
          <w:sz w:val="24"/>
          <w:szCs w:val="24"/>
        </w:rPr>
        <w:t>Pendidikan</w:t>
      </w:r>
      <w:proofErr w:type="spellEnd"/>
      <w:r w:rsidRPr="00700BAD">
        <w:rPr>
          <w:rFonts w:ascii="Times New Roman" w:hAnsi="Times New Roman"/>
          <w:sz w:val="24"/>
          <w:szCs w:val="24"/>
        </w:rPr>
        <w:t xml:space="preserve">. However, </w:t>
      </w:r>
      <w:r w:rsidR="00FB7730">
        <w:rPr>
          <w:rFonts w:ascii="Times New Roman" w:hAnsi="Times New Roman"/>
          <w:sz w:val="24"/>
          <w:szCs w:val="24"/>
        </w:rPr>
        <w:t xml:space="preserve">it </w:t>
      </w:r>
      <w:r w:rsidR="002E5AE3">
        <w:rPr>
          <w:rFonts w:ascii="Times New Roman" w:hAnsi="Times New Roman"/>
          <w:sz w:val="24"/>
          <w:szCs w:val="24"/>
        </w:rPr>
        <w:t>remains</w:t>
      </w:r>
      <w:r w:rsidR="00FB7730">
        <w:rPr>
          <w:rFonts w:ascii="Times New Roman" w:hAnsi="Times New Roman"/>
          <w:sz w:val="24"/>
          <w:szCs w:val="24"/>
        </w:rPr>
        <w:t xml:space="preserve"> an </w:t>
      </w:r>
      <w:r w:rsidRPr="00700BAD">
        <w:rPr>
          <w:rFonts w:ascii="Times New Roman" w:hAnsi="Times New Roman"/>
          <w:sz w:val="24"/>
          <w:szCs w:val="24"/>
        </w:rPr>
        <w:t xml:space="preserve">issue whether the parents </w:t>
      </w:r>
      <w:r w:rsidR="00FB7730">
        <w:rPr>
          <w:rFonts w:ascii="Times New Roman" w:hAnsi="Times New Roman"/>
          <w:sz w:val="24"/>
          <w:szCs w:val="24"/>
        </w:rPr>
        <w:t>are aware on</w:t>
      </w:r>
      <w:r w:rsidRPr="00700BAD">
        <w:rPr>
          <w:rFonts w:ascii="Times New Roman" w:hAnsi="Times New Roman"/>
          <w:sz w:val="24"/>
          <w:szCs w:val="24"/>
        </w:rPr>
        <w:t xml:space="preserve"> the capabilities of education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plans </w:t>
      </w:r>
      <w:r w:rsidR="00223EE3">
        <w:rPr>
          <w:rFonts w:ascii="Times New Roman" w:hAnsi="Times New Roman"/>
          <w:sz w:val="24"/>
          <w:szCs w:val="24"/>
        </w:rPr>
        <w:t>in providing</w:t>
      </w:r>
      <w:r w:rsidRPr="00700BAD">
        <w:rPr>
          <w:rFonts w:ascii="Times New Roman" w:hAnsi="Times New Roman"/>
          <w:sz w:val="24"/>
          <w:szCs w:val="24"/>
        </w:rPr>
        <w:t xml:space="preserve"> educations funds for their children</w:t>
      </w:r>
      <w:r w:rsidR="00223EE3">
        <w:rPr>
          <w:rFonts w:ascii="Times New Roman" w:hAnsi="Times New Roman"/>
          <w:sz w:val="24"/>
          <w:szCs w:val="24"/>
        </w:rPr>
        <w:t xml:space="preserve">. </w:t>
      </w:r>
      <w:r w:rsidR="00C137B6">
        <w:rPr>
          <w:rFonts w:ascii="Times New Roman" w:hAnsi="Times New Roman"/>
          <w:sz w:val="24"/>
          <w:szCs w:val="24"/>
        </w:rPr>
        <w:t xml:space="preserve">Statistics shows that </w:t>
      </w:r>
      <w:r w:rsidRPr="00700BAD">
        <w:rPr>
          <w:rFonts w:ascii="Times New Roman" w:hAnsi="Times New Roman"/>
          <w:sz w:val="24"/>
          <w:szCs w:val="24"/>
        </w:rPr>
        <w:t xml:space="preserve">only 14.66% Malaysians participated in family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plan</w:t>
      </w:r>
      <w:r w:rsidR="00223EE3">
        <w:rPr>
          <w:rFonts w:ascii="Times New Roman" w:hAnsi="Times New Roman"/>
          <w:sz w:val="24"/>
          <w:szCs w:val="24"/>
        </w:rPr>
        <w:t xml:space="preserve"> (Malaysian Takaful Association, </w:t>
      </w:r>
      <w:r w:rsidR="00223EE3" w:rsidRPr="00700BAD">
        <w:rPr>
          <w:rFonts w:ascii="Times New Roman" w:hAnsi="Times New Roman"/>
          <w:sz w:val="24"/>
          <w:szCs w:val="24"/>
        </w:rPr>
        <w:t>2017)</w:t>
      </w:r>
      <w:r w:rsidRPr="00700BAD">
        <w:rPr>
          <w:rFonts w:ascii="Times New Roman" w:hAnsi="Times New Roman"/>
          <w:sz w:val="24"/>
          <w:szCs w:val="24"/>
        </w:rPr>
        <w:t xml:space="preserve">. This shows that most Malaysians have yet to understand the importance and capability of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products in minimizing financial difficulties arisen from the contingent risks. </w:t>
      </w:r>
      <w:r w:rsidRPr="00237435">
        <w:rPr>
          <w:rFonts w:ascii="Times New Roman" w:hAnsi="Times New Roman"/>
          <w:sz w:val="24"/>
          <w:szCs w:val="24"/>
        </w:rPr>
        <w:t xml:space="preserve">Therefore, this study aims to evaluate </w:t>
      </w:r>
      <w:r w:rsidR="00E1278D">
        <w:rPr>
          <w:rFonts w:ascii="Times New Roman" w:hAnsi="Times New Roman"/>
          <w:sz w:val="24"/>
          <w:szCs w:val="24"/>
        </w:rPr>
        <w:t>the</w:t>
      </w:r>
      <w:r w:rsidRPr="00237435">
        <w:rPr>
          <w:rFonts w:ascii="Times New Roman" w:hAnsi="Times New Roman"/>
          <w:sz w:val="24"/>
          <w:szCs w:val="24"/>
        </w:rPr>
        <w:t xml:space="preserve"> level of understanding </w:t>
      </w:r>
      <w:r w:rsidR="00E1278D">
        <w:rPr>
          <w:rFonts w:ascii="Times New Roman" w:hAnsi="Times New Roman"/>
          <w:sz w:val="24"/>
          <w:szCs w:val="24"/>
        </w:rPr>
        <w:t>on</w:t>
      </w:r>
      <w:r w:rsidRPr="00237435">
        <w:rPr>
          <w:rFonts w:ascii="Times New Roman" w:hAnsi="Times New Roman"/>
          <w:sz w:val="24"/>
          <w:szCs w:val="24"/>
        </w:rPr>
        <w:t xml:space="preserve"> </w:t>
      </w:r>
      <w:proofErr w:type="spellStart"/>
      <w:r w:rsidRPr="00237435">
        <w:rPr>
          <w:rFonts w:ascii="Times New Roman" w:hAnsi="Times New Roman"/>
          <w:sz w:val="24"/>
          <w:szCs w:val="24"/>
        </w:rPr>
        <w:t>takaful</w:t>
      </w:r>
      <w:proofErr w:type="spellEnd"/>
      <w:r w:rsidRPr="00237435">
        <w:rPr>
          <w:rFonts w:ascii="Times New Roman" w:hAnsi="Times New Roman"/>
          <w:sz w:val="24"/>
          <w:szCs w:val="24"/>
        </w:rPr>
        <w:t xml:space="preserve"> plans specifically education </w:t>
      </w:r>
      <w:proofErr w:type="spellStart"/>
      <w:r w:rsidRPr="00237435">
        <w:rPr>
          <w:rFonts w:ascii="Times New Roman" w:hAnsi="Times New Roman"/>
          <w:sz w:val="24"/>
          <w:szCs w:val="24"/>
        </w:rPr>
        <w:t>takaful</w:t>
      </w:r>
      <w:proofErr w:type="spellEnd"/>
      <w:r w:rsidRPr="00237435">
        <w:rPr>
          <w:rFonts w:ascii="Times New Roman" w:hAnsi="Times New Roman"/>
          <w:sz w:val="24"/>
          <w:szCs w:val="24"/>
        </w:rPr>
        <w:t xml:space="preserve"> and identify the de</w:t>
      </w:r>
      <w:r w:rsidR="00C137B6">
        <w:rPr>
          <w:rFonts w:ascii="Times New Roman" w:hAnsi="Times New Roman"/>
          <w:sz w:val="24"/>
          <w:szCs w:val="24"/>
        </w:rPr>
        <w:t>mographic characteristics that a</w:t>
      </w:r>
      <w:r w:rsidRPr="00237435">
        <w:rPr>
          <w:rFonts w:ascii="Times New Roman" w:hAnsi="Times New Roman"/>
          <w:sz w:val="24"/>
          <w:szCs w:val="24"/>
        </w:rPr>
        <w:t>ffect their level of understanding.</w:t>
      </w:r>
      <w:r w:rsidRPr="00700BAD">
        <w:rPr>
          <w:rFonts w:ascii="Times New Roman" w:hAnsi="Times New Roman"/>
          <w:sz w:val="24"/>
          <w:szCs w:val="24"/>
        </w:rPr>
        <w:t xml:space="preserve"> In fact, studies on the understanding of insurance and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policies are limited in Malaysia</w:t>
      </w:r>
      <w:r w:rsidR="00A61455">
        <w:rPr>
          <w:rFonts w:ascii="Times New Roman" w:hAnsi="Times New Roman"/>
          <w:sz w:val="24"/>
          <w:szCs w:val="24"/>
        </w:rPr>
        <w:t xml:space="preserve">, especially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education plans. </w:t>
      </w:r>
      <w:r w:rsidR="00A61455" w:rsidRPr="00700BAD">
        <w:rPr>
          <w:rFonts w:ascii="Times New Roman" w:hAnsi="Times New Roman"/>
          <w:sz w:val="24"/>
          <w:szCs w:val="24"/>
        </w:rPr>
        <w:t>P</w:t>
      </w:r>
      <w:r w:rsidRPr="00700BAD">
        <w:rPr>
          <w:rFonts w:ascii="Times New Roman" w:hAnsi="Times New Roman"/>
          <w:sz w:val="24"/>
          <w:szCs w:val="24"/>
        </w:rPr>
        <w:t>ast studies have identified that understanding</w:t>
      </w:r>
      <w:r w:rsidR="00A06F10">
        <w:rPr>
          <w:rFonts w:ascii="Times New Roman" w:hAnsi="Times New Roman"/>
          <w:sz w:val="24"/>
          <w:szCs w:val="24"/>
        </w:rPr>
        <w:t>/</w:t>
      </w:r>
      <w:r w:rsidRPr="00700BAD">
        <w:rPr>
          <w:rFonts w:ascii="Times New Roman" w:hAnsi="Times New Roman"/>
          <w:sz w:val="24"/>
          <w:szCs w:val="24"/>
        </w:rPr>
        <w:t xml:space="preserve">knowledge of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as the determinants of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demand</w:t>
      </w:r>
      <w:r w:rsidR="00A61455">
        <w:rPr>
          <w:rFonts w:ascii="Times New Roman" w:hAnsi="Times New Roman"/>
          <w:sz w:val="24"/>
          <w:szCs w:val="24"/>
        </w:rPr>
        <w:t xml:space="preserve">. However, </w:t>
      </w:r>
      <w:r w:rsidRPr="00700BAD">
        <w:rPr>
          <w:rFonts w:ascii="Times New Roman" w:hAnsi="Times New Roman"/>
          <w:sz w:val="24"/>
          <w:szCs w:val="24"/>
        </w:rPr>
        <w:t xml:space="preserve">the influence of demographic </w:t>
      </w:r>
      <w:r w:rsidR="00A61455">
        <w:rPr>
          <w:rFonts w:ascii="Times New Roman" w:hAnsi="Times New Roman"/>
          <w:sz w:val="24"/>
          <w:szCs w:val="24"/>
        </w:rPr>
        <w:t>characteristics</w:t>
      </w:r>
      <w:r w:rsidRPr="00700BAD">
        <w:rPr>
          <w:rFonts w:ascii="Times New Roman" w:hAnsi="Times New Roman"/>
          <w:sz w:val="24"/>
          <w:szCs w:val="24"/>
        </w:rPr>
        <w:t xml:space="preserve"> </w:t>
      </w:r>
      <w:r w:rsidR="00A61455">
        <w:rPr>
          <w:rFonts w:ascii="Times New Roman" w:hAnsi="Times New Roman"/>
          <w:sz w:val="24"/>
          <w:szCs w:val="24"/>
        </w:rPr>
        <w:t xml:space="preserve">towards </w:t>
      </w:r>
      <w:r w:rsidRPr="00700BAD">
        <w:rPr>
          <w:rFonts w:ascii="Times New Roman" w:hAnsi="Times New Roman"/>
          <w:sz w:val="24"/>
          <w:szCs w:val="24"/>
        </w:rPr>
        <w:t xml:space="preserve">the level of </w:t>
      </w:r>
      <w:proofErr w:type="spellStart"/>
      <w:r w:rsidR="00A61455">
        <w:rPr>
          <w:rFonts w:ascii="Times New Roman" w:hAnsi="Times New Roman"/>
          <w:sz w:val="24"/>
          <w:szCs w:val="24"/>
        </w:rPr>
        <w:t>takaful</w:t>
      </w:r>
      <w:proofErr w:type="spellEnd"/>
      <w:r w:rsidR="00A61455">
        <w:rPr>
          <w:rFonts w:ascii="Times New Roman" w:hAnsi="Times New Roman"/>
          <w:sz w:val="24"/>
          <w:szCs w:val="24"/>
        </w:rPr>
        <w:t xml:space="preserve"> </w:t>
      </w:r>
      <w:r w:rsidRPr="00700BAD">
        <w:rPr>
          <w:rFonts w:ascii="Times New Roman" w:hAnsi="Times New Roman"/>
          <w:sz w:val="24"/>
          <w:szCs w:val="24"/>
        </w:rPr>
        <w:t xml:space="preserve">understanding remains ambiguous. Thus, the results of this study provide a preliminary </w:t>
      </w:r>
      <w:r w:rsidR="00A61455">
        <w:rPr>
          <w:rFonts w:ascii="Times New Roman" w:hAnsi="Times New Roman"/>
          <w:sz w:val="24"/>
          <w:szCs w:val="24"/>
        </w:rPr>
        <w:t xml:space="preserve">overview on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understanding and the demographic </w:t>
      </w:r>
      <w:r w:rsidR="00A61455">
        <w:rPr>
          <w:rFonts w:ascii="Times New Roman" w:hAnsi="Times New Roman"/>
          <w:sz w:val="24"/>
          <w:szCs w:val="24"/>
        </w:rPr>
        <w:t>characteristics</w:t>
      </w:r>
      <w:r w:rsidR="00A61455" w:rsidRPr="00700BAD">
        <w:rPr>
          <w:rFonts w:ascii="Times New Roman" w:hAnsi="Times New Roman"/>
          <w:sz w:val="24"/>
          <w:szCs w:val="24"/>
        </w:rPr>
        <w:t xml:space="preserve"> </w:t>
      </w:r>
      <w:r w:rsidRPr="00700BAD">
        <w:rPr>
          <w:rFonts w:ascii="Times New Roman" w:hAnsi="Times New Roman"/>
          <w:sz w:val="24"/>
          <w:szCs w:val="24"/>
        </w:rPr>
        <w:t xml:space="preserve">that affect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understanding for the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industry in strengthening and managing their marketing and product development strategies. Moreover, it </w:t>
      </w:r>
      <w:r w:rsidR="009450F8">
        <w:rPr>
          <w:rFonts w:ascii="Times New Roman" w:hAnsi="Times New Roman"/>
          <w:sz w:val="24"/>
          <w:szCs w:val="24"/>
        </w:rPr>
        <w:t xml:space="preserve">allows </w:t>
      </w:r>
      <w:proofErr w:type="spellStart"/>
      <w:r w:rsidR="009450F8">
        <w:rPr>
          <w:rFonts w:ascii="Times New Roman" w:hAnsi="Times New Roman"/>
          <w:sz w:val="24"/>
          <w:szCs w:val="24"/>
        </w:rPr>
        <w:t>takaful</w:t>
      </w:r>
      <w:proofErr w:type="spellEnd"/>
      <w:r w:rsidR="009450F8">
        <w:rPr>
          <w:rFonts w:ascii="Times New Roman" w:hAnsi="Times New Roman"/>
          <w:sz w:val="24"/>
          <w:szCs w:val="24"/>
        </w:rPr>
        <w:t xml:space="preserve"> operators to re</w:t>
      </w:r>
      <w:r w:rsidRPr="00700BAD">
        <w:rPr>
          <w:rFonts w:ascii="Times New Roman" w:hAnsi="Times New Roman"/>
          <w:sz w:val="24"/>
          <w:szCs w:val="24"/>
        </w:rPr>
        <w:t xml:space="preserve">design </w:t>
      </w:r>
      <w:r w:rsidR="009450F8">
        <w:rPr>
          <w:rFonts w:ascii="Times New Roman" w:hAnsi="Times New Roman"/>
          <w:sz w:val="24"/>
          <w:szCs w:val="24"/>
        </w:rPr>
        <w:t xml:space="preserve">their </w:t>
      </w:r>
      <w:r w:rsidRPr="00700BAD">
        <w:rPr>
          <w:rFonts w:ascii="Times New Roman" w:hAnsi="Times New Roman"/>
          <w:sz w:val="24"/>
          <w:szCs w:val="24"/>
        </w:rPr>
        <w:t xml:space="preserve">campaigns to enhance the </w:t>
      </w:r>
      <w:proofErr w:type="spellStart"/>
      <w:r w:rsidR="009450F8">
        <w:rPr>
          <w:rFonts w:ascii="Times New Roman" w:hAnsi="Times New Roman"/>
          <w:sz w:val="24"/>
          <w:szCs w:val="24"/>
        </w:rPr>
        <w:t>takaful</w:t>
      </w:r>
      <w:proofErr w:type="spellEnd"/>
      <w:r w:rsidR="009450F8">
        <w:rPr>
          <w:rFonts w:ascii="Times New Roman" w:hAnsi="Times New Roman"/>
          <w:sz w:val="24"/>
          <w:szCs w:val="24"/>
        </w:rPr>
        <w:t xml:space="preserve"> </w:t>
      </w:r>
      <w:r w:rsidRPr="00700BAD">
        <w:rPr>
          <w:rFonts w:ascii="Times New Roman" w:hAnsi="Times New Roman"/>
          <w:sz w:val="24"/>
          <w:szCs w:val="24"/>
        </w:rPr>
        <w:t xml:space="preserve">understanding </w:t>
      </w:r>
      <w:r w:rsidR="009450F8">
        <w:rPr>
          <w:rFonts w:ascii="Times New Roman" w:hAnsi="Times New Roman"/>
          <w:sz w:val="24"/>
          <w:szCs w:val="24"/>
        </w:rPr>
        <w:t>by focusing</w:t>
      </w:r>
      <w:r w:rsidRPr="00700BAD">
        <w:rPr>
          <w:rFonts w:ascii="Times New Roman" w:hAnsi="Times New Roman"/>
          <w:sz w:val="24"/>
          <w:szCs w:val="24"/>
        </w:rPr>
        <w:t xml:space="preserve"> on specific targets to increase parents’ participation in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particularly education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plan. This will in some ways aid the target penetration rate of 25% of the population owning </w:t>
      </w:r>
      <w:proofErr w:type="spellStart"/>
      <w:r w:rsidRPr="00700BAD">
        <w:rPr>
          <w:rFonts w:ascii="Times New Roman" w:hAnsi="Times New Roman"/>
          <w:sz w:val="24"/>
          <w:szCs w:val="24"/>
        </w:rPr>
        <w:t>takaful</w:t>
      </w:r>
      <w:proofErr w:type="spellEnd"/>
      <w:r w:rsidRPr="00700BAD">
        <w:rPr>
          <w:rFonts w:ascii="Times New Roman" w:hAnsi="Times New Roman"/>
          <w:sz w:val="24"/>
          <w:szCs w:val="24"/>
        </w:rPr>
        <w:t xml:space="preserve"> by 2020.</w:t>
      </w:r>
      <w:r w:rsidR="00A61455">
        <w:rPr>
          <w:rFonts w:ascii="Times New Roman" w:hAnsi="Times New Roman"/>
          <w:b/>
          <w:bCs/>
          <w:sz w:val="24"/>
          <w:szCs w:val="24"/>
        </w:rPr>
        <w:t xml:space="preserve"> </w:t>
      </w:r>
    </w:p>
    <w:p w:rsidR="00C80832" w:rsidRDefault="00C80832" w:rsidP="00C80832">
      <w:pPr>
        <w:pStyle w:val="NoSpacing"/>
        <w:jc w:val="both"/>
        <w:rPr>
          <w:rFonts w:ascii="Times New Roman" w:hAnsi="Times New Roman"/>
          <w:b/>
          <w:bCs/>
          <w:sz w:val="24"/>
          <w:szCs w:val="24"/>
        </w:rPr>
      </w:pPr>
    </w:p>
    <w:p w:rsidR="00700BAD" w:rsidRPr="007144ED" w:rsidRDefault="00700BAD" w:rsidP="00D9735B">
      <w:pPr>
        <w:pStyle w:val="NoSpacing"/>
        <w:jc w:val="both"/>
        <w:rPr>
          <w:rFonts w:ascii="Times New Roman" w:hAnsi="Times New Roman"/>
          <w:b/>
          <w:bCs/>
          <w:sz w:val="24"/>
          <w:szCs w:val="24"/>
        </w:rPr>
      </w:pPr>
    </w:p>
    <w:p w:rsidR="00690B87" w:rsidRPr="007144ED" w:rsidRDefault="00690B87" w:rsidP="00D9735B">
      <w:pPr>
        <w:pStyle w:val="NoSpacing"/>
        <w:jc w:val="both"/>
        <w:rPr>
          <w:rFonts w:ascii="Times New Roman" w:hAnsi="Times New Roman"/>
          <w:b/>
          <w:bCs/>
          <w:sz w:val="24"/>
          <w:szCs w:val="24"/>
        </w:rPr>
      </w:pPr>
      <w:r w:rsidRPr="007144ED">
        <w:rPr>
          <w:rFonts w:ascii="Times New Roman" w:hAnsi="Times New Roman"/>
          <w:b/>
          <w:bCs/>
          <w:sz w:val="24"/>
          <w:szCs w:val="24"/>
        </w:rPr>
        <w:t>Literatu</w:t>
      </w:r>
      <w:r w:rsidR="00A30460">
        <w:rPr>
          <w:rFonts w:ascii="Times New Roman" w:hAnsi="Times New Roman"/>
          <w:b/>
          <w:bCs/>
          <w:sz w:val="24"/>
          <w:szCs w:val="24"/>
        </w:rPr>
        <w:t>re review</w:t>
      </w:r>
    </w:p>
    <w:p w:rsidR="00690B87" w:rsidRPr="007144ED" w:rsidRDefault="00690B87" w:rsidP="00D9735B">
      <w:pPr>
        <w:pStyle w:val="NoSpacing"/>
        <w:jc w:val="both"/>
        <w:rPr>
          <w:rFonts w:ascii="Times New Roman" w:hAnsi="Times New Roman"/>
          <w:b/>
          <w:sz w:val="24"/>
          <w:szCs w:val="24"/>
        </w:rPr>
      </w:pPr>
    </w:p>
    <w:p w:rsidR="00352410" w:rsidRDefault="00400BCD" w:rsidP="00352410">
      <w:pPr>
        <w:pStyle w:val="NoSpacing"/>
        <w:jc w:val="both"/>
        <w:rPr>
          <w:rFonts w:ascii="Times New Roman" w:hAnsi="Times New Roman"/>
          <w:sz w:val="24"/>
          <w:szCs w:val="24"/>
        </w:rPr>
      </w:pPr>
      <w:r w:rsidRPr="00400BCD">
        <w:rPr>
          <w:rFonts w:ascii="Times New Roman" w:hAnsi="Times New Roman"/>
          <w:sz w:val="24"/>
          <w:szCs w:val="24"/>
        </w:rPr>
        <w:t>Takaful is an Islamic insurance in which each participant contribute</w:t>
      </w:r>
      <w:r w:rsidR="00A06F10">
        <w:rPr>
          <w:rFonts w:ascii="Times New Roman" w:hAnsi="Times New Roman"/>
          <w:sz w:val="24"/>
          <w:szCs w:val="24"/>
        </w:rPr>
        <w:t>s</w:t>
      </w:r>
      <w:r w:rsidRPr="00400BCD">
        <w:rPr>
          <w:rFonts w:ascii="Times New Roman" w:hAnsi="Times New Roman"/>
          <w:sz w:val="24"/>
          <w:szCs w:val="24"/>
        </w:rPr>
        <w:t xml:space="preserve"> funds into a pool of funds to help each participant against losses due to unexpected events. Islamic Financial Services Act 2013 (IFSA</w:t>
      </w:r>
      <w:r w:rsidR="00C80832">
        <w:rPr>
          <w:rFonts w:ascii="Times New Roman" w:hAnsi="Times New Roman"/>
          <w:sz w:val="24"/>
          <w:szCs w:val="24"/>
        </w:rPr>
        <w:t>,</w:t>
      </w:r>
      <w:r w:rsidRPr="00400BCD">
        <w:rPr>
          <w:rFonts w:ascii="Times New Roman" w:hAnsi="Times New Roman"/>
          <w:sz w:val="24"/>
          <w:szCs w:val="24"/>
        </w:rPr>
        <w:t xml:space="preserve"> 2013) defines </w:t>
      </w:r>
      <w:proofErr w:type="spellStart"/>
      <w:r w:rsidRPr="00400BCD">
        <w:rPr>
          <w:rFonts w:ascii="Times New Roman" w:hAnsi="Times New Roman"/>
          <w:sz w:val="24"/>
          <w:szCs w:val="24"/>
        </w:rPr>
        <w:t>takaful</w:t>
      </w:r>
      <w:proofErr w:type="spellEnd"/>
      <w:r w:rsidRPr="00400BCD">
        <w:rPr>
          <w:rFonts w:ascii="Times New Roman" w:hAnsi="Times New Roman"/>
          <w:sz w:val="24"/>
          <w:szCs w:val="24"/>
        </w:rPr>
        <w:t xml:space="preserve"> as “an arrangement based on mutual assistance under which </w:t>
      </w:r>
      <w:proofErr w:type="spellStart"/>
      <w:r w:rsidRPr="00400BCD">
        <w:rPr>
          <w:rFonts w:ascii="Times New Roman" w:hAnsi="Times New Roman"/>
          <w:sz w:val="24"/>
          <w:szCs w:val="24"/>
        </w:rPr>
        <w:t>takaful</w:t>
      </w:r>
      <w:proofErr w:type="spellEnd"/>
      <w:r w:rsidRPr="00400BCD">
        <w:rPr>
          <w:rFonts w:ascii="Times New Roman" w:hAnsi="Times New Roman"/>
          <w:sz w:val="24"/>
          <w:szCs w:val="24"/>
        </w:rPr>
        <w:t xml:space="preserve"> participants agree to contribute to a common fund providing for mutual financial benefits payable to the </w:t>
      </w:r>
      <w:proofErr w:type="spellStart"/>
      <w:r w:rsidRPr="00400BCD">
        <w:rPr>
          <w:rFonts w:ascii="Times New Roman" w:hAnsi="Times New Roman"/>
          <w:sz w:val="24"/>
          <w:szCs w:val="24"/>
        </w:rPr>
        <w:t>takaful</w:t>
      </w:r>
      <w:proofErr w:type="spellEnd"/>
      <w:r w:rsidRPr="00400BCD">
        <w:rPr>
          <w:rFonts w:ascii="Times New Roman" w:hAnsi="Times New Roman"/>
          <w:sz w:val="24"/>
          <w:szCs w:val="24"/>
        </w:rPr>
        <w:t xml:space="preserve"> participants or their beneficiaries on the occurrence of pre-agreed events”. In other words, </w:t>
      </w:r>
      <w:proofErr w:type="spellStart"/>
      <w:r w:rsidRPr="00400BCD">
        <w:rPr>
          <w:rFonts w:ascii="Times New Roman" w:hAnsi="Times New Roman"/>
          <w:sz w:val="24"/>
          <w:szCs w:val="24"/>
        </w:rPr>
        <w:t>takaful</w:t>
      </w:r>
      <w:proofErr w:type="spellEnd"/>
      <w:r w:rsidRPr="00400BCD">
        <w:rPr>
          <w:rFonts w:ascii="Times New Roman" w:hAnsi="Times New Roman"/>
          <w:sz w:val="24"/>
          <w:szCs w:val="24"/>
        </w:rPr>
        <w:t xml:space="preserve"> allows participants to help or bein</w:t>
      </w:r>
      <w:r w:rsidR="00932A4B">
        <w:rPr>
          <w:rFonts w:ascii="Times New Roman" w:hAnsi="Times New Roman"/>
          <w:sz w:val="24"/>
          <w:szCs w:val="24"/>
        </w:rPr>
        <w:t xml:space="preserve">g helped by other participants. </w:t>
      </w:r>
      <w:r w:rsidR="00932A4B" w:rsidRPr="00400BCD">
        <w:rPr>
          <w:rFonts w:ascii="Times New Roman" w:hAnsi="Times New Roman"/>
          <w:sz w:val="24"/>
          <w:szCs w:val="24"/>
        </w:rPr>
        <w:t>T</w:t>
      </w:r>
      <w:r w:rsidRPr="00400BCD">
        <w:rPr>
          <w:rFonts w:ascii="Times New Roman" w:hAnsi="Times New Roman"/>
          <w:sz w:val="24"/>
          <w:szCs w:val="24"/>
        </w:rPr>
        <w:t>his concept is called as mutual protection and indemnity (</w:t>
      </w:r>
      <w:proofErr w:type="spellStart"/>
      <w:r w:rsidRPr="00400BCD">
        <w:rPr>
          <w:rFonts w:ascii="Times New Roman" w:hAnsi="Times New Roman"/>
          <w:sz w:val="24"/>
          <w:szCs w:val="24"/>
        </w:rPr>
        <w:t>Mohd</w:t>
      </w:r>
      <w:proofErr w:type="spellEnd"/>
      <w:r w:rsidRPr="00400BCD">
        <w:rPr>
          <w:rFonts w:ascii="Times New Roman" w:hAnsi="Times New Roman"/>
          <w:sz w:val="24"/>
          <w:szCs w:val="24"/>
        </w:rPr>
        <w:t xml:space="preserve"> </w:t>
      </w:r>
      <w:proofErr w:type="spellStart"/>
      <w:r w:rsidRPr="00400BCD">
        <w:rPr>
          <w:rFonts w:ascii="Times New Roman" w:hAnsi="Times New Roman"/>
          <w:sz w:val="24"/>
          <w:szCs w:val="24"/>
        </w:rPr>
        <w:t>Daud</w:t>
      </w:r>
      <w:proofErr w:type="spellEnd"/>
      <w:r w:rsidRPr="00400BCD">
        <w:rPr>
          <w:rFonts w:ascii="Times New Roman" w:hAnsi="Times New Roman"/>
          <w:sz w:val="24"/>
          <w:szCs w:val="24"/>
        </w:rPr>
        <w:t>, 2009)</w:t>
      </w:r>
      <w:r w:rsidR="00B34055">
        <w:rPr>
          <w:rFonts w:ascii="Times New Roman" w:hAnsi="Times New Roman"/>
          <w:sz w:val="24"/>
          <w:szCs w:val="24"/>
        </w:rPr>
        <w:t>.</w:t>
      </w:r>
    </w:p>
    <w:p w:rsidR="00400BCD" w:rsidRDefault="00A06F10" w:rsidP="009A1DA1">
      <w:pPr>
        <w:pStyle w:val="NoSpacing"/>
        <w:ind w:firstLine="360"/>
        <w:jc w:val="both"/>
        <w:rPr>
          <w:rFonts w:ascii="Times New Roman" w:hAnsi="Times New Roman"/>
          <w:sz w:val="24"/>
          <w:szCs w:val="24"/>
        </w:rPr>
      </w:pPr>
      <w:r>
        <w:rPr>
          <w:rFonts w:ascii="Times New Roman" w:hAnsi="Times New Roman"/>
          <w:sz w:val="24"/>
          <w:szCs w:val="24"/>
        </w:rPr>
        <w:t>T</w:t>
      </w:r>
      <w:r w:rsidR="00400BCD" w:rsidRPr="00400BCD">
        <w:rPr>
          <w:rFonts w:ascii="Times New Roman" w:hAnsi="Times New Roman"/>
          <w:sz w:val="24"/>
          <w:szCs w:val="24"/>
        </w:rPr>
        <w:t xml:space="preserve">he objective of </w:t>
      </w:r>
      <w:proofErr w:type="spellStart"/>
      <w:r w:rsidR="00400BCD" w:rsidRPr="00400BCD">
        <w:rPr>
          <w:rFonts w:ascii="Times New Roman" w:hAnsi="Times New Roman"/>
          <w:sz w:val="24"/>
          <w:szCs w:val="24"/>
        </w:rPr>
        <w:t>takaful</w:t>
      </w:r>
      <w:proofErr w:type="spellEnd"/>
      <w:r w:rsidR="00400BCD" w:rsidRPr="00400BCD">
        <w:rPr>
          <w:rFonts w:ascii="Times New Roman" w:hAnsi="Times New Roman"/>
          <w:sz w:val="24"/>
          <w:szCs w:val="24"/>
        </w:rPr>
        <w:t xml:space="preserve"> and conventional is providing protection against risk expos</w:t>
      </w:r>
      <w:r w:rsidR="00932A4B">
        <w:rPr>
          <w:rFonts w:ascii="Times New Roman" w:hAnsi="Times New Roman"/>
          <w:sz w:val="24"/>
          <w:szCs w:val="24"/>
        </w:rPr>
        <w:t>ure. However, the operation</w:t>
      </w:r>
      <w:r w:rsidR="00400BCD" w:rsidRPr="00400BCD">
        <w:rPr>
          <w:rFonts w:ascii="Times New Roman" w:hAnsi="Times New Roman"/>
          <w:sz w:val="24"/>
          <w:szCs w:val="24"/>
        </w:rPr>
        <w:t xml:space="preserve"> of </w:t>
      </w:r>
      <w:proofErr w:type="spellStart"/>
      <w:r w:rsidR="00400BCD" w:rsidRPr="00400BCD">
        <w:rPr>
          <w:rFonts w:ascii="Times New Roman" w:hAnsi="Times New Roman"/>
          <w:sz w:val="24"/>
          <w:szCs w:val="24"/>
        </w:rPr>
        <w:t>takaful</w:t>
      </w:r>
      <w:proofErr w:type="spellEnd"/>
      <w:r w:rsidR="00400BCD" w:rsidRPr="00400BCD">
        <w:rPr>
          <w:rFonts w:ascii="Times New Roman" w:hAnsi="Times New Roman"/>
          <w:sz w:val="24"/>
          <w:szCs w:val="24"/>
        </w:rPr>
        <w:t xml:space="preserve"> makes it differs from conventional insurance. Takaful contract is positioned based on the principle of joint guarantee. Through this principle, </w:t>
      </w:r>
      <w:proofErr w:type="spellStart"/>
      <w:r w:rsidR="00400BCD" w:rsidRPr="00400BCD">
        <w:rPr>
          <w:rFonts w:ascii="Times New Roman" w:hAnsi="Times New Roman"/>
          <w:sz w:val="24"/>
          <w:szCs w:val="24"/>
        </w:rPr>
        <w:t>takaful</w:t>
      </w:r>
      <w:proofErr w:type="spellEnd"/>
      <w:r w:rsidR="00400BCD" w:rsidRPr="00400BCD">
        <w:rPr>
          <w:rFonts w:ascii="Times New Roman" w:hAnsi="Times New Roman"/>
          <w:sz w:val="24"/>
          <w:szCs w:val="24"/>
        </w:rPr>
        <w:t xml:space="preserve"> operators </w:t>
      </w:r>
      <w:r w:rsidR="00400BCD" w:rsidRPr="00400BCD">
        <w:rPr>
          <w:rFonts w:ascii="Times New Roman" w:hAnsi="Times New Roman"/>
          <w:sz w:val="24"/>
          <w:szCs w:val="24"/>
        </w:rPr>
        <w:lastRenderedPageBreak/>
        <w:t xml:space="preserve">act as a representative (wakeel) to manage the </w:t>
      </w:r>
      <w:proofErr w:type="spellStart"/>
      <w:r w:rsidR="00400BCD" w:rsidRPr="00400BCD">
        <w:rPr>
          <w:rFonts w:ascii="Times New Roman" w:hAnsi="Times New Roman"/>
          <w:sz w:val="24"/>
          <w:szCs w:val="24"/>
        </w:rPr>
        <w:t>takaful</w:t>
      </w:r>
      <w:proofErr w:type="spellEnd"/>
      <w:r w:rsidR="00400BCD" w:rsidRPr="00400BCD">
        <w:rPr>
          <w:rFonts w:ascii="Times New Roman" w:hAnsi="Times New Roman"/>
          <w:sz w:val="24"/>
          <w:szCs w:val="24"/>
        </w:rPr>
        <w:t xml:space="preserve"> operation such as underwriting, claims and investment (</w:t>
      </w:r>
      <w:proofErr w:type="spellStart"/>
      <w:r w:rsidR="00400BCD" w:rsidRPr="00400BCD">
        <w:rPr>
          <w:rFonts w:ascii="Times New Roman" w:hAnsi="Times New Roman"/>
          <w:sz w:val="24"/>
          <w:szCs w:val="24"/>
        </w:rPr>
        <w:t>Mohd</w:t>
      </w:r>
      <w:proofErr w:type="spellEnd"/>
      <w:r w:rsidR="00400BCD" w:rsidRPr="00400BCD">
        <w:rPr>
          <w:rFonts w:ascii="Times New Roman" w:hAnsi="Times New Roman"/>
          <w:sz w:val="24"/>
          <w:szCs w:val="24"/>
        </w:rPr>
        <w:t xml:space="preserve"> </w:t>
      </w:r>
      <w:proofErr w:type="spellStart"/>
      <w:r w:rsidR="00400BCD" w:rsidRPr="00400BCD">
        <w:rPr>
          <w:rFonts w:ascii="Times New Roman" w:hAnsi="Times New Roman"/>
          <w:sz w:val="24"/>
          <w:szCs w:val="24"/>
        </w:rPr>
        <w:t>Daud</w:t>
      </w:r>
      <w:proofErr w:type="spellEnd"/>
      <w:r w:rsidR="00400BCD" w:rsidRPr="00400BCD">
        <w:rPr>
          <w:rFonts w:ascii="Times New Roman" w:hAnsi="Times New Roman"/>
          <w:sz w:val="24"/>
          <w:szCs w:val="24"/>
        </w:rPr>
        <w:t xml:space="preserve">, 2009). On the other hand, insurance company guarantees to pay a compensation if the stipulated event in the contract occurred, in exchange to the premium paid by insured (International </w:t>
      </w:r>
      <w:proofErr w:type="spellStart"/>
      <w:r w:rsidR="00400BCD" w:rsidRPr="00400BCD">
        <w:rPr>
          <w:rFonts w:ascii="Times New Roman" w:hAnsi="Times New Roman"/>
          <w:sz w:val="24"/>
          <w:szCs w:val="24"/>
        </w:rPr>
        <w:t>Shariah</w:t>
      </w:r>
      <w:proofErr w:type="spellEnd"/>
      <w:r w:rsidR="00400BCD" w:rsidRPr="00400BCD">
        <w:rPr>
          <w:rFonts w:ascii="Times New Roman" w:hAnsi="Times New Roman"/>
          <w:sz w:val="24"/>
          <w:szCs w:val="24"/>
        </w:rPr>
        <w:t xml:space="preserve"> Research Academic for Islamic Finance, 2011). Furthermore, contribution by participant is </w:t>
      </w:r>
      <w:proofErr w:type="gramStart"/>
      <w:r w:rsidR="00400BCD" w:rsidRPr="00400BCD">
        <w:rPr>
          <w:rFonts w:ascii="Times New Roman" w:hAnsi="Times New Roman"/>
          <w:sz w:val="24"/>
          <w:szCs w:val="24"/>
        </w:rPr>
        <w:t>belong</w:t>
      </w:r>
      <w:proofErr w:type="gramEnd"/>
      <w:r w:rsidR="00400BCD" w:rsidRPr="00400BCD">
        <w:rPr>
          <w:rFonts w:ascii="Times New Roman" w:hAnsi="Times New Roman"/>
          <w:sz w:val="24"/>
          <w:szCs w:val="24"/>
        </w:rPr>
        <w:t xml:space="preserve"> to the participant and </w:t>
      </w:r>
      <w:proofErr w:type="spellStart"/>
      <w:r w:rsidR="00400BCD" w:rsidRPr="00400BCD">
        <w:rPr>
          <w:rFonts w:ascii="Times New Roman" w:hAnsi="Times New Roman"/>
          <w:sz w:val="24"/>
          <w:szCs w:val="24"/>
        </w:rPr>
        <w:t>takaful</w:t>
      </w:r>
      <w:proofErr w:type="spellEnd"/>
      <w:r w:rsidR="00400BCD" w:rsidRPr="00400BCD">
        <w:rPr>
          <w:rFonts w:ascii="Times New Roman" w:hAnsi="Times New Roman"/>
          <w:sz w:val="24"/>
          <w:szCs w:val="24"/>
        </w:rPr>
        <w:t xml:space="preserve"> operator helps to manage this </w:t>
      </w:r>
      <w:proofErr w:type="spellStart"/>
      <w:r w:rsidR="00400BCD" w:rsidRPr="00400BCD">
        <w:rPr>
          <w:rFonts w:ascii="Times New Roman" w:hAnsi="Times New Roman"/>
          <w:sz w:val="24"/>
          <w:szCs w:val="24"/>
        </w:rPr>
        <w:t>takaful</w:t>
      </w:r>
      <w:proofErr w:type="spellEnd"/>
      <w:r w:rsidR="00400BCD" w:rsidRPr="00400BCD">
        <w:rPr>
          <w:rFonts w:ascii="Times New Roman" w:hAnsi="Times New Roman"/>
          <w:sz w:val="24"/>
          <w:szCs w:val="24"/>
        </w:rPr>
        <w:t xml:space="preserve"> fund. In contrast, premium paid by insured is </w:t>
      </w:r>
      <w:proofErr w:type="gramStart"/>
      <w:r w:rsidR="00400BCD" w:rsidRPr="00400BCD">
        <w:rPr>
          <w:rFonts w:ascii="Times New Roman" w:hAnsi="Times New Roman"/>
          <w:sz w:val="24"/>
          <w:szCs w:val="24"/>
        </w:rPr>
        <w:t>belong</w:t>
      </w:r>
      <w:proofErr w:type="gramEnd"/>
      <w:r w:rsidR="00400BCD" w:rsidRPr="00400BCD">
        <w:rPr>
          <w:rFonts w:ascii="Times New Roman" w:hAnsi="Times New Roman"/>
          <w:sz w:val="24"/>
          <w:szCs w:val="24"/>
        </w:rPr>
        <w:t xml:space="preserve"> to the insurance company and pos</w:t>
      </w:r>
      <w:r w:rsidR="003E07CE">
        <w:rPr>
          <w:rFonts w:ascii="Times New Roman" w:hAnsi="Times New Roman"/>
          <w:sz w:val="24"/>
          <w:szCs w:val="24"/>
        </w:rPr>
        <w:t>s</w:t>
      </w:r>
      <w:r w:rsidR="00400BCD" w:rsidRPr="00400BCD">
        <w:rPr>
          <w:rFonts w:ascii="Times New Roman" w:hAnsi="Times New Roman"/>
          <w:sz w:val="24"/>
          <w:szCs w:val="24"/>
        </w:rPr>
        <w:t>es</w:t>
      </w:r>
      <w:r w:rsidR="003E07CE">
        <w:rPr>
          <w:rFonts w:ascii="Times New Roman" w:hAnsi="Times New Roman"/>
          <w:sz w:val="24"/>
          <w:szCs w:val="24"/>
        </w:rPr>
        <w:t>s</w:t>
      </w:r>
      <w:r w:rsidR="00400BCD" w:rsidRPr="00400BCD">
        <w:rPr>
          <w:rFonts w:ascii="Times New Roman" w:hAnsi="Times New Roman"/>
          <w:sz w:val="24"/>
          <w:szCs w:val="24"/>
        </w:rPr>
        <w:t xml:space="preserve"> the right on the insurance pool. The comprehensive differences between </w:t>
      </w:r>
      <w:proofErr w:type="spellStart"/>
      <w:r w:rsidR="00400BCD" w:rsidRPr="00400BCD">
        <w:rPr>
          <w:rFonts w:ascii="Times New Roman" w:hAnsi="Times New Roman"/>
          <w:sz w:val="24"/>
          <w:szCs w:val="24"/>
        </w:rPr>
        <w:t>takaful</w:t>
      </w:r>
      <w:proofErr w:type="spellEnd"/>
      <w:r w:rsidR="00400BCD" w:rsidRPr="00400BCD">
        <w:rPr>
          <w:rFonts w:ascii="Times New Roman" w:hAnsi="Times New Roman"/>
          <w:sz w:val="24"/>
          <w:szCs w:val="24"/>
        </w:rPr>
        <w:t xml:space="preserve"> and conventional insurance are shown in Table </w:t>
      </w:r>
      <w:r w:rsidR="00400BCD">
        <w:rPr>
          <w:rFonts w:ascii="Times New Roman" w:hAnsi="Times New Roman"/>
          <w:sz w:val="24"/>
          <w:szCs w:val="24"/>
        </w:rPr>
        <w:t>1.</w:t>
      </w:r>
    </w:p>
    <w:p w:rsidR="00425D18" w:rsidRDefault="00425D18" w:rsidP="009A1DA1">
      <w:pPr>
        <w:pStyle w:val="NoSpacing"/>
        <w:ind w:firstLine="360"/>
        <w:jc w:val="both"/>
        <w:rPr>
          <w:rFonts w:ascii="Times New Roman" w:hAnsi="Times New Roman"/>
          <w:sz w:val="24"/>
          <w:szCs w:val="24"/>
        </w:rPr>
      </w:pPr>
    </w:p>
    <w:p w:rsidR="00425D18" w:rsidRPr="00425D18" w:rsidRDefault="00425D18" w:rsidP="00425D18">
      <w:pPr>
        <w:pStyle w:val="NoSpacing"/>
        <w:ind w:firstLine="360"/>
        <w:jc w:val="center"/>
        <w:rPr>
          <w:rFonts w:ascii="Times New Roman" w:hAnsi="Times New Roman"/>
          <w:sz w:val="20"/>
          <w:szCs w:val="20"/>
        </w:rPr>
      </w:pPr>
      <w:proofErr w:type="gramStart"/>
      <w:r w:rsidRPr="00425D18">
        <w:rPr>
          <w:rFonts w:ascii="Times New Roman" w:hAnsi="Times New Roman"/>
          <w:b/>
          <w:sz w:val="20"/>
          <w:szCs w:val="20"/>
        </w:rPr>
        <w:t>Table 1.</w:t>
      </w:r>
      <w:proofErr w:type="gramEnd"/>
      <w:r w:rsidRPr="00425D18">
        <w:rPr>
          <w:rFonts w:ascii="Times New Roman" w:hAnsi="Times New Roman"/>
          <w:sz w:val="20"/>
          <w:szCs w:val="20"/>
        </w:rPr>
        <w:t xml:space="preserve"> The differences between </w:t>
      </w:r>
      <w:proofErr w:type="spellStart"/>
      <w:r w:rsidRPr="00425D18">
        <w:rPr>
          <w:rFonts w:ascii="Times New Roman" w:hAnsi="Times New Roman"/>
          <w:sz w:val="20"/>
          <w:szCs w:val="20"/>
        </w:rPr>
        <w:t>takaful</w:t>
      </w:r>
      <w:proofErr w:type="spellEnd"/>
      <w:r w:rsidRPr="00425D18">
        <w:rPr>
          <w:rFonts w:ascii="Times New Roman" w:hAnsi="Times New Roman"/>
          <w:sz w:val="20"/>
          <w:szCs w:val="20"/>
        </w:rPr>
        <w:t xml:space="preserve"> and conventional insurance</w:t>
      </w:r>
    </w:p>
    <w:p w:rsidR="00425D18" w:rsidRPr="00425D18" w:rsidRDefault="00425D18" w:rsidP="00425D18">
      <w:pPr>
        <w:pStyle w:val="NoSpacing"/>
        <w:ind w:firstLine="360"/>
        <w:jc w:val="center"/>
        <w:rPr>
          <w:rFonts w:ascii="Times New Roman" w:hAnsi="Times New Roman"/>
          <w:sz w:val="20"/>
          <w:szCs w:val="20"/>
        </w:rPr>
      </w:pPr>
    </w:p>
    <w:tbl>
      <w:tblPr>
        <w:tblW w:w="0" w:type="auto"/>
        <w:tblLook w:val="04A0" w:firstRow="1" w:lastRow="0" w:firstColumn="1" w:lastColumn="0" w:noHBand="0" w:noVBand="1"/>
      </w:tblPr>
      <w:tblGrid>
        <w:gridCol w:w="4788"/>
        <w:gridCol w:w="4788"/>
      </w:tblGrid>
      <w:tr w:rsidR="00425D18" w:rsidRPr="00EA7987" w:rsidTr="00EA7987">
        <w:tc>
          <w:tcPr>
            <w:tcW w:w="4788" w:type="dxa"/>
            <w:tcBorders>
              <w:top w:val="single" w:sz="4" w:space="0" w:color="auto"/>
              <w:bottom w:val="single" w:sz="4" w:space="0" w:color="auto"/>
            </w:tcBorders>
            <w:shd w:val="clear" w:color="auto" w:fill="BDD6EE"/>
          </w:tcPr>
          <w:p w:rsidR="00425D18" w:rsidRPr="00EA7987" w:rsidRDefault="00425D18" w:rsidP="00EA7987">
            <w:pPr>
              <w:spacing w:after="0" w:line="240" w:lineRule="auto"/>
              <w:jc w:val="center"/>
              <w:rPr>
                <w:rFonts w:ascii="Times New Roman" w:hAnsi="Times New Roman"/>
                <w:b/>
                <w:sz w:val="24"/>
              </w:rPr>
            </w:pPr>
            <w:r w:rsidRPr="00EA7987">
              <w:rPr>
                <w:rFonts w:ascii="Times New Roman" w:hAnsi="Times New Roman"/>
                <w:b/>
                <w:iCs/>
                <w:sz w:val="20"/>
                <w:szCs w:val="20"/>
              </w:rPr>
              <w:t>Takaful</w:t>
            </w:r>
          </w:p>
        </w:tc>
        <w:tc>
          <w:tcPr>
            <w:tcW w:w="4788" w:type="dxa"/>
            <w:tcBorders>
              <w:top w:val="single" w:sz="4" w:space="0" w:color="auto"/>
              <w:bottom w:val="single" w:sz="4" w:space="0" w:color="auto"/>
            </w:tcBorders>
            <w:shd w:val="clear" w:color="auto" w:fill="BDD6EE"/>
          </w:tcPr>
          <w:p w:rsidR="00425D18" w:rsidRPr="00EA7987" w:rsidRDefault="00425D18" w:rsidP="00EA7987">
            <w:pPr>
              <w:spacing w:after="0" w:line="240" w:lineRule="auto"/>
              <w:jc w:val="center"/>
              <w:rPr>
                <w:rFonts w:ascii="Times New Roman" w:hAnsi="Times New Roman"/>
                <w:b/>
                <w:sz w:val="24"/>
              </w:rPr>
            </w:pPr>
            <w:r w:rsidRPr="00EA7987">
              <w:rPr>
                <w:rFonts w:ascii="Times New Roman" w:hAnsi="Times New Roman"/>
                <w:b/>
                <w:sz w:val="20"/>
                <w:szCs w:val="20"/>
              </w:rPr>
              <w:t>Conventional Insurance</w:t>
            </w:r>
          </w:p>
        </w:tc>
      </w:tr>
      <w:tr w:rsidR="00425D18" w:rsidRPr="00EA7987" w:rsidTr="00EA7987">
        <w:trPr>
          <w:trHeight w:val="489"/>
        </w:trPr>
        <w:tc>
          <w:tcPr>
            <w:tcW w:w="4788" w:type="dxa"/>
            <w:tcBorders>
              <w:top w:val="single" w:sz="4" w:space="0" w:color="auto"/>
            </w:tcBorders>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 xml:space="preserve">A combination of </w:t>
            </w:r>
            <w:proofErr w:type="spellStart"/>
            <w:r w:rsidRPr="00EA7987">
              <w:rPr>
                <w:rFonts w:ascii="Times New Roman" w:hAnsi="Times New Roman"/>
                <w:i/>
                <w:sz w:val="20"/>
                <w:szCs w:val="20"/>
              </w:rPr>
              <w:t>tabarru</w:t>
            </w:r>
            <w:proofErr w:type="spellEnd"/>
            <w:r w:rsidRPr="00EA7987">
              <w:rPr>
                <w:rFonts w:ascii="Times New Roman" w:hAnsi="Times New Roman"/>
                <w:i/>
                <w:sz w:val="20"/>
                <w:szCs w:val="20"/>
              </w:rPr>
              <w:t>’</w:t>
            </w:r>
            <w:r w:rsidRPr="00EA7987">
              <w:rPr>
                <w:rFonts w:ascii="Times New Roman" w:hAnsi="Times New Roman"/>
                <w:sz w:val="20"/>
                <w:szCs w:val="20"/>
              </w:rPr>
              <w:t xml:space="preserve"> contract and agency and/ or profit sharing contract</w:t>
            </w:r>
          </w:p>
        </w:tc>
        <w:tc>
          <w:tcPr>
            <w:tcW w:w="4788" w:type="dxa"/>
            <w:tcBorders>
              <w:top w:val="single" w:sz="4" w:space="0" w:color="auto"/>
            </w:tcBorders>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Contract of exchange (sale and purchase) between insurer and insured</w:t>
            </w:r>
          </w:p>
        </w:tc>
      </w:tr>
      <w:tr w:rsidR="00425D18" w:rsidRPr="00EA7987" w:rsidTr="00EA7987">
        <w:trPr>
          <w:trHeight w:val="562"/>
        </w:trPr>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Participants are duty-bounded to make contributions to the scheme and expected to mutually share the surplus</w:t>
            </w:r>
          </w:p>
        </w:tc>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Policyholders are duty-bounded to pay premium to the insurer</w:t>
            </w:r>
          </w:p>
        </w:tc>
      </w:tr>
      <w:tr w:rsidR="00425D18" w:rsidRPr="00EA7987" w:rsidTr="00EA7987">
        <w:trPr>
          <w:trHeight w:val="868"/>
        </w:trPr>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i/>
                <w:sz w:val="20"/>
                <w:szCs w:val="20"/>
              </w:rPr>
              <w:t>Takaful</w:t>
            </w:r>
            <w:r w:rsidRPr="00EA7987">
              <w:rPr>
                <w:rFonts w:ascii="Times New Roman" w:hAnsi="Times New Roman"/>
                <w:sz w:val="20"/>
                <w:szCs w:val="20"/>
              </w:rPr>
              <w:t xml:space="preserve"> operator earns a return for rendering a service of managing the </w:t>
            </w:r>
            <w:proofErr w:type="spellStart"/>
            <w:r w:rsidRPr="00EA7987">
              <w:rPr>
                <w:rFonts w:ascii="Times New Roman" w:hAnsi="Times New Roman"/>
                <w:i/>
                <w:sz w:val="20"/>
                <w:szCs w:val="20"/>
              </w:rPr>
              <w:t>takaful</w:t>
            </w:r>
            <w:proofErr w:type="spellEnd"/>
            <w:r w:rsidRPr="00EA7987">
              <w:rPr>
                <w:rFonts w:ascii="Times New Roman" w:hAnsi="Times New Roman"/>
                <w:sz w:val="20"/>
                <w:szCs w:val="20"/>
              </w:rPr>
              <w:t xml:space="preserve"> </w:t>
            </w:r>
            <w:proofErr w:type="spellStart"/>
            <w:r w:rsidRPr="00EA7987">
              <w:rPr>
                <w:rFonts w:ascii="Times New Roman" w:hAnsi="Times New Roman"/>
                <w:sz w:val="20"/>
                <w:szCs w:val="20"/>
              </w:rPr>
              <w:t>programme</w:t>
            </w:r>
            <w:proofErr w:type="spellEnd"/>
            <w:r w:rsidRPr="00EA7987">
              <w:rPr>
                <w:rFonts w:ascii="Times New Roman" w:hAnsi="Times New Roman"/>
                <w:sz w:val="20"/>
                <w:szCs w:val="20"/>
              </w:rPr>
              <w:t xml:space="preserve"> and from the </w:t>
            </w:r>
            <w:proofErr w:type="spellStart"/>
            <w:r w:rsidRPr="00EA7987">
              <w:rPr>
                <w:rFonts w:ascii="Times New Roman" w:hAnsi="Times New Roman"/>
                <w:i/>
                <w:sz w:val="20"/>
                <w:szCs w:val="20"/>
              </w:rPr>
              <w:t>mudharabah</w:t>
            </w:r>
            <w:proofErr w:type="spellEnd"/>
            <w:r w:rsidRPr="00EA7987">
              <w:rPr>
                <w:rFonts w:ascii="Times New Roman" w:hAnsi="Times New Roman"/>
                <w:sz w:val="20"/>
                <w:szCs w:val="20"/>
              </w:rPr>
              <w:t xml:space="preserve"> profit sharing scheme as </w:t>
            </w:r>
            <w:proofErr w:type="spellStart"/>
            <w:r w:rsidRPr="00EA7987">
              <w:rPr>
                <w:rFonts w:ascii="Times New Roman" w:hAnsi="Times New Roman"/>
                <w:i/>
                <w:sz w:val="20"/>
                <w:szCs w:val="20"/>
              </w:rPr>
              <w:t>mudarib</w:t>
            </w:r>
            <w:proofErr w:type="spellEnd"/>
          </w:p>
        </w:tc>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Insurance company makes profits from underwriting surplus</w:t>
            </w:r>
          </w:p>
        </w:tc>
      </w:tr>
      <w:tr w:rsidR="00425D18" w:rsidRPr="00EA7987" w:rsidTr="00EA7987">
        <w:trPr>
          <w:trHeight w:val="980"/>
        </w:trPr>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Counter-value (‘</w:t>
            </w:r>
            <w:proofErr w:type="spellStart"/>
            <w:r w:rsidRPr="00EA7987">
              <w:rPr>
                <w:rFonts w:ascii="Times New Roman" w:hAnsi="Times New Roman"/>
                <w:i/>
                <w:sz w:val="20"/>
                <w:szCs w:val="20"/>
              </w:rPr>
              <w:t>iwad</w:t>
            </w:r>
            <w:proofErr w:type="spellEnd"/>
            <w:r w:rsidRPr="00EA7987">
              <w:rPr>
                <w:rFonts w:ascii="Times New Roman" w:hAnsi="Times New Roman"/>
                <w:sz w:val="20"/>
                <w:szCs w:val="20"/>
              </w:rPr>
              <w:t>) is effort and/ or undertaking of risk</w:t>
            </w:r>
          </w:p>
        </w:tc>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No clear valid counter-value. Sources of profits is anticipating (hoping) that the uncertain future will be in their favor (that total premiums will be exceed total claims)</w:t>
            </w:r>
          </w:p>
        </w:tc>
      </w:tr>
      <w:tr w:rsidR="00425D18" w:rsidRPr="00EA7987" w:rsidTr="00EA7987">
        <w:trPr>
          <w:trHeight w:val="994"/>
        </w:trPr>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i/>
                <w:sz w:val="20"/>
                <w:szCs w:val="20"/>
              </w:rPr>
              <w:t>Takaful</w:t>
            </w:r>
            <w:r w:rsidRPr="00EA7987">
              <w:rPr>
                <w:rFonts w:ascii="Times New Roman" w:hAnsi="Times New Roman"/>
                <w:sz w:val="20"/>
                <w:szCs w:val="20"/>
              </w:rPr>
              <w:t xml:space="preserve"> operators acts as administrator of the </w:t>
            </w:r>
            <w:proofErr w:type="spellStart"/>
            <w:r w:rsidRPr="00EA7987">
              <w:rPr>
                <w:rFonts w:ascii="Times New Roman" w:hAnsi="Times New Roman"/>
                <w:i/>
                <w:sz w:val="20"/>
                <w:szCs w:val="20"/>
              </w:rPr>
              <w:t>takaful</w:t>
            </w:r>
            <w:proofErr w:type="spellEnd"/>
            <w:r w:rsidRPr="00EA7987">
              <w:rPr>
                <w:rFonts w:ascii="Times New Roman" w:hAnsi="Times New Roman"/>
                <w:sz w:val="20"/>
                <w:szCs w:val="20"/>
              </w:rPr>
              <w:t xml:space="preserve"> fund and pays benefits for it. Any insufficiency in the fund will be rectified by the </w:t>
            </w:r>
            <w:proofErr w:type="spellStart"/>
            <w:r w:rsidRPr="00EA7987">
              <w:rPr>
                <w:rFonts w:ascii="Times New Roman" w:hAnsi="Times New Roman"/>
                <w:i/>
                <w:sz w:val="20"/>
                <w:szCs w:val="20"/>
              </w:rPr>
              <w:t>takaful</w:t>
            </w:r>
            <w:proofErr w:type="spellEnd"/>
            <w:r w:rsidRPr="00EA7987">
              <w:rPr>
                <w:rFonts w:ascii="Times New Roman" w:hAnsi="Times New Roman"/>
                <w:sz w:val="20"/>
                <w:szCs w:val="20"/>
              </w:rPr>
              <w:t xml:space="preserve"> operator via interest-free loans.</w:t>
            </w:r>
          </w:p>
        </w:tc>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Insurer is liable to pay the benefits as promised from insurance funds and/ or shareholder’s fund.</w:t>
            </w:r>
          </w:p>
        </w:tc>
      </w:tr>
      <w:tr w:rsidR="00425D18" w:rsidRPr="00EA7987" w:rsidTr="00EA7987">
        <w:trPr>
          <w:trHeight w:val="568"/>
        </w:trPr>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Indemnification component is based on mutual contribution, reciprocal  donation (</w:t>
            </w:r>
            <w:proofErr w:type="spellStart"/>
            <w:r w:rsidRPr="00EA7987">
              <w:rPr>
                <w:rFonts w:ascii="Times New Roman" w:hAnsi="Times New Roman"/>
                <w:i/>
                <w:sz w:val="20"/>
                <w:szCs w:val="20"/>
              </w:rPr>
              <w:t>tabarru</w:t>
            </w:r>
            <w:proofErr w:type="spellEnd"/>
            <w:r w:rsidRPr="00EA7987">
              <w:rPr>
                <w:rFonts w:ascii="Times New Roman" w:hAnsi="Times New Roman"/>
                <w:i/>
                <w:sz w:val="20"/>
                <w:szCs w:val="20"/>
              </w:rPr>
              <w:t>’</w:t>
            </w:r>
            <w:r w:rsidRPr="00EA7987">
              <w:rPr>
                <w:rFonts w:ascii="Times New Roman" w:hAnsi="Times New Roman"/>
                <w:sz w:val="20"/>
                <w:szCs w:val="20"/>
              </w:rPr>
              <w:t>)</w:t>
            </w:r>
          </w:p>
        </w:tc>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Indemnification component is a commercial relationship between the insurance company and insured.</w:t>
            </w:r>
          </w:p>
        </w:tc>
      </w:tr>
      <w:tr w:rsidR="00425D18" w:rsidRPr="00EA7987" w:rsidTr="00EA7987">
        <w:trPr>
          <w:trHeight w:val="860"/>
        </w:trPr>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 xml:space="preserve">There is no insurer-insured relationship between </w:t>
            </w:r>
            <w:proofErr w:type="spellStart"/>
            <w:r w:rsidRPr="00EA7987">
              <w:rPr>
                <w:rFonts w:ascii="Times New Roman" w:hAnsi="Times New Roman"/>
                <w:i/>
                <w:sz w:val="20"/>
                <w:szCs w:val="20"/>
              </w:rPr>
              <w:t>takaful</w:t>
            </w:r>
            <w:proofErr w:type="spellEnd"/>
            <w:r w:rsidRPr="00EA7987">
              <w:rPr>
                <w:rFonts w:ascii="Times New Roman" w:hAnsi="Times New Roman"/>
                <w:sz w:val="20"/>
                <w:szCs w:val="20"/>
              </w:rPr>
              <w:t xml:space="preserve"> operator and participants. Participants act as both insured and the insurer simultaneously</w:t>
            </w:r>
          </w:p>
        </w:tc>
        <w:tc>
          <w:tcPr>
            <w:tcW w:w="4788" w:type="dxa"/>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There is a clear insurer-insured relationship</w:t>
            </w:r>
          </w:p>
        </w:tc>
      </w:tr>
      <w:tr w:rsidR="00425D18" w:rsidRPr="00EA7987" w:rsidTr="00EA7987">
        <w:tc>
          <w:tcPr>
            <w:tcW w:w="4788" w:type="dxa"/>
            <w:tcBorders>
              <w:bottom w:val="single" w:sz="4" w:space="0" w:color="auto"/>
            </w:tcBorders>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i/>
                <w:sz w:val="20"/>
                <w:szCs w:val="20"/>
              </w:rPr>
              <w:t>Takaful</w:t>
            </w:r>
            <w:r w:rsidRPr="00EA7987">
              <w:rPr>
                <w:rFonts w:ascii="Times New Roman" w:hAnsi="Times New Roman"/>
                <w:sz w:val="20"/>
                <w:szCs w:val="20"/>
              </w:rPr>
              <w:t xml:space="preserve"> fund must be invested in </w:t>
            </w:r>
            <w:proofErr w:type="spellStart"/>
            <w:r w:rsidRPr="00EA7987">
              <w:rPr>
                <w:rFonts w:ascii="Times New Roman" w:hAnsi="Times New Roman"/>
                <w:i/>
                <w:sz w:val="20"/>
                <w:szCs w:val="20"/>
              </w:rPr>
              <w:t>Shariah</w:t>
            </w:r>
            <w:proofErr w:type="spellEnd"/>
            <w:r w:rsidRPr="00EA7987">
              <w:rPr>
                <w:rFonts w:ascii="Times New Roman" w:hAnsi="Times New Roman"/>
                <w:sz w:val="20"/>
                <w:szCs w:val="20"/>
              </w:rPr>
              <w:t>-complaint instruments</w:t>
            </w:r>
          </w:p>
        </w:tc>
        <w:tc>
          <w:tcPr>
            <w:tcW w:w="4788" w:type="dxa"/>
            <w:tcBorders>
              <w:bottom w:val="single" w:sz="4" w:space="0" w:color="auto"/>
            </w:tcBorders>
            <w:shd w:val="clear" w:color="auto" w:fill="auto"/>
          </w:tcPr>
          <w:p w:rsidR="00425D18" w:rsidRPr="00EA7987" w:rsidRDefault="00425D18" w:rsidP="00EA7987">
            <w:pPr>
              <w:spacing w:after="0" w:line="240" w:lineRule="auto"/>
              <w:rPr>
                <w:rFonts w:ascii="Times New Roman" w:hAnsi="Times New Roman"/>
                <w:b/>
                <w:sz w:val="24"/>
              </w:rPr>
            </w:pPr>
            <w:r w:rsidRPr="00EA7987">
              <w:rPr>
                <w:rFonts w:ascii="Times New Roman" w:hAnsi="Times New Roman"/>
                <w:sz w:val="20"/>
                <w:szCs w:val="20"/>
              </w:rPr>
              <w:t>There is no restriction in investment of funds.</w:t>
            </w:r>
          </w:p>
        </w:tc>
      </w:tr>
    </w:tbl>
    <w:p w:rsidR="002436E9" w:rsidRPr="00B34055" w:rsidRDefault="002436E9" w:rsidP="002436E9">
      <w:pPr>
        <w:spacing w:after="0" w:line="240" w:lineRule="auto"/>
        <w:rPr>
          <w:rFonts w:ascii="Times New Roman" w:hAnsi="Times New Roman"/>
          <w:bCs/>
          <w:sz w:val="20"/>
        </w:rPr>
      </w:pPr>
      <w:r w:rsidRPr="00B34055">
        <w:rPr>
          <w:rFonts w:ascii="Times New Roman" w:hAnsi="Times New Roman"/>
          <w:bCs/>
          <w:sz w:val="20"/>
        </w:rPr>
        <w:t xml:space="preserve">Source: International </w:t>
      </w:r>
      <w:proofErr w:type="spellStart"/>
      <w:r w:rsidRPr="00B34055">
        <w:rPr>
          <w:rFonts w:ascii="Times New Roman" w:hAnsi="Times New Roman"/>
          <w:bCs/>
          <w:sz w:val="20"/>
        </w:rPr>
        <w:t>Shariah</w:t>
      </w:r>
      <w:proofErr w:type="spellEnd"/>
      <w:r w:rsidRPr="00B34055">
        <w:rPr>
          <w:rFonts w:ascii="Times New Roman" w:hAnsi="Times New Roman"/>
          <w:bCs/>
          <w:sz w:val="20"/>
        </w:rPr>
        <w:t xml:space="preserve"> Research Aca</w:t>
      </w:r>
      <w:r w:rsidR="00914031">
        <w:rPr>
          <w:rFonts w:ascii="Times New Roman" w:hAnsi="Times New Roman"/>
          <w:bCs/>
          <w:sz w:val="20"/>
        </w:rPr>
        <w:t>demic for Islamic Finance, 2011</w:t>
      </w:r>
    </w:p>
    <w:p w:rsidR="00400BCD" w:rsidRDefault="00400BCD" w:rsidP="00A30460">
      <w:pPr>
        <w:pStyle w:val="NoSpacing"/>
        <w:jc w:val="both"/>
        <w:rPr>
          <w:rFonts w:ascii="Times New Roman" w:hAnsi="Times New Roman"/>
          <w:sz w:val="24"/>
          <w:szCs w:val="24"/>
        </w:rPr>
      </w:pPr>
    </w:p>
    <w:p w:rsidR="00A30460" w:rsidRPr="00A30460" w:rsidRDefault="00F805C9" w:rsidP="00400BCD">
      <w:pPr>
        <w:pStyle w:val="NoSpacing"/>
        <w:ind w:firstLine="360"/>
        <w:jc w:val="both"/>
        <w:rPr>
          <w:rFonts w:ascii="Times New Roman" w:hAnsi="Times New Roman"/>
          <w:sz w:val="24"/>
          <w:szCs w:val="24"/>
        </w:rPr>
      </w:pPr>
      <w:r>
        <w:rPr>
          <w:rFonts w:ascii="Times New Roman" w:hAnsi="Times New Roman"/>
          <w:sz w:val="24"/>
          <w:szCs w:val="24"/>
        </w:rPr>
        <w:t>Gen</w:t>
      </w:r>
      <w:r w:rsidR="00876CE9">
        <w:rPr>
          <w:rFonts w:ascii="Times New Roman" w:hAnsi="Times New Roman"/>
          <w:sz w:val="24"/>
          <w:szCs w:val="24"/>
        </w:rPr>
        <w:t>e</w:t>
      </w:r>
      <w:r>
        <w:rPr>
          <w:rFonts w:ascii="Times New Roman" w:hAnsi="Times New Roman"/>
          <w:sz w:val="24"/>
          <w:szCs w:val="24"/>
        </w:rPr>
        <w:t>rally</w:t>
      </w:r>
      <w:r w:rsidR="00A30460" w:rsidRPr="00A30460">
        <w:rPr>
          <w:rFonts w:ascii="Times New Roman" w:hAnsi="Times New Roman"/>
          <w:sz w:val="24"/>
          <w:szCs w:val="24"/>
        </w:rPr>
        <w:t xml:space="preserve">, </w:t>
      </w:r>
      <w:proofErr w:type="spellStart"/>
      <w:r w:rsidR="00D9301C">
        <w:rPr>
          <w:rFonts w:ascii="Times New Roman" w:hAnsi="Times New Roman"/>
          <w:sz w:val="24"/>
          <w:szCs w:val="24"/>
        </w:rPr>
        <w:t>t</w:t>
      </w:r>
      <w:r w:rsidR="00A30460" w:rsidRPr="00A30460">
        <w:rPr>
          <w:rFonts w:ascii="Times New Roman" w:hAnsi="Times New Roman"/>
          <w:sz w:val="24"/>
          <w:szCs w:val="24"/>
        </w:rPr>
        <w:t>akaful</w:t>
      </w:r>
      <w:proofErr w:type="spellEnd"/>
      <w:r w:rsidR="00A30460" w:rsidRPr="00A30460">
        <w:rPr>
          <w:rFonts w:ascii="Times New Roman" w:hAnsi="Times New Roman"/>
          <w:sz w:val="24"/>
          <w:szCs w:val="24"/>
        </w:rPr>
        <w:t xml:space="preserve"> </w:t>
      </w:r>
      <w:r w:rsidR="001F2B97" w:rsidRPr="00A30460">
        <w:rPr>
          <w:rFonts w:ascii="Times New Roman" w:hAnsi="Times New Roman"/>
          <w:sz w:val="24"/>
          <w:szCs w:val="24"/>
        </w:rPr>
        <w:t>education</w:t>
      </w:r>
      <w:r w:rsidR="001F2B97">
        <w:rPr>
          <w:rFonts w:ascii="Times New Roman" w:hAnsi="Times New Roman"/>
          <w:sz w:val="24"/>
          <w:szCs w:val="24"/>
        </w:rPr>
        <w:t xml:space="preserve"> </w:t>
      </w:r>
      <w:r w:rsidR="00D9301C">
        <w:rPr>
          <w:rFonts w:ascii="Times New Roman" w:hAnsi="Times New Roman"/>
          <w:sz w:val="24"/>
          <w:szCs w:val="24"/>
        </w:rPr>
        <w:t>p</w:t>
      </w:r>
      <w:r w:rsidR="001F2B97">
        <w:rPr>
          <w:rFonts w:ascii="Times New Roman" w:hAnsi="Times New Roman"/>
          <w:sz w:val="24"/>
          <w:szCs w:val="24"/>
        </w:rPr>
        <w:t xml:space="preserve">lan </w:t>
      </w:r>
      <w:r w:rsidR="00A30460" w:rsidRPr="00A30460">
        <w:rPr>
          <w:rFonts w:ascii="Times New Roman" w:hAnsi="Times New Roman"/>
          <w:sz w:val="24"/>
          <w:szCs w:val="24"/>
        </w:rPr>
        <w:t xml:space="preserve">could act as a scholarship fund to finance the higher education of children in the future. </w:t>
      </w:r>
      <w:r w:rsidR="002E5AE3" w:rsidRPr="00A30460">
        <w:rPr>
          <w:rFonts w:ascii="Times New Roman" w:hAnsi="Times New Roman"/>
          <w:sz w:val="24"/>
          <w:szCs w:val="24"/>
        </w:rPr>
        <w:t>These plans encourage parental savings and protect</w:t>
      </w:r>
      <w:r w:rsidR="00A30460" w:rsidRPr="00A30460">
        <w:rPr>
          <w:rFonts w:ascii="Times New Roman" w:hAnsi="Times New Roman"/>
          <w:sz w:val="24"/>
          <w:szCs w:val="24"/>
        </w:rPr>
        <w:t xml:space="preserve"> themselves against personal risk. </w:t>
      </w:r>
      <w:proofErr w:type="spellStart"/>
      <w:r w:rsidR="00A30460" w:rsidRPr="00A30460">
        <w:rPr>
          <w:rFonts w:ascii="Times New Roman" w:hAnsi="Times New Roman"/>
          <w:sz w:val="24"/>
          <w:szCs w:val="24"/>
        </w:rPr>
        <w:t>Jamaldeen</w:t>
      </w:r>
      <w:proofErr w:type="spellEnd"/>
      <w:r w:rsidR="00897650">
        <w:rPr>
          <w:rFonts w:ascii="Times New Roman" w:hAnsi="Times New Roman"/>
          <w:sz w:val="24"/>
          <w:szCs w:val="24"/>
        </w:rPr>
        <w:t xml:space="preserve"> </w:t>
      </w:r>
      <w:r w:rsidR="00A30460" w:rsidRPr="00A30460">
        <w:rPr>
          <w:rFonts w:ascii="Times New Roman" w:hAnsi="Times New Roman"/>
          <w:sz w:val="24"/>
          <w:szCs w:val="24"/>
        </w:rPr>
        <w:t xml:space="preserve">(2012) defines </w:t>
      </w:r>
      <w:proofErr w:type="spellStart"/>
      <w:r w:rsidR="00932A4B">
        <w:rPr>
          <w:rFonts w:ascii="Times New Roman" w:hAnsi="Times New Roman"/>
          <w:sz w:val="24"/>
          <w:szCs w:val="24"/>
        </w:rPr>
        <w:t>takaful</w:t>
      </w:r>
      <w:proofErr w:type="spellEnd"/>
      <w:r w:rsidR="00932A4B">
        <w:rPr>
          <w:rFonts w:ascii="Times New Roman" w:hAnsi="Times New Roman"/>
          <w:sz w:val="24"/>
          <w:szCs w:val="24"/>
        </w:rPr>
        <w:t xml:space="preserve"> </w:t>
      </w:r>
      <w:r w:rsidR="00A30460" w:rsidRPr="00A30460">
        <w:rPr>
          <w:rFonts w:ascii="Times New Roman" w:hAnsi="Times New Roman"/>
          <w:sz w:val="24"/>
          <w:szCs w:val="24"/>
        </w:rPr>
        <w:t xml:space="preserve">education plan as a plan that promotes savings for the future needs of </w:t>
      </w:r>
      <w:r w:rsidR="00D9301C">
        <w:rPr>
          <w:rFonts w:ascii="Times New Roman" w:hAnsi="Times New Roman"/>
          <w:sz w:val="24"/>
          <w:szCs w:val="24"/>
        </w:rPr>
        <w:t>children</w:t>
      </w:r>
      <w:r w:rsidR="00A30460" w:rsidRPr="00A30460">
        <w:rPr>
          <w:rFonts w:ascii="Times New Roman" w:hAnsi="Times New Roman"/>
          <w:sz w:val="24"/>
          <w:szCs w:val="24"/>
        </w:rPr>
        <w:t>'s education</w:t>
      </w:r>
      <w:r w:rsidR="00BC47AE">
        <w:rPr>
          <w:rFonts w:ascii="Times New Roman" w:hAnsi="Times New Roman"/>
          <w:sz w:val="24"/>
          <w:szCs w:val="24"/>
        </w:rPr>
        <w:t xml:space="preserve"> </w:t>
      </w:r>
      <w:r w:rsidR="007838A4">
        <w:rPr>
          <w:rFonts w:ascii="Times New Roman" w:hAnsi="Times New Roman"/>
          <w:sz w:val="24"/>
          <w:szCs w:val="24"/>
        </w:rPr>
        <w:t xml:space="preserve">and </w:t>
      </w:r>
      <w:r w:rsidR="00A30460" w:rsidRPr="00A30460">
        <w:rPr>
          <w:rFonts w:ascii="Times New Roman" w:hAnsi="Times New Roman"/>
          <w:sz w:val="24"/>
          <w:szCs w:val="24"/>
        </w:rPr>
        <w:t xml:space="preserve">protection against the risk of disability, death or critical illness during the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contract period. If these risks occur to the participant,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operators will contribute fund for the remaining contract period covered to fulfill the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plan's goal i.e. accumulation of fund for future education. </w:t>
      </w:r>
      <w:r w:rsidR="00CA5A00">
        <w:rPr>
          <w:rFonts w:ascii="Times New Roman" w:hAnsi="Times New Roman"/>
          <w:sz w:val="24"/>
          <w:szCs w:val="24"/>
        </w:rPr>
        <w:t>In Malaysia f</w:t>
      </w:r>
      <w:r w:rsidR="00FE14D9">
        <w:rPr>
          <w:rFonts w:ascii="Times New Roman" w:hAnsi="Times New Roman"/>
          <w:sz w:val="24"/>
          <w:szCs w:val="24"/>
        </w:rPr>
        <w:t xml:space="preserve">or instance, </w:t>
      </w:r>
      <w:proofErr w:type="spellStart"/>
      <w:r w:rsidR="00CA5A00" w:rsidRPr="00A30460">
        <w:rPr>
          <w:rFonts w:ascii="Times New Roman" w:hAnsi="Times New Roman"/>
          <w:sz w:val="24"/>
          <w:szCs w:val="24"/>
        </w:rPr>
        <w:t>Ikhlas</w:t>
      </w:r>
      <w:proofErr w:type="spellEnd"/>
      <w:r w:rsidR="00CA5A00" w:rsidRPr="00A30460">
        <w:rPr>
          <w:rFonts w:ascii="Times New Roman" w:hAnsi="Times New Roman"/>
          <w:sz w:val="24"/>
          <w:szCs w:val="24"/>
        </w:rPr>
        <w:t xml:space="preserve"> Education Takaful</w:t>
      </w:r>
      <w:r w:rsidR="00CA5A00">
        <w:rPr>
          <w:rFonts w:ascii="Times New Roman" w:hAnsi="Times New Roman"/>
          <w:sz w:val="24"/>
          <w:szCs w:val="24"/>
        </w:rPr>
        <w:t xml:space="preserve"> by </w:t>
      </w:r>
      <w:r w:rsidR="00CA5A00" w:rsidRPr="00A30460">
        <w:rPr>
          <w:rFonts w:ascii="Times New Roman" w:hAnsi="Times New Roman"/>
          <w:sz w:val="24"/>
          <w:szCs w:val="24"/>
        </w:rPr>
        <w:t xml:space="preserve">Syarikat Takaful </w:t>
      </w:r>
      <w:proofErr w:type="spellStart"/>
      <w:r w:rsidR="00CA5A00" w:rsidRPr="00A30460">
        <w:rPr>
          <w:rFonts w:ascii="Times New Roman" w:hAnsi="Times New Roman"/>
          <w:sz w:val="24"/>
          <w:szCs w:val="24"/>
        </w:rPr>
        <w:t>Ikhlas</w:t>
      </w:r>
      <w:proofErr w:type="spellEnd"/>
      <w:r w:rsidR="00CA5A00" w:rsidRPr="00A30460">
        <w:rPr>
          <w:rFonts w:ascii="Times New Roman" w:hAnsi="Times New Roman"/>
          <w:sz w:val="24"/>
          <w:szCs w:val="24"/>
        </w:rPr>
        <w:t xml:space="preserve"> </w:t>
      </w:r>
      <w:proofErr w:type="spellStart"/>
      <w:r w:rsidR="00CA5A00" w:rsidRPr="00A30460">
        <w:rPr>
          <w:rFonts w:ascii="Times New Roman" w:hAnsi="Times New Roman"/>
          <w:sz w:val="24"/>
          <w:szCs w:val="24"/>
        </w:rPr>
        <w:t>Sdn</w:t>
      </w:r>
      <w:proofErr w:type="spellEnd"/>
      <w:r w:rsidR="00CA5A00" w:rsidRPr="00A30460">
        <w:rPr>
          <w:rFonts w:ascii="Times New Roman" w:hAnsi="Times New Roman"/>
          <w:sz w:val="24"/>
          <w:szCs w:val="24"/>
        </w:rPr>
        <w:t xml:space="preserve"> </w:t>
      </w:r>
      <w:proofErr w:type="spellStart"/>
      <w:r w:rsidR="00CA5A00" w:rsidRPr="00A30460">
        <w:rPr>
          <w:rFonts w:ascii="Times New Roman" w:hAnsi="Times New Roman"/>
          <w:sz w:val="24"/>
          <w:szCs w:val="24"/>
        </w:rPr>
        <w:t>Bhd</w:t>
      </w:r>
      <w:proofErr w:type="spellEnd"/>
      <w:r w:rsidR="00CA5A00">
        <w:rPr>
          <w:rFonts w:ascii="Times New Roman" w:hAnsi="Times New Roman"/>
          <w:sz w:val="24"/>
          <w:szCs w:val="24"/>
        </w:rPr>
        <w:t xml:space="preserve"> </w:t>
      </w:r>
      <w:r w:rsidR="00A30460" w:rsidRPr="00A30460">
        <w:rPr>
          <w:rFonts w:ascii="Times New Roman" w:hAnsi="Times New Roman"/>
          <w:sz w:val="24"/>
          <w:szCs w:val="24"/>
        </w:rPr>
        <w:t>provide</w:t>
      </w:r>
      <w:r w:rsidR="00CA5A00">
        <w:rPr>
          <w:rFonts w:ascii="Times New Roman" w:hAnsi="Times New Roman"/>
          <w:sz w:val="24"/>
          <w:szCs w:val="24"/>
        </w:rPr>
        <w:t>s</w:t>
      </w:r>
      <w:r w:rsidR="00A30460" w:rsidRPr="00A30460">
        <w:rPr>
          <w:rFonts w:ascii="Times New Roman" w:hAnsi="Times New Roman"/>
          <w:sz w:val="24"/>
          <w:szCs w:val="24"/>
        </w:rPr>
        <w:t xml:space="preserve"> </w:t>
      </w:r>
      <w:r w:rsidR="00CA5A00">
        <w:rPr>
          <w:rFonts w:ascii="Times New Roman" w:hAnsi="Times New Roman"/>
          <w:sz w:val="24"/>
          <w:szCs w:val="24"/>
        </w:rPr>
        <w:t xml:space="preserve">a </w:t>
      </w:r>
      <w:r w:rsidR="00A30460" w:rsidRPr="00A30460">
        <w:rPr>
          <w:rFonts w:ascii="Times New Roman" w:hAnsi="Times New Roman"/>
          <w:sz w:val="24"/>
          <w:szCs w:val="24"/>
        </w:rPr>
        <w:t xml:space="preserve">long term protection needs </w:t>
      </w:r>
      <w:r w:rsidR="003F15AC">
        <w:rPr>
          <w:rFonts w:ascii="Times New Roman" w:hAnsi="Times New Roman"/>
          <w:sz w:val="24"/>
          <w:szCs w:val="24"/>
        </w:rPr>
        <w:t xml:space="preserve">and future education savings </w:t>
      </w:r>
      <w:r w:rsidR="00A30460" w:rsidRPr="00A30460">
        <w:rPr>
          <w:rFonts w:ascii="Times New Roman" w:hAnsi="Times New Roman"/>
          <w:sz w:val="24"/>
          <w:szCs w:val="24"/>
        </w:rPr>
        <w:t xml:space="preserve">for children aged 30 days up to 12 years. In addition, </w:t>
      </w:r>
      <w:r w:rsidR="00EA276C">
        <w:rPr>
          <w:rFonts w:ascii="Times New Roman" w:hAnsi="Times New Roman"/>
          <w:sz w:val="24"/>
          <w:szCs w:val="24"/>
        </w:rPr>
        <w:t>some education plan</w:t>
      </w:r>
      <w:r w:rsidR="007838A4">
        <w:rPr>
          <w:rFonts w:ascii="Times New Roman" w:hAnsi="Times New Roman"/>
          <w:sz w:val="24"/>
          <w:szCs w:val="24"/>
        </w:rPr>
        <w:t>s</w:t>
      </w:r>
      <w:r w:rsidR="00EA276C">
        <w:rPr>
          <w:rFonts w:ascii="Times New Roman" w:hAnsi="Times New Roman"/>
          <w:sz w:val="24"/>
          <w:szCs w:val="24"/>
        </w:rPr>
        <w:t xml:space="preserve"> such </w:t>
      </w:r>
      <w:proofErr w:type="spellStart"/>
      <w:r w:rsidR="00EA276C">
        <w:rPr>
          <w:rFonts w:ascii="Times New Roman" w:hAnsi="Times New Roman"/>
          <w:sz w:val="24"/>
          <w:szCs w:val="24"/>
        </w:rPr>
        <w:t>Intelek</w:t>
      </w:r>
      <w:proofErr w:type="spellEnd"/>
      <w:r w:rsidR="00EA276C">
        <w:rPr>
          <w:rFonts w:ascii="Times New Roman" w:hAnsi="Times New Roman"/>
          <w:sz w:val="24"/>
          <w:szCs w:val="24"/>
        </w:rPr>
        <w:t xml:space="preserve"> from </w:t>
      </w:r>
      <w:proofErr w:type="spellStart"/>
      <w:r w:rsidR="00A30460" w:rsidRPr="00A30460">
        <w:rPr>
          <w:rFonts w:ascii="Times New Roman" w:hAnsi="Times New Roman"/>
          <w:sz w:val="24"/>
          <w:szCs w:val="24"/>
        </w:rPr>
        <w:t>Etiqa</w:t>
      </w:r>
      <w:proofErr w:type="spellEnd"/>
      <w:r w:rsidR="00A30460" w:rsidRPr="00A30460">
        <w:rPr>
          <w:rFonts w:ascii="Times New Roman" w:hAnsi="Times New Roman"/>
          <w:sz w:val="24"/>
          <w:szCs w:val="24"/>
        </w:rPr>
        <w:t xml:space="preserve"> Takaful </w:t>
      </w:r>
      <w:proofErr w:type="spellStart"/>
      <w:r w:rsidR="00A30460" w:rsidRPr="00A30460">
        <w:rPr>
          <w:rFonts w:ascii="Times New Roman" w:hAnsi="Times New Roman"/>
          <w:sz w:val="24"/>
          <w:szCs w:val="24"/>
        </w:rPr>
        <w:t>Berhad</w:t>
      </w:r>
      <w:proofErr w:type="spellEnd"/>
      <w:r w:rsidR="00A30460" w:rsidRPr="00A30460">
        <w:rPr>
          <w:rFonts w:ascii="Times New Roman" w:hAnsi="Times New Roman"/>
          <w:sz w:val="24"/>
          <w:szCs w:val="24"/>
        </w:rPr>
        <w:t xml:space="preserve"> provides rewards for children </w:t>
      </w:r>
      <w:r w:rsidR="007838A4">
        <w:rPr>
          <w:rFonts w:ascii="Times New Roman" w:hAnsi="Times New Roman"/>
          <w:sz w:val="24"/>
          <w:szCs w:val="24"/>
        </w:rPr>
        <w:t>on</w:t>
      </w:r>
      <w:r w:rsidR="00A30460" w:rsidRPr="00A30460">
        <w:rPr>
          <w:rFonts w:ascii="Times New Roman" w:hAnsi="Times New Roman"/>
          <w:sz w:val="24"/>
          <w:szCs w:val="24"/>
        </w:rPr>
        <w:t xml:space="preserve"> their outstanding achievements. </w:t>
      </w:r>
      <w:r w:rsidR="00104E0F">
        <w:rPr>
          <w:rFonts w:ascii="Times New Roman" w:hAnsi="Times New Roman"/>
          <w:sz w:val="24"/>
          <w:szCs w:val="24"/>
        </w:rPr>
        <w:t>Historically</w:t>
      </w:r>
      <w:r w:rsidR="00A30460" w:rsidRPr="00A30460">
        <w:rPr>
          <w:rFonts w:ascii="Times New Roman" w:hAnsi="Times New Roman"/>
          <w:sz w:val="24"/>
          <w:szCs w:val="24"/>
        </w:rPr>
        <w:t xml:space="preserve">, various innovations and development of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products have been carried out since its inception in 1984 to stimulate the growth and </w:t>
      </w:r>
      <w:r w:rsidR="00A30460" w:rsidRPr="00A30460">
        <w:rPr>
          <w:rFonts w:ascii="Times New Roman" w:hAnsi="Times New Roman"/>
          <w:sz w:val="24"/>
          <w:szCs w:val="24"/>
        </w:rPr>
        <w:lastRenderedPageBreak/>
        <w:t xml:space="preserve">demand for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plans. However, part</w:t>
      </w:r>
      <w:r w:rsidR="007838A4">
        <w:rPr>
          <w:rFonts w:ascii="Times New Roman" w:hAnsi="Times New Roman"/>
          <w:sz w:val="24"/>
          <w:szCs w:val="24"/>
        </w:rPr>
        <w:t xml:space="preserve">icipation in </w:t>
      </w:r>
      <w:proofErr w:type="spellStart"/>
      <w:r w:rsidR="007838A4">
        <w:rPr>
          <w:rFonts w:ascii="Times New Roman" w:hAnsi="Times New Roman"/>
          <w:sz w:val="24"/>
          <w:szCs w:val="24"/>
        </w:rPr>
        <w:t>takaful</w:t>
      </w:r>
      <w:proofErr w:type="spellEnd"/>
      <w:r w:rsidR="007838A4">
        <w:rPr>
          <w:rFonts w:ascii="Times New Roman" w:hAnsi="Times New Roman"/>
          <w:sz w:val="24"/>
          <w:szCs w:val="24"/>
        </w:rPr>
        <w:t xml:space="preserve"> products</w:t>
      </w:r>
      <w:r w:rsidR="00A30460" w:rsidRPr="00A30460">
        <w:rPr>
          <w:rFonts w:ascii="Times New Roman" w:hAnsi="Times New Roman"/>
          <w:sz w:val="24"/>
          <w:szCs w:val="24"/>
        </w:rPr>
        <w:t xml:space="preserve"> </w:t>
      </w:r>
      <w:r w:rsidR="00104E0F">
        <w:rPr>
          <w:rFonts w:ascii="Times New Roman" w:hAnsi="Times New Roman"/>
          <w:sz w:val="24"/>
          <w:szCs w:val="24"/>
        </w:rPr>
        <w:t>remain</w:t>
      </w:r>
      <w:r w:rsidR="007838A4">
        <w:rPr>
          <w:rFonts w:ascii="Times New Roman" w:hAnsi="Times New Roman"/>
          <w:sz w:val="24"/>
          <w:szCs w:val="24"/>
        </w:rPr>
        <w:t>s</w:t>
      </w:r>
      <w:r w:rsidR="00104E0F">
        <w:rPr>
          <w:rFonts w:ascii="Times New Roman" w:hAnsi="Times New Roman"/>
          <w:sz w:val="24"/>
          <w:szCs w:val="24"/>
        </w:rPr>
        <w:t xml:space="preserve"> undesirable. </w:t>
      </w:r>
      <w:r w:rsidR="00A30460" w:rsidRPr="00A30460">
        <w:rPr>
          <w:rFonts w:ascii="Times New Roman" w:hAnsi="Times New Roman"/>
          <w:sz w:val="24"/>
          <w:szCs w:val="24"/>
        </w:rPr>
        <w:t xml:space="preserve">In 2017, only 14.66% of Malaysians were protected by family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plans</w:t>
      </w:r>
      <w:r w:rsidR="00A25066">
        <w:rPr>
          <w:rFonts w:ascii="Times New Roman" w:hAnsi="Times New Roman"/>
          <w:sz w:val="24"/>
          <w:szCs w:val="24"/>
        </w:rPr>
        <w:t xml:space="preserve"> (Malaysian Takaful Association, </w:t>
      </w:r>
      <w:r w:rsidR="00A25066" w:rsidRPr="00700BAD">
        <w:rPr>
          <w:rFonts w:ascii="Times New Roman" w:hAnsi="Times New Roman"/>
          <w:sz w:val="24"/>
          <w:szCs w:val="24"/>
        </w:rPr>
        <w:t>2017).</w:t>
      </w:r>
      <w:r w:rsidR="00A25066">
        <w:rPr>
          <w:rFonts w:ascii="Times New Roman" w:hAnsi="Times New Roman"/>
          <w:sz w:val="24"/>
          <w:szCs w:val="24"/>
        </w:rPr>
        <w:t xml:space="preserve"> Furthermore,</w:t>
      </w:r>
      <w:r w:rsidR="002C2BD5">
        <w:rPr>
          <w:rFonts w:ascii="Times New Roman" w:hAnsi="Times New Roman"/>
          <w:sz w:val="24"/>
          <w:szCs w:val="24"/>
        </w:rPr>
        <w:t xml:space="preserve"> t</w:t>
      </w:r>
      <w:r w:rsidR="00A30460" w:rsidRPr="00A30460">
        <w:rPr>
          <w:rFonts w:ascii="Times New Roman" w:hAnsi="Times New Roman"/>
          <w:sz w:val="24"/>
          <w:szCs w:val="24"/>
        </w:rPr>
        <w:t xml:space="preserve">he Malaysian Takaful Association in </w:t>
      </w:r>
      <w:proofErr w:type="spellStart"/>
      <w:r w:rsidR="00A30460" w:rsidRPr="00A30460">
        <w:rPr>
          <w:rFonts w:ascii="Times New Roman" w:hAnsi="Times New Roman"/>
          <w:sz w:val="24"/>
          <w:szCs w:val="24"/>
        </w:rPr>
        <w:t>BHonline</w:t>
      </w:r>
      <w:proofErr w:type="spellEnd"/>
      <w:r w:rsidR="00A30460" w:rsidRPr="00A30460">
        <w:rPr>
          <w:rFonts w:ascii="Times New Roman" w:hAnsi="Times New Roman"/>
          <w:sz w:val="24"/>
          <w:szCs w:val="24"/>
        </w:rPr>
        <w:t xml:space="preserve"> (26 October 2018) cites that as of August 2018, the family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penetration rate is 15%. Whereas, the overall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and insurance participation is about 56</w:t>
      </w:r>
      <w:r w:rsidR="002C2BD5">
        <w:rPr>
          <w:rFonts w:ascii="Times New Roman" w:hAnsi="Times New Roman"/>
          <w:sz w:val="24"/>
          <w:szCs w:val="24"/>
        </w:rPr>
        <w:t xml:space="preserve">, which </w:t>
      </w:r>
      <w:r w:rsidR="00F8297B">
        <w:rPr>
          <w:rFonts w:ascii="Times New Roman" w:hAnsi="Times New Roman"/>
          <w:sz w:val="24"/>
          <w:szCs w:val="24"/>
        </w:rPr>
        <w:t xml:space="preserve">leave </w:t>
      </w:r>
      <w:r w:rsidR="00A30460" w:rsidRPr="00A30460">
        <w:rPr>
          <w:rFonts w:ascii="Times New Roman" w:hAnsi="Times New Roman"/>
          <w:sz w:val="24"/>
          <w:szCs w:val="24"/>
        </w:rPr>
        <w:t xml:space="preserve">44% of Malaysians </w:t>
      </w:r>
      <w:r w:rsidR="00F8297B">
        <w:rPr>
          <w:rFonts w:ascii="Times New Roman" w:hAnsi="Times New Roman"/>
          <w:sz w:val="24"/>
          <w:szCs w:val="24"/>
        </w:rPr>
        <w:t xml:space="preserve">without </w:t>
      </w:r>
      <w:r w:rsidR="00A30460" w:rsidRPr="00A30460">
        <w:rPr>
          <w:rFonts w:ascii="Times New Roman" w:hAnsi="Times New Roman"/>
          <w:sz w:val="24"/>
          <w:szCs w:val="24"/>
        </w:rPr>
        <w:t xml:space="preserve">any life insurance or family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protection. </w:t>
      </w:r>
      <w:r w:rsidR="00CF7FF4">
        <w:rPr>
          <w:rFonts w:ascii="Times New Roman" w:hAnsi="Times New Roman"/>
          <w:sz w:val="24"/>
          <w:szCs w:val="24"/>
        </w:rPr>
        <w:t xml:space="preserve">According to </w:t>
      </w:r>
      <w:r w:rsidR="00F8297B">
        <w:rPr>
          <w:rFonts w:ascii="Times New Roman" w:hAnsi="Times New Roman"/>
          <w:sz w:val="24"/>
          <w:szCs w:val="24"/>
        </w:rPr>
        <w:t>Hendon et al. (2016)</w:t>
      </w:r>
      <w:r w:rsidR="00CF7FF4">
        <w:rPr>
          <w:rFonts w:ascii="Times New Roman" w:hAnsi="Times New Roman"/>
          <w:sz w:val="24"/>
          <w:szCs w:val="24"/>
        </w:rPr>
        <w:t xml:space="preserve">, </w:t>
      </w:r>
      <w:r w:rsidR="00A30460" w:rsidRPr="00A30460">
        <w:rPr>
          <w:rFonts w:ascii="Times New Roman" w:hAnsi="Times New Roman"/>
          <w:sz w:val="24"/>
          <w:szCs w:val="24"/>
        </w:rPr>
        <w:t xml:space="preserve">the amount of protection for those who have life insurance policies is </w:t>
      </w:r>
      <w:r w:rsidR="00CF7FF4">
        <w:rPr>
          <w:rFonts w:ascii="Times New Roman" w:hAnsi="Times New Roman"/>
          <w:sz w:val="24"/>
          <w:szCs w:val="24"/>
        </w:rPr>
        <w:t xml:space="preserve">insufficient.  In fact, </w:t>
      </w:r>
      <w:r w:rsidR="00A30460" w:rsidRPr="00A30460">
        <w:rPr>
          <w:rFonts w:ascii="Times New Roman" w:hAnsi="Times New Roman"/>
          <w:sz w:val="24"/>
          <w:szCs w:val="24"/>
        </w:rPr>
        <w:t xml:space="preserve">Hendon et al. (2016) also </w:t>
      </w:r>
      <w:r w:rsidR="00CF7FF4">
        <w:rPr>
          <w:rFonts w:ascii="Times New Roman" w:hAnsi="Times New Roman"/>
          <w:sz w:val="24"/>
          <w:szCs w:val="24"/>
        </w:rPr>
        <w:t xml:space="preserve">found </w:t>
      </w:r>
      <w:r w:rsidR="00A30460" w:rsidRPr="00A30460">
        <w:rPr>
          <w:rFonts w:ascii="Times New Roman" w:hAnsi="Times New Roman"/>
          <w:sz w:val="24"/>
          <w:szCs w:val="24"/>
        </w:rPr>
        <w:t>that on average each insured household in Malaysia is insufficiently protected by approximately RM500, 000.</w:t>
      </w:r>
    </w:p>
    <w:p w:rsidR="00A30460" w:rsidRPr="00A30460" w:rsidRDefault="00A30460" w:rsidP="00A30460">
      <w:pPr>
        <w:pStyle w:val="NoSpacing"/>
        <w:ind w:firstLine="360"/>
        <w:jc w:val="both"/>
        <w:rPr>
          <w:rFonts w:ascii="Times New Roman" w:hAnsi="Times New Roman"/>
          <w:sz w:val="24"/>
          <w:szCs w:val="24"/>
        </w:rPr>
      </w:pPr>
      <w:r w:rsidRPr="00A30460">
        <w:rPr>
          <w:rFonts w:ascii="Times New Roman" w:hAnsi="Times New Roman"/>
          <w:sz w:val="24"/>
          <w:szCs w:val="24"/>
        </w:rPr>
        <w:t xml:space="preserve">Meanwhile, </w:t>
      </w:r>
      <w:proofErr w:type="spellStart"/>
      <w:r w:rsidRPr="00E14B18">
        <w:rPr>
          <w:rFonts w:ascii="Times New Roman" w:hAnsi="Times New Roman"/>
          <w:sz w:val="24"/>
          <w:szCs w:val="24"/>
        </w:rPr>
        <w:t>Norashikin</w:t>
      </w:r>
      <w:proofErr w:type="spellEnd"/>
      <w:r w:rsidRPr="00E14B18">
        <w:rPr>
          <w:rFonts w:ascii="Times New Roman" w:hAnsi="Times New Roman"/>
          <w:sz w:val="24"/>
          <w:szCs w:val="24"/>
        </w:rPr>
        <w:t xml:space="preserve"> et al.</w:t>
      </w:r>
      <w:r w:rsidR="00D9301C" w:rsidRPr="00E14B18">
        <w:rPr>
          <w:rFonts w:ascii="Times New Roman" w:hAnsi="Times New Roman"/>
          <w:sz w:val="24"/>
          <w:szCs w:val="24"/>
        </w:rPr>
        <w:t xml:space="preserve"> </w:t>
      </w:r>
      <w:r w:rsidRPr="00E14B18">
        <w:rPr>
          <w:rFonts w:ascii="Times New Roman" w:hAnsi="Times New Roman"/>
          <w:sz w:val="24"/>
          <w:szCs w:val="24"/>
        </w:rPr>
        <w:t>(2012)</w:t>
      </w:r>
      <w:r w:rsidRPr="00A30460">
        <w:rPr>
          <w:rFonts w:ascii="Times New Roman" w:hAnsi="Times New Roman"/>
          <w:sz w:val="24"/>
          <w:szCs w:val="24"/>
        </w:rPr>
        <w:t xml:space="preserve"> suggest that lack of understanding and awareness of the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products </w:t>
      </w:r>
      <w:r w:rsidR="00CF7FF4">
        <w:rPr>
          <w:rFonts w:ascii="Times New Roman" w:hAnsi="Times New Roman"/>
          <w:sz w:val="24"/>
          <w:szCs w:val="24"/>
        </w:rPr>
        <w:t xml:space="preserve">lead to </w:t>
      </w:r>
      <w:r w:rsidRPr="00A30460">
        <w:rPr>
          <w:rFonts w:ascii="Times New Roman" w:hAnsi="Times New Roman"/>
          <w:sz w:val="24"/>
          <w:szCs w:val="24"/>
        </w:rPr>
        <w:t xml:space="preserve">low </w:t>
      </w:r>
      <w:proofErr w:type="spellStart"/>
      <w:r w:rsidR="00CF7FF4">
        <w:rPr>
          <w:rFonts w:ascii="Times New Roman" w:hAnsi="Times New Roman"/>
          <w:sz w:val="24"/>
          <w:szCs w:val="24"/>
        </w:rPr>
        <w:t>takaful</w:t>
      </w:r>
      <w:proofErr w:type="spellEnd"/>
      <w:r w:rsidR="00CF7FF4">
        <w:rPr>
          <w:rFonts w:ascii="Times New Roman" w:hAnsi="Times New Roman"/>
          <w:sz w:val="24"/>
          <w:szCs w:val="24"/>
        </w:rPr>
        <w:t xml:space="preserve"> demand</w:t>
      </w:r>
      <w:r w:rsidRPr="00A30460">
        <w:rPr>
          <w:rFonts w:ascii="Times New Roman" w:hAnsi="Times New Roman"/>
          <w:sz w:val="24"/>
          <w:szCs w:val="24"/>
        </w:rPr>
        <w:t>.</w:t>
      </w:r>
      <w:r w:rsidR="00C979CD">
        <w:rPr>
          <w:rFonts w:ascii="Times New Roman" w:hAnsi="Times New Roman"/>
          <w:sz w:val="24"/>
          <w:szCs w:val="24"/>
        </w:rPr>
        <w:t xml:space="preserve"> </w:t>
      </w:r>
      <w:proofErr w:type="gramStart"/>
      <w:r w:rsidR="00C979CD">
        <w:rPr>
          <w:rFonts w:ascii="Times New Roman" w:hAnsi="Times New Roman"/>
          <w:sz w:val="24"/>
          <w:szCs w:val="24"/>
        </w:rPr>
        <w:t xml:space="preserve">Consistently, </w:t>
      </w:r>
      <w:r w:rsidRPr="00A30460">
        <w:rPr>
          <w:rFonts w:ascii="Times New Roman" w:hAnsi="Times New Roman"/>
          <w:sz w:val="24"/>
          <w:szCs w:val="24"/>
        </w:rPr>
        <w:t xml:space="preserve">Noor </w:t>
      </w:r>
      <w:proofErr w:type="spellStart"/>
      <w:r w:rsidRPr="00A30460">
        <w:rPr>
          <w:rFonts w:ascii="Times New Roman" w:hAnsi="Times New Roman"/>
          <w:sz w:val="24"/>
          <w:szCs w:val="24"/>
        </w:rPr>
        <w:t>Ashikin</w:t>
      </w:r>
      <w:proofErr w:type="spellEnd"/>
      <w:r w:rsidRPr="00A30460">
        <w:rPr>
          <w:rFonts w:ascii="Times New Roman" w:hAnsi="Times New Roman"/>
          <w:sz w:val="24"/>
          <w:szCs w:val="24"/>
        </w:rPr>
        <w:t xml:space="preserve"> &amp; </w:t>
      </w:r>
      <w:proofErr w:type="spellStart"/>
      <w:r w:rsidRPr="00A30460">
        <w:rPr>
          <w:rFonts w:ascii="Times New Roman" w:hAnsi="Times New Roman"/>
          <w:sz w:val="24"/>
          <w:szCs w:val="24"/>
        </w:rPr>
        <w:t>Zuriah</w:t>
      </w:r>
      <w:proofErr w:type="spellEnd"/>
      <w:r w:rsidR="00D9301C">
        <w:rPr>
          <w:rFonts w:ascii="Times New Roman" w:hAnsi="Times New Roman"/>
          <w:sz w:val="24"/>
          <w:szCs w:val="24"/>
        </w:rPr>
        <w:t xml:space="preserve"> </w:t>
      </w:r>
      <w:r w:rsidRPr="00A30460">
        <w:rPr>
          <w:rFonts w:ascii="Times New Roman" w:hAnsi="Times New Roman"/>
          <w:sz w:val="24"/>
          <w:szCs w:val="24"/>
        </w:rPr>
        <w:t xml:space="preserve">(2012) show that 97% of respondents do not know about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or insurance protection.</w:t>
      </w:r>
      <w:proofErr w:type="gramEnd"/>
      <w:r w:rsidRPr="00A30460">
        <w:rPr>
          <w:rFonts w:ascii="Times New Roman" w:hAnsi="Times New Roman"/>
          <w:sz w:val="24"/>
          <w:szCs w:val="24"/>
        </w:rPr>
        <w:t xml:space="preserve"> Accordingly, the CEO of </w:t>
      </w:r>
      <w:proofErr w:type="spellStart"/>
      <w:r w:rsidRPr="00A30460">
        <w:rPr>
          <w:rFonts w:ascii="Times New Roman" w:hAnsi="Times New Roman"/>
          <w:sz w:val="24"/>
          <w:szCs w:val="24"/>
        </w:rPr>
        <w:t>Etiqa</w:t>
      </w:r>
      <w:proofErr w:type="spellEnd"/>
      <w:r w:rsidRPr="00A30460">
        <w:rPr>
          <w:rFonts w:ascii="Times New Roman" w:hAnsi="Times New Roman"/>
          <w:sz w:val="24"/>
          <w:szCs w:val="24"/>
        </w:rPr>
        <w:t xml:space="preserve"> Takaf</w:t>
      </w:r>
      <w:r w:rsidR="002574E6">
        <w:rPr>
          <w:rFonts w:ascii="Times New Roman" w:hAnsi="Times New Roman"/>
          <w:sz w:val="24"/>
          <w:szCs w:val="24"/>
        </w:rPr>
        <w:t xml:space="preserve">ul </w:t>
      </w:r>
      <w:proofErr w:type="spellStart"/>
      <w:r w:rsidR="002574E6">
        <w:rPr>
          <w:rFonts w:ascii="Times New Roman" w:hAnsi="Times New Roman"/>
          <w:sz w:val="24"/>
          <w:szCs w:val="24"/>
        </w:rPr>
        <w:t>Bhd</w:t>
      </w:r>
      <w:proofErr w:type="spellEnd"/>
      <w:r w:rsidR="002574E6">
        <w:rPr>
          <w:rFonts w:ascii="Times New Roman" w:hAnsi="Times New Roman"/>
          <w:sz w:val="24"/>
          <w:szCs w:val="24"/>
        </w:rPr>
        <w:t xml:space="preserve"> </w:t>
      </w:r>
      <w:r w:rsidR="00C979CD">
        <w:rPr>
          <w:rFonts w:ascii="Times New Roman" w:hAnsi="Times New Roman"/>
          <w:sz w:val="24"/>
          <w:szCs w:val="24"/>
        </w:rPr>
        <w:t xml:space="preserve">has </w:t>
      </w:r>
      <w:r w:rsidRPr="00A30460">
        <w:rPr>
          <w:rFonts w:ascii="Times New Roman" w:hAnsi="Times New Roman"/>
          <w:sz w:val="24"/>
          <w:szCs w:val="24"/>
        </w:rPr>
        <w:t xml:space="preserve">highlighted the lack of awareness of the importance of insurance or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among </w:t>
      </w:r>
      <w:proofErr w:type="spellStart"/>
      <w:r w:rsidRPr="00A30460">
        <w:rPr>
          <w:rFonts w:ascii="Times New Roman" w:hAnsi="Times New Roman"/>
          <w:sz w:val="24"/>
          <w:szCs w:val="24"/>
        </w:rPr>
        <w:t>Bumiputera</w:t>
      </w:r>
      <w:proofErr w:type="spellEnd"/>
      <w:r w:rsidRPr="00A30460">
        <w:rPr>
          <w:rFonts w:ascii="Times New Roman" w:hAnsi="Times New Roman"/>
          <w:sz w:val="24"/>
          <w:szCs w:val="24"/>
        </w:rPr>
        <w:t xml:space="preserve"> in Malaysia</w:t>
      </w:r>
      <w:r w:rsidR="00C979CD">
        <w:rPr>
          <w:rFonts w:ascii="Times New Roman" w:hAnsi="Times New Roman"/>
          <w:sz w:val="24"/>
          <w:szCs w:val="24"/>
        </w:rPr>
        <w:t xml:space="preserve"> (</w:t>
      </w:r>
      <w:proofErr w:type="spellStart"/>
      <w:r w:rsidR="00C979CD">
        <w:rPr>
          <w:rFonts w:ascii="Times New Roman" w:hAnsi="Times New Roman"/>
          <w:sz w:val="24"/>
          <w:szCs w:val="24"/>
        </w:rPr>
        <w:t>MStar</w:t>
      </w:r>
      <w:proofErr w:type="spellEnd"/>
      <w:r w:rsidR="00C979CD">
        <w:rPr>
          <w:rFonts w:ascii="Times New Roman" w:hAnsi="Times New Roman"/>
          <w:sz w:val="24"/>
          <w:szCs w:val="24"/>
        </w:rPr>
        <w:t xml:space="preserve">, </w:t>
      </w:r>
      <w:r w:rsidR="00C979CD" w:rsidRPr="00A30460">
        <w:rPr>
          <w:rFonts w:ascii="Times New Roman" w:hAnsi="Times New Roman"/>
          <w:sz w:val="24"/>
          <w:szCs w:val="24"/>
        </w:rPr>
        <w:t>2014)</w:t>
      </w:r>
      <w:r w:rsidRPr="00A30460">
        <w:rPr>
          <w:rFonts w:ascii="Times New Roman" w:hAnsi="Times New Roman"/>
          <w:sz w:val="24"/>
          <w:szCs w:val="24"/>
        </w:rPr>
        <w:t xml:space="preserve">. In fact,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agents also believed that the public’s understanding and awareness aspects drive for low participa</w:t>
      </w:r>
      <w:r w:rsidR="00B73ED3">
        <w:rPr>
          <w:rFonts w:ascii="Times New Roman" w:hAnsi="Times New Roman"/>
          <w:sz w:val="24"/>
          <w:szCs w:val="24"/>
        </w:rPr>
        <w:t xml:space="preserve">tion in </w:t>
      </w:r>
      <w:proofErr w:type="spellStart"/>
      <w:r w:rsidR="00B73ED3">
        <w:rPr>
          <w:rFonts w:ascii="Times New Roman" w:hAnsi="Times New Roman"/>
          <w:sz w:val="24"/>
          <w:szCs w:val="24"/>
        </w:rPr>
        <w:t>takaful</w:t>
      </w:r>
      <w:proofErr w:type="spellEnd"/>
      <w:r w:rsidR="00B73ED3">
        <w:rPr>
          <w:rFonts w:ascii="Times New Roman" w:hAnsi="Times New Roman"/>
          <w:sz w:val="24"/>
          <w:szCs w:val="24"/>
        </w:rPr>
        <w:t xml:space="preserve"> products among </w:t>
      </w:r>
      <w:r w:rsidRPr="00A30460">
        <w:rPr>
          <w:rFonts w:ascii="Times New Roman" w:hAnsi="Times New Roman"/>
          <w:sz w:val="24"/>
          <w:szCs w:val="24"/>
        </w:rPr>
        <w:t>the public (</w:t>
      </w:r>
      <w:proofErr w:type="spellStart"/>
      <w:r w:rsidRPr="00A30460">
        <w:rPr>
          <w:rFonts w:ascii="Times New Roman" w:hAnsi="Times New Roman"/>
          <w:sz w:val="24"/>
          <w:szCs w:val="24"/>
        </w:rPr>
        <w:t>Izzati</w:t>
      </w:r>
      <w:proofErr w:type="spellEnd"/>
      <w:r w:rsidRPr="00A30460">
        <w:rPr>
          <w:rFonts w:ascii="Times New Roman" w:hAnsi="Times New Roman"/>
          <w:sz w:val="24"/>
          <w:szCs w:val="24"/>
        </w:rPr>
        <w:t xml:space="preserve"> </w:t>
      </w:r>
      <w:proofErr w:type="spellStart"/>
      <w:r w:rsidRPr="00A30460">
        <w:rPr>
          <w:rFonts w:ascii="Times New Roman" w:hAnsi="Times New Roman"/>
          <w:sz w:val="24"/>
          <w:szCs w:val="24"/>
        </w:rPr>
        <w:t>Liyana</w:t>
      </w:r>
      <w:proofErr w:type="spellEnd"/>
      <w:r w:rsidRPr="00A30460">
        <w:rPr>
          <w:rFonts w:ascii="Times New Roman" w:hAnsi="Times New Roman"/>
          <w:sz w:val="24"/>
          <w:szCs w:val="24"/>
        </w:rPr>
        <w:t xml:space="preserve"> &amp; Hendon</w:t>
      </w:r>
      <w:r w:rsidR="00B47BB9">
        <w:rPr>
          <w:rFonts w:ascii="Times New Roman" w:hAnsi="Times New Roman"/>
          <w:sz w:val="24"/>
          <w:szCs w:val="24"/>
        </w:rPr>
        <w:t xml:space="preserve">, </w:t>
      </w:r>
      <w:r w:rsidRPr="00A30460">
        <w:rPr>
          <w:rFonts w:ascii="Times New Roman" w:hAnsi="Times New Roman"/>
          <w:sz w:val="24"/>
          <w:szCs w:val="24"/>
        </w:rPr>
        <w:t xml:space="preserve">2015). Yon </w:t>
      </w:r>
      <w:proofErr w:type="spellStart"/>
      <w:r w:rsidRPr="00A30460">
        <w:rPr>
          <w:rFonts w:ascii="Times New Roman" w:hAnsi="Times New Roman"/>
          <w:sz w:val="24"/>
          <w:szCs w:val="24"/>
        </w:rPr>
        <w:t>Bahiyah</w:t>
      </w:r>
      <w:proofErr w:type="spellEnd"/>
      <w:r w:rsidRPr="00A30460">
        <w:rPr>
          <w:rFonts w:ascii="Times New Roman" w:hAnsi="Times New Roman"/>
          <w:sz w:val="24"/>
          <w:szCs w:val="24"/>
        </w:rPr>
        <w:t xml:space="preserve"> et al.</w:t>
      </w:r>
      <w:r w:rsidR="00D9301C">
        <w:rPr>
          <w:rFonts w:ascii="Times New Roman" w:hAnsi="Times New Roman"/>
          <w:sz w:val="24"/>
          <w:szCs w:val="24"/>
        </w:rPr>
        <w:t xml:space="preserve"> </w:t>
      </w:r>
      <w:r w:rsidRPr="00A30460">
        <w:rPr>
          <w:rFonts w:ascii="Times New Roman" w:hAnsi="Times New Roman"/>
          <w:sz w:val="24"/>
          <w:szCs w:val="24"/>
        </w:rPr>
        <w:t>(2009) stressed that the awareness and understanding of the Ma</w:t>
      </w:r>
      <w:r w:rsidR="00F22F53">
        <w:rPr>
          <w:rFonts w:ascii="Times New Roman" w:hAnsi="Times New Roman"/>
          <w:sz w:val="24"/>
          <w:szCs w:val="24"/>
        </w:rPr>
        <w:t>lay community can be enhanced through</w:t>
      </w:r>
      <w:r w:rsidRPr="00A30460">
        <w:rPr>
          <w:rFonts w:ascii="Times New Roman" w:hAnsi="Times New Roman"/>
          <w:sz w:val="24"/>
          <w:szCs w:val="24"/>
        </w:rPr>
        <w:t xml:space="preserve"> aggressive promotion from authorities and industry to promote Islamic finance. In addition,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agents, friends, family and </w:t>
      </w:r>
      <w:r w:rsidRPr="00D435C9">
        <w:rPr>
          <w:rFonts w:ascii="Times New Roman" w:hAnsi="Times New Roman"/>
          <w:color w:val="000000"/>
          <w:sz w:val="24"/>
          <w:szCs w:val="24"/>
        </w:rPr>
        <w:t xml:space="preserve">print media </w:t>
      </w:r>
      <w:r w:rsidRPr="00A30460">
        <w:rPr>
          <w:rFonts w:ascii="Times New Roman" w:hAnsi="Times New Roman"/>
          <w:sz w:val="24"/>
          <w:szCs w:val="24"/>
        </w:rPr>
        <w:t xml:space="preserve">also play an important role in increasing public understanding of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(Mohamad &amp; </w:t>
      </w:r>
      <w:proofErr w:type="spellStart"/>
      <w:r w:rsidRPr="00A30460">
        <w:rPr>
          <w:rFonts w:ascii="Times New Roman" w:hAnsi="Times New Roman"/>
          <w:sz w:val="24"/>
          <w:szCs w:val="24"/>
        </w:rPr>
        <w:t>Mohd</w:t>
      </w:r>
      <w:proofErr w:type="spellEnd"/>
      <w:r w:rsidRPr="00A30460">
        <w:rPr>
          <w:rFonts w:ascii="Times New Roman" w:hAnsi="Times New Roman"/>
          <w:sz w:val="24"/>
          <w:szCs w:val="24"/>
        </w:rPr>
        <w:t xml:space="preserve"> </w:t>
      </w:r>
      <w:proofErr w:type="spellStart"/>
      <w:r w:rsidRPr="00A30460">
        <w:rPr>
          <w:rFonts w:ascii="Times New Roman" w:hAnsi="Times New Roman"/>
          <w:sz w:val="24"/>
          <w:szCs w:val="24"/>
        </w:rPr>
        <w:t>Sukki</w:t>
      </w:r>
      <w:proofErr w:type="spellEnd"/>
      <w:r w:rsidRPr="00A30460">
        <w:rPr>
          <w:rFonts w:ascii="Times New Roman" w:hAnsi="Times New Roman"/>
          <w:sz w:val="24"/>
          <w:szCs w:val="24"/>
        </w:rPr>
        <w:t xml:space="preserve">, 2009). </w:t>
      </w:r>
      <w:r w:rsidR="004F14C5">
        <w:rPr>
          <w:rFonts w:ascii="Times New Roman" w:hAnsi="Times New Roman"/>
          <w:sz w:val="24"/>
          <w:szCs w:val="24"/>
        </w:rPr>
        <w:t xml:space="preserve">Indeed, </w:t>
      </w:r>
      <w:proofErr w:type="spellStart"/>
      <w:r w:rsidRPr="00A30460">
        <w:rPr>
          <w:rFonts w:ascii="Times New Roman" w:hAnsi="Times New Roman"/>
          <w:sz w:val="24"/>
          <w:szCs w:val="24"/>
        </w:rPr>
        <w:t>Izzati</w:t>
      </w:r>
      <w:proofErr w:type="spellEnd"/>
      <w:r w:rsidRPr="00A30460">
        <w:rPr>
          <w:rFonts w:ascii="Times New Roman" w:hAnsi="Times New Roman"/>
          <w:sz w:val="24"/>
          <w:szCs w:val="24"/>
        </w:rPr>
        <w:t xml:space="preserve"> </w:t>
      </w:r>
      <w:proofErr w:type="spellStart"/>
      <w:r w:rsidRPr="00A30460">
        <w:rPr>
          <w:rFonts w:ascii="Times New Roman" w:hAnsi="Times New Roman"/>
          <w:sz w:val="24"/>
          <w:szCs w:val="24"/>
        </w:rPr>
        <w:t>Liyana</w:t>
      </w:r>
      <w:proofErr w:type="spellEnd"/>
      <w:r w:rsidRPr="00A30460">
        <w:rPr>
          <w:rFonts w:ascii="Times New Roman" w:hAnsi="Times New Roman"/>
          <w:sz w:val="24"/>
          <w:szCs w:val="24"/>
        </w:rPr>
        <w:t xml:space="preserve"> &amp; Hendon (2015)</w:t>
      </w:r>
      <w:r w:rsidR="004F14C5">
        <w:rPr>
          <w:rFonts w:ascii="Times New Roman" w:hAnsi="Times New Roman"/>
          <w:sz w:val="24"/>
          <w:szCs w:val="24"/>
        </w:rPr>
        <w:t xml:space="preserve"> suggested that </w:t>
      </w:r>
      <w:r w:rsidRPr="00A30460">
        <w:rPr>
          <w:rFonts w:ascii="Times New Roman" w:hAnsi="Times New Roman"/>
          <w:sz w:val="24"/>
          <w:szCs w:val="24"/>
        </w:rPr>
        <w:t xml:space="preserve">religious factors were associated with the level of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awareness.</w:t>
      </w:r>
      <w:r w:rsidR="004F14C5">
        <w:rPr>
          <w:rFonts w:ascii="Times New Roman" w:hAnsi="Times New Roman"/>
          <w:sz w:val="24"/>
          <w:szCs w:val="24"/>
        </w:rPr>
        <w:t xml:space="preserve"> They also found that non-Muslim students were</w:t>
      </w:r>
      <w:r w:rsidRPr="00A30460">
        <w:rPr>
          <w:rFonts w:ascii="Times New Roman" w:hAnsi="Times New Roman"/>
          <w:sz w:val="24"/>
          <w:szCs w:val="24"/>
        </w:rPr>
        <w:t xml:space="preserve"> aware of the existence of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but </w:t>
      </w:r>
      <w:r w:rsidR="009E0198">
        <w:rPr>
          <w:rFonts w:ascii="Times New Roman" w:hAnsi="Times New Roman"/>
          <w:sz w:val="24"/>
          <w:szCs w:val="24"/>
        </w:rPr>
        <w:t>do not kno</w:t>
      </w:r>
      <w:r w:rsidRPr="00A30460">
        <w:rPr>
          <w:rFonts w:ascii="Times New Roman" w:hAnsi="Times New Roman"/>
          <w:sz w:val="24"/>
          <w:szCs w:val="24"/>
        </w:rPr>
        <w:t xml:space="preserve">w the concept </w:t>
      </w:r>
      <w:r w:rsidR="009E0198">
        <w:rPr>
          <w:rFonts w:ascii="Times New Roman" w:hAnsi="Times New Roman"/>
          <w:sz w:val="24"/>
          <w:szCs w:val="24"/>
        </w:rPr>
        <w:t>of</w:t>
      </w:r>
      <w:r w:rsidRPr="00A30460">
        <w:rPr>
          <w:rFonts w:ascii="Times New Roman" w:hAnsi="Times New Roman"/>
          <w:sz w:val="24"/>
          <w:szCs w:val="24"/>
        </w:rPr>
        <w:t xml:space="preserve">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and do not realize that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is meant for all individuals.</w:t>
      </w:r>
    </w:p>
    <w:p w:rsidR="00A30460" w:rsidRPr="00A30460" w:rsidRDefault="00CF2830" w:rsidP="00A30460">
      <w:pPr>
        <w:pStyle w:val="NoSpacing"/>
        <w:ind w:firstLine="360"/>
        <w:jc w:val="both"/>
        <w:rPr>
          <w:rFonts w:ascii="Times New Roman" w:hAnsi="Times New Roman"/>
          <w:sz w:val="24"/>
          <w:szCs w:val="24"/>
        </w:rPr>
      </w:pPr>
      <w:r>
        <w:rPr>
          <w:rFonts w:ascii="Times New Roman" w:hAnsi="Times New Roman"/>
          <w:sz w:val="24"/>
          <w:szCs w:val="24"/>
        </w:rPr>
        <w:t>In addition</w:t>
      </w:r>
      <w:r w:rsidR="009E0198">
        <w:rPr>
          <w:rFonts w:ascii="Times New Roman" w:hAnsi="Times New Roman"/>
          <w:sz w:val="24"/>
          <w:szCs w:val="24"/>
        </w:rPr>
        <w:t xml:space="preserve">, </w:t>
      </w:r>
      <w:proofErr w:type="spellStart"/>
      <w:r w:rsidR="00A30460" w:rsidRPr="00A30460">
        <w:rPr>
          <w:rFonts w:ascii="Times New Roman" w:hAnsi="Times New Roman"/>
          <w:sz w:val="24"/>
          <w:szCs w:val="24"/>
        </w:rPr>
        <w:t>Kamarul</w:t>
      </w:r>
      <w:proofErr w:type="spellEnd"/>
      <w:r w:rsidR="00A30460" w:rsidRPr="00A30460">
        <w:rPr>
          <w:rFonts w:ascii="Times New Roman" w:hAnsi="Times New Roman"/>
          <w:sz w:val="24"/>
          <w:szCs w:val="24"/>
        </w:rPr>
        <w:t xml:space="preserve"> et al. (2015) stressed that religious factors played a significant influence on the ownership of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plans</w:t>
      </w:r>
      <w:r>
        <w:rPr>
          <w:rFonts w:ascii="Times New Roman" w:hAnsi="Times New Roman"/>
          <w:sz w:val="24"/>
          <w:szCs w:val="24"/>
        </w:rPr>
        <w:t xml:space="preserve"> and </w:t>
      </w:r>
      <w:r w:rsidR="00A30460" w:rsidRPr="00A30460">
        <w:rPr>
          <w:rFonts w:ascii="Times New Roman" w:hAnsi="Times New Roman"/>
          <w:sz w:val="24"/>
          <w:szCs w:val="24"/>
        </w:rPr>
        <w:t xml:space="preserve">Muslims preferred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plans </w:t>
      </w:r>
      <w:r>
        <w:rPr>
          <w:rFonts w:ascii="Times New Roman" w:hAnsi="Times New Roman"/>
          <w:sz w:val="24"/>
          <w:szCs w:val="24"/>
        </w:rPr>
        <w:t xml:space="preserve">rather than </w:t>
      </w:r>
      <w:r w:rsidR="00A30460" w:rsidRPr="00A30460">
        <w:rPr>
          <w:rFonts w:ascii="Times New Roman" w:hAnsi="Times New Roman"/>
          <w:sz w:val="24"/>
          <w:szCs w:val="24"/>
        </w:rPr>
        <w:t xml:space="preserve">conventional insurance. </w:t>
      </w:r>
      <w:r>
        <w:rPr>
          <w:rFonts w:ascii="Times New Roman" w:hAnsi="Times New Roman"/>
          <w:sz w:val="24"/>
          <w:szCs w:val="24"/>
        </w:rPr>
        <w:t xml:space="preserve">Similarly, </w:t>
      </w:r>
      <w:proofErr w:type="spellStart"/>
      <w:r w:rsidR="00A30460" w:rsidRPr="00A30460">
        <w:rPr>
          <w:rFonts w:ascii="Times New Roman" w:hAnsi="Times New Roman"/>
          <w:sz w:val="24"/>
          <w:szCs w:val="24"/>
        </w:rPr>
        <w:t>Gustina</w:t>
      </w:r>
      <w:proofErr w:type="spellEnd"/>
      <w:r w:rsidR="00A30460" w:rsidRPr="00A30460">
        <w:rPr>
          <w:rFonts w:ascii="Times New Roman" w:hAnsi="Times New Roman"/>
          <w:sz w:val="24"/>
          <w:szCs w:val="24"/>
        </w:rPr>
        <w:t xml:space="preserve"> &amp; </w:t>
      </w:r>
      <w:proofErr w:type="spellStart"/>
      <w:r w:rsidR="00A30460" w:rsidRPr="00A30460">
        <w:rPr>
          <w:rFonts w:ascii="Times New Roman" w:hAnsi="Times New Roman"/>
          <w:sz w:val="24"/>
          <w:szCs w:val="24"/>
        </w:rPr>
        <w:t>Nurdianawati</w:t>
      </w:r>
      <w:proofErr w:type="spellEnd"/>
      <w:r w:rsidR="00A30460" w:rsidRPr="00A30460">
        <w:rPr>
          <w:rFonts w:ascii="Times New Roman" w:hAnsi="Times New Roman"/>
          <w:sz w:val="24"/>
          <w:szCs w:val="24"/>
        </w:rPr>
        <w:t xml:space="preserve"> (2012) </w:t>
      </w:r>
      <w:r>
        <w:rPr>
          <w:rFonts w:ascii="Times New Roman" w:hAnsi="Times New Roman"/>
          <w:sz w:val="24"/>
          <w:szCs w:val="24"/>
        </w:rPr>
        <w:t>demonstrated</w:t>
      </w:r>
      <w:r w:rsidR="00A30460" w:rsidRPr="00A30460">
        <w:rPr>
          <w:rFonts w:ascii="Times New Roman" w:hAnsi="Times New Roman"/>
          <w:sz w:val="24"/>
          <w:szCs w:val="24"/>
        </w:rPr>
        <w:t xml:space="preserve"> that the Muslim </w:t>
      </w:r>
      <w:r w:rsidR="002E5AE3" w:rsidRPr="00A30460">
        <w:rPr>
          <w:rFonts w:ascii="Times New Roman" w:hAnsi="Times New Roman"/>
          <w:sz w:val="24"/>
          <w:szCs w:val="24"/>
        </w:rPr>
        <w:t xml:space="preserve">community in Malaysia </w:t>
      </w:r>
      <w:r w:rsidR="002E5AE3">
        <w:rPr>
          <w:rFonts w:ascii="Times New Roman" w:hAnsi="Times New Roman"/>
          <w:sz w:val="24"/>
          <w:szCs w:val="24"/>
        </w:rPr>
        <w:t>believes</w:t>
      </w:r>
      <w:r w:rsidR="00A30460" w:rsidRPr="00A30460">
        <w:rPr>
          <w:rFonts w:ascii="Times New Roman" w:hAnsi="Times New Roman"/>
          <w:sz w:val="24"/>
          <w:szCs w:val="24"/>
        </w:rPr>
        <w:t xml:space="preserve"> that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products are better than conventional insurance in terms of prices and benefits. However, </w:t>
      </w:r>
      <w:proofErr w:type="spellStart"/>
      <w:r w:rsidR="00A30460" w:rsidRPr="00A30460">
        <w:rPr>
          <w:rFonts w:ascii="Times New Roman" w:hAnsi="Times New Roman"/>
          <w:sz w:val="24"/>
          <w:szCs w:val="24"/>
        </w:rPr>
        <w:t>Asmak</w:t>
      </w:r>
      <w:proofErr w:type="spellEnd"/>
      <w:r w:rsidR="00A30460" w:rsidRPr="00A30460">
        <w:rPr>
          <w:rFonts w:ascii="Times New Roman" w:hAnsi="Times New Roman"/>
          <w:sz w:val="24"/>
          <w:szCs w:val="24"/>
        </w:rPr>
        <w:t xml:space="preserve"> et al. (2008) shows that religious factors have no effect on the demand for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w:t>
      </w:r>
      <w:r>
        <w:rPr>
          <w:rFonts w:ascii="Times New Roman" w:hAnsi="Times New Roman"/>
          <w:sz w:val="24"/>
          <w:szCs w:val="24"/>
        </w:rPr>
        <w:t xml:space="preserve">lans. In fact, the respondents </w:t>
      </w:r>
      <w:r w:rsidR="00A30460" w:rsidRPr="00A30460">
        <w:rPr>
          <w:rFonts w:ascii="Times New Roman" w:hAnsi="Times New Roman"/>
          <w:sz w:val="24"/>
          <w:szCs w:val="24"/>
        </w:rPr>
        <w:t xml:space="preserve">prefer conventional insurance due to their perception that conventional insurance is superior in all aspects as compared to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plans. </w:t>
      </w:r>
    </w:p>
    <w:p w:rsidR="001429C2" w:rsidRDefault="00A30460" w:rsidP="00B328AF">
      <w:pPr>
        <w:pStyle w:val="NoSpacing"/>
        <w:ind w:firstLine="360"/>
        <w:jc w:val="both"/>
        <w:rPr>
          <w:rFonts w:ascii="Times New Roman" w:hAnsi="Times New Roman"/>
          <w:sz w:val="24"/>
          <w:szCs w:val="24"/>
        </w:rPr>
      </w:pPr>
      <w:r w:rsidRPr="00A30460">
        <w:rPr>
          <w:rFonts w:ascii="Times New Roman" w:hAnsi="Times New Roman"/>
          <w:sz w:val="24"/>
          <w:szCs w:val="24"/>
        </w:rPr>
        <w:t xml:space="preserve">In the meantime, </w:t>
      </w:r>
      <w:proofErr w:type="spellStart"/>
      <w:r w:rsidRPr="00A30460">
        <w:rPr>
          <w:rFonts w:ascii="Times New Roman" w:hAnsi="Times New Roman"/>
          <w:sz w:val="24"/>
          <w:szCs w:val="24"/>
        </w:rPr>
        <w:t>Zuriah</w:t>
      </w:r>
      <w:proofErr w:type="spellEnd"/>
      <w:r w:rsidRPr="00A30460">
        <w:rPr>
          <w:rFonts w:ascii="Times New Roman" w:hAnsi="Times New Roman"/>
          <w:sz w:val="24"/>
          <w:szCs w:val="24"/>
        </w:rPr>
        <w:t xml:space="preserve"> et al. (2008) found that </w:t>
      </w:r>
      <w:r w:rsidR="003865B9">
        <w:rPr>
          <w:rFonts w:ascii="Times New Roman" w:hAnsi="Times New Roman"/>
          <w:sz w:val="24"/>
          <w:szCs w:val="24"/>
        </w:rPr>
        <w:t>Malaysian society have</w:t>
      </w:r>
      <w:r w:rsidR="005A256B">
        <w:rPr>
          <w:rFonts w:ascii="Times New Roman" w:hAnsi="Times New Roman"/>
          <w:sz w:val="24"/>
          <w:szCs w:val="24"/>
        </w:rPr>
        <w:t xml:space="preserve"> very high awareness on</w:t>
      </w:r>
      <w:r w:rsidRPr="00A30460">
        <w:rPr>
          <w:rFonts w:ascii="Times New Roman" w:hAnsi="Times New Roman"/>
          <w:sz w:val="24"/>
          <w:szCs w:val="24"/>
        </w:rPr>
        <w:t xml:space="preserve">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products and </w:t>
      </w:r>
      <w:r w:rsidR="00B2261C">
        <w:rPr>
          <w:rFonts w:ascii="Times New Roman" w:hAnsi="Times New Roman"/>
          <w:sz w:val="24"/>
          <w:szCs w:val="24"/>
        </w:rPr>
        <w:t>its</w:t>
      </w:r>
      <w:r w:rsidRPr="00A30460">
        <w:rPr>
          <w:rFonts w:ascii="Times New Roman" w:hAnsi="Times New Roman"/>
          <w:sz w:val="24"/>
          <w:szCs w:val="24"/>
        </w:rPr>
        <w:t xml:space="preserve"> benefits. Unfortunately, insufficient income hinders them from owning a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plan.</w:t>
      </w:r>
      <w:r w:rsidR="001814B3">
        <w:rPr>
          <w:rFonts w:ascii="Times New Roman" w:hAnsi="Times New Roman"/>
          <w:sz w:val="24"/>
          <w:szCs w:val="24"/>
        </w:rPr>
        <w:t xml:space="preserve"> </w:t>
      </w:r>
      <w:r w:rsidR="00913B13">
        <w:rPr>
          <w:rFonts w:ascii="Times New Roman" w:hAnsi="Times New Roman"/>
          <w:sz w:val="24"/>
          <w:szCs w:val="24"/>
        </w:rPr>
        <w:t xml:space="preserve">Apparently, </w:t>
      </w:r>
      <w:r w:rsidR="001814B3">
        <w:rPr>
          <w:rFonts w:ascii="Times New Roman" w:hAnsi="Times New Roman"/>
          <w:sz w:val="24"/>
          <w:szCs w:val="24"/>
        </w:rPr>
        <w:t xml:space="preserve">family </w:t>
      </w:r>
      <w:proofErr w:type="spellStart"/>
      <w:r w:rsidR="001814B3">
        <w:rPr>
          <w:rFonts w:ascii="Times New Roman" w:hAnsi="Times New Roman"/>
          <w:sz w:val="24"/>
          <w:szCs w:val="24"/>
        </w:rPr>
        <w:t>takaful</w:t>
      </w:r>
      <w:proofErr w:type="spellEnd"/>
      <w:r w:rsidR="001814B3">
        <w:rPr>
          <w:rFonts w:ascii="Times New Roman" w:hAnsi="Times New Roman"/>
          <w:sz w:val="24"/>
          <w:szCs w:val="24"/>
        </w:rPr>
        <w:t xml:space="preserve"> plan may only </w:t>
      </w:r>
      <w:r w:rsidR="002E5AE3">
        <w:rPr>
          <w:rFonts w:ascii="Times New Roman" w:hAnsi="Times New Roman"/>
          <w:sz w:val="24"/>
          <w:szCs w:val="24"/>
        </w:rPr>
        <w:t xml:space="preserve">be </w:t>
      </w:r>
      <w:r w:rsidR="001814B3">
        <w:rPr>
          <w:rFonts w:ascii="Times New Roman" w:hAnsi="Times New Roman"/>
          <w:sz w:val="24"/>
          <w:szCs w:val="24"/>
        </w:rPr>
        <w:t>considered after other necessities have been fulfilled</w:t>
      </w:r>
      <w:r w:rsidRPr="00A30460">
        <w:rPr>
          <w:rFonts w:ascii="Times New Roman" w:hAnsi="Times New Roman"/>
          <w:sz w:val="24"/>
          <w:szCs w:val="24"/>
        </w:rPr>
        <w:t xml:space="preserve">. </w:t>
      </w:r>
      <w:r w:rsidR="001814B3">
        <w:rPr>
          <w:rFonts w:ascii="Times New Roman" w:hAnsi="Times New Roman"/>
          <w:sz w:val="24"/>
          <w:szCs w:val="24"/>
        </w:rPr>
        <w:t xml:space="preserve">In contrast, some studies </w:t>
      </w:r>
      <w:r w:rsidRPr="00A30460">
        <w:rPr>
          <w:rFonts w:ascii="Times New Roman" w:hAnsi="Times New Roman"/>
          <w:sz w:val="24"/>
          <w:szCs w:val="24"/>
        </w:rPr>
        <w:t xml:space="preserve">found that income </w:t>
      </w:r>
      <w:r w:rsidR="00F91FE8">
        <w:rPr>
          <w:rFonts w:ascii="Times New Roman" w:hAnsi="Times New Roman"/>
          <w:sz w:val="24"/>
          <w:szCs w:val="24"/>
        </w:rPr>
        <w:t>has</w:t>
      </w:r>
      <w:r w:rsidRPr="00A30460">
        <w:rPr>
          <w:rFonts w:ascii="Times New Roman" w:hAnsi="Times New Roman"/>
          <w:sz w:val="24"/>
          <w:szCs w:val="24"/>
        </w:rPr>
        <w:t xml:space="preserve"> a significant positive relationship with family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ownership in Malaysia (</w:t>
      </w:r>
      <w:proofErr w:type="spellStart"/>
      <w:r w:rsidRPr="00A30460">
        <w:rPr>
          <w:rFonts w:ascii="Times New Roman" w:hAnsi="Times New Roman"/>
          <w:sz w:val="24"/>
          <w:szCs w:val="24"/>
        </w:rPr>
        <w:t>Sherif</w:t>
      </w:r>
      <w:proofErr w:type="spellEnd"/>
      <w:r w:rsidRPr="00A30460">
        <w:rPr>
          <w:rFonts w:ascii="Times New Roman" w:hAnsi="Times New Roman"/>
          <w:sz w:val="24"/>
          <w:szCs w:val="24"/>
        </w:rPr>
        <w:t xml:space="preserve"> </w:t>
      </w:r>
      <w:r w:rsidR="009566A7">
        <w:rPr>
          <w:rFonts w:ascii="Times New Roman" w:hAnsi="Times New Roman"/>
          <w:sz w:val="24"/>
          <w:szCs w:val="24"/>
        </w:rPr>
        <w:t>&amp;</w:t>
      </w:r>
      <w:r w:rsidRPr="00A30460">
        <w:rPr>
          <w:rFonts w:ascii="Times New Roman" w:hAnsi="Times New Roman"/>
          <w:sz w:val="24"/>
          <w:szCs w:val="24"/>
        </w:rPr>
        <w:t xml:space="preserve"> </w:t>
      </w:r>
      <w:proofErr w:type="gramStart"/>
      <w:r w:rsidRPr="00A30460">
        <w:rPr>
          <w:rFonts w:ascii="Times New Roman" w:hAnsi="Times New Roman"/>
          <w:sz w:val="24"/>
          <w:szCs w:val="24"/>
        </w:rPr>
        <w:t>Nor</w:t>
      </w:r>
      <w:proofErr w:type="gramEnd"/>
      <w:r w:rsidRPr="00A30460">
        <w:rPr>
          <w:rFonts w:ascii="Times New Roman" w:hAnsi="Times New Roman"/>
          <w:sz w:val="24"/>
          <w:szCs w:val="24"/>
        </w:rPr>
        <w:t xml:space="preserve"> </w:t>
      </w:r>
      <w:proofErr w:type="spellStart"/>
      <w:r w:rsidRPr="00A30460">
        <w:rPr>
          <w:rFonts w:ascii="Times New Roman" w:hAnsi="Times New Roman"/>
          <w:sz w:val="24"/>
          <w:szCs w:val="24"/>
        </w:rPr>
        <w:t>Azlina</w:t>
      </w:r>
      <w:proofErr w:type="spellEnd"/>
      <w:r w:rsidRPr="00A30460">
        <w:rPr>
          <w:rFonts w:ascii="Times New Roman" w:hAnsi="Times New Roman"/>
          <w:sz w:val="24"/>
          <w:szCs w:val="24"/>
        </w:rPr>
        <w:t xml:space="preserve">, 2013; </w:t>
      </w:r>
      <w:proofErr w:type="spellStart"/>
      <w:r w:rsidRPr="00A30460">
        <w:rPr>
          <w:rFonts w:ascii="Times New Roman" w:hAnsi="Times New Roman"/>
          <w:sz w:val="24"/>
          <w:szCs w:val="24"/>
        </w:rPr>
        <w:t>Rubayah</w:t>
      </w:r>
      <w:proofErr w:type="spellEnd"/>
      <w:r w:rsidRPr="00A30460">
        <w:rPr>
          <w:rFonts w:ascii="Times New Roman" w:hAnsi="Times New Roman"/>
          <w:sz w:val="24"/>
          <w:szCs w:val="24"/>
        </w:rPr>
        <w:t xml:space="preserve"> &amp; Nor </w:t>
      </w:r>
      <w:proofErr w:type="spellStart"/>
      <w:r w:rsidRPr="00A30460">
        <w:rPr>
          <w:rFonts w:ascii="Times New Roman" w:hAnsi="Times New Roman"/>
          <w:sz w:val="24"/>
          <w:szCs w:val="24"/>
        </w:rPr>
        <w:t>Hamizah</w:t>
      </w:r>
      <w:proofErr w:type="spellEnd"/>
      <w:r w:rsidRPr="00A30460">
        <w:rPr>
          <w:rFonts w:ascii="Times New Roman" w:hAnsi="Times New Roman"/>
          <w:sz w:val="24"/>
          <w:szCs w:val="24"/>
        </w:rPr>
        <w:t xml:space="preserve">, 2017). </w:t>
      </w:r>
      <w:r w:rsidR="009547F3">
        <w:rPr>
          <w:rFonts w:ascii="Times New Roman" w:hAnsi="Times New Roman"/>
          <w:sz w:val="24"/>
          <w:szCs w:val="24"/>
        </w:rPr>
        <w:t>Moreover</w:t>
      </w:r>
      <w:r w:rsidR="00F91FE8">
        <w:rPr>
          <w:rFonts w:ascii="Times New Roman" w:hAnsi="Times New Roman"/>
          <w:sz w:val="24"/>
          <w:szCs w:val="24"/>
        </w:rPr>
        <w:t xml:space="preserve">, </w:t>
      </w:r>
      <w:r w:rsidRPr="00A30460">
        <w:rPr>
          <w:rFonts w:ascii="Times New Roman" w:hAnsi="Times New Roman"/>
          <w:sz w:val="24"/>
          <w:szCs w:val="24"/>
        </w:rPr>
        <w:t xml:space="preserve">Noor </w:t>
      </w:r>
      <w:proofErr w:type="spellStart"/>
      <w:r w:rsidRPr="00A30460">
        <w:rPr>
          <w:rFonts w:ascii="Times New Roman" w:hAnsi="Times New Roman"/>
          <w:sz w:val="24"/>
          <w:szCs w:val="24"/>
        </w:rPr>
        <w:t>Ashikin</w:t>
      </w:r>
      <w:proofErr w:type="spellEnd"/>
      <w:r w:rsidRPr="00A30460">
        <w:rPr>
          <w:rFonts w:ascii="Times New Roman" w:hAnsi="Times New Roman"/>
          <w:sz w:val="24"/>
          <w:szCs w:val="24"/>
        </w:rPr>
        <w:t xml:space="preserve"> &amp; </w:t>
      </w:r>
      <w:proofErr w:type="spellStart"/>
      <w:r w:rsidRPr="00A30460">
        <w:rPr>
          <w:rFonts w:ascii="Times New Roman" w:hAnsi="Times New Roman"/>
          <w:sz w:val="24"/>
          <w:szCs w:val="24"/>
        </w:rPr>
        <w:t>Zuriah</w:t>
      </w:r>
      <w:proofErr w:type="spellEnd"/>
      <w:r w:rsidRPr="00A30460">
        <w:rPr>
          <w:rFonts w:ascii="Times New Roman" w:hAnsi="Times New Roman"/>
          <w:sz w:val="24"/>
          <w:szCs w:val="24"/>
        </w:rPr>
        <w:t xml:space="preserve"> (2012) </w:t>
      </w:r>
      <w:r w:rsidR="00913B13">
        <w:rPr>
          <w:rFonts w:ascii="Times New Roman" w:hAnsi="Times New Roman"/>
          <w:sz w:val="24"/>
          <w:szCs w:val="24"/>
        </w:rPr>
        <w:t xml:space="preserve">suggested </w:t>
      </w:r>
      <w:r w:rsidRPr="00A30460">
        <w:rPr>
          <w:rFonts w:ascii="Times New Roman" w:hAnsi="Times New Roman"/>
          <w:sz w:val="24"/>
          <w:szCs w:val="24"/>
        </w:rPr>
        <w:t xml:space="preserve">that most respondents </w:t>
      </w:r>
      <w:r w:rsidR="00913B13">
        <w:rPr>
          <w:rFonts w:ascii="Times New Roman" w:hAnsi="Times New Roman"/>
          <w:sz w:val="24"/>
          <w:szCs w:val="24"/>
        </w:rPr>
        <w:t xml:space="preserve">were able </w:t>
      </w:r>
      <w:r w:rsidRPr="00A30460">
        <w:rPr>
          <w:rFonts w:ascii="Times New Roman" w:hAnsi="Times New Roman"/>
          <w:sz w:val="24"/>
          <w:szCs w:val="24"/>
        </w:rPr>
        <w:t xml:space="preserve">to contribute the minimum amount required for protection. In fact, an increase </w:t>
      </w:r>
      <w:r w:rsidR="009547F3">
        <w:rPr>
          <w:rFonts w:ascii="Times New Roman" w:hAnsi="Times New Roman"/>
          <w:sz w:val="24"/>
          <w:szCs w:val="24"/>
        </w:rPr>
        <w:t xml:space="preserve">of 10% </w:t>
      </w:r>
      <w:r w:rsidRPr="00A30460">
        <w:rPr>
          <w:rFonts w:ascii="Times New Roman" w:hAnsi="Times New Roman"/>
          <w:sz w:val="24"/>
          <w:szCs w:val="24"/>
        </w:rPr>
        <w:t xml:space="preserve">in income would increase the purchase of life insurance by 63% and family </w:t>
      </w:r>
      <w:proofErr w:type="spellStart"/>
      <w:r w:rsidRPr="00A30460">
        <w:rPr>
          <w:rFonts w:ascii="Times New Roman" w:hAnsi="Times New Roman"/>
          <w:sz w:val="24"/>
          <w:szCs w:val="24"/>
        </w:rPr>
        <w:t>takaful</w:t>
      </w:r>
      <w:proofErr w:type="spellEnd"/>
      <w:r w:rsidRPr="00A30460">
        <w:rPr>
          <w:rFonts w:ascii="Times New Roman" w:hAnsi="Times New Roman"/>
          <w:sz w:val="24"/>
          <w:szCs w:val="24"/>
        </w:rPr>
        <w:t xml:space="preserve"> by 45% (Hendon, 2014). </w:t>
      </w:r>
    </w:p>
    <w:p w:rsidR="00A30460" w:rsidRPr="00A30460" w:rsidRDefault="00B02D94" w:rsidP="00B328AF">
      <w:pPr>
        <w:pStyle w:val="NoSpacing"/>
        <w:ind w:firstLine="360"/>
        <w:jc w:val="both"/>
        <w:rPr>
          <w:rFonts w:ascii="Times New Roman" w:hAnsi="Times New Roman"/>
          <w:sz w:val="24"/>
          <w:szCs w:val="24"/>
        </w:rPr>
      </w:pPr>
      <w:r>
        <w:rPr>
          <w:rFonts w:ascii="Times New Roman" w:hAnsi="Times New Roman"/>
          <w:sz w:val="24"/>
          <w:szCs w:val="24"/>
        </w:rPr>
        <w:t xml:space="preserve"> </w:t>
      </w:r>
      <w:r w:rsidR="00A30460" w:rsidRPr="00A30460">
        <w:rPr>
          <w:rFonts w:ascii="Times New Roman" w:hAnsi="Times New Roman"/>
          <w:sz w:val="24"/>
          <w:szCs w:val="24"/>
        </w:rPr>
        <w:t>In addition</w:t>
      </w:r>
      <w:r>
        <w:rPr>
          <w:rFonts w:ascii="Times New Roman" w:hAnsi="Times New Roman"/>
          <w:sz w:val="24"/>
          <w:szCs w:val="24"/>
        </w:rPr>
        <w:t xml:space="preserve">, </w:t>
      </w:r>
      <w:r w:rsidR="00A30460" w:rsidRPr="00A30460">
        <w:rPr>
          <w:rFonts w:ascii="Times New Roman" w:hAnsi="Times New Roman"/>
          <w:sz w:val="24"/>
          <w:szCs w:val="24"/>
        </w:rPr>
        <w:t>Hendon (20</w:t>
      </w:r>
      <w:r>
        <w:rPr>
          <w:rFonts w:ascii="Times New Roman" w:hAnsi="Times New Roman"/>
          <w:sz w:val="24"/>
          <w:szCs w:val="24"/>
        </w:rPr>
        <w:t xml:space="preserve">14) also demonstrated </w:t>
      </w:r>
      <w:r w:rsidR="00A30460" w:rsidRPr="00A30460">
        <w:rPr>
          <w:rFonts w:ascii="Times New Roman" w:hAnsi="Times New Roman"/>
          <w:sz w:val="24"/>
          <w:szCs w:val="24"/>
        </w:rPr>
        <w:t xml:space="preserve">that the number of dependents and education levels were important determinants of life insurance and family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demand in Malaysia. </w:t>
      </w:r>
      <w:r>
        <w:rPr>
          <w:rFonts w:ascii="Times New Roman" w:hAnsi="Times New Roman"/>
          <w:sz w:val="24"/>
          <w:szCs w:val="24"/>
        </w:rPr>
        <w:t xml:space="preserve">These findings were consistent with </w:t>
      </w:r>
      <w:proofErr w:type="spellStart"/>
      <w:r w:rsidR="00A30460" w:rsidRPr="00A30460">
        <w:rPr>
          <w:rFonts w:ascii="Times New Roman" w:hAnsi="Times New Roman"/>
          <w:sz w:val="24"/>
          <w:szCs w:val="24"/>
        </w:rPr>
        <w:t>Nurul</w:t>
      </w:r>
      <w:proofErr w:type="spellEnd"/>
      <w:r w:rsidR="00A30460" w:rsidRPr="00A30460">
        <w:rPr>
          <w:rFonts w:ascii="Times New Roman" w:hAnsi="Times New Roman"/>
          <w:sz w:val="24"/>
          <w:szCs w:val="24"/>
        </w:rPr>
        <w:t xml:space="preserve"> &amp; Sarah (2013) </w:t>
      </w:r>
      <w:r>
        <w:rPr>
          <w:rFonts w:ascii="Times New Roman" w:hAnsi="Times New Roman"/>
          <w:sz w:val="24"/>
          <w:szCs w:val="24"/>
        </w:rPr>
        <w:t>in their study on the factor of life insurance</w:t>
      </w:r>
      <w:r w:rsidR="00A30460" w:rsidRPr="00A30460">
        <w:rPr>
          <w:rFonts w:ascii="Times New Roman" w:hAnsi="Times New Roman"/>
          <w:sz w:val="24"/>
          <w:szCs w:val="24"/>
        </w:rPr>
        <w:t xml:space="preserve"> purchase </w:t>
      </w:r>
      <w:r>
        <w:rPr>
          <w:rFonts w:ascii="Times New Roman" w:hAnsi="Times New Roman"/>
          <w:sz w:val="24"/>
          <w:szCs w:val="24"/>
        </w:rPr>
        <w:t>in</w:t>
      </w:r>
      <w:r w:rsidR="00A30460" w:rsidRPr="00A30460">
        <w:rPr>
          <w:rFonts w:ascii="Times New Roman" w:hAnsi="Times New Roman"/>
          <w:sz w:val="24"/>
          <w:szCs w:val="24"/>
        </w:rPr>
        <w:t xml:space="preserve"> Kuala Lumpur. </w:t>
      </w:r>
      <w:r>
        <w:rPr>
          <w:rFonts w:ascii="Times New Roman" w:hAnsi="Times New Roman"/>
          <w:sz w:val="24"/>
          <w:szCs w:val="24"/>
        </w:rPr>
        <w:t xml:space="preserve">However, </w:t>
      </w:r>
      <w:r w:rsidR="00A30460" w:rsidRPr="00A30460">
        <w:rPr>
          <w:rFonts w:ascii="Times New Roman" w:hAnsi="Times New Roman"/>
          <w:sz w:val="24"/>
          <w:szCs w:val="24"/>
        </w:rPr>
        <w:t>the number of family members does not affect the purchase of life insurance in Croatia (</w:t>
      </w:r>
      <w:proofErr w:type="spellStart"/>
      <w:r w:rsidR="00A30460" w:rsidRPr="00A30460">
        <w:rPr>
          <w:rFonts w:ascii="Times New Roman" w:hAnsi="Times New Roman"/>
          <w:sz w:val="24"/>
          <w:szCs w:val="24"/>
        </w:rPr>
        <w:t>Ćura</w:t>
      </w:r>
      <w:r w:rsidR="000C59A5">
        <w:rPr>
          <w:rFonts w:ascii="Times New Roman" w:hAnsi="Times New Roman"/>
          <w:sz w:val="24"/>
          <w:szCs w:val="24"/>
        </w:rPr>
        <w:t>k</w:t>
      </w:r>
      <w:proofErr w:type="spellEnd"/>
      <w:r w:rsidR="000C59A5">
        <w:rPr>
          <w:rFonts w:ascii="Times New Roman" w:hAnsi="Times New Roman"/>
          <w:sz w:val="24"/>
          <w:szCs w:val="24"/>
        </w:rPr>
        <w:t xml:space="preserve"> et al., 2013). Meanwhile, </w:t>
      </w:r>
      <w:proofErr w:type="spellStart"/>
      <w:r w:rsidR="00A30460" w:rsidRPr="00A30460">
        <w:rPr>
          <w:rFonts w:ascii="Times New Roman" w:hAnsi="Times New Roman"/>
          <w:sz w:val="24"/>
          <w:szCs w:val="24"/>
        </w:rPr>
        <w:t>Puspa</w:t>
      </w:r>
      <w:proofErr w:type="spellEnd"/>
      <w:r w:rsidR="00A30460" w:rsidRPr="00A30460">
        <w:rPr>
          <w:rFonts w:ascii="Times New Roman" w:hAnsi="Times New Roman"/>
          <w:sz w:val="24"/>
          <w:szCs w:val="24"/>
        </w:rPr>
        <w:t xml:space="preserve"> Liza et al. (2012) claimed that the price </w:t>
      </w:r>
      <w:r w:rsidR="000C59A5">
        <w:rPr>
          <w:rFonts w:ascii="Times New Roman" w:hAnsi="Times New Roman"/>
          <w:sz w:val="24"/>
          <w:szCs w:val="24"/>
        </w:rPr>
        <w:t xml:space="preserve">and benefits of education </w:t>
      </w:r>
      <w:proofErr w:type="spellStart"/>
      <w:r w:rsidR="000C59A5">
        <w:rPr>
          <w:rFonts w:ascii="Times New Roman" w:hAnsi="Times New Roman"/>
          <w:sz w:val="24"/>
          <w:szCs w:val="24"/>
        </w:rPr>
        <w:t>takaful</w:t>
      </w:r>
      <w:proofErr w:type="spellEnd"/>
      <w:r w:rsidR="000C59A5">
        <w:rPr>
          <w:rFonts w:ascii="Times New Roman" w:hAnsi="Times New Roman"/>
          <w:sz w:val="24"/>
          <w:szCs w:val="24"/>
        </w:rPr>
        <w:t xml:space="preserve"> p</w:t>
      </w:r>
      <w:r w:rsidR="00A30460" w:rsidRPr="00A30460">
        <w:rPr>
          <w:rFonts w:ascii="Times New Roman" w:hAnsi="Times New Roman"/>
          <w:sz w:val="24"/>
          <w:szCs w:val="24"/>
        </w:rPr>
        <w:t>lan also affect the demand</w:t>
      </w:r>
      <w:r w:rsidR="000C59A5">
        <w:rPr>
          <w:rFonts w:ascii="Times New Roman" w:hAnsi="Times New Roman"/>
          <w:sz w:val="24"/>
          <w:szCs w:val="24"/>
        </w:rPr>
        <w:t xml:space="preserve"> of this plan. </w:t>
      </w:r>
      <w:r w:rsidR="00A71E82">
        <w:rPr>
          <w:rFonts w:ascii="Times New Roman" w:hAnsi="Times New Roman"/>
          <w:sz w:val="24"/>
          <w:szCs w:val="24"/>
        </w:rPr>
        <w:t>Furthermore, if the education plan offered reasonable price</w:t>
      </w:r>
      <w:r w:rsidR="00A30460" w:rsidRPr="00A30460">
        <w:rPr>
          <w:rFonts w:ascii="Times New Roman" w:hAnsi="Times New Roman"/>
          <w:sz w:val="24"/>
          <w:szCs w:val="24"/>
        </w:rPr>
        <w:t xml:space="preserve"> and riders, all income</w:t>
      </w:r>
      <w:r w:rsidR="00A71E82">
        <w:rPr>
          <w:rFonts w:ascii="Times New Roman" w:hAnsi="Times New Roman"/>
          <w:sz w:val="24"/>
          <w:szCs w:val="24"/>
        </w:rPr>
        <w:t xml:space="preserve"> </w:t>
      </w:r>
      <w:r w:rsidR="006C5C76">
        <w:rPr>
          <w:rFonts w:ascii="Times New Roman" w:hAnsi="Times New Roman"/>
          <w:sz w:val="24"/>
          <w:szCs w:val="24"/>
        </w:rPr>
        <w:t xml:space="preserve">levels </w:t>
      </w:r>
      <w:r w:rsidR="006C5C76" w:rsidRPr="00A30460">
        <w:rPr>
          <w:rFonts w:ascii="Times New Roman" w:hAnsi="Times New Roman"/>
          <w:sz w:val="24"/>
          <w:szCs w:val="24"/>
        </w:rPr>
        <w:lastRenderedPageBreak/>
        <w:t>could</w:t>
      </w:r>
      <w:r w:rsidR="00A30460" w:rsidRPr="00A30460">
        <w:rPr>
          <w:rFonts w:ascii="Times New Roman" w:hAnsi="Times New Roman"/>
          <w:sz w:val="24"/>
          <w:szCs w:val="24"/>
        </w:rPr>
        <w:t xml:space="preserve"> afford to own it. </w:t>
      </w:r>
      <w:r w:rsidR="006C5C76">
        <w:rPr>
          <w:rFonts w:ascii="Times New Roman" w:hAnsi="Times New Roman"/>
          <w:sz w:val="24"/>
          <w:szCs w:val="24"/>
        </w:rPr>
        <w:t xml:space="preserve">In other study, </w:t>
      </w:r>
      <w:proofErr w:type="spellStart"/>
      <w:r w:rsidR="00A30460" w:rsidRPr="00A30460">
        <w:rPr>
          <w:rFonts w:ascii="Times New Roman" w:hAnsi="Times New Roman"/>
          <w:sz w:val="24"/>
          <w:szCs w:val="24"/>
        </w:rPr>
        <w:t>Zainudin</w:t>
      </w:r>
      <w:proofErr w:type="spellEnd"/>
      <w:r w:rsidR="00A30460" w:rsidRPr="00A30460">
        <w:rPr>
          <w:rFonts w:ascii="Times New Roman" w:hAnsi="Times New Roman"/>
          <w:sz w:val="24"/>
          <w:szCs w:val="24"/>
        </w:rPr>
        <w:t xml:space="preserve"> et al. (2016) found that the savings element </w:t>
      </w:r>
      <w:r w:rsidR="006C5C76">
        <w:rPr>
          <w:rFonts w:ascii="Times New Roman" w:hAnsi="Times New Roman"/>
          <w:sz w:val="24"/>
          <w:szCs w:val="24"/>
        </w:rPr>
        <w:t xml:space="preserve">in the family </w:t>
      </w:r>
      <w:proofErr w:type="spellStart"/>
      <w:r w:rsidR="006C5C76">
        <w:rPr>
          <w:rFonts w:ascii="Times New Roman" w:hAnsi="Times New Roman"/>
          <w:sz w:val="24"/>
          <w:szCs w:val="24"/>
        </w:rPr>
        <w:t>takaful</w:t>
      </w:r>
      <w:proofErr w:type="spellEnd"/>
      <w:r w:rsidR="006C5C76">
        <w:rPr>
          <w:rFonts w:ascii="Times New Roman" w:hAnsi="Times New Roman"/>
          <w:sz w:val="24"/>
          <w:szCs w:val="24"/>
        </w:rPr>
        <w:t xml:space="preserve"> plan </w:t>
      </w:r>
      <w:r w:rsidR="00A30460" w:rsidRPr="00A30460">
        <w:rPr>
          <w:rFonts w:ascii="Times New Roman" w:hAnsi="Times New Roman"/>
          <w:sz w:val="24"/>
          <w:szCs w:val="24"/>
        </w:rPr>
        <w:t xml:space="preserve">had a dominant influence in establishing </w:t>
      </w:r>
      <w:proofErr w:type="spellStart"/>
      <w:r w:rsidR="00A30460" w:rsidRPr="00A30460">
        <w:rPr>
          <w:rFonts w:ascii="Times New Roman" w:hAnsi="Times New Roman"/>
          <w:sz w:val="24"/>
          <w:szCs w:val="24"/>
        </w:rPr>
        <w:t>takaful</w:t>
      </w:r>
      <w:proofErr w:type="spellEnd"/>
      <w:r w:rsidR="00A30460" w:rsidRPr="00A30460">
        <w:rPr>
          <w:rFonts w:ascii="Times New Roman" w:hAnsi="Times New Roman"/>
          <w:sz w:val="24"/>
          <w:szCs w:val="24"/>
        </w:rPr>
        <w:t xml:space="preserve"> purchase intentions. However, Yon </w:t>
      </w:r>
      <w:proofErr w:type="spellStart"/>
      <w:r w:rsidR="00A30460" w:rsidRPr="00A30460">
        <w:rPr>
          <w:rFonts w:ascii="Times New Roman" w:hAnsi="Times New Roman"/>
          <w:sz w:val="24"/>
          <w:szCs w:val="24"/>
        </w:rPr>
        <w:t>Bahiyah</w:t>
      </w:r>
      <w:proofErr w:type="spellEnd"/>
      <w:r w:rsidR="00A30460" w:rsidRPr="00A30460">
        <w:rPr>
          <w:rFonts w:ascii="Times New Roman" w:hAnsi="Times New Roman"/>
          <w:sz w:val="24"/>
          <w:szCs w:val="24"/>
        </w:rPr>
        <w:t xml:space="preserve"> et al. (2009) </w:t>
      </w:r>
      <w:r w:rsidR="006C5C76">
        <w:rPr>
          <w:rFonts w:ascii="Times New Roman" w:hAnsi="Times New Roman"/>
          <w:sz w:val="24"/>
          <w:szCs w:val="24"/>
        </w:rPr>
        <w:t xml:space="preserve">highlighted </w:t>
      </w:r>
      <w:r w:rsidR="00A30460" w:rsidRPr="00A30460">
        <w:rPr>
          <w:rFonts w:ascii="Times New Roman" w:hAnsi="Times New Roman"/>
          <w:sz w:val="24"/>
          <w:szCs w:val="24"/>
        </w:rPr>
        <w:t>that protection element is more important.</w:t>
      </w:r>
    </w:p>
    <w:p w:rsidR="00A30460" w:rsidRPr="00A30460" w:rsidRDefault="00A30460" w:rsidP="00A30460">
      <w:pPr>
        <w:pStyle w:val="NoSpacing"/>
        <w:ind w:firstLine="360"/>
        <w:jc w:val="both"/>
        <w:rPr>
          <w:rFonts w:ascii="Times New Roman" w:hAnsi="Times New Roman"/>
          <w:sz w:val="24"/>
          <w:szCs w:val="24"/>
        </w:rPr>
      </w:pPr>
      <w:r w:rsidRPr="00876CE9">
        <w:rPr>
          <w:rFonts w:ascii="Times New Roman" w:hAnsi="Times New Roman"/>
          <w:sz w:val="24"/>
          <w:szCs w:val="24"/>
        </w:rPr>
        <w:t xml:space="preserve">Awareness </w:t>
      </w:r>
      <w:r w:rsidR="00A51771">
        <w:rPr>
          <w:rFonts w:ascii="Times New Roman" w:hAnsi="Times New Roman"/>
          <w:sz w:val="24"/>
          <w:szCs w:val="24"/>
        </w:rPr>
        <w:t>on</w:t>
      </w:r>
      <w:r w:rsidRPr="00876CE9">
        <w:rPr>
          <w:rFonts w:ascii="Times New Roman" w:hAnsi="Times New Roman"/>
          <w:sz w:val="24"/>
          <w:szCs w:val="24"/>
        </w:rPr>
        <w:t xml:space="preserve"> </w:t>
      </w:r>
      <w:proofErr w:type="spellStart"/>
      <w:r w:rsidRPr="00876CE9">
        <w:rPr>
          <w:rFonts w:ascii="Times New Roman" w:hAnsi="Times New Roman"/>
          <w:sz w:val="24"/>
          <w:szCs w:val="24"/>
        </w:rPr>
        <w:t>takaful</w:t>
      </w:r>
      <w:proofErr w:type="spellEnd"/>
      <w:r w:rsidRPr="00876CE9">
        <w:rPr>
          <w:rFonts w:ascii="Times New Roman" w:hAnsi="Times New Roman"/>
          <w:sz w:val="24"/>
          <w:szCs w:val="24"/>
        </w:rPr>
        <w:t xml:space="preserve"> plans </w:t>
      </w:r>
      <w:r w:rsidR="00A51771">
        <w:rPr>
          <w:rFonts w:ascii="Times New Roman" w:hAnsi="Times New Roman"/>
          <w:sz w:val="24"/>
          <w:szCs w:val="24"/>
        </w:rPr>
        <w:t xml:space="preserve">is a global issue and has </w:t>
      </w:r>
      <w:r w:rsidR="002E5AE3">
        <w:rPr>
          <w:rFonts w:ascii="Times New Roman" w:hAnsi="Times New Roman"/>
          <w:sz w:val="24"/>
          <w:szCs w:val="24"/>
        </w:rPr>
        <w:t>attracted</w:t>
      </w:r>
      <w:r w:rsidR="00A51771">
        <w:rPr>
          <w:rFonts w:ascii="Times New Roman" w:hAnsi="Times New Roman"/>
          <w:sz w:val="24"/>
          <w:szCs w:val="24"/>
        </w:rPr>
        <w:t xml:space="preserve"> interest from international researcher</w:t>
      </w:r>
      <w:r w:rsidRPr="00876CE9">
        <w:rPr>
          <w:rFonts w:ascii="Times New Roman" w:hAnsi="Times New Roman"/>
          <w:sz w:val="24"/>
          <w:szCs w:val="24"/>
        </w:rPr>
        <w:t xml:space="preserve">. </w:t>
      </w:r>
      <w:proofErr w:type="spellStart"/>
      <w:r w:rsidRPr="00876CE9">
        <w:rPr>
          <w:rFonts w:ascii="Times New Roman" w:hAnsi="Times New Roman"/>
          <w:sz w:val="24"/>
          <w:szCs w:val="24"/>
        </w:rPr>
        <w:t>Sutan</w:t>
      </w:r>
      <w:proofErr w:type="spellEnd"/>
      <w:r w:rsidRPr="00876CE9">
        <w:rPr>
          <w:rFonts w:ascii="Times New Roman" w:hAnsi="Times New Roman"/>
          <w:sz w:val="24"/>
          <w:szCs w:val="24"/>
        </w:rPr>
        <w:t xml:space="preserve"> &amp; </w:t>
      </w:r>
      <w:proofErr w:type="spellStart"/>
      <w:r w:rsidRPr="00876CE9">
        <w:rPr>
          <w:rFonts w:ascii="Times New Roman" w:hAnsi="Times New Roman"/>
          <w:sz w:val="24"/>
          <w:szCs w:val="24"/>
        </w:rPr>
        <w:t>Ameena</w:t>
      </w:r>
      <w:proofErr w:type="spellEnd"/>
      <w:r w:rsidRPr="00876CE9">
        <w:rPr>
          <w:rFonts w:ascii="Times New Roman" w:hAnsi="Times New Roman"/>
          <w:sz w:val="24"/>
          <w:szCs w:val="24"/>
        </w:rPr>
        <w:t xml:space="preserve"> (2014) found that the level of education affects the level of awareness of </w:t>
      </w:r>
      <w:proofErr w:type="spellStart"/>
      <w:r w:rsidRPr="00876CE9">
        <w:rPr>
          <w:rFonts w:ascii="Times New Roman" w:hAnsi="Times New Roman"/>
          <w:sz w:val="24"/>
          <w:szCs w:val="24"/>
        </w:rPr>
        <w:t>takaful</w:t>
      </w:r>
      <w:proofErr w:type="spellEnd"/>
      <w:r w:rsidRPr="00876CE9">
        <w:rPr>
          <w:rFonts w:ascii="Times New Roman" w:hAnsi="Times New Roman"/>
          <w:sz w:val="24"/>
          <w:szCs w:val="24"/>
        </w:rPr>
        <w:t xml:space="preserve"> plans in B</w:t>
      </w:r>
      <w:r w:rsidR="00EB5F17">
        <w:rPr>
          <w:rFonts w:ascii="Times New Roman" w:hAnsi="Times New Roman"/>
          <w:sz w:val="24"/>
          <w:szCs w:val="24"/>
        </w:rPr>
        <w:t>a</w:t>
      </w:r>
      <w:r w:rsidRPr="00876CE9">
        <w:rPr>
          <w:rFonts w:ascii="Times New Roman" w:hAnsi="Times New Roman"/>
          <w:sz w:val="24"/>
          <w:szCs w:val="24"/>
        </w:rPr>
        <w:t xml:space="preserve">hrain. </w:t>
      </w:r>
      <w:r w:rsidR="00D06464">
        <w:rPr>
          <w:rFonts w:ascii="Times New Roman" w:hAnsi="Times New Roman"/>
          <w:sz w:val="24"/>
          <w:szCs w:val="24"/>
        </w:rPr>
        <w:t>It shows that t</w:t>
      </w:r>
      <w:r w:rsidRPr="00876CE9">
        <w:rPr>
          <w:rFonts w:ascii="Times New Roman" w:hAnsi="Times New Roman"/>
          <w:sz w:val="24"/>
          <w:szCs w:val="24"/>
        </w:rPr>
        <w:t xml:space="preserve">hose with higher education levels </w:t>
      </w:r>
      <w:r w:rsidR="00D06464">
        <w:rPr>
          <w:rFonts w:ascii="Times New Roman" w:hAnsi="Times New Roman"/>
          <w:sz w:val="24"/>
          <w:szCs w:val="24"/>
        </w:rPr>
        <w:t>pos</w:t>
      </w:r>
      <w:r w:rsidR="003E07CE">
        <w:rPr>
          <w:rFonts w:ascii="Times New Roman" w:hAnsi="Times New Roman"/>
          <w:sz w:val="24"/>
          <w:szCs w:val="24"/>
        </w:rPr>
        <w:t>s</w:t>
      </w:r>
      <w:r w:rsidR="00D06464">
        <w:rPr>
          <w:rFonts w:ascii="Times New Roman" w:hAnsi="Times New Roman"/>
          <w:sz w:val="24"/>
          <w:szCs w:val="24"/>
        </w:rPr>
        <w:t>es</w:t>
      </w:r>
      <w:r w:rsidR="003E07CE">
        <w:rPr>
          <w:rFonts w:ascii="Times New Roman" w:hAnsi="Times New Roman"/>
          <w:sz w:val="24"/>
          <w:szCs w:val="24"/>
        </w:rPr>
        <w:t>s</w:t>
      </w:r>
      <w:r w:rsidR="00D06464">
        <w:rPr>
          <w:rFonts w:ascii="Times New Roman" w:hAnsi="Times New Roman"/>
          <w:sz w:val="24"/>
          <w:szCs w:val="24"/>
        </w:rPr>
        <w:t xml:space="preserve"> higher </w:t>
      </w:r>
      <w:r w:rsidRPr="00876CE9">
        <w:rPr>
          <w:rFonts w:ascii="Times New Roman" w:hAnsi="Times New Roman"/>
          <w:sz w:val="24"/>
          <w:szCs w:val="24"/>
        </w:rPr>
        <w:t>aware</w:t>
      </w:r>
      <w:r w:rsidR="00D06464">
        <w:rPr>
          <w:rFonts w:ascii="Times New Roman" w:hAnsi="Times New Roman"/>
          <w:sz w:val="24"/>
          <w:szCs w:val="24"/>
        </w:rPr>
        <w:t xml:space="preserve">ness on </w:t>
      </w:r>
      <w:r w:rsidRPr="00876CE9">
        <w:rPr>
          <w:rFonts w:ascii="Times New Roman" w:hAnsi="Times New Roman"/>
          <w:sz w:val="24"/>
          <w:szCs w:val="24"/>
        </w:rPr>
        <w:t xml:space="preserve">terms, principles, concepts and models in </w:t>
      </w:r>
      <w:proofErr w:type="spellStart"/>
      <w:r w:rsidRPr="00876CE9">
        <w:rPr>
          <w:rFonts w:ascii="Times New Roman" w:hAnsi="Times New Roman"/>
          <w:sz w:val="24"/>
          <w:szCs w:val="24"/>
        </w:rPr>
        <w:t>takaful</w:t>
      </w:r>
      <w:proofErr w:type="spellEnd"/>
      <w:r w:rsidRPr="00876CE9">
        <w:rPr>
          <w:rFonts w:ascii="Times New Roman" w:hAnsi="Times New Roman"/>
          <w:sz w:val="24"/>
          <w:szCs w:val="24"/>
        </w:rPr>
        <w:t xml:space="preserve"> operations. In Kuwait, women </w:t>
      </w:r>
      <w:r w:rsidR="009C4B84">
        <w:rPr>
          <w:rFonts w:ascii="Times New Roman" w:hAnsi="Times New Roman"/>
          <w:sz w:val="24"/>
          <w:szCs w:val="24"/>
        </w:rPr>
        <w:t>were</w:t>
      </w:r>
      <w:r w:rsidRPr="00876CE9">
        <w:rPr>
          <w:rFonts w:ascii="Times New Roman" w:hAnsi="Times New Roman"/>
          <w:sz w:val="24"/>
          <w:szCs w:val="24"/>
        </w:rPr>
        <w:t xml:space="preserve"> found to have higher knowledge about </w:t>
      </w:r>
      <w:proofErr w:type="spellStart"/>
      <w:r w:rsidRPr="00876CE9">
        <w:rPr>
          <w:rFonts w:ascii="Times New Roman" w:hAnsi="Times New Roman"/>
          <w:sz w:val="24"/>
          <w:szCs w:val="24"/>
        </w:rPr>
        <w:t>takaful</w:t>
      </w:r>
      <w:proofErr w:type="spellEnd"/>
      <w:r w:rsidRPr="00876CE9">
        <w:rPr>
          <w:rFonts w:ascii="Times New Roman" w:hAnsi="Times New Roman"/>
          <w:sz w:val="24"/>
          <w:szCs w:val="24"/>
        </w:rPr>
        <w:t xml:space="preserve"> plans than men, while those working in the private sector generally </w:t>
      </w:r>
      <w:r w:rsidR="009C4B84">
        <w:rPr>
          <w:rFonts w:ascii="Times New Roman" w:hAnsi="Times New Roman"/>
          <w:sz w:val="24"/>
          <w:szCs w:val="24"/>
        </w:rPr>
        <w:t>po</w:t>
      </w:r>
      <w:r w:rsidR="003E07CE">
        <w:rPr>
          <w:rFonts w:ascii="Times New Roman" w:hAnsi="Times New Roman"/>
          <w:sz w:val="24"/>
          <w:szCs w:val="24"/>
        </w:rPr>
        <w:t>s</w:t>
      </w:r>
      <w:r w:rsidR="009C4B84">
        <w:rPr>
          <w:rFonts w:ascii="Times New Roman" w:hAnsi="Times New Roman"/>
          <w:sz w:val="24"/>
          <w:szCs w:val="24"/>
        </w:rPr>
        <w:t>ses</w:t>
      </w:r>
      <w:r w:rsidR="003E07CE">
        <w:rPr>
          <w:rFonts w:ascii="Times New Roman" w:hAnsi="Times New Roman"/>
          <w:sz w:val="24"/>
          <w:szCs w:val="24"/>
        </w:rPr>
        <w:t>s</w:t>
      </w:r>
      <w:r w:rsidR="009C4B84">
        <w:rPr>
          <w:rFonts w:ascii="Times New Roman" w:hAnsi="Times New Roman"/>
          <w:sz w:val="24"/>
          <w:szCs w:val="24"/>
        </w:rPr>
        <w:t xml:space="preserve"> higher knowledge on </w:t>
      </w:r>
      <w:proofErr w:type="spellStart"/>
      <w:r w:rsidRPr="00876CE9">
        <w:rPr>
          <w:rFonts w:ascii="Times New Roman" w:hAnsi="Times New Roman"/>
          <w:sz w:val="24"/>
          <w:szCs w:val="24"/>
        </w:rPr>
        <w:t>takaful</w:t>
      </w:r>
      <w:proofErr w:type="spellEnd"/>
      <w:r w:rsidRPr="00876CE9">
        <w:rPr>
          <w:rFonts w:ascii="Times New Roman" w:hAnsi="Times New Roman"/>
          <w:sz w:val="24"/>
          <w:szCs w:val="24"/>
        </w:rPr>
        <w:t xml:space="preserve"> plan</w:t>
      </w:r>
      <w:r w:rsidR="001B1DAC">
        <w:rPr>
          <w:rFonts w:ascii="Times New Roman" w:hAnsi="Times New Roman"/>
          <w:sz w:val="24"/>
          <w:szCs w:val="24"/>
        </w:rPr>
        <w:t xml:space="preserve"> (</w:t>
      </w:r>
      <w:proofErr w:type="spellStart"/>
      <w:r w:rsidR="001B1DAC">
        <w:rPr>
          <w:rFonts w:ascii="Times New Roman" w:hAnsi="Times New Roman"/>
          <w:sz w:val="24"/>
          <w:szCs w:val="24"/>
        </w:rPr>
        <w:t>Soualhi</w:t>
      </w:r>
      <w:proofErr w:type="spellEnd"/>
      <w:r w:rsidR="001B1DAC">
        <w:rPr>
          <w:rFonts w:ascii="Times New Roman" w:hAnsi="Times New Roman"/>
          <w:sz w:val="24"/>
          <w:szCs w:val="24"/>
        </w:rPr>
        <w:t xml:space="preserve"> &amp; Al </w:t>
      </w:r>
      <w:proofErr w:type="spellStart"/>
      <w:r w:rsidR="001B1DAC">
        <w:rPr>
          <w:rFonts w:ascii="Times New Roman" w:hAnsi="Times New Roman"/>
          <w:sz w:val="24"/>
          <w:szCs w:val="24"/>
        </w:rPr>
        <w:t>Shammari</w:t>
      </w:r>
      <w:proofErr w:type="spellEnd"/>
      <w:r w:rsidR="001B1DAC">
        <w:rPr>
          <w:rFonts w:ascii="Times New Roman" w:hAnsi="Times New Roman"/>
          <w:sz w:val="24"/>
          <w:szCs w:val="24"/>
        </w:rPr>
        <w:t xml:space="preserve">, 2015). </w:t>
      </w:r>
      <w:proofErr w:type="spellStart"/>
      <w:r w:rsidR="001B1DAC" w:rsidRPr="00876CE9">
        <w:rPr>
          <w:rFonts w:ascii="Times New Roman" w:hAnsi="Times New Roman"/>
          <w:sz w:val="24"/>
          <w:szCs w:val="24"/>
        </w:rPr>
        <w:t>AlNemer</w:t>
      </w:r>
      <w:proofErr w:type="spellEnd"/>
      <w:r w:rsidR="001B1DAC">
        <w:rPr>
          <w:rFonts w:ascii="Times New Roman" w:hAnsi="Times New Roman"/>
          <w:sz w:val="24"/>
          <w:szCs w:val="24"/>
        </w:rPr>
        <w:t xml:space="preserve"> (</w:t>
      </w:r>
      <w:r w:rsidR="001B1DAC" w:rsidRPr="00876CE9">
        <w:rPr>
          <w:rFonts w:ascii="Times New Roman" w:hAnsi="Times New Roman"/>
          <w:sz w:val="24"/>
          <w:szCs w:val="24"/>
        </w:rPr>
        <w:t>2015)</w:t>
      </w:r>
      <w:r w:rsidR="001B1DAC">
        <w:rPr>
          <w:rFonts w:ascii="Times New Roman" w:hAnsi="Times New Roman"/>
          <w:sz w:val="24"/>
          <w:szCs w:val="24"/>
        </w:rPr>
        <w:t xml:space="preserve"> </w:t>
      </w:r>
      <w:r w:rsidRPr="00876CE9">
        <w:rPr>
          <w:rFonts w:ascii="Times New Roman" w:hAnsi="Times New Roman"/>
          <w:sz w:val="24"/>
          <w:szCs w:val="24"/>
        </w:rPr>
        <w:t xml:space="preserve">found that the level of awareness and understanding </w:t>
      </w:r>
      <w:r w:rsidR="001B1DAC">
        <w:rPr>
          <w:rFonts w:ascii="Times New Roman" w:hAnsi="Times New Roman"/>
          <w:sz w:val="24"/>
          <w:szCs w:val="24"/>
        </w:rPr>
        <w:t>among</w:t>
      </w:r>
      <w:r w:rsidRPr="00876CE9">
        <w:rPr>
          <w:rFonts w:ascii="Times New Roman" w:hAnsi="Times New Roman"/>
          <w:sz w:val="24"/>
          <w:szCs w:val="24"/>
        </w:rPr>
        <w:t xml:space="preserve"> respondents </w:t>
      </w:r>
      <w:r w:rsidR="001B1DAC">
        <w:rPr>
          <w:rFonts w:ascii="Times New Roman" w:hAnsi="Times New Roman"/>
          <w:sz w:val="24"/>
          <w:szCs w:val="24"/>
        </w:rPr>
        <w:t>in Saudi Arabia</w:t>
      </w:r>
      <w:r w:rsidR="001B1DAC" w:rsidRPr="00876CE9">
        <w:rPr>
          <w:rFonts w:ascii="Times New Roman" w:hAnsi="Times New Roman"/>
          <w:sz w:val="24"/>
          <w:szCs w:val="24"/>
        </w:rPr>
        <w:t xml:space="preserve"> </w:t>
      </w:r>
      <w:r w:rsidRPr="00876CE9">
        <w:rPr>
          <w:rFonts w:ascii="Times New Roman" w:hAnsi="Times New Roman"/>
          <w:sz w:val="24"/>
          <w:szCs w:val="24"/>
        </w:rPr>
        <w:t>is still low</w:t>
      </w:r>
      <w:r w:rsidR="001B1DAC">
        <w:rPr>
          <w:rFonts w:ascii="Times New Roman" w:hAnsi="Times New Roman"/>
          <w:sz w:val="24"/>
          <w:szCs w:val="24"/>
        </w:rPr>
        <w:t xml:space="preserve">. </w:t>
      </w:r>
      <w:r w:rsidRPr="00876CE9">
        <w:rPr>
          <w:rFonts w:ascii="Times New Roman" w:hAnsi="Times New Roman"/>
          <w:sz w:val="24"/>
          <w:szCs w:val="24"/>
        </w:rPr>
        <w:t xml:space="preserve">However, </w:t>
      </w:r>
      <w:r w:rsidR="001B1DAC" w:rsidRPr="00876CE9">
        <w:rPr>
          <w:rFonts w:ascii="Times New Roman" w:hAnsi="Times New Roman"/>
          <w:sz w:val="24"/>
          <w:szCs w:val="24"/>
        </w:rPr>
        <w:t>64% of respondents</w:t>
      </w:r>
      <w:r w:rsidR="001B1DAC">
        <w:rPr>
          <w:rFonts w:ascii="Times New Roman" w:hAnsi="Times New Roman"/>
          <w:sz w:val="24"/>
          <w:szCs w:val="24"/>
        </w:rPr>
        <w:t xml:space="preserve"> </w:t>
      </w:r>
      <w:r w:rsidRPr="00876CE9">
        <w:rPr>
          <w:rFonts w:ascii="Times New Roman" w:hAnsi="Times New Roman"/>
          <w:sz w:val="24"/>
          <w:szCs w:val="24"/>
        </w:rPr>
        <w:t xml:space="preserve">in Pakistan </w:t>
      </w:r>
      <w:r w:rsidR="001B1DAC">
        <w:rPr>
          <w:rFonts w:ascii="Times New Roman" w:hAnsi="Times New Roman"/>
          <w:sz w:val="24"/>
          <w:szCs w:val="24"/>
        </w:rPr>
        <w:t>were</w:t>
      </w:r>
      <w:r w:rsidRPr="00876CE9">
        <w:rPr>
          <w:rFonts w:ascii="Times New Roman" w:hAnsi="Times New Roman"/>
          <w:sz w:val="24"/>
          <w:szCs w:val="24"/>
        </w:rPr>
        <w:t xml:space="preserve"> aware of the basic concepts of </w:t>
      </w:r>
      <w:proofErr w:type="spellStart"/>
      <w:r w:rsidRPr="00876CE9">
        <w:rPr>
          <w:rFonts w:ascii="Times New Roman" w:hAnsi="Times New Roman"/>
          <w:sz w:val="24"/>
          <w:szCs w:val="24"/>
        </w:rPr>
        <w:t>takaful</w:t>
      </w:r>
      <w:proofErr w:type="spellEnd"/>
      <w:r w:rsidR="001B1DAC">
        <w:rPr>
          <w:rFonts w:ascii="Times New Roman" w:hAnsi="Times New Roman"/>
          <w:sz w:val="24"/>
          <w:szCs w:val="24"/>
        </w:rPr>
        <w:t xml:space="preserve">, while </w:t>
      </w:r>
      <w:r w:rsidRPr="00876CE9">
        <w:rPr>
          <w:rFonts w:ascii="Times New Roman" w:hAnsi="Times New Roman"/>
          <w:sz w:val="24"/>
          <w:szCs w:val="24"/>
        </w:rPr>
        <w:t xml:space="preserve">majority of respondents have knowledge of </w:t>
      </w:r>
      <w:proofErr w:type="spellStart"/>
      <w:r w:rsidRPr="00876CE9">
        <w:rPr>
          <w:rFonts w:ascii="Times New Roman" w:hAnsi="Times New Roman"/>
          <w:sz w:val="24"/>
          <w:szCs w:val="24"/>
        </w:rPr>
        <w:t>takaful</w:t>
      </w:r>
      <w:proofErr w:type="spellEnd"/>
      <w:r w:rsidRPr="00876CE9">
        <w:rPr>
          <w:rFonts w:ascii="Times New Roman" w:hAnsi="Times New Roman"/>
          <w:sz w:val="24"/>
          <w:szCs w:val="24"/>
        </w:rPr>
        <w:t xml:space="preserve"> principles and interests (Malik et al., 2012). </w:t>
      </w:r>
      <w:r w:rsidR="00B80630" w:rsidRPr="00B80630">
        <w:rPr>
          <w:rFonts w:ascii="Times New Roman" w:hAnsi="Times New Roman"/>
          <w:sz w:val="24"/>
          <w:szCs w:val="24"/>
        </w:rPr>
        <w:t>According to</w:t>
      </w:r>
      <w:r w:rsidR="0008718A">
        <w:rPr>
          <w:rFonts w:ascii="Times New Roman" w:hAnsi="Times New Roman"/>
          <w:sz w:val="24"/>
          <w:szCs w:val="24"/>
        </w:rPr>
        <w:t xml:space="preserve"> study by</w:t>
      </w:r>
      <w:r w:rsidR="00B80630" w:rsidRPr="00B80630">
        <w:rPr>
          <w:rFonts w:ascii="Times New Roman" w:hAnsi="Times New Roman"/>
          <w:sz w:val="24"/>
          <w:szCs w:val="24"/>
        </w:rPr>
        <w:t xml:space="preserve"> </w:t>
      </w:r>
      <w:r w:rsidR="00897650">
        <w:rPr>
          <w:rFonts w:ascii="Times New Roman" w:hAnsi="Times New Roman"/>
          <w:sz w:val="24"/>
          <w:szCs w:val="24"/>
        </w:rPr>
        <w:t>Sinha et al.</w:t>
      </w:r>
      <w:r w:rsidR="00B80630" w:rsidRPr="00B80630">
        <w:rPr>
          <w:rFonts w:ascii="Times New Roman" w:hAnsi="Times New Roman"/>
          <w:sz w:val="24"/>
          <w:szCs w:val="24"/>
        </w:rPr>
        <w:t xml:space="preserve"> (2011), individuals' awareness </w:t>
      </w:r>
      <w:r w:rsidR="007A3872">
        <w:rPr>
          <w:rFonts w:ascii="Times New Roman" w:hAnsi="Times New Roman"/>
          <w:sz w:val="24"/>
          <w:szCs w:val="24"/>
        </w:rPr>
        <w:t xml:space="preserve">towards </w:t>
      </w:r>
      <w:r w:rsidR="00B80630" w:rsidRPr="00B80630">
        <w:rPr>
          <w:rFonts w:ascii="Times New Roman" w:hAnsi="Times New Roman"/>
          <w:sz w:val="24"/>
          <w:szCs w:val="24"/>
        </w:rPr>
        <w:t xml:space="preserve">insurance </w:t>
      </w:r>
      <w:r w:rsidR="007A3872">
        <w:rPr>
          <w:rFonts w:ascii="Times New Roman" w:hAnsi="Times New Roman"/>
          <w:sz w:val="24"/>
          <w:szCs w:val="24"/>
        </w:rPr>
        <w:t xml:space="preserve">in India </w:t>
      </w:r>
      <w:r w:rsidR="00B80630" w:rsidRPr="00B80630">
        <w:rPr>
          <w:rFonts w:ascii="Times New Roman" w:hAnsi="Times New Roman"/>
          <w:sz w:val="24"/>
          <w:szCs w:val="24"/>
        </w:rPr>
        <w:t>varies by location, type of policy</w:t>
      </w:r>
      <w:r w:rsidR="007A3872">
        <w:rPr>
          <w:rFonts w:ascii="Times New Roman" w:hAnsi="Times New Roman"/>
          <w:sz w:val="24"/>
          <w:szCs w:val="24"/>
        </w:rPr>
        <w:t xml:space="preserve">, state and level of education. </w:t>
      </w:r>
      <w:r w:rsidR="0008718A">
        <w:rPr>
          <w:rFonts w:ascii="Times New Roman" w:hAnsi="Times New Roman"/>
          <w:sz w:val="24"/>
          <w:szCs w:val="24"/>
        </w:rPr>
        <w:t>Understanding level for i</w:t>
      </w:r>
      <w:r w:rsidR="00B80630" w:rsidRPr="00B80630">
        <w:rPr>
          <w:rFonts w:ascii="Times New Roman" w:hAnsi="Times New Roman"/>
          <w:sz w:val="24"/>
          <w:szCs w:val="24"/>
        </w:rPr>
        <w:t xml:space="preserve">ndividuals </w:t>
      </w:r>
      <w:r w:rsidR="0008718A">
        <w:rPr>
          <w:rFonts w:ascii="Times New Roman" w:hAnsi="Times New Roman"/>
          <w:sz w:val="24"/>
          <w:szCs w:val="24"/>
        </w:rPr>
        <w:t xml:space="preserve">in the </w:t>
      </w:r>
      <w:r w:rsidR="00B80630" w:rsidRPr="00B80630">
        <w:rPr>
          <w:rFonts w:ascii="Times New Roman" w:hAnsi="Times New Roman"/>
          <w:sz w:val="24"/>
          <w:szCs w:val="24"/>
        </w:rPr>
        <w:t xml:space="preserve">cities </w:t>
      </w:r>
      <w:r w:rsidR="0008718A">
        <w:rPr>
          <w:rFonts w:ascii="Times New Roman" w:hAnsi="Times New Roman"/>
          <w:sz w:val="24"/>
          <w:szCs w:val="24"/>
        </w:rPr>
        <w:t xml:space="preserve">were higher than those </w:t>
      </w:r>
      <w:r w:rsidR="00B80630" w:rsidRPr="00B80630">
        <w:rPr>
          <w:rFonts w:ascii="Times New Roman" w:hAnsi="Times New Roman"/>
          <w:sz w:val="24"/>
          <w:szCs w:val="24"/>
        </w:rPr>
        <w:t xml:space="preserve">in rural areas. </w:t>
      </w:r>
      <w:r w:rsidR="0008718A">
        <w:rPr>
          <w:rFonts w:ascii="Times New Roman" w:hAnsi="Times New Roman"/>
          <w:sz w:val="24"/>
          <w:szCs w:val="24"/>
        </w:rPr>
        <w:t>Moreover, the knowledge about life insurance is far better than health insurance. This study concluded that education was</w:t>
      </w:r>
      <w:r w:rsidR="00B80630" w:rsidRPr="00B80630">
        <w:rPr>
          <w:rFonts w:ascii="Times New Roman" w:hAnsi="Times New Roman"/>
          <w:sz w:val="24"/>
          <w:szCs w:val="24"/>
        </w:rPr>
        <w:t xml:space="preserve"> an important factor in influencing the awareness of rights and responsibilities as a policyholder. </w:t>
      </w:r>
      <w:r w:rsidR="00084BD9">
        <w:rPr>
          <w:rFonts w:ascii="Times New Roman" w:hAnsi="Times New Roman"/>
          <w:sz w:val="24"/>
          <w:szCs w:val="24"/>
        </w:rPr>
        <w:t>Awareness also varies between insured and uninsured</w:t>
      </w:r>
      <w:r w:rsidR="00C86284">
        <w:rPr>
          <w:rFonts w:ascii="Times New Roman" w:hAnsi="Times New Roman"/>
          <w:sz w:val="24"/>
          <w:szCs w:val="24"/>
        </w:rPr>
        <w:t xml:space="preserve"> individuals</w:t>
      </w:r>
      <w:r w:rsidR="00084BD9">
        <w:rPr>
          <w:rFonts w:ascii="Times New Roman" w:hAnsi="Times New Roman"/>
          <w:sz w:val="24"/>
          <w:szCs w:val="24"/>
        </w:rPr>
        <w:t xml:space="preserve">. </w:t>
      </w:r>
      <w:r w:rsidR="00B80630" w:rsidRPr="00B80630">
        <w:rPr>
          <w:rFonts w:ascii="Times New Roman" w:hAnsi="Times New Roman"/>
          <w:sz w:val="24"/>
          <w:szCs w:val="24"/>
        </w:rPr>
        <w:t xml:space="preserve">However, this study </w:t>
      </w:r>
      <w:r w:rsidR="00084BD9">
        <w:rPr>
          <w:rFonts w:ascii="Times New Roman" w:hAnsi="Times New Roman"/>
          <w:sz w:val="24"/>
          <w:szCs w:val="24"/>
        </w:rPr>
        <w:t>did</w:t>
      </w:r>
      <w:r w:rsidR="00B80630" w:rsidRPr="00B80630">
        <w:rPr>
          <w:rFonts w:ascii="Times New Roman" w:hAnsi="Times New Roman"/>
          <w:sz w:val="24"/>
          <w:szCs w:val="24"/>
        </w:rPr>
        <w:t xml:space="preserve"> not prove the relationship through empirical analysis.</w:t>
      </w:r>
      <w:r w:rsidR="00176849">
        <w:rPr>
          <w:rFonts w:ascii="Times New Roman" w:hAnsi="Times New Roman"/>
          <w:sz w:val="24"/>
          <w:szCs w:val="24"/>
        </w:rPr>
        <w:t xml:space="preserve"> </w:t>
      </w:r>
      <w:r w:rsidR="00226842">
        <w:rPr>
          <w:rFonts w:ascii="Times New Roman" w:hAnsi="Times New Roman"/>
          <w:sz w:val="24"/>
          <w:szCs w:val="24"/>
        </w:rPr>
        <w:t xml:space="preserve">Moreover, </w:t>
      </w:r>
      <w:r w:rsidR="00176849" w:rsidRPr="00176849">
        <w:rPr>
          <w:rFonts w:ascii="Times New Roman" w:hAnsi="Times New Roman"/>
          <w:sz w:val="24"/>
          <w:szCs w:val="24"/>
        </w:rPr>
        <w:t xml:space="preserve">demographics and knowledge </w:t>
      </w:r>
      <w:r w:rsidR="00226842">
        <w:rPr>
          <w:rFonts w:ascii="Times New Roman" w:hAnsi="Times New Roman"/>
          <w:sz w:val="24"/>
          <w:szCs w:val="24"/>
        </w:rPr>
        <w:t xml:space="preserve">were significantly related </w:t>
      </w:r>
      <w:r w:rsidR="00176849" w:rsidRPr="00176849">
        <w:rPr>
          <w:rFonts w:ascii="Times New Roman" w:hAnsi="Times New Roman"/>
          <w:sz w:val="24"/>
          <w:szCs w:val="24"/>
        </w:rPr>
        <w:t>with micro life insurance awareness</w:t>
      </w:r>
      <w:r w:rsidR="00226842">
        <w:rPr>
          <w:rFonts w:ascii="Times New Roman" w:hAnsi="Times New Roman"/>
          <w:sz w:val="24"/>
          <w:szCs w:val="24"/>
        </w:rPr>
        <w:t xml:space="preserve"> among hawkers in Bangladesh (</w:t>
      </w:r>
      <w:proofErr w:type="spellStart"/>
      <w:r w:rsidR="00226842">
        <w:rPr>
          <w:rFonts w:ascii="Times New Roman" w:hAnsi="Times New Roman"/>
          <w:sz w:val="24"/>
          <w:szCs w:val="24"/>
        </w:rPr>
        <w:t>Manik</w:t>
      </w:r>
      <w:proofErr w:type="spellEnd"/>
      <w:r w:rsidR="00226842">
        <w:rPr>
          <w:rFonts w:ascii="Times New Roman" w:hAnsi="Times New Roman"/>
          <w:sz w:val="24"/>
          <w:szCs w:val="24"/>
        </w:rPr>
        <w:t xml:space="preserve"> &amp; Abdul </w:t>
      </w:r>
      <w:proofErr w:type="spellStart"/>
      <w:r w:rsidR="00226842">
        <w:rPr>
          <w:rFonts w:ascii="Times New Roman" w:hAnsi="Times New Roman"/>
          <w:sz w:val="24"/>
          <w:szCs w:val="24"/>
        </w:rPr>
        <w:t>Mannan</w:t>
      </w:r>
      <w:proofErr w:type="spellEnd"/>
      <w:r w:rsidR="00226842">
        <w:rPr>
          <w:rFonts w:ascii="Times New Roman" w:hAnsi="Times New Roman"/>
          <w:sz w:val="24"/>
          <w:szCs w:val="24"/>
        </w:rPr>
        <w:t xml:space="preserve">, </w:t>
      </w:r>
      <w:r w:rsidR="00226842" w:rsidRPr="00176849">
        <w:rPr>
          <w:rFonts w:ascii="Times New Roman" w:hAnsi="Times New Roman"/>
          <w:sz w:val="24"/>
          <w:szCs w:val="24"/>
        </w:rPr>
        <w:t>201</w:t>
      </w:r>
      <w:r w:rsidR="00226842">
        <w:rPr>
          <w:rFonts w:ascii="Times New Roman" w:hAnsi="Times New Roman"/>
          <w:sz w:val="24"/>
          <w:szCs w:val="24"/>
        </w:rPr>
        <w:t>7</w:t>
      </w:r>
      <w:r w:rsidR="00226842" w:rsidRPr="00176849">
        <w:rPr>
          <w:rFonts w:ascii="Times New Roman" w:hAnsi="Times New Roman"/>
          <w:sz w:val="24"/>
          <w:szCs w:val="24"/>
        </w:rPr>
        <w:t>)</w:t>
      </w:r>
      <w:r w:rsidR="00176849" w:rsidRPr="00176849">
        <w:rPr>
          <w:rFonts w:ascii="Times New Roman" w:hAnsi="Times New Roman"/>
          <w:sz w:val="24"/>
          <w:szCs w:val="24"/>
        </w:rPr>
        <w:t xml:space="preserve">. The demographic variables </w:t>
      </w:r>
      <w:r w:rsidR="005518FD">
        <w:rPr>
          <w:rFonts w:ascii="Times New Roman" w:hAnsi="Times New Roman"/>
          <w:sz w:val="24"/>
          <w:szCs w:val="24"/>
        </w:rPr>
        <w:t xml:space="preserve">include gender, income, and </w:t>
      </w:r>
      <w:r w:rsidR="00176849" w:rsidRPr="00176849">
        <w:rPr>
          <w:rFonts w:ascii="Times New Roman" w:hAnsi="Times New Roman"/>
          <w:sz w:val="24"/>
          <w:szCs w:val="24"/>
        </w:rPr>
        <w:t>type of business</w:t>
      </w:r>
      <w:r w:rsidR="003C2876">
        <w:rPr>
          <w:rFonts w:ascii="Times New Roman" w:hAnsi="Times New Roman"/>
          <w:sz w:val="24"/>
          <w:szCs w:val="24"/>
        </w:rPr>
        <w:t>, while knowledge categorized into knowledge on</w:t>
      </w:r>
      <w:r w:rsidR="00176849" w:rsidRPr="00176849">
        <w:rPr>
          <w:rFonts w:ascii="Times New Roman" w:hAnsi="Times New Roman"/>
          <w:sz w:val="24"/>
          <w:szCs w:val="24"/>
        </w:rPr>
        <w:t xml:space="preserve"> policies, products, financial security and financial benefits</w:t>
      </w:r>
      <w:r w:rsidR="003C2876">
        <w:rPr>
          <w:rFonts w:ascii="Times New Roman" w:hAnsi="Times New Roman"/>
          <w:sz w:val="24"/>
          <w:szCs w:val="24"/>
        </w:rPr>
        <w:t xml:space="preserve"> of life insurance</w:t>
      </w:r>
      <w:r w:rsidR="00176849" w:rsidRPr="00176849">
        <w:rPr>
          <w:rFonts w:ascii="Times New Roman" w:hAnsi="Times New Roman"/>
          <w:sz w:val="24"/>
          <w:szCs w:val="24"/>
        </w:rPr>
        <w:t>.</w:t>
      </w:r>
      <w:r w:rsidR="00AF4C8D">
        <w:rPr>
          <w:rFonts w:ascii="Times New Roman" w:hAnsi="Times New Roman"/>
          <w:sz w:val="24"/>
          <w:szCs w:val="24"/>
        </w:rPr>
        <w:t xml:space="preserve"> </w:t>
      </w:r>
      <w:proofErr w:type="spellStart"/>
      <w:r w:rsidR="00876CE9" w:rsidRPr="00876CE9">
        <w:rPr>
          <w:rFonts w:ascii="Times New Roman" w:hAnsi="Times New Roman"/>
          <w:sz w:val="24"/>
          <w:szCs w:val="24"/>
        </w:rPr>
        <w:t>Yellaiah</w:t>
      </w:r>
      <w:proofErr w:type="spellEnd"/>
      <w:r w:rsidR="00876CE9" w:rsidRPr="00876CE9">
        <w:rPr>
          <w:rFonts w:ascii="Times New Roman" w:hAnsi="Times New Roman"/>
          <w:sz w:val="24"/>
          <w:szCs w:val="24"/>
        </w:rPr>
        <w:t xml:space="preserve"> (2012) also found that</w:t>
      </w:r>
      <w:r w:rsidR="002E5AE3">
        <w:rPr>
          <w:rFonts w:ascii="Times New Roman" w:hAnsi="Times New Roman"/>
          <w:sz w:val="24"/>
          <w:szCs w:val="24"/>
        </w:rPr>
        <w:t xml:space="preserve"> level of</w:t>
      </w:r>
      <w:r w:rsidR="00876CE9" w:rsidRPr="00876CE9">
        <w:rPr>
          <w:rFonts w:ascii="Times New Roman" w:hAnsi="Times New Roman"/>
          <w:sz w:val="24"/>
          <w:szCs w:val="24"/>
        </w:rPr>
        <w:t xml:space="preserve"> education, annual </w:t>
      </w:r>
      <w:proofErr w:type="gramStart"/>
      <w:r w:rsidR="00876CE9" w:rsidRPr="00876CE9">
        <w:rPr>
          <w:rFonts w:ascii="Times New Roman" w:hAnsi="Times New Roman"/>
          <w:sz w:val="24"/>
          <w:szCs w:val="24"/>
        </w:rPr>
        <w:t>income</w:t>
      </w:r>
      <w:r w:rsidR="005518FD">
        <w:rPr>
          <w:rFonts w:ascii="Times New Roman" w:hAnsi="Times New Roman"/>
          <w:sz w:val="24"/>
          <w:szCs w:val="24"/>
        </w:rPr>
        <w:t>,</w:t>
      </w:r>
      <w:proofErr w:type="gramEnd"/>
      <w:r w:rsidR="005518FD">
        <w:rPr>
          <w:rFonts w:ascii="Times New Roman" w:hAnsi="Times New Roman"/>
          <w:sz w:val="24"/>
          <w:szCs w:val="24"/>
        </w:rPr>
        <w:t xml:space="preserve"> </w:t>
      </w:r>
      <w:r w:rsidR="00876CE9" w:rsidRPr="00876CE9">
        <w:rPr>
          <w:rFonts w:ascii="Times New Roman" w:hAnsi="Times New Roman"/>
          <w:sz w:val="24"/>
          <w:szCs w:val="24"/>
        </w:rPr>
        <w:t>employment</w:t>
      </w:r>
      <w:r w:rsidR="005518FD">
        <w:rPr>
          <w:rFonts w:ascii="Times New Roman" w:hAnsi="Times New Roman"/>
          <w:sz w:val="24"/>
          <w:szCs w:val="24"/>
        </w:rPr>
        <w:t>, religion and family type</w:t>
      </w:r>
      <w:r w:rsidR="00876CE9" w:rsidRPr="00876CE9">
        <w:rPr>
          <w:rFonts w:ascii="Times New Roman" w:hAnsi="Times New Roman"/>
          <w:sz w:val="24"/>
          <w:szCs w:val="24"/>
        </w:rPr>
        <w:t xml:space="preserve"> </w:t>
      </w:r>
      <w:r w:rsidR="005518FD" w:rsidRPr="00876CE9">
        <w:rPr>
          <w:rFonts w:ascii="Times New Roman" w:hAnsi="Times New Roman"/>
          <w:sz w:val="24"/>
          <w:szCs w:val="24"/>
        </w:rPr>
        <w:t xml:space="preserve">significantly </w:t>
      </w:r>
      <w:r w:rsidR="00AF4C8D">
        <w:rPr>
          <w:rFonts w:ascii="Times New Roman" w:hAnsi="Times New Roman"/>
          <w:sz w:val="24"/>
          <w:szCs w:val="24"/>
        </w:rPr>
        <w:t>affect</w:t>
      </w:r>
      <w:r w:rsidR="00876CE9" w:rsidRPr="00876CE9">
        <w:rPr>
          <w:rFonts w:ascii="Times New Roman" w:hAnsi="Times New Roman"/>
          <w:sz w:val="24"/>
          <w:szCs w:val="24"/>
        </w:rPr>
        <w:t xml:space="preserve"> health insuran</w:t>
      </w:r>
      <w:r w:rsidR="005518FD">
        <w:rPr>
          <w:rFonts w:ascii="Times New Roman" w:hAnsi="Times New Roman"/>
          <w:sz w:val="24"/>
          <w:szCs w:val="24"/>
        </w:rPr>
        <w:t xml:space="preserve">ce awareness. </w:t>
      </w:r>
      <w:r w:rsidRPr="00876CE9">
        <w:rPr>
          <w:rFonts w:ascii="Times New Roman" w:hAnsi="Times New Roman"/>
          <w:sz w:val="24"/>
          <w:szCs w:val="24"/>
        </w:rPr>
        <w:t xml:space="preserve">Meanwhile, studies in Indonesia </w:t>
      </w:r>
      <w:r w:rsidR="00D47940">
        <w:rPr>
          <w:rFonts w:ascii="Times New Roman" w:hAnsi="Times New Roman"/>
          <w:sz w:val="24"/>
          <w:szCs w:val="24"/>
        </w:rPr>
        <w:t xml:space="preserve">observed </w:t>
      </w:r>
      <w:r w:rsidR="00B74CEE">
        <w:rPr>
          <w:rFonts w:ascii="Times New Roman" w:hAnsi="Times New Roman"/>
          <w:sz w:val="24"/>
          <w:szCs w:val="24"/>
        </w:rPr>
        <w:t xml:space="preserve">that </w:t>
      </w:r>
      <w:r w:rsidR="00D47940">
        <w:rPr>
          <w:rFonts w:ascii="Times New Roman" w:hAnsi="Times New Roman"/>
          <w:sz w:val="24"/>
          <w:szCs w:val="24"/>
        </w:rPr>
        <w:t xml:space="preserve">only </w:t>
      </w:r>
      <w:r w:rsidRPr="00876CE9">
        <w:rPr>
          <w:rFonts w:ascii="Times New Roman" w:hAnsi="Times New Roman"/>
          <w:sz w:val="24"/>
          <w:szCs w:val="24"/>
        </w:rPr>
        <w:t xml:space="preserve">49.5% of respondents </w:t>
      </w:r>
      <w:r w:rsidR="00B74CEE">
        <w:rPr>
          <w:rFonts w:ascii="Times New Roman" w:hAnsi="Times New Roman"/>
          <w:sz w:val="24"/>
          <w:szCs w:val="24"/>
        </w:rPr>
        <w:t xml:space="preserve">were aware about </w:t>
      </w:r>
      <w:r w:rsidRPr="00876CE9">
        <w:rPr>
          <w:rFonts w:ascii="Times New Roman" w:hAnsi="Times New Roman"/>
          <w:sz w:val="24"/>
          <w:szCs w:val="24"/>
        </w:rPr>
        <w:t>life insurance</w:t>
      </w:r>
      <w:r w:rsidR="00B74CEE">
        <w:rPr>
          <w:rFonts w:ascii="Times New Roman" w:hAnsi="Times New Roman"/>
          <w:sz w:val="24"/>
          <w:szCs w:val="24"/>
        </w:rPr>
        <w:t xml:space="preserve"> </w:t>
      </w:r>
      <w:r w:rsidRPr="00876CE9">
        <w:rPr>
          <w:rFonts w:ascii="Times New Roman" w:hAnsi="Times New Roman"/>
          <w:sz w:val="24"/>
          <w:szCs w:val="24"/>
        </w:rPr>
        <w:t xml:space="preserve">(Sri </w:t>
      </w:r>
      <w:proofErr w:type="spellStart"/>
      <w:r w:rsidRPr="00876CE9">
        <w:rPr>
          <w:rFonts w:ascii="Times New Roman" w:hAnsi="Times New Roman"/>
          <w:sz w:val="24"/>
          <w:szCs w:val="24"/>
        </w:rPr>
        <w:t>Hermawati</w:t>
      </w:r>
      <w:proofErr w:type="spellEnd"/>
      <w:r w:rsidRPr="00876CE9">
        <w:rPr>
          <w:rFonts w:ascii="Times New Roman" w:hAnsi="Times New Roman"/>
          <w:sz w:val="24"/>
          <w:szCs w:val="24"/>
        </w:rPr>
        <w:t>, 2011).</w:t>
      </w:r>
    </w:p>
    <w:p w:rsidR="006B1C2A" w:rsidRDefault="00A30460" w:rsidP="00A30460">
      <w:pPr>
        <w:pStyle w:val="NoSpacing"/>
        <w:ind w:firstLine="360"/>
        <w:jc w:val="both"/>
        <w:rPr>
          <w:rFonts w:ascii="Times New Roman" w:hAnsi="Times New Roman"/>
          <w:b/>
          <w:bCs/>
          <w:sz w:val="24"/>
          <w:szCs w:val="24"/>
        </w:rPr>
      </w:pPr>
      <w:r w:rsidRPr="00A30460">
        <w:rPr>
          <w:rFonts w:ascii="Times New Roman" w:hAnsi="Times New Roman"/>
          <w:sz w:val="24"/>
          <w:szCs w:val="24"/>
        </w:rPr>
        <w:t xml:space="preserve">Overall, most of the previous </w:t>
      </w:r>
      <w:r w:rsidR="006260AE">
        <w:rPr>
          <w:rFonts w:ascii="Times New Roman" w:hAnsi="Times New Roman"/>
          <w:sz w:val="24"/>
          <w:szCs w:val="24"/>
        </w:rPr>
        <w:t>studies</w:t>
      </w:r>
      <w:r w:rsidRPr="00A30460">
        <w:rPr>
          <w:rFonts w:ascii="Times New Roman" w:hAnsi="Times New Roman"/>
          <w:sz w:val="24"/>
          <w:szCs w:val="24"/>
        </w:rPr>
        <w:t xml:space="preserve"> focused on</w:t>
      </w:r>
      <w:r w:rsidR="006260AE">
        <w:rPr>
          <w:rFonts w:ascii="Times New Roman" w:hAnsi="Times New Roman"/>
          <w:sz w:val="24"/>
          <w:szCs w:val="24"/>
        </w:rPr>
        <w:t xml:space="preserve"> the</w:t>
      </w:r>
      <w:r w:rsidRPr="00A30460">
        <w:rPr>
          <w:rFonts w:ascii="Times New Roman" w:hAnsi="Times New Roman"/>
          <w:sz w:val="24"/>
          <w:szCs w:val="24"/>
        </w:rPr>
        <w:t xml:space="preserve"> awareness and unders</w:t>
      </w:r>
      <w:r w:rsidR="00A727D7">
        <w:rPr>
          <w:rFonts w:ascii="Times New Roman" w:hAnsi="Times New Roman"/>
          <w:sz w:val="24"/>
          <w:szCs w:val="24"/>
        </w:rPr>
        <w:t xml:space="preserve">tanding of family </w:t>
      </w:r>
      <w:proofErr w:type="spellStart"/>
      <w:r w:rsidR="00A727D7">
        <w:rPr>
          <w:rFonts w:ascii="Times New Roman" w:hAnsi="Times New Roman"/>
          <w:sz w:val="24"/>
          <w:szCs w:val="24"/>
        </w:rPr>
        <w:t>takaful</w:t>
      </w:r>
      <w:proofErr w:type="spellEnd"/>
      <w:r w:rsidR="00A727D7">
        <w:rPr>
          <w:rFonts w:ascii="Times New Roman" w:hAnsi="Times New Roman"/>
          <w:sz w:val="24"/>
          <w:szCs w:val="24"/>
        </w:rPr>
        <w:t xml:space="preserve"> plans</w:t>
      </w:r>
      <w:r w:rsidR="006260AE">
        <w:rPr>
          <w:rFonts w:ascii="Times New Roman" w:hAnsi="Times New Roman"/>
          <w:sz w:val="24"/>
          <w:szCs w:val="24"/>
        </w:rPr>
        <w:t xml:space="preserve"> in general</w:t>
      </w:r>
      <w:r w:rsidR="00A727D7">
        <w:rPr>
          <w:rFonts w:ascii="Times New Roman" w:hAnsi="Times New Roman"/>
          <w:sz w:val="24"/>
          <w:szCs w:val="24"/>
        </w:rPr>
        <w:t xml:space="preserve">. </w:t>
      </w:r>
      <w:r w:rsidRPr="00A30460">
        <w:rPr>
          <w:rFonts w:ascii="Times New Roman" w:hAnsi="Times New Roman"/>
          <w:sz w:val="24"/>
          <w:szCs w:val="24"/>
        </w:rPr>
        <w:t xml:space="preserve">However, </w:t>
      </w:r>
      <w:r w:rsidR="006260AE">
        <w:rPr>
          <w:rFonts w:ascii="Times New Roman" w:hAnsi="Times New Roman"/>
          <w:sz w:val="24"/>
          <w:szCs w:val="24"/>
        </w:rPr>
        <w:t xml:space="preserve">studies on a specific </w:t>
      </w:r>
      <w:proofErr w:type="spellStart"/>
      <w:r w:rsidR="006260AE">
        <w:rPr>
          <w:rFonts w:ascii="Times New Roman" w:hAnsi="Times New Roman"/>
          <w:sz w:val="24"/>
          <w:szCs w:val="24"/>
        </w:rPr>
        <w:t>takaful</w:t>
      </w:r>
      <w:proofErr w:type="spellEnd"/>
      <w:r w:rsidR="006260AE">
        <w:rPr>
          <w:rFonts w:ascii="Times New Roman" w:hAnsi="Times New Roman"/>
          <w:sz w:val="24"/>
          <w:szCs w:val="24"/>
        </w:rPr>
        <w:t xml:space="preserve"> product i.e. </w:t>
      </w:r>
      <w:r w:rsidRPr="00A30460">
        <w:rPr>
          <w:rFonts w:ascii="Times New Roman" w:hAnsi="Times New Roman"/>
          <w:sz w:val="24"/>
          <w:szCs w:val="24"/>
        </w:rPr>
        <w:t xml:space="preserve">education </w:t>
      </w:r>
      <w:r w:rsidR="005F0AF3">
        <w:rPr>
          <w:rFonts w:ascii="Times New Roman" w:hAnsi="Times New Roman"/>
          <w:sz w:val="24"/>
          <w:szCs w:val="24"/>
        </w:rPr>
        <w:t>plans</w:t>
      </w:r>
      <w:r w:rsidR="00655085">
        <w:rPr>
          <w:rFonts w:ascii="Times New Roman" w:hAnsi="Times New Roman"/>
          <w:sz w:val="24"/>
          <w:szCs w:val="24"/>
        </w:rPr>
        <w:t xml:space="preserve"> are rather limited. </w:t>
      </w:r>
      <w:r w:rsidR="003B32B6">
        <w:rPr>
          <w:rFonts w:ascii="Times New Roman" w:hAnsi="Times New Roman"/>
          <w:sz w:val="24"/>
          <w:szCs w:val="24"/>
        </w:rPr>
        <w:t xml:space="preserve">Furthermore, </w:t>
      </w:r>
      <w:r w:rsidR="002E5AE3">
        <w:rPr>
          <w:rFonts w:ascii="Times New Roman" w:hAnsi="Times New Roman"/>
          <w:sz w:val="24"/>
          <w:szCs w:val="24"/>
        </w:rPr>
        <w:t xml:space="preserve">analysis on the </w:t>
      </w:r>
      <w:r w:rsidR="002E5AE3" w:rsidRPr="00482546">
        <w:rPr>
          <w:rFonts w:ascii="Times New Roman" w:hAnsi="Times New Roman"/>
          <w:sz w:val="24"/>
          <w:szCs w:val="24"/>
        </w:rPr>
        <w:t xml:space="preserve">understanding of </w:t>
      </w:r>
      <w:proofErr w:type="spellStart"/>
      <w:r w:rsidR="002E5AE3" w:rsidRPr="00482546">
        <w:rPr>
          <w:rFonts w:ascii="Times New Roman" w:hAnsi="Times New Roman"/>
          <w:sz w:val="24"/>
          <w:szCs w:val="24"/>
        </w:rPr>
        <w:t>takaful</w:t>
      </w:r>
      <w:proofErr w:type="spellEnd"/>
      <w:r w:rsidR="002E5AE3" w:rsidRPr="00482546">
        <w:rPr>
          <w:rFonts w:ascii="Times New Roman" w:hAnsi="Times New Roman"/>
          <w:sz w:val="24"/>
          <w:szCs w:val="24"/>
        </w:rPr>
        <w:t xml:space="preserve"> across demographics </w:t>
      </w:r>
      <w:r w:rsidR="002E5AE3">
        <w:rPr>
          <w:rFonts w:ascii="Times New Roman" w:hAnsi="Times New Roman"/>
          <w:sz w:val="24"/>
          <w:szCs w:val="24"/>
        </w:rPr>
        <w:t>has</w:t>
      </w:r>
      <w:r w:rsidR="00655085">
        <w:rPr>
          <w:rFonts w:ascii="Times New Roman" w:hAnsi="Times New Roman"/>
          <w:sz w:val="24"/>
          <w:szCs w:val="24"/>
        </w:rPr>
        <w:t xml:space="preserve"> not been entirely explored</w:t>
      </w:r>
      <w:r w:rsidR="00482546" w:rsidRPr="00482546">
        <w:rPr>
          <w:rFonts w:ascii="Times New Roman" w:hAnsi="Times New Roman"/>
          <w:sz w:val="24"/>
          <w:szCs w:val="24"/>
        </w:rPr>
        <w:t>.</w:t>
      </w:r>
      <w:r w:rsidR="00482546">
        <w:rPr>
          <w:rFonts w:ascii="Times New Roman" w:hAnsi="Times New Roman"/>
          <w:sz w:val="24"/>
          <w:szCs w:val="24"/>
        </w:rPr>
        <w:t xml:space="preserve"> </w:t>
      </w:r>
      <w:r w:rsidRPr="00A30460">
        <w:rPr>
          <w:rFonts w:ascii="Times New Roman" w:hAnsi="Times New Roman"/>
          <w:sz w:val="24"/>
          <w:szCs w:val="24"/>
        </w:rPr>
        <w:t xml:space="preserve">Therefore, </w:t>
      </w:r>
      <w:r w:rsidR="000E6BD0">
        <w:rPr>
          <w:rFonts w:ascii="Times New Roman" w:hAnsi="Times New Roman"/>
          <w:sz w:val="24"/>
          <w:szCs w:val="24"/>
        </w:rPr>
        <w:t xml:space="preserve">the examination on the </w:t>
      </w:r>
      <w:r w:rsidRPr="00A30460">
        <w:rPr>
          <w:rFonts w:ascii="Times New Roman" w:hAnsi="Times New Roman"/>
          <w:sz w:val="24"/>
          <w:szCs w:val="24"/>
        </w:rPr>
        <w:t>level of understanding to</w:t>
      </w:r>
      <w:r w:rsidR="000E6BD0">
        <w:rPr>
          <w:rFonts w:ascii="Times New Roman" w:hAnsi="Times New Roman"/>
          <w:sz w:val="24"/>
          <w:szCs w:val="24"/>
        </w:rPr>
        <w:t xml:space="preserve">wards education </w:t>
      </w:r>
      <w:proofErr w:type="spellStart"/>
      <w:r w:rsidR="000E6BD0">
        <w:rPr>
          <w:rFonts w:ascii="Times New Roman" w:hAnsi="Times New Roman"/>
          <w:sz w:val="24"/>
          <w:szCs w:val="24"/>
        </w:rPr>
        <w:t>takaful</w:t>
      </w:r>
      <w:proofErr w:type="spellEnd"/>
      <w:r w:rsidR="000E6BD0">
        <w:rPr>
          <w:rFonts w:ascii="Times New Roman" w:hAnsi="Times New Roman"/>
          <w:sz w:val="24"/>
          <w:szCs w:val="24"/>
        </w:rPr>
        <w:t xml:space="preserve"> and </w:t>
      </w:r>
      <w:r w:rsidRPr="00A30460">
        <w:rPr>
          <w:rFonts w:ascii="Times New Roman" w:hAnsi="Times New Roman"/>
          <w:sz w:val="24"/>
          <w:szCs w:val="24"/>
        </w:rPr>
        <w:t>demographic factors associated to the level of understanding should be carried out</w:t>
      </w:r>
      <w:r w:rsidR="000E6BD0">
        <w:rPr>
          <w:rFonts w:ascii="Times New Roman" w:hAnsi="Times New Roman"/>
          <w:sz w:val="24"/>
          <w:szCs w:val="24"/>
        </w:rPr>
        <w:t>. It p</w:t>
      </w:r>
      <w:r w:rsidRPr="00A30460">
        <w:rPr>
          <w:rFonts w:ascii="Times New Roman" w:hAnsi="Times New Roman"/>
          <w:sz w:val="24"/>
          <w:szCs w:val="24"/>
        </w:rPr>
        <w:t>rovide</w:t>
      </w:r>
      <w:r w:rsidR="000E6BD0">
        <w:rPr>
          <w:rFonts w:ascii="Times New Roman" w:hAnsi="Times New Roman"/>
          <w:sz w:val="24"/>
          <w:szCs w:val="24"/>
        </w:rPr>
        <w:t>s</w:t>
      </w:r>
      <w:r w:rsidRPr="00A30460">
        <w:rPr>
          <w:rFonts w:ascii="Times New Roman" w:hAnsi="Times New Roman"/>
          <w:sz w:val="24"/>
          <w:szCs w:val="24"/>
        </w:rPr>
        <w:t xml:space="preserve"> initial inputs and insight </w:t>
      </w:r>
      <w:r w:rsidR="005236B5">
        <w:rPr>
          <w:rFonts w:ascii="Times New Roman" w:hAnsi="Times New Roman"/>
          <w:sz w:val="24"/>
          <w:szCs w:val="24"/>
        </w:rPr>
        <w:t xml:space="preserve">for </w:t>
      </w:r>
      <w:r w:rsidRPr="00A30460">
        <w:rPr>
          <w:rFonts w:ascii="Times New Roman" w:hAnsi="Times New Roman"/>
          <w:sz w:val="24"/>
          <w:szCs w:val="24"/>
        </w:rPr>
        <w:t xml:space="preserve">regulators and industry players in </w:t>
      </w:r>
      <w:r w:rsidR="001E58B3">
        <w:rPr>
          <w:rFonts w:ascii="Times New Roman" w:hAnsi="Times New Roman"/>
          <w:sz w:val="24"/>
          <w:szCs w:val="24"/>
        </w:rPr>
        <w:t xml:space="preserve">enhancing </w:t>
      </w:r>
      <w:r w:rsidRPr="00A30460">
        <w:rPr>
          <w:rFonts w:ascii="Times New Roman" w:hAnsi="Times New Roman"/>
          <w:sz w:val="24"/>
          <w:szCs w:val="24"/>
        </w:rPr>
        <w:t>participation in edu</w:t>
      </w:r>
      <w:r w:rsidR="001E58B3">
        <w:rPr>
          <w:rFonts w:ascii="Times New Roman" w:hAnsi="Times New Roman"/>
          <w:sz w:val="24"/>
          <w:szCs w:val="24"/>
        </w:rPr>
        <w:t xml:space="preserve">cation </w:t>
      </w:r>
      <w:proofErr w:type="spellStart"/>
      <w:r w:rsidR="001E58B3">
        <w:rPr>
          <w:rFonts w:ascii="Times New Roman" w:hAnsi="Times New Roman"/>
          <w:sz w:val="24"/>
          <w:szCs w:val="24"/>
        </w:rPr>
        <w:t>takaful</w:t>
      </w:r>
      <w:proofErr w:type="spellEnd"/>
      <w:r w:rsidR="001E58B3">
        <w:rPr>
          <w:rFonts w:ascii="Times New Roman" w:hAnsi="Times New Roman"/>
          <w:sz w:val="24"/>
          <w:szCs w:val="24"/>
        </w:rPr>
        <w:t xml:space="preserve"> plans. </w:t>
      </w:r>
    </w:p>
    <w:p w:rsidR="00A30460" w:rsidRDefault="00A30460" w:rsidP="00D9735B">
      <w:pPr>
        <w:pStyle w:val="NoSpacing"/>
        <w:jc w:val="both"/>
        <w:rPr>
          <w:rFonts w:ascii="Times New Roman" w:hAnsi="Times New Roman"/>
          <w:b/>
          <w:bCs/>
          <w:sz w:val="24"/>
          <w:szCs w:val="24"/>
        </w:rPr>
      </w:pPr>
    </w:p>
    <w:p w:rsidR="00A30460" w:rsidRDefault="00A30460" w:rsidP="00D9735B">
      <w:pPr>
        <w:pStyle w:val="NoSpacing"/>
        <w:jc w:val="both"/>
        <w:rPr>
          <w:rFonts w:ascii="Times New Roman" w:hAnsi="Times New Roman"/>
          <w:b/>
          <w:bCs/>
          <w:sz w:val="24"/>
          <w:szCs w:val="24"/>
        </w:rPr>
      </w:pPr>
    </w:p>
    <w:p w:rsidR="00690B87" w:rsidRPr="007144ED" w:rsidRDefault="007370F7" w:rsidP="00D9735B">
      <w:pPr>
        <w:pStyle w:val="NoSpacing"/>
        <w:jc w:val="both"/>
        <w:rPr>
          <w:rFonts w:ascii="Times New Roman" w:hAnsi="Times New Roman"/>
          <w:b/>
          <w:sz w:val="24"/>
          <w:szCs w:val="24"/>
        </w:rPr>
      </w:pPr>
      <w:r w:rsidRPr="007144ED">
        <w:rPr>
          <w:rFonts w:ascii="Times New Roman" w:hAnsi="Times New Roman"/>
          <w:b/>
          <w:bCs/>
          <w:sz w:val="24"/>
          <w:szCs w:val="24"/>
        </w:rPr>
        <w:t>Method</w:t>
      </w:r>
      <w:r w:rsidR="00B328AF">
        <w:rPr>
          <w:rFonts w:ascii="Times New Roman" w:hAnsi="Times New Roman"/>
          <w:b/>
          <w:bCs/>
          <w:sz w:val="24"/>
          <w:szCs w:val="24"/>
        </w:rPr>
        <w:t>ology</w:t>
      </w:r>
      <w:r w:rsidR="00690B87" w:rsidRPr="007144ED">
        <w:rPr>
          <w:rFonts w:ascii="Times New Roman" w:hAnsi="Times New Roman"/>
          <w:b/>
          <w:sz w:val="24"/>
          <w:szCs w:val="24"/>
        </w:rPr>
        <w:t xml:space="preserve"> </w:t>
      </w:r>
    </w:p>
    <w:p w:rsidR="00690B87" w:rsidRPr="007144ED" w:rsidRDefault="00690B87" w:rsidP="00D9735B">
      <w:pPr>
        <w:pStyle w:val="NoSpacing"/>
        <w:jc w:val="both"/>
        <w:rPr>
          <w:rFonts w:ascii="Times New Roman" w:hAnsi="Times New Roman"/>
          <w:b/>
          <w:sz w:val="24"/>
          <w:szCs w:val="24"/>
        </w:rPr>
      </w:pPr>
      <w:r w:rsidRPr="007144ED">
        <w:rPr>
          <w:rFonts w:ascii="Times New Roman" w:hAnsi="Times New Roman"/>
          <w:b/>
          <w:sz w:val="24"/>
          <w:szCs w:val="24"/>
        </w:rPr>
        <w:t xml:space="preserve"> </w:t>
      </w:r>
    </w:p>
    <w:p w:rsidR="00C27245" w:rsidRDefault="00C27245" w:rsidP="00C27245">
      <w:pPr>
        <w:spacing w:after="0" w:line="240" w:lineRule="auto"/>
        <w:jc w:val="both"/>
        <w:rPr>
          <w:rFonts w:ascii="Times New Roman" w:hAnsi="Times New Roman"/>
          <w:i/>
          <w:sz w:val="24"/>
          <w:szCs w:val="24"/>
        </w:rPr>
      </w:pPr>
      <w:r w:rsidRPr="00C27245">
        <w:rPr>
          <w:rFonts w:ascii="Times New Roman" w:hAnsi="Times New Roman"/>
          <w:i/>
          <w:sz w:val="24"/>
          <w:szCs w:val="24"/>
        </w:rPr>
        <w:t>Sample and Data</w:t>
      </w:r>
    </w:p>
    <w:p w:rsidR="00C27245" w:rsidRPr="00C27245" w:rsidRDefault="00C27245" w:rsidP="00C27245">
      <w:pPr>
        <w:spacing w:after="0" w:line="240" w:lineRule="auto"/>
        <w:jc w:val="both"/>
        <w:rPr>
          <w:rFonts w:ascii="Times New Roman" w:hAnsi="Times New Roman"/>
          <w:i/>
          <w:sz w:val="24"/>
          <w:szCs w:val="24"/>
        </w:rPr>
      </w:pPr>
    </w:p>
    <w:p w:rsidR="00C27245" w:rsidRPr="00C27245" w:rsidRDefault="00C27245" w:rsidP="00C27245">
      <w:pPr>
        <w:spacing w:after="0" w:line="240" w:lineRule="auto"/>
        <w:jc w:val="both"/>
        <w:rPr>
          <w:rFonts w:ascii="Times New Roman" w:hAnsi="Times New Roman"/>
          <w:sz w:val="24"/>
          <w:szCs w:val="24"/>
        </w:rPr>
      </w:pPr>
      <w:r w:rsidRPr="00C27245">
        <w:rPr>
          <w:rFonts w:ascii="Times New Roman" w:hAnsi="Times New Roman"/>
          <w:sz w:val="24"/>
          <w:szCs w:val="24"/>
        </w:rPr>
        <w:t xml:space="preserve">The sample </w:t>
      </w:r>
      <w:r w:rsidR="00470490">
        <w:rPr>
          <w:rFonts w:ascii="Times New Roman" w:hAnsi="Times New Roman"/>
          <w:sz w:val="24"/>
          <w:szCs w:val="24"/>
        </w:rPr>
        <w:t xml:space="preserve">of this study </w:t>
      </w:r>
      <w:r w:rsidRPr="00C27245">
        <w:rPr>
          <w:rFonts w:ascii="Times New Roman" w:hAnsi="Times New Roman"/>
          <w:sz w:val="24"/>
          <w:szCs w:val="24"/>
        </w:rPr>
        <w:t xml:space="preserve">consists of </w:t>
      </w:r>
      <w:r w:rsidR="00A236E6">
        <w:rPr>
          <w:rFonts w:ascii="Times New Roman" w:hAnsi="Times New Roman"/>
          <w:sz w:val="24"/>
          <w:szCs w:val="24"/>
        </w:rPr>
        <w:t>respondent</w:t>
      </w:r>
      <w:r w:rsidR="00470490">
        <w:rPr>
          <w:rFonts w:ascii="Times New Roman" w:hAnsi="Times New Roman"/>
          <w:sz w:val="24"/>
          <w:szCs w:val="24"/>
        </w:rPr>
        <w:t>s</w:t>
      </w:r>
      <w:r w:rsidR="00A236E6">
        <w:rPr>
          <w:rFonts w:ascii="Times New Roman" w:hAnsi="Times New Roman"/>
          <w:sz w:val="24"/>
          <w:szCs w:val="24"/>
        </w:rPr>
        <w:t xml:space="preserve"> </w:t>
      </w:r>
      <w:r w:rsidR="00470490">
        <w:rPr>
          <w:rFonts w:ascii="Times New Roman" w:hAnsi="Times New Roman"/>
          <w:sz w:val="24"/>
          <w:szCs w:val="24"/>
        </w:rPr>
        <w:t>around</w:t>
      </w:r>
      <w:r w:rsidRPr="00C27245">
        <w:rPr>
          <w:rFonts w:ascii="Times New Roman" w:hAnsi="Times New Roman"/>
          <w:sz w:val="24"/>
          <w:szCs w:val="24"/>
        </w:rPr>
        <w:t xml:space="preserve"> </w:t>
      </w:r>
      <w:proofErr w:type="spellStart"/>
      <w:r w:rsidRPr="00C27245">
        <w:rPr>
          <w:rFonts w:ascii="Times New Roman" w:hAnsi="Times New Roman"/>
          <w:sz w:val="24"/>
          <w:szCs w:val="24"/>
        </w:rPr>
        <w:t>Klang</w:t>
      </w:r>
      <w:proofErr w:type="spellEnd"/>
      <w:r w:rsidRPr="00C27245">
        <w:rPr>
          <w:rFonts w:ascii="Times New Roman" w:hAnsi="Times New Roman"/>
          <w:sz w:val="24"/>
          <w:szCs w:val="24"/>
        </w:rPr>
        <w:t xml:space="preserve"> Valley</w:t>
      </w:r>
      <w:r w:rsidR="00470490">
        <w:rPr>
          <w:rFonts w:ascii="Times New Roman" w:hAnsi="Times New Roman"/>
          <w:sz w:val="24"/>
          <w:szCs w:val="24"/>
        </w:rPr>
        <w:t>,</w:t>
      </w:r>
      <w:r w:rsidRPr="00C27245">
        <w:rPr>
          <w:rFonts w:ascii="Times New Roman" w:hAnsi="Times New Roman"/>
          <w:sz w:val="24"/>
          <w:szCs w:val="24"/>
        </w:rPr>
        <w:t xml:space="preserve"> which is the most populated area in Malaysia (Department of Statistics Malaysia, 2016) with a population of 7,642,100. </w:t>
      </w:r>
      <w:r w:rsidRPr="00C27245">
        <w:rPr>
          <w:rFonts w:ascii="Times New Roman" w:hAnsi="Times New Roman"/>
          <w:sz w:val="24"/>
          <w:szCs w:val="24"/>
          <w:lang w:val="en"/>
        </w:rPr>
        <w:t xml:space="preserve">However, as a preliminary study, </w:t>
      </w:r>
      <w:r w:rsidR="00470490">
        <w:rPr>
          <w:rFonts w:ascii="Times New Roman" w:hAnsi="Times New Roman"/>
          <w:sz w:val="24"/>
          <w:szCs w:val="24"/>
          <w:lang w:val="en"/>
        </w:rPr>
        <w:t>only</w:t>
      </w:r>
      <w:r w:rsidRPr="00C27245">
        <w:rPr>
          <w:rFonts w:ascii="Times New Roman" w:hAnsi="Times New Roman"/>
          <w:sz w:val="24"/>
          <w:szCs w:val="24"/>
          <w:lang w:val="en"/>
        </w:rPr>
        <w:t xml:space="preserve"> 145 </w:t>
      </w:r>
      <w:r w:rsidR="00470490">
        <w:rPr>
          <w:rFonts w:ascii="Times New Roman" w:hAnsi="Times New Roman"/>
          <w:sz w:val="24"/>
          <w:szCs w:val="24"/>
          <w:lang w:val="en"/>
        </w:rPr>
        <w:t>respondents were taken</w:t>
      </w:r>
      <w:r w:rsidRPr="00C27245">
        <w:rPr>
          <w:rFonts w:ascii="Times New Roman" w:hAnsi="Times New Roman"/>
          <w:sz w:val="24"/>
          <w:szCs w:val="24"/>
          <w:lang w:val="en"/>
        </w:rPr>
        <w:t xml:space="preserve"> using convenience sampling method. This method refers to the collection of information from members in an easily ac</w:t>
      </w:r>
      <w:r w:rsidR="002574E6">
        <w:rPr>
          <w:rFonts w:ascii="Times New Roman" w:hAnsi="Times New Roman"/>
          <w:sz w:val="24"/>
          <w:szCs w:val="24"/>
          <w:lang w:val="en"/>
        </w:rPr>
        <w:t>cessible population (</w:t>
      </w:r>
      <w:proofErr w:type="spellStart"/>
      <w:r w:rsidR="00516EFC">
        <w:rPr>
          <w:rFonts w:ascii="Times New Roman" w:hAnsi="Times New Roman"/>
          <w:sz w:val="24"/>
          <w:szCs w:val="24"/>
          <w:lang w:val="en"/>
        </w:rPr>
        <w:t>Sekaran</w:t>
      </w:r>
      <w:proofErr w:type="spellEnd"/>
      <w:r w:rsidR="002574E6">
        <w:rPr>
          <w:rFonts w:ascii="Times New Roman" w:hAnsi="Times New Roman"/>
          <w:sz w:val="24"/>
          <w:szCs w:val="24"/>
          <w:lang w:val="en"/>
        </w:rPr>
        <w:t xml:space="preserve"> &amp;</w:t>
      </w:r>
      <w:r w:rsidRPr="00C27245">
        <w:rPr>
          <w:rFonts w:ascii="Times New Roman" w:hAnsi="Times New Roman"/>
          <w:sz w:val="24"/>
          <w:szCs w:val="24"/>
          <w:lang w:val="en"/>
        </w:rPr>
        <w:t xml:space="preserve"> </w:t>
      </w:r>
      <w:proofErr w:type="spellStart"/>
      <w:r w:rsidRPr="00C27245">
        <w:rPr>
          <w:rFonts w:ascii="Times New Roman" w:hAnsi="Times New Roman"/>
          <w:sz w:val="24"/>
          <w:szCs w:val="24"/>
          <w:lang w:val="en"/>
        </w:rPr>
        <w:t>Bougie</w:t>
      </w:r>
      <w:proofErr w:type="spellEnd"/>
      <w:r w:rsidRPr="00C27245">
        <w:rPr>
          <w:rFonts w:ascii="Times New Roman" w:hAnsi="Times New Roman"/>
          <w:sz w:val="24"/>
          <w:szCs w:val="24"/>
          <w:lang w:val="en"/>
        </w:rPr>
        <w:t>, 2016).</w:t>
      </w:r>
      <w:r w:rsidRPr="00C27245">
        <w:rPr>
          <w:rFonts w:ascii="Times New Roman" w:hAnsi="Times New Roman"/>
          <w:sz w:val="24"/>
          <w:szCs w:val="24"/>
        </w:rPr>
        <w:t xml:space="preserve"> </w:t>
      </w:r>
      <w:r w:rsidR="00470490">
        <w:rPr>
          <w:rFonts w:ascii="Times New Roman" w:hAnsi="Times New Roman"/>
          <w:sz w:val="24"/>
          <w:szCs w:val="24"/>
        </w:rPr>
        <w:t xml:space="preserve">Furthermore, convenience sampling method </w:t>
      </w:r>
      <w:r w:rsidRPr="00C27245">
        <w:rPr>
          <w:rFonts w:ascii="Times New Roman" w:hAnsi="Times New Roman"/>
          <w:sz w:val="24"/>
          <w:szCs w:val="24"/>
        </w:rPr>
        <w:t xml:space="preserve">is the most suitable and accurate way to obtain information in a quick and easy manner. </w:t>
      </w:r>
    </w:p>
    <w:p w:rsidR="00394D33" w:rsidRDefault="0022579A" w:rsidP="00966CD7">
      <w:pPr>
        <w:spacing w:after="0" w:line="240" w:lineRule="auto"/>
        <w:ind w:firstLine="360"/>
        <w:jc w:val="both"/>
        <w:rPr>
          <w:rFonts w:ascii="Times New Roman" w:hAnsi="Times New Roman"/>
          <w:sz w:val="24"/>
          <w:szCs w:val="24"/>
        </w:rPr>
      </w:pPr>
      <w:r>
        <w:rPr>
          <w:rFonts w:ascii="Times New Roman" w:hAnsi="Times New Roman"/>
          <w:sz w:val="24"/>
          <w:szCs w:val="24"/>
          <w:lang w:val="en"/>
        </w:rPr>
        <w:lastRenderedPageBreak/>
        <w:t>The data were obtained through</w:t>
      </w:r>
      <w:r w:rsidR="00C27245" w:rsidRPr="00C27245">
        <w:rPr>
          <w:rFonts w:ascii="Times New Roman" w:hAnsi="Times New Roman"/>
          <w:sz w:val="24"/>
          <w:szCs w:val="24"/>
          <w:lang w:val="en"/>
        </w:rPr>
        <w:t xml:space="preserve"> questionnaire</w:t>
      </w:r>
      <w:r>
        <w:rPr>
          <w:rFonts w:ascii="Times New Roman" w:hAnsi="Times New Roman"/>
          <w:sz w:val="24"/>
          <w:szCs w:val="24"/>
          <w:lang w:val="en"/>
        </w:rPr>
        <w:t>s. This study has adapted a</w:t>
      </w:r>
      <w:r w:rsidR="00C27245" w:rsidRPr="00C27245">
        <w:rPr>
          <w:rFonts w:ascii="Times New Roman" w:hAnsi="Times New Roman"/>
          <w:sz w:val="24"/>
          <w:szCs w:val="24"/>
          <w:lang w:val="en"/>
        </w:rPr>
        <w:t xml:space="preserve"> </w:t>
      </w:r>
      <w:r>
        <w:rPr>
          <w:rFonts w:ascii="Times New Roman" w:hAnsi="Times New Roman"/>
          <w:sz w:val="24"/>
          <w:szCs w:val="24"/>
        </w:rPr>
        <w:t xml:space="preserve">questionnaire </w:t>
      </w:r>
      <w:r w:rsidR="00C27245" w:rsidRPr="00C27245">
        <w:rPr>
          <w:rFonts w:ascii="Times New Roman" w:hAnsi="Times New Roman"/>
          <w:sz w:val="24"/>
          <w:szCs w:val="24"/>
        </w:rPr>
        <w:t>from the National Council of Applied Economic Research-NCAER (</w:t>
      </w:r>
      <w:r w:rsidR="00897650">
        <w:rPr>
          <w:rFonts w:ascii="Times New Roman" w:hAnsi="Times New Roman"/>
          <w:sz w:val="24"/>
          <w:szCs w:val="24"/>
        </w:rPr>
        <w:t xml:space="preserve">Sinha et al., </w:t>
      </w:r>
      <w:r w:rsidR="00C27245" w:rsidRPr="00C27245">
        <w:rPr>
          <w:rFonts w:ascii="Times New Roman" w:hAnsi="Times New Roman"/>
          <w:sz w:val="24"/>
          <w:szCs w:val="24"/>
        </w:rPr>
        <w:t>2011)</w:t>
      </w:r>
      <w:r>
        <w:rPr>
          <w:rFonts w:ascii="Times New Roman" w:hAnsi="Times New Roman"/>
          <w:sz w:val="24"/>
          <w:szCs w:val="24"/>
        </w:rPr>
        <w:t xml:space="preserve">, which </w:t>
      </w:r>
      <w:r w:rsidR="00C27245" w:rsidRPr="00C27245">
        <w:rPr>
          <w:rFonts w:ascii="Times New Roman" w:hAnsi="Times New Roman"/>
          <w:sz w:val="24"/>
          <w:szCs w:val="24"/>
        </w:rPr>
        <w:t>evaluate</w:t>
      </w:r>
      <w:r>
        <w:rPr>
          <w:rFonts w:ascii="Times New Roman" w:hAnsi="Times New Roman"/>
          <w:sz w:val="24"/>
          <w:szCs w:val="24"/>
        </w:rPr>
        <w:t>d the</w:t>
      </w:r>
      <w:r w:rsidR="00C27245" w:rsidRPr="00C27245">
        <w:rPr>
          <w:rFonts w:ascii="Times New Roman" w:hAnsi="Times New Roman"/>
          <w:sz w:val="24"/>
          <w:szCs w:val="24"/>
        </w:rPr>
        <w:t xml:space="preserve"> public awareness of insuran</w:t>
      </w:r>
      <w:r>
        <w:rPr>
          <w:rFonts w:ascii="Times New Roman" w:hAnsi="Times New Roman"/>
          <w:sz w:val="24"/>
          <w:szCs w:val="24"/>
        </w:rPr>
        <w:t xml:space="preserve">ce protection in India. Thus, </w:t>
      </w:r>
      <w:r w:rsidR="00C27245" w:rsidRPr="00C27245">
        <w:rPr>
          <w:rFonts w:ascii="Times New Roman" w:hAnsi="Times New Roman"/>
          <w:sz w:val="24"/>
          <w:szCs w:val="24"/>
        </w:rPr>
        <w:t xml:space="preserve">few aspects of </w:t>
      </w:r>
      <w:r w:rsidR="00897650">
        <w:rPr>
          <w:rFonts w:ascii="Times New Roman" w:hAnsi="Times New Roman"/>
          <w:sz w:val="24"/>
          <w:szCs w:val="24"/>
        </w:rPr>
        <w:t>Sinha et al. (2011)</w:t>
      </w:r>
      <w:r w:rsidR="00C27245" w:rsidRPr="00C27245">
        <w:rPr>
          <w:rFonts w:ascii="Times New Roman" w:hAnsi="Times New Roman"/>
          <w:sz w:val="24"/>
          <w:szCs w:val="24"/>
        </w:rPr>
        <w:t xml:space="preserve"> questionnaire had </w:t>
      </w:r>
      <w:r>
        <w:rPr>
          <w:rFonts w:ascii="Times New Roman" w:hAnsi="Times New Roman"/>
          <w:sz w:val="24"/>
          <w:szCs w:val="24"/>
        </w:rPr>
        <w:t>been</w:t>
      </w:r>
      <w:r w:rsidR="00C27245" w:rsidRPr="00C27245">
        <w:rPr>
          <w:rFonts w:ascii="Times New Roman" w:hAnsi="Times New Roman"/>
          <w:sz w:val="24"/>
          <w:szCs w:val="24"/>
        </w:rPr>
        <w:t xml:space="preserve"> modified </w:t>
      </w:r>
      <w:r>
        <w:rPr>
          <w:rFonts w:ascii="Times New Roman" w:hAnsi="Times New Roman"/>
          <w:sz w:val="24"/>
          <w:szCs w:val="24"/>
        </w:rPr>
        <w:t xml:space="preserve">to fulfill the context of </w:t>
      </w:r>
      <w:proofErr w:type="spellStart"/>
      <w:r w:rsidR="00C27245" w:rsidRPr="00C27245">
        <w:rPr>
          <w:rFonts w:ascii="Times New Roman" w:hAnsi="Times New Roman"/>
          <w:sz w:val="24"/>
          <w:szCs w:val="24"/>
        </w:rPr>
        <w:t>takaful</w:t>
      </w:r>
      <w:proofErr w:type="spellEnd"/>
      <w:r w:rsidR="00C27245" w:rsidRPr="00C27245">
        <w:rPr>
          <w:rFonts w:ascii="Times New Roman" w:hAnsi="Times New Roman"/>
          <w:sz w:val="24"/>
          <w:szCs w:val="24"/>
        </w:rPr>
        <w:t xml:space="preserve"> plan. The questionnaire is divided into two </w:t>
      </w:r>
      <w:proofErr w:type="gramStart"/>
      <w:r w:rsidR="00C27245" w:rsidRPr="00C27245">
        <w:rPr>
          <w:rFonts w:ascii="Times New Roman" w:hAnsi="Times New Roman"/>
          <w:sz w:val="24"/>
          <w:szCs w:val="24"/>
        </w:rPr>
        <w:t>parts,</w:t>
      </w:r>
      <w:proofErr w:type="gramEnd"/>
      <w:r w:rsidR="00C27245" w:rsidRPr="00C27245">
        <w:rPr>
          <w:rFonts w:ascii="Times New Roman" w:hAnsi="Times New Roman"/>
          <w:sz w:val="24"/>
          <w:szCs w:val="24"/>
        </w:rPr>
        <w:t xml:space="preserve"> part A and B. Part A comprises demographic information such as gender, age, education level, employment, monthly income and number of children. </w:t>
      </w:r>
      <w:r w:rsidR="00C27245" w:rsidRPr="00C27245">
        <w:rPr>
          <w:rFonts w:ascii="Times New Roman" w:hAnsi="Times New Roman"/>
          <w:sz w:val="24"/>
          <w:szCs w:val="24"/>
          <w:lang w:val="en"/>
        </w:rPr>
        <w:t>Each question in this section is a closed question in which respondents are given a choice of specific answers.</w:t>
      </w:r>
      <w:r w:rsidR="00C27245" w:rsidRPr="00C27245">
        <w:rPr>
          <w:rFonts w:ascii="Times New Roman" w:hAnsi="Times New Roman"/>
          <w:sz w:val="24"/>
          <w:szCs w:val="24"/>
        </w:rPr>
        <w:t xml:space="preserve"> Meanwhile, Part B </w:t>
      </w:r>
      <w:r w:rsidR="003C7240">
        <w:rPr>
          <w:rFonts w:ascii="Times New Roman" w:hAnsi="Times New Roman"/>
          <w:sz w:val="24"/>
          <w:szCs w:val="24"/>
        </w:rPr>
        <w:t>focuses on the</w:t>
      </w:r>
      <w:r w:rsidR="00C27245" w:rsidRPr="00C27245">
        <w:rPr>
          <w:rFonts w:ascii="Times New Roman" w:hAnsi="Times New Roman"/>
          <w:sz w:val="24"/>
          <w:szCs w:val="24"/>
        </w:rPr>
        <w:t xml:space="preserve"> questions r</w:t>
      </w:r>
      <w:r w:rsidR="003C7240">
        <w:rPr>
          <w:rFonts w:ascii="Times New Roman" w:hAnsi="Times New Roman"/>
          <w:sz w:val="24"/>
          <w:szCs w:val="24"/>
        </w:rPr>
        <w:t>elated to</w:t>
      </w:r>
      <w:r w:rsidR="00C27245" w:rsidRPr="00C27245">
        <w:rPr>
          <w:rFonts w:ascii="Times New Roman" w:hAnsi="Times New Roman"/>
          <w:sz w:val="24"/>
          <w:szCs w:val="24"/>
        </w:rPr>
        <w:t xml:space="preserve"> the </w:t>
      </w:r>
      <w:r w:rsidR="003C7240">
        <w:rPr>
          <w:rFonts w:ascii="Times New Roman" w:hAnsi="Times New Roman"/>
          <w:sz w:val="24"/>
          <w:szCs w:val="24"/>
        </w:rPr>
        <w:t xml:space="preserve">four components of </w:t>
      </w:r>
      <w:r w:rsidR="00C27245" w:rsidRPr="00C27245">
        <w:rPr>
          <w:rFonts w:ascii="Times New Roman" w:hAnsi="Times New Roman"/>
          <w:sz w:val="24"/>
          <w:szCs w:val="24"/>
        </w:rPr>
        <w:t xml:space="preserve">education </w:t>
      </w:r>
      <w:proofErr w:type="spellStart"/>
      <w:r w:rsidR="00C27245" w:rsidRPr="00C27245">
        <w:rPr>
          <w:rFonts w:ascii="Times New Roman" w:hAnsi="Times New Roman"/>
          <w:sz w:val="24"/>
          <w:szCs w:val="24"/>
        </w:rPr>
        <w:t>takaful</w:t>
      </w:r>
      <w:proofErr w:type="spellEnd"/>
      <w:r w:rsidR="00C27245" w:rsidRPr="00C27245">
        <w:rPr>
          <w:rFonts w:ascii="Times New Roman" w:hAnsi="Times New Roman"/>
          <w:sz w:val="24"/>
          <w:szCs w:val="24"/>
        </w:rPr>
        <w:t xml:space="preserve"> </w:t>
      </w:r>
      <w:r w:rsidR="003C7240">
        <w:rPr>
          <w:rFonts w:ascii="Times New Roman" w:hAnsi="Times New Roman"/>
          <w:sz w:val="24"/>
          <w:szCs w:val="24"/>
        </w:rPr>
        <w:t xml:space="preserve">understanding </w:t>
      </w:r>
      <w:r w:rsidR="00C27245" w:rsidRPr="00C27245">
        <w:rPr>
          <w:rFonts w:ascii="Times New Roman" w:hAnsi="Times New Roman"/>
          <w:sz w:val="24"/>
          <w:szCs w:val="24"/>
        </w:rPr>
        <w:t>namely concept, importance, protection and benefits</w:t>
      </w:r>
      <w:r w:rsidR="003C7240">
        <w:rPr>
          <w:rFonts w:ascii="Times New Roman" w:hAnsi="Times New Roman"/>
          <w:sz w:val="24"/>
          <w:szCs w:val="24"/>
        </w:rPr>
        <w:t xml:space="preserve">. </w:t>
      </w:r>
      <w:r w:rsidR="00C2653A">
        <w:rPr>
          <w:rFonts w:ascii="Times New Roman" w:hAnsi="Times New Roman"/>
          <w:sz w:val="24"/>
          <w:szCs w:val="24"/>
        </w:rPr>
        <w:t xml:space="preserve">A total of </w:t>
      </w:r>
      <w:r w:rsidR="00C27245" w:rsidRPr="00C27245">
        <w:rPr>
          <w:rFonts w:ascii="Times New Roman" w:hAnsi="Times New Roman"/>
          <w:sz w:val="24"/>
          <w:szCs w:val="24"/>
        </w:rPr>
        <w:t xml:space="preserve">thirty-one questions in </w:t>
      </w:r>
      <w:r w:rsidR="00C2653A">
        <w:rPr>
          <w:rFonts w:ascii="Times New Roman" w:hAnsi="Times New Roman"/>
          <w:sz w:val="24"/>
          <w:szCs w:val="24"/>
        </w:rPr>
        <w:t xml:space="preserve">Part B; </w:t>
      </w:r>
      <w:r w:rsidR="00C27245" w:rsidRPr="00C27245">
        <w:rPr>
          <w:rFonts w:ascii="Times New Roman" w:hAnsi="Times New Roman"/>
          <w:sz w:val="24"/>
          <w:szCs w:val="24"/>
          <w:lang w:val="en"/>
        </w:rPr>
        <w:t>six questions</w:t>
      </w:r>
      <w:r w:rsidR="00C2653A">
        <w:rPr>
          <w:rFonts w:ascii="Times New Roman" w:hAnsi="Times New Roman"/>
          <w:sz w:val="24"/>
          <w:szCs w:val="24"/>
          <w:lang w:val="en"/>
        </w:rPr>
        <w:t xml:space="preserve"> each</w:t>
      </w:r>
      <w:r w:rsidR="00C27245" w:rsidRPr="00C27245">
        <w:rPr>
          <w:rFonts w:ascii="Times New Roman" w:hAnsi="Times New Roman"/>
          <w:sz w:val="24"/>
          <w:szCs w:val="24"/>
          <w:lang w:val="en"/>
        </w:rPr>
        <w:t xml:space="preserve"> for the c</w:t>
      </w:r>
      <w:r w:rsidR="00C2653A">
        <w:rPr>
          <w:rFonts w:ascii="Times New Roman" w:hAnsi="Times New Roman"/>
          <w:sz w:val="24"/>
          <w:szCs w:val="24"/>
          <w:lang w:val="en"/>
        </w:rPr>
        <w:t xml:space="preserve">oncept and </w:t>
      </w:r>
      <w:r w:rsidR="00C27245" w:rsidRPr="00C27245">
        <w:rPr>
          <w:rFonts w:ascii="Times New Roman" w:hAnsi="Times New Roman"/>
          <w:sz w:val="24"/>
          <w:szCs w:val="24"/>
          <w:lang w:val="en"/>
        </w:rPr>
        <w:t xml:space="preserve">importance, twelve questions for protection and seven questions for the benefit (Table </w:t>
      </w:r>
      <w:r w:rsidR="00B34055">
        <w:rPr>
          <w:rFonts w:ascii="Times New Roman" w:hAnsi="Times New Roman"/>
          <w:sz w:val="24"/>
          <w:szCs w:val="24"/>
          <w:lang w:val="en"/>
        </w:rPr>
        <w:t>2</w:t>
      </w:r>
      <w:r w:rsidR="00C27245" w:rsidRPr="00C27245">
        <w:rPr>
          <w:rFonts w:ascii="Times New Roman" w:hAnsi="Times New Roman"/>
          <w:sz w:val="24"/>
          <w:szCs w:val="24"/>
          <w:lang w:val="en"/>
        </w:rPr>
        <w:t xml:space="preserve">). The answer format in Section B uses 5-point Likert </w:t>
      </w:r>
      <w:r w:rsidR="00C27245" w:rsidRPr="003E35A5">
        <w:rPr>
          <w:rFonts w:ascii="Times New Roman" w:hAnsi="Times New Roman"/>
          <w:sz w:val="24"/>
          <w:szCs w:val="24"/>
          <w:lang w:val="en"/>
        </w:rPr>
        <w:t>Scale</w:t>
      </w:r>
      <w:r w:rsidR="003E35A5" w:rsidRPr="003E35A5">
        <w:rPr>
          <w:rFonts w:ascii="Times New Roman" w:hAnsi="Times New Roman"/>
          <w:sz w:val="24"/>
          <w:szCs w:val="24"/>
          <w:lang w:val="en"/>
        </w:rPr>
        <w:t xml:space="preserve"> (</w:t>
      </w:r>
      <w:r w:rsidR="00C2653A">
        <w:rPr>
          <w:rFonts w:ascii="Times New Roman" w:hAnsi="Times New Roman"/>
          <w:sz w:val="24"/>
          <w:szCs w:val="24"/>
        </w:rPr>
        <w:t>1 =strongly disagree to 5 =</w:t>
      </w:r>
      <w:r w:rsidR="003E35A5" w:rsidRPr="003E35A5">
        <w:rPr>
          <w:rFonts w:ascii="Times New Roman" w:hAnsi="Times New Roman"/>
          <w:sz w:val="24"/>
          <w:szCs w:val="24"/>
        </w:rPr>
        <w:t>strongly agree)</w:t>
      </w:r>
    </w:p>
    <w:p w:rsidR="002436E9" w:rsidRDefault="002436E9" w:rsidP="002436E9">
      <w:pPr>
        <w:spacing w:after="0" w:line="240" w:lineRule="auto"/>
        <w:rPr>
          <w:rFonts w:ascii="Times New Roman" w:hAnsi="Times New Roman"/>
          <w:b/>
          <w:sz w:val="20"/>
        </w:rPr>
      </w:pPr>
    </w:p>
    <w:p w:rsidR="002436E9" w:rsidRDefault="002436E9" w:rsidP="002436E9">
      <w:pPr>
        <w:spacing w:after="0" w:line="240" w:lineRule="auto"/>
        <w:jc w:val="center"/>
        <w:rPr>
          <w:rFonts w:ascii="Times New Roman" w:hAnsi="Times New Roman"/>
          <w:sz w:val="20"/>
        </w:rPr>
      </w:pPr>
      <w:proofErr w:type="gramStart"/>
      <w:r w:rsidRPr="00F6382B">
        <w:rPr>
          <w:rFonts w:ascii="Times New Roman" w:hAnsi="Times New Roman"/>
          <w:b/>
          <w:sz w:val="20"/>
        </w:rPr>
        <w:t xml:space="preserve">Table </w:t>
      </w:r>
      <w:r>
        <w:rPr>
          <w:rFonts w:ascii="Times New Roman" w:hAnsi="Times New Roman"/>
          <w:b/>
          <w:sz w:val="20"/>
        </w:rPr>
        <w:t>2</w:t>
      </w:r>
      <w:r w:rsidRPr="00F6382B">
        <w:rPr>
          <w:rFonts w:ascii="Times New Roman" w:hAnsi="Times New Roman"/>
          <w:b/>
          <w:sz w:val="20"/>
        </w:rPr>
        <w:t>.</w:t>
      </w:r>
      <w:proofErr w:type="gramEnd"/>
      <w:r w:rsidRPr="00F6382B">
        <w:rPr>
          <w:rFonts w:ascii="Times New Roman" w:hAnsi="Times New Roman"/>
          <w:sz w:val="20"/>
        </w:rPr>
        <w:t xml:space="preserve"> </w:t>
      </w:r>
      <w:r w:rsidR="00C2653A">
        <w:rPr>
          <w:rFonts w:ascii="Times New Roman" w:hAnsi="Times New Roman"/>
          <w:sz w:val="20"/>
        </w:rPr>
        <w:t xml:space="preserve">Numbers </w:t>
      </w:r>
      <w:r w:rsidRPr="00F6382B">
        <w:rPr>
          <w:rFonts w:ascii="Times New Roman" w:hAnsi="Times New Roman"/>
          <w:sz w:val="20"/>
        </w:rPr>
        <w:t xml:space="preserve">of items </w:t>
      </w:r>
      <w:r w:rsidR="00C2653A">
        <w:rPr>
          <w:rFonts w:ascii="Times New Roman" w:hAnsi="Times New Roman"/>
          <w:sz w:val="20"/>
        </w:rPr>
        <w:t xml:space="preserve">for each </w:t>
      </w:r>
      <w:r w:rsidRPr="00F6382B">
        <w:rPr>
          <w:rFonts w:ascii="Times New Roman" w:hAnsi="Times New Roman"/>
          <w:sz w:val="20"/>
        </w:rPr>
        <w:t>component</w:t>
      </w:r>
    </w:p>
    <w:p w:rsidR="002436E9" w:rsidRPr="00F6382B" w:rsidRDefault="002436E9" w:rsidP="002436E9">
      <w:pPr>
        <w:spacing w:after="0" w:line="240" w:lineRule="auto"/>
        <w:jc w:val="center"/>
        <w:rPr>
          <w:rFonts w:ascii="Times New Roman" w:hAnsi="Times New Roman"/>
          <w:sz w:val="20"/>
        </w:rPr>
      </w:pPr>
    </w:p>
    <w:tbl>
      <w:tblPr>
        <w:tblW w:w="0" w:type="auto"/>
        <w:jc w:val="center"/>
        <w:tblLook w:val="04A0" w:firstRow="1" w:lastRow="0" w:firstColumn="1" w:lastColumn="0" w:noHBand="0" w:noVBand="1"/>
      </w:tblPr>
      <w:tblGrid>
        <w:gridCol w:w="5132"/>
        <w:gridCol w:w="3940"/>
      </w:tblGrid>
      <w:tr w:rsidR="002436E9" w:rsidRPr="007844AB" w:rsidTr="00EA7987">
        <w:trPr>
          <w:trHeight w:val="245"/>
          <w:jc w:val="center"/>
        </w:trPr>
        <w:tc>
          <w:tcPr>
            <w:tcW w:w="5132" w:type="dxa"/>
            <w:tcBorders>
              <w:top w:val="single" w:sz="4" w:space="0" w:color="auto"/>
              <w:bottom w:val="single" w:sz="4" w:space="0" w:color="auto"/>
            </w:tcBorders>
            <w:shd w:val="clear" w:color="auto" w:fill="BDD6EE"/>
          </w:tcPr>
          <w:p w:rsidR="002436E9" w:rsidRPr="007844AB" w:rsidRDefault="00C2653A" w:rsidP="00A84631">
            <w:pPr>
              <w:spacing w:after="0" w:line="240" w:lineRule="auto"/>
              <w:ind w:right="851"/>
              <w:jc w:val="center"/>
              <w:rPr>
                <w:rFonts w:ascii="Times New Roman" w:hAnsi="Times New Roman"/>
                <w:b/>
                <w:iCs/>
                <w:sz w:val="20"/>
                <w:szCs w:val="20"/>
              </w:rPr>
            </w:pPr>
            <w:r>
              <w:rPr>
                <w:rFonts w:ascii="Times New Roman" w:hAnsi="Times New Roman"/>
                <w:b/>
                <w:iCs/>
                <w:sz w:val="20"/>
                <w:szCs w:val="20"/>
              </w:rPr>
              <w:t>Understanding</w:t>
            </w:r>
            <w:r w:rsidR="002436E9" w:rsidRPr="007844AB">
              <w:rPr>
                <w:rFonts w:ascii="Times New Roman" w:hAnsi="Times New Roman"/>
                <w:b/>
                <w:iCs/>
                <w:sz w:val="20"/>
                <w:szCs w:val="20"/>
              </w:rPr>
              <w:t xml:space="preserve"> component</w:t>
            </w:r>
          </w:p>
        </w:tc>
        <w:tc>
          <w:tcPr>
            <w:tcW w:w="3940" w:type="dxa"/>
            <w:tcBorders>
              <w:top w:val="single" w:sz="4" w:space="0" w:color="auto"/>
              <w:bottom w:val="single" w:sz="4" w:space="0" w:color="auto"/>
            </w:tcBorders>
            <w:shd w:val="clear" w:color="auto" w:fill="BDD6EE"/>
          </w:tcPr>
          <w:p w:rsidR="002436E9" w:rsidRPr="007844AB" w:rsidRDefault="002436E9" w:rsidP="00A84631">
            <w:pPr>
              <w:spacing w:after="0" w:line="240" w:lineRule="auto"/>
              <w:ind w:right="851"/>
              <w:jc w:val="center"/>
              <w:rPr>
                <w:rFonts w:ascii="Times New Roman" w:hAnsi="Times New Roman"/>
                <w:b/>
                <w:iCs/>
                <w:sz w:val="20"/>
                <w:szCs w:val="20"/>
              </w:rPr>
            </w:pPr>
            <w:r w:rsidRPr="007844AB">
              <w:rPr>
                <w:rFonts w:ascii="Times New Roman" w:hAnsi="Times New Roman"/>
                <w:b/>
                <w:iCs/>
                <w:sz w:val="20"/>
                <w:szCs w:val="20"/>
              </w:rPr>
              <w:t>Number of items</w:t>
            </w:r>
          </w:p>
        </w:tc>
      </w:tr>
      <w:tr w:rsidR="002436E9" w:rsidRPr="007844AB" w:rsidTr="00A84631">
        <w:trPr>
          <w:trHeight w:val="210"/>
          <w:jc w:val="center"/>
        </w:trPr>
        <w:tc>
          <w:tcPr>
            <w:tcW w:w="5132" w:type="dxa"/>
            <w:tcBorders>
              <w:top w:val="single" w:sz="4" w:space="0" w:color="auto"/>
            </w:tcBorders>
            <w:shd w:val="clear" w:color="auto" w:fill="auto"/>
          </w:tcPr>
          <w:p w:rsidR="002436E9" w:rsidRPr="00F263B7" w:rsidRDefault="002436E9" w:rsidP="00A84631">
            <w:pPr>
              <w:spacing w:after="0" w:line="240" w:lineRule="auto"/>
              <w:ind w:right="851"/>
              <w:jc w:val="center"/>
              <w:rPr>
                <w:rFonts w:ascii="Times New Roman" w:hAnsi="Times New Roman"/>
                <w:bCs/>
                <w:iCs/>
                <w:sz w:val="20"/>
                <w:szCs w:val="20"/>
              </w:rPr>
            </w:pPr>
            <w:r w:rsidRPr="00F263B7">
              <w:rPr>
                <w:rFonts w:ascii="Times New Roman" w:hAnsi="Times New Roman"/>
                <w:bCs/>
                <w:iCs/>
                <w:sz w:val="20"/>
                <w:szCs w:val="20"/>
              </w:rPr>
              <w:t>Concept</w:t>
            </w:r>
          </w:p>
        </w:tc>
        <w:tc>
          <w:tcPr>
            <w:tcW w:w="3940" w:type="dxa"/>
            <w:tcBorders>
              <w:top w:val="single" w:sz="4" w:space="0" w:color="auto"/>
            </w:tcBorders>
            <w:shd w:val="clear" w:color="auto" w:fill="auto"/>
          </w:tcPr>
          <w:p w:rsidR="002436E9" w:rsidRPr="007844AB" w:rsidRDefault="002436E9" w:rsidP="00A84631">
            <w:pPr>
              <w:spacing w:after="0" w:line="240" w:lineRule="auto"/>
              <w:ind w:right="851"/>
              <w:jc w:val="center"/>
              <w:rPr>
                <w:rFonts w:ascii="Times New Roman" w:hAnsi="Times New Roman"/>
                <w:iCs/>
                <w:sz w:val="20"/>
                <w:szCs w:val="20"/>
              </w:rPr>
            </w:pPr>
            <w:r w:rsidRPr="007844AB">
              <w:rPr>
                <w:rFonts w:ascii="Times New Roman" w:hAnsi="Times New Roman"/>
                <w:iCs/>
                <w:sz w:val="20"/>
                <w:szCs w:val="20"/>
              </w:rPr>
              <w:t>6</w:t>
            </w:r>
          </w:p>
        </w:tc>
      </w:tr>
      <w:tr w:rsidR="002436E9" w:rsidRPr="007844AB" w:rsidTr="00A84631">
        <w:trPr>
          <w:trHeight w:val="223"/>
          <w:jc w:val="center"/>
        </w:trPr>
        <w:tc>
          <w:tcPr>
            <w:tcW w:w="5132" w:type="dxa"/>
            <w:shd w:val="clear" w:color="auto" w:fill="auto"/>
          </w:tcPr>
          <w:p w:rsidR="002436E9" w:rsidRPr="00F263B7" w:rsidRDefault="002436E9" w:rsidP="00A84631">
            <w:pPr>
              <w:spacing w:after="0" w:line="240" w:lineRule="auto"/>
              <w:ind w:right="851"/>
              <w:jc w:val="center"/>
              <w:rPr>
                <w:rFonts w:ascii="Times New Roman" w:hAnsi="Times New Roman"/>
                <w:bCs/>
                <w:iCs/>
                <w:sz w:val="20"/>
                <w:szCs w:val="20"/>
              </w:rPr>
            </w:pPr>
            <w:r w:rsidRPr="00F263B7">
              <w:rPr>
                <w:rFonts w:ascii="Times New Roman" w:hAnsi="Times New Roman"/>
                <w:bCs/>
                <w:iCs/>
                <w:sz w:val="20"/>
                <w:szCs w:val="20"/>
              </w:rPr>
              <w:t>Importance</w:t>
            </w:r>
          </w:p>
        </w:tc>
        <w:tc>
          <w:tcPr>
            <w:tcW w:w="3940" w:type="dxa"/>
            <w:shd w:val="clear" w:color="auto" w:fill="auto"/>
          </w:tcPr>
          <w:p w:rsidR="002436E9" w:rsidRPr="007844AB" w:rsidRDefault="002436E9" w:rsidP="00A84631">
            <w:pPr>
              <w:spacing w:after="0" w:line="240" w:lineRule="auto"/>
              <w:ind w:right="851"/>
              <w:jc w:val="center"/>
              <w:rPr>
                <w:rFonts w:ascii="Times New Roman" w:hAnsi="Times New Roman"/>
                <w:iCs/>
                <w:sz w:val="20"/>
                <w:szCs w:val="20"/>
              </w:rPr>
            </w:pPr>
            <w:r w:rsidRPr="007844AB">
              <w:rPr>
                <w:rFonts w:ascii="Times New Roman" w:hAnsi="Times New Roman"/>
                <w:iCs/>
                <w:sz w:val="20"/>
                <w:szCs w:val="20"/>
              </w:rPr>
              <w:t>6</w:t>
            </w:r>
          </w:p>
        </w:tc>
      </w:tr>
      <w:tr w:rsidR="002436E9" w:rsidRPr="007844AB" w:rsidTr="00A84631">
        <w:trPr>
          <w:trHeight w:val="223"/>
          <w:jc w:val="center"/>
        </w:trPr>
        <w:tc>
          <w:tcPr>
            <w:tcW w:w="5132" w:type="dxa"/>
            <w:shd w:val="clear" w:color="auto" w:fill="auto"/>
          </w:tcPr>
          <w:p w:rsidR="002436E9" w:rsidRPr="00F263B7" w:rsidRDefault="002436E9" w:rsidP="00A84631">
            <w:pPr>
              <w:spacing w:after="0" w:line="240" w:lineRule="auto"/>
              <w:ind w:right="851"/>
              <w:jc w:val="center"/>
              <w:rPr>
                <w:rFonts w:ascii="Times New Roman" w:hAnsi="Times New Roman"/>
                <w:bCs/>
                <w:iCs/>
                <w:sz w:val="20"/>
                <w:szCs w:val="20"/>
              </w:rPr>
            </w:pPr>
            <w:r w:rsidRPr="00F263B7">
              <w:rPr>
                <w:rFonts w:ascii="Times New Roman" w:hAnsi="Times New Roman"/>
                <w:bCs/>
                <w:iCs/>
                <w:sz w:val="20"/>
                <w:szCs w:val="20"/>
              </w:rPr>
              <w:t>Protection</w:t>
            </w:r>
          </w:p>
        </w:tc>
        <w:tc>
          <w:tcPr>
            <w:tcW w:w="3940" w:type="dxa"/>
            <w:shd w:val="clear" w:color="auto" w:fill="auto"/>
          </w:tcPr>
          <w:p w:rsidR="002436E9" w:rsidRPr="007844AB" w:rsidRDefault="002436E9" w:rsidP="00A84631">
            <w:pPr>
              <w:spacing w:after="0" w:line="240" w:lineRule="auto"/>
              <w:ind w:right="851"/>
              <w:jc w:val="center"/>
              <w:rPr>
                <w:rFonts w:ascii="Times New Roman" w:hAnsi="Times New Roman"/>
                <w:iCs/>
                <w:sz w:val="20"/>
                <w:szCs w:val="20"/>
              </w:rPr>
            </w:pPr>
            <w:r w:rsidRPr="007844AB">
              <w:rPr>
                <w:rFonts w:ascii="Times New Roman" w:hAnsi="Times New Roman"/>
                <w:iCs/>
                <w:sz w:val="20"/>
                <w:szCs w:val="20"/>
              </w:rPr>
              <w:t>12</w:t>
            </w:r>
          </w:p>
        </w:tc>
      </w:tr>
      <w:tr w:rsidR="002436E9" w:rsidRPr="007844AB" w:rsidTr="00A84631">
        <w:trPr>
          <w:trHeight w:val="223"/>
          <w:jc w:val="center"/>
        </w:trPr>
        <w:tc>
          <w:tcPr>
            <w:tcW w:w="5132" w:type="dxa"/>
            <w:tcBorders>
              <w:bottom w:val="single" w:sz="4" w:space="0" w:color="auto"/>
            </w:tcBorders>
            <w:shd w:val="clear" w:color="auto" w:fill="auto"/>
          </w:tcPr>
          <w:p w:rsidR="002436E9" w:rsidRPr="00F263B7" w:rsidRDefault="002436E9" w:rsidP="00A84631">
            <w:pPr>
              <w:spacing w:after="0" w:line="240" w:lineRule="auto"/>
              <w:ind w:right="851"/>
              <w:jc w:val="center"/>
              <w:rPr>
                <w:rFonts w:ascii="Times New Roman" w:hAnsi="Times New Roman"/>
                <w:bCs/>
                <w:iCs/>
                <w:sz w:val="20"/>
                <w:szCs w:val="20"/>
              </w:rPr>
            </w:pPr>
            <w:r w:rsidRPr="00F263B7">
              <w:rPr>
                <w:rFonts w:ascii="Times New Roman" w:hAnsi="Times New Roman"/>
                <w:bCs/>
                <w:iCs/>
                <w:sz w:val="20"/>
                <w:szCs w:val="20"/>
              </w:rPr>
              <w:t>Benefit</w:t>
            </w:r>
          </w:p>
        </w:tc>
        <w:tc>
          <w:tcPr>
            <w:tcW w:w="3940" w:type="dxa"/>
            <w:tcBorders>
              <w:bottom w:val="single" w:sz="4" w:space="0" w:color="auto"/>
            </w:tcBorders>
            <w:shd w:val="clear" w:color="auto" w:fill="auto"/>
          </w:tcPr>
          <w:p w:rsidR="002436E9" w:rsidRPr="007844AB" w:rsidRDefault="002436E9" w:rsidP="00A84631">
            <w:pPr>
              <w:spacing w:after="0" w:line="240" w:lineRule="auto"/>
              <w:ind w:right="851"/>
              <w:jc w:val="center"/>
              <w:rPr>
                <w:rFonts w:ascii="Times New Roman" w:hAnsi="Times New Roman"/>
                <w:iCs/>
                <w:sz w:val="20"/>
                <w:szCs w:val="20"/>
              </w:rPr>
            </w:pPr>
            <w:r w:rsidRPr="007844AB">
              <w:rPr>
                <w:rFonts w:ascii="Times New Roman" w:hAnsi="Times New Roman"/>
                <w:iCs/>
                <w:sz w:val="20"/>
                <w:szCs w:val="20"/>
              </w:rPr>
              <w:t>7</w:t>
            </w:r>
          </w:p>
        </w:tc>
      </w:tr>
    </w:tbl>
    <w:p w:rsidR="00394D33" w:rsidRDefault="00394D33" w:rsidP="00C27245">
      <w:pPr>
        <w:spacing w:after="0" w:line="240" w:lineRule="auto"/>
        <w:outlineLvl w:val="1"/>
        <w:rPr>
          <w:rFonts w:ascii="Times New Roman" w:eastAsia="MS Gothic" w:hAnsi="Times New Roman"/>
          <w:i/>
          <w:sz w:val="24"/>
          <w:szCs w:val="24"/>
        </w:rPr>
      </w:pPr>
    </w:p>
    <w:p w:rsidR="00C27245" w:rsidRDefault="00C27245" w:rsidP="00C27245">
      <w:pPr>
        <w:spacing w:after="0" w:line="240" w:lineRule="auto"/>
        <w:outlineLvl w:val="1"/>
        <w:rPr>
          <w:rFonts w:ascii="Times New Roman" w:eastAsia="MS Gothic" w:hAnsi="Times New Roman"/>
          <w:i/>
          <w:sz w:val="24"/>
          <w:szCs w:val="24"/>
        </w:rPr>
      </w:pPr>
      <w:r w:rsidRPr="00C27245">
        <w:rPr>
          <w:rFonts w:ascii="Times New Roman" w:eastAsia="MS Gothic" w:hAnsi="Times New Roman"/>
          <w:i/>
          <w:sz w:val="24"/>
          <w:szCs w:val="24"/>
        </w:rPr>
        <w:t>Data analysis method</w:t>
      </w:r>
    </w:p>
    <w:p w:rsidR="00C27245" w:rsidRPr="00C27245" w:rsidRDefault="00C27245" w:rsidP="00C27245">
      <w:pPr>
        <w:spacing w:after="0" w:line="240" w:lineRule="auto"/>
        <w:outlineLvl w:val="1"/>
        <w:rPr>
          <w:rFonts w:ascii="Times New Roman" w:eastAsia="MS Gothic" w:hAnsi="Times New Roman"/>
          <w:i/>
          <w:sz w:val="24"/>
          <w:szCs w:val="24"/>
        </w:rPr>
      </w:pPr>
    </w:p>
    <w:p w:rsidR="00C27245" w:rsidRPr="00C27245" w:rsidRDefault="00C27245" w:rsidP="00C27245">
      <w:pPr>
        <w:spacing w:after="0" w:line="240" w:lineRule="auto"/>
        <w:jc w:val="both"/>
        <w:rPr>
          <w:rFonts w:ascii="Times New Roman" w:hAnsi="Times New Roman"/>
          <w:sz w:val="24"/>
          <w:szCs w:val="24"/>
        </w:rPr>
      </w:pPr>
      <w:r w:rsidRPr="00C27245">
        <w:rPr>
          <w:rFonts w:ascii="Times New Roman" w:hAnsi="Times New Roman"/>
          <w:sz w:val="24"/>
          <w:szCs w:val="24"/>
        </w:rPr>
        <w:t xml:space="preserve">Respondent's understanding level is </w:t>
      </w:r>
      <w:r w:rsidR="009B3723">
        <w:rPr>
          <w:rFonts w:ascii="Times New Roman" w:hAnsi="Times New Roman"/>
          <w:sz w:val="24"/>
          <w:szCs w:val="24"/>
        </w:rPr>
        <w:t>categorized</w:t>
      </w:r>
      <w:r w:rsidRPr="00C27245">
        <w:rPr>
          <w:rFonts w:ascii="Times New Roman" w:hAnsi="Times New Roman"/>
          <w:sz w:val="24"/>
          <w:szCs w:val="24"/>
        </w:rPr>
        <w:t xml:space="preserve"> into three, namely low, medium and high. </w:t>
      </w:r>
      <w:r w:rsidR="009B3723">
        <w:rPr>
          <w:rFonts w:ascii="Times New Roman" w:hAnsi="Times New Roman"/>
          <w:sz w:val="24"/>
          <w:szCs w:val="24"/>
        </w:rPr>
        <w:t xml:space="preserve">Following </w:t>
      </w:r>
      <w:r w:rsidRPr="00C27245">
        <w:rPr>
          <w:rFonts w:ascii="Times New Roman" w:hAnsi="Times New Roman"/>
          <w:sz w:val="24"/>
          <w:szCs w:val="24"/>
          <w:lang w:val="en"/>
        </w:rPr>
        <w:t xml:space="preserve">Mohamad </w:t>
      </w:r>
      <w:proofErr w:type="spellStart"/>
      <w:r w:rsidRPr="00C27245">
        <w:rPr>
          <w:rFonts w:ascii="Times New Roman" w:hAnsi="Times New Roman"/>
          <w:sz w:val="24"/>
          <w:szCs w:val="24"/>
          <w:lang w:val="en"/>
        </w:rPr>
        <w:t>Idham</w:t>
      </w:r>
      <w:proofErr w:type="spellEnd"/>
      <w:r w:rsidRPr="00C27245">
        <w:rPr>
          <w:rFonts w:ascii="Times New Roman" w:hAnsi="Times New Roman"/>
          <w:sz w:val="24"/>
          <w:szCs w:val="24"/>
          <w:lang w:val="en"/>
        </w:rPr>
        <w:t xml:space="preserve"> et al. (2014), the range of each level can be calculated by adding the minimum value of each level with the average range (the ratio between the width of the Likert Scale used and the number of desired levels of understanding).</w:t>
      </w:r>
      <w:r w:rsidRPr="00C27245">
        <w:rPr>
          <w:rFonts w:ascii="Times New Roman" w:hAnsi="Times New Roman"/>
          <w:sz w:val="24"/>
          <w:szCs w:val="24"/>
        </w:rPr>
        <w:t xml:space="preserve"> </w:t>
      </w:r>
      <w:r w:rsidR="009B3723">
        <w:rPr>
          <w:rFonts w:ascii="Times New Roman" w:hAnsi="Times New Roman"/>
          <w:sz w:val="24"/>
          <w:szCs w:val="24"/>
        </w:rPr>
        <w:t>This study employs</w:t>
      </w:r>
      <w:r w:rsidRPr="00C27245">
        <w:rPr>
          <w:rFonts w:ascii="Times New Roman" w:hAnsi="Times New Roman"/>
          <w:sz w:val="24"/>
          <w:szCs w:val="24"/>
        </w:rPr>
        <w:t xml:space="preserve"> 5-point Likert Scale with the minimum value of 1 and a maximum value of 5; and the desired category of understanding is 3.</w:t>
      </w:r>
      <w:r w:rsidRPr="00C27245">
        <w:rPr>
          <w:rFonts w:ascii="Times New Roman" w:eastAsia="Times New Roman" w:hAnsi="Times New Roman"/>
          <w:sz w:val="24"/>
          <w:szCs w:val="24"/>
          <w:lang w:val="en" w:eastAsia="en-GB"/>
        </w:rPr>
        <w:t xml:space="preserve"> </w:t>
      </w:r>
      <w:r w:rsidRPr="00C27245">
        <w:rPr>
          <w:rFonts w:ascii="Times New Roman" w:hAnsi="Times New Roman"/>
          <w:sz w:val="24"/>
          <w:szCs w:val="24"/>
        </w:rPr>
        <w:t>Therefore</w:t>
      </w:r>
      <w:r w:rsidR="009D36F0">
        <w:rPr>
          <w:rFonts w:ascii="Times New Roman" w:hAnsi="Times New Roman"/>
          <w:sz w:val="24"/>
          <w:szCs w:val="24"/>
        </w:rPr>
        <w:t>,</w:t>
      </w:r>
      <w:r w:rsidRPr="00C27245">
        <w:rPr>
          <w:rFonts w:ascii="Times New Roman" w:hAnsi="Times New Roman"/>
          <w:sz w:val="24"/>
          <w:szCs w:val="24"/>
        </w:rPr>
        <w:t xml:space="preserve"> the average range for each level of understanding required is: </w:t>
      </w:r>
    </w:p>
    <w:p w:rsidR="00C27245" w:rsidRPr="00C27245" w:rsidRDefault="00C27245" w:rsidP="00C27245">
      <w:pPr>
        <w:spacing w:after="0" w:line="240" w:lineRule="auto"/>
        <w:jc w:val="both"/>
        <w:rPr>
          <w:rFonts w:ascii="Times New Roman" w:hAnsi="Times New Roman"/>
          <w:sz w:val="24"/>
          <w:szCs w:val="24"/>
        </w:rPr>
      </w:pPr>
    </w:p>
    <w:p w:rsidR="00C27245" w:rsidRPr="00C27245" w:rsidRDefault="00C2653A" w:rsidP="00C27245">
      <w:pPr>
        <w:spacing w:after="0" w:line="240" w:lineRule="auto"/>
        <w:jc w:val="center"/>
        <w:rPr>
          <w:rFonts w:ascii="Times New Roman" w:hAnsi="Times New Roman"/>
          <w:sz w:val="24"/>
          <w:szCs w:val="24"/>
        </w:rPr>
      </w:pPr>
      <w:r>
        <w:rPr>
          <w:rFonts w:ascii="Times New Roman" w:hAnsi="Times New Roman"/>
          <w:sz w:val="24"/>
          <w:szCs w:val="24"/>
        </w:rPr>
        <w:t>Average range = (5–</w:t>
      </w:r>
      <w:r w:rsidR="00C27245" w:rsidRPr="00C27245">
        <w:rPr>
          <w:rFonts w:ascii="Times New Roman" w:hAnsi="Times New Roman"/>
          <w:sz w:val="24"/>
          <w:szCs w:val="24"/>
        </w:rPr>
        <w:t>1)/3 = 1.33</w:t>
      </w:r>
    </w:p>
    <w:p w:rsidR="00C27245" w:rsidRPr="00C27245" w:rsidRDefault="00C27245" w:rsidP="00C27245">
      <w:pPr>
        <w:spacing w:after="0" w:line="240" w:lineRule="auto"/>
        <w:ind w:firstLine="720"/>
        <w:jc w:val="both"/>
        <w:rPr>
          <w:rFonts w:ascii="Times New Roman" w:hAnsi="Times New Roman"/>
          <w:sz w:val="24"/>
          <w:szCs w:val="24"/>
        </w:rPr>
      </w:pPr>
      <w:r w:rsidRPr="00C27245">
        <w:rPr>
          <w:rFonts w:ascii="Times New Roman" w:hAnsi="Times New Roman"/>
          <w:sz w:val="24"/>
          <w:szCs w:val="24"/>
        </w:rPr>
        <w:br/>
      </w:r>
      <w:r w:rsidR="00286E62">
        <w:rPr>
          <w:rFonts w:ascii="Times New Roman" w:hAnsi="Times New Roman"/>
          <w:sz w:val="24"/>
          <w:szCs w:val="24"/>
        </w:rPr>
        <w:t>Summary of l</w:t>
      </w:r>
      <w:r w:rsidRPr="00C27245">
        <w:rPr>
          <w:rFonts w:ascii="Times New Roman" w:hAnsi="Times New Roman"/>
          <w:sz w:val="24"/>
          <w:szCs w:val="24"/>
        </w:rPr>
        <w:t xml:space="preserve">evel of understanding is </w:t>
      </w:r>
      <w:r w:rsidR="00286E62">
        <w:rPr>
          <w:rFonts w:ascii="Times New Roman" w:hAnsi="Times New Roman"/>
          <w:sz w:val="24"/>
          <w:szCs w:val="24"/>
        </w:rPr>
        <w:t>shown</w:t>
      </w:r>
      <w:r w:rsidRPr="00C27245">
        <w:rPr>
          <w:rFonts w:ascii="Times New Roman" w:hAnsi="Times New Roman"/>
          <w:sz w:val="24"/>
          <w:szCs w:val="24"/>
        </w:rPr>
        <w:t xml:space="preserve"> in Table </w:t>
      </w:r>
      <w:r w:rsidR="00F263B7">
        <w:rPr>
          <w:rFonts w:ascii="Times New Roman" w:hAnsi="Times New Roman"/>
          <w:sz w:val="24"/>
          <w:szCs w:val="24"/>
        </w:rPr>
        <w:t>3</w:t>
      </w:r>
      <w:r w:rsidRPr="00C27245">
        <w:rPr>
          <w:rFonts w:ascii="Times New Roman" w:hAnsi="Times New Roman"/>
          <w:sz w:val="24"/>
          <w:szCs w:val="24"/>
        </w:rPr>
        <w:t xml:space="preserve">. However, to ensure the consistency </w:t>
      </w:r>
      <w:r w:rsidR="00286E62">
        <w:rPr>
          <w:rFonts w:ascii="Times New Roman" w:hAnsi="Times New Roman"/>
          <w:sz w:val="24"/>
          <w:szCs w:val="24"/>
        </w:rPr>
        <w:t xml:space="preserve">across </w:t>
      </w:r>
      <w:r w:rsidRPr="00C27245">
        <w:rPr>
          <w:rFonts w:ascii="Times New Roman" w:hAnsi="Times New Roman"/>
          <w:sz w:val="24"/>
          <w:szCs w:val="24"/>
        </w:rPr>
        <w:t>items in the same component, the reliability test is carried out beforehand.</w:t>
      </w:r>
    </w:p>
    <w:p w:rsidR="00286E62" w:rsidRPr="00425D18" w:rsidRDefault="00286E62" w:rsidP="00966CD7">
      <w:pPr>
        <w:spacing w:after="0" w:line="240" w:lineRule="auto"/>
        <w:rPr>
          <w:rFonts w:ascii="Times New Roman" w:hAnsi="Times New Roman"/>
          <w:sz w:val="24"/>
          <w:szCs w:val="24"/>
        </w:rPr>
      </w:pPr>
    </w:p>
    <w:p w:rsidR="002436E9" w:rsidRDefault="002436E9" w:rsidP="002436E9">
      <w:pPr>
        <w:spacing w:after="0" w:line="240" w:lineRule="auto"/>
        <w:jc w:val="center"/>
        <w:rPr>
          <w:rFonts w:ascii="Times New Roman" w:hAnsi="Times New Roman"/>
          <w:iCs/>
          <w:sz w:val="20"/>
          <w:szCs w:val="20"/>
        </w:rPr>
      </w:pPr>
      <w:proofErr w:type="gramStart"/>
      <w:r w:rsidRPr="00F6382B">
        <w:rPr>
          <w:rFonts w:ascii="Times New Roman" w:hAnsi="Times New Roman"/>
          <w:b/>
          <w:iCs/>
          <w:sz w:val="20"/>
          <w:szCs w:val="20"/>
        </w:rPr>
        <w:t xml:space="preserve">Table </w:t>
      </w:r>
      <w:r>
        <w:rPr>
          <w:rFonts w:ascii="Times New Roman" w:hAnsi="Times New Roman"/>
          <w:b/>
          <w:iCs/>
          <w:sz w:val="20"/>
          <w:szCs w:val="20"/>
        </w:rPr>
        <w:t>3</w:t>
      </w:r>
      <w:r w:rsidRPr="00F6382B">
        <w:rPr>
          <w:rFonts w:ascii="Times New Roman" w:hAnsi="Times New Roman"/>
          <w:b/>
          <w:iCs/>
          <w:sz w:val="20"/>
          <w:szCs w:val="20"/>
        </w:rPr>
        <w:t>.</w:t>
      </w:r>
      <w:proofErr w:type="gramEnd"/>
      <w:r w:rsidRPr="00F6382B">
        <w:rPr>
          <w:rFonts w:ascii="Times New Roman" w:hAnsi="Times New Roman"/>
          <w:iCs/>
          <w:sz w:val="20"/>
          <w:szCs w:val="20"/>
        </w:rPr>
        <w:t xml:space="preserve"> Level of awareness</w:t>
      </w:r>
    </w:p>
    <w:p w:rsidR="002436E9" w:rsidRPr="00F6382B" w:rsidRDefault="002436E9" w:rsidP="002436E9">
      <w:pPr>
        <w:spacing w:after="0" w:line="240" w:lineRule="auto"/>
        <w:jc w:val="center"/>
        <w:rPr>
          <w:rFonts w:ascii="Times New Roman" w:hAnsi="Times New Roman"/>
          <w:iCs/>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3388"/>
        <w:gridCol w:w="3374"/>
        <w:gridCol w:w="2267"/>
      </w:tblGrid>
      <w:tr w:rsidR="002436E9" w:rsidRPr="007844AB" w:rsidTr="00EA7987">
        <w:trPr>
          <w:trHeight w:val="314"/>
          <w:jc w:val="center"/>
        </w:trPr>
        <w:tc>
          <w:tcPr>
            <w:tcW w:w="3388" w:type="dxa"/>
            <w:tcBorders>
              <w:top w:val="single" w:sz="4" w:space="0" w:color="auto"/>
              <w:bottom w:val="single" w:sz="4" w:space="0" w:color="auto"/>
            </w:tcBorders>
            <w:shd w:val="clear" w:color="auto" w:fill="BDD6EE"/>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Level of understanding</w:t>
            </w:r>
          </w:p>
        </w:tc>
        <w:tc>
          <w:tcPr>
            <w:tcW w:w="3374" w:type="dxa"/>
            <w:tcBorders>
              <w:top w:val="single" w:sz="4" w:space="0" w:color="auto"/>
              <w:bottom w:val="single" w:sz="4" w:space="0" w:color="auto"/>
            </w:tcBorders>
            <w:shd w:val="clear" w:color="auto" w:fill="BDD6EE"/>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Range calculation</w:t>
            </w:r>
          </w:p>
        </w:tc>
        <w:tc>
          <w:tcPr>
            <w:tcW w:w="2267" w:type="dxa"/>
            <w:tcBorders>
              <w:top w:val="single" w:sz="4" w:space="0" w:color="auto"/>
              <w:bottom w:val="single" w:sz="4" w:space="0" w:color="auto"/>
            </w:tcBorders>
            <w:shd w:val="clear" w:color="auto" w:fill="BDD6EE"/>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Range mean</w:t>
            </w:r>
          </w:p>
        </w:tc>
      </w:tr>
      <w:tr w:rsidR="002436E9" w:rsidRPr="007844AB" w:rsidTr="00A84631">
        <w:trPr>
          <w:trHeight w:val="259"/>
          <w:jc w:val="center"/>
        </w:trPr>
        <w:tc>
          <w:tcPr>
            <w:tcW w:w="3388" w:type="dxa"/>
            <w:tcBorders>
              <w:top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Low</w:t>
            </w:r>
          </w:p>
        </w:tc>
        <w:tc>
          <w:tcPr>
            <w:tcW w:w="3374" w:type="dxa"/>
            <w:tcBorders>
              <w:top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1 + 1.33 = 2.33</w:t>
            </w:r>
          </w:p>
        </w:tc>
        <w:tc>
          <w:tcPr>
            <w:tcW w:w="2267" w:type="dxa"/>
            <w:tcBorders>
              <w:top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1 – 2.33</w:t>
            </w:r>
          </w:p>
        </w:tc>
      </w:tr>
      <w:tr w:rsidR="002436E9" w:rsidRPr="007844AB" w:rsidTr="00A84631">
        <w:trPr>
          <w:trHeight w:val="275"/>
          <w:jc w:val="center"/>
        </w:trPr>
        <w:tc>
          <w:tcPr>
            <w:tcW w:w="3388"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Medium</w:t>
            </w:r>
          </w:p>
        </w:tc>
        <w:tc>
          <w:tcPr>
            <w:tcW w:w="3374"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2.34 + 1.33 = 3.67</w:t>
            </w:r>
          </w:p>
        </w:tc>
        <w:tc>
          <w:tcPr>
            <w:tcW w:w="2267"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2.34 – 3.67</w:t>
            </w:r>
          </w:p>
        </w:tc>
      </w:tr>
      <w:tr w:rsidR="002436E9" w:rsidRPr="007844AB" w:rsidTr="00A84631">
        <w:trPr>
          <w:trHeight w:val="275"/>
          <w:jc w:val="center"/>
        </w:trPr>
        <w:tc>
          <w:tcPr>
            <w:tcW w:w="3388"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High</w:t>
            </w:r>
          </w:p>
        </w:tc>
        <w:tc>
          <w:tcPr>
            <w:tcW w:w="3374"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3.67 + 1.33 = 5.0</w:t>
            </w:r>
          </w:p>
        </w:tc>
        <w:tc>
          <w:tcPr>
            <w:tcW w:w="2267"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3.68 – 5.0</w:t>
            </w:r>
          </w:p>
        </w:tc>
      </w:tr>
    </w:tbl>
    <w:p w:rsidR="002436E9" w:rsidRPr="00F6382B" w:rsidRDefault="00FB4115" w:rsidP="002436E9">
      <w:pPr>
        <w:spacing w:after="0" w:line="240" w:lineRule="auto"/>
        <w:jc w:val="both"/>
        <w:rPr>
          <w:rFonts w:ascii="Times New Roman" w:hAnsi="Times New Roman"/>
          <w:sz w:val="20"/>
          <w:szCs w:val="20"/>
        </w:rPr>
      </w:pPr>
      <w:r>
        <w:rPr>
          <w:rFonts w:ascii="Times New Roman" w:hAnsi="Times New Roman"/>
          <w:sz w:val="20"/>
          <w:szCs w:val="20"/>
        </w:rPr>
        <w:t xml:space="preserve">   </w:t>
      </w:r>
      <w:r w:rsidR="00286E62">
        <w:rPr>
          <w:rFonts w:ascii="Times New Roman" w:hAnsi="Times New Roman"/>
          <w:sz w:val="20"/>
          <w:szCs w:val="20"/>
        </w:rPr>
        <w:t xml:space="preserve">Source: Mohamad </w:t>
      </w:r>
      <w:proofErr w:type="spellStart"/>
      <w:r w:rsidR="00286E62">
        <w:rPr>
          <w:rFonts w:ascii="Times New Roman" w:hAnsi="Times New Roman"/>
          <w:sz w:val="20"/>
          <w:szCs w:val="20"/>
        </w:rPr>
        <w:t>Idham</w:t>
      </w:r>
      <w:proofErr w:type="spellEnd"/>
      <w:r w:rsidR="00286E62">
        <w:rPr>
          <w:rFonts w:ascii="Times New Roman" w:hAnsi="Times New Roman"/>
          <w:sz w:val="20"/>
          <w:szCs w:val="20"/>
        </w:rPr>
        <w:t xml:space="preserve"> et al.</w:t>
      </w:r>
      <w:r w:rsidR="00C80832">
        <w:rPr>
          <w:rFonts w:ascii="Times New Roman" w:hAnsi="Times New Roman"/>
          <w:sz w:val="20"/>
          <w:szCs w:val="20"/>
        </w:rPr>
        <w:t xml:space="preserve"> </w:t>
      </w:r>
      <w:r w:rsidR="002436E9" w:rsidRPr="00F6382B">
        <w:rPr>
          <w:rFonts w:ascii="Times New Roman" w:hAnsi="Times New Roman"/>
          <w:sz w:val="20"/>
          <w:szCs w:val="20"/>
        </w:rPr>
        <w:t xml:space="preserve">(2014) </w:t>
      </w:r>
    </w:p>
    <w:p w:rsidR="00B23D15" w:rsidRDefault="00B23D15" w:rsidP="00B23D15">
      <w:pPr>
        <w:spacing w:after="0" w:line="240" w:lineRule="auto"/>
        <w:jc w:val="center"/>
        <w:rPr>
          <w:rFonts w:ascii="Times New Roman" w:hAnsi="Times New Roman"/>
          <w:sz w:val="24"/>
          <w:szCs w:val="24"/>
        </w:rPr>
      </w:pPr>
    </w:p>
    <w:p w:rsidR="00C27245" w:rsidRDefault="00C27245" w:rsidP="00C27245">
      <w:pPr>
        <w:spacing w:after="0" w:line="240" w:lineRule="auto"/>
        <w:outlineLvl w:val="1"/>
        <w:rPr>
          <w:rFonts w:ascii="Times New Roman" w:eastAsia="MS Gothic" w:hAnsi="Times New Roman"/>
          <w:i/>
          <w:sz w:val="24"/>
          <w:szCs w:val="24"/>
        </w:rPr>
      </w:pPr>
      <w:r w:rsidRPr="00C27245">
        <w:rPr>
          <w:rFonts w:ascii="Times New Roman" w:eastAsia="MS Gothic" w:hAnsi="Times New Roman"/>
          <w:i/>
          <w:sz w:val="24"/>
          <w:szCs w:val="24"/>
        </w:rPr>
        <w:t xml:space="preserve">Independent </w:t>
      </w:r>
      <w:r w:rsidR="00FA3587">
        <w:rPr>
          <w:rFonts w:ascii="Times New Roman" w:eastAsia="MS Gothic" w:hAnsi="Times New Roman"/>
          <w:i/>
          <w:sz w:val="24"/>
          <w:szCs w:val="24"/>
        </w:rPr>
        <w:t>s</w:t>
      </w:r>
      <w:r w:rsidRPr="00C27245">
        <w:rPr>
          <w:rFonts w:ascii="Times New Roman" w:eastAsia="MS Gothic" w:hAnsi="Times New Roman"/>
          <w:i/>
          <w:sz w:val="24"/>
          <w:szCs w:val="24"/>
        </w:rPr>
        <w:t xml:space="preserve">ample t-test and </w:t>
      </w:r>
      <w:r w:rsidR="00FA3587">
        <w:rPr>
          <w:rFonts w:ascii="Times New Roman" w:eastAsia="MS Gothic" w:hAnsi="Times New Roman"/>
          <w:i/>
          <w:sz w:val="24"/>
          <w:szCs w:val="24"/>
        </w:rPr>
        <w:t>o</w:t>
      </w:r>
      <w:r w:rsidRPr="00C27245">
        <w:rPr>
          <w:rFonts w:ascii="Times New Roman" w:eastAsia="MS Gothic" w:hAnsi="Times New Roman"/>
          <w:i/>
          <w:sz w:val="24"/>
          <w:szCs w:val="24"/>
        </w:rPr>
        <w:t>ne-</w:t>
      </w:r>
      <w:r w:rsidR="00FA3587">
        <w:rPr>
          <w:rFonts w:ascii="Times New Roman" w:eastAsia="MS Gothic" w:hAnsi="Times New Roman"/>
          <w:i/>
          <w:sz w:val="24"/>
          <w:szCs w:val="24"/>
        </w:rPr>
        <w:t>w</w:t>
      </w:r>
      <w:r w:rsidRPr="00C27245">
        <w:rPr>
          <w:rFonts w:ascii="Times New Roman" w:eastAsia="MS Gothic" w:hAnsi="Times New Roman"/>
          <w:i/>
          <w:sz w:val="24"/>
          <w:szCs w:val="24"/>
        </w:rPr>
        <w:t xml:space="preserve">ay ANOVA </w:t>
      </w:r>
      <w:r w:rsidR="00FA3587">
        <w:rPr>
          <w:rFonts w:ascii="Times New Roman" w:eastAsia="MS Gothic" w:hAnsi="Times New Roman"/>
          <w:i/>
          <w:sz w:val="24"/>
          <w:szCs w:val="24"/>
        </w:rPr>
        <w:t>t</w:t>
      </w:r>
      <w:r w:rsidRPr="00C27245">
        <w:rPr>
          <w:rFonts w:ascii="Times New Roman" w:eastAsia="MS Gothic" w:hAnsi="Times New Roman"/>
          <w:i/>
          <w:sz w:val="24"/>
          <w:szCs w:val="24"/>
        </w:rPr>
        <w:t>est</w:t>
      </w:r>
    </w:p>
    <w:p w:rsidR="00556F15" w:rsidRPr="00C27245" w:rsidRDefault="00556F15" w:rsidP="00C27245">
      <w:pPr>
        <w:spacing w:after="0" w:line="240" w:lineRule="auto"/>
        <w:outlineLvl w:val="1"/>
        <w:rPr>
          <w:rFonts w:ascii="Times New Roman" w:eastAsia="MS Gothic" w:hAnsi="Times New Roman"/>
          <w:i/>
          <w:sz w:val="24"/>
          <w:szCs w:val="24"/>
        </w:rPr>
      </w:pPr>
    </w:p>
    <w:p w:rsidR="00556F15" w:rsidRDefault="00C27245" w:rsidP="00C27245">
      <w:pPr>
        <w:spacing w:after="0" w:line="240" w:lineRule="auto"/>
        <w:jc w:val="both"/>
        <w:rPr>
          <w:rFonts w:ascii="Times New Roman" w:hAnsi="Times New Roman"/>
          <w:sz w:val="24"/>
          <w:szCs w:val="24"/>
        </w:rPr>
      </w:pPr>
      <w:r w:rsidRPr="00C27245">
        <w:rPr>
          <w:rFonts w:ascii="Times New Roman" w:hAnsi="Times New Roman"/>
          <w:sz w:val="24"/>
          <w:szCs w:val="24"/>
          <w:lang w:val="en"/>
        </w:rPr>
        <w:t xml:space="preserve">In </w:t>
      </w:r>
      <w:r w:rsidR="009C1D74">
        <w:rPr>
          <w:rFonts w:ascii="Times New Roman" w:hAnsi="Times New Roman"/>
          <w:sz w:val="24"/>
          <w:szCs w:val="24"/>
          <w:lang w:val="en"/>
        </w:rPr>
        <w:t>determining</w:t>
      </w:r>
      <w:r w:rsidRPr="00C27245">
        <w:rPr>
          <w:rFonts w:ascii="Times New Roman" w:hAnsi="Times New Roman"/>
          <w:sz w:val="24"/>
          <w:szCs w:val="24"/>
          <w:lang w:val="en"/>
        </w:rPr>
        <w:t xml:space="preserve"> the demographic factors that affect the level of understanding of the education </w:t>
      </w:r>
      <w:proofErr w:type="spellStart"/>
      <w:r w:rsidRPr="00C27245">
        <w:rPr>
          <w:rFonts w:ascii="Times New Roman" w:hAnsi="Times New Roman"/>
          <w:sz w:val="24"/>
          <w:szCs w:val="24"/>
          <w:lang w:val="en"/>
        </w:rPr>
        <w:t>takaful</w:t>
      </w:r>
      <w:proofErr w:type="spellEnd"/>
      <w:r w:rsidRPr="00C27245">
        <w:rPr>
          <w:rFonts w:ascii="Times New Roman" w:hAnsi="Times New Roman"/>
          <w:sz w:val="24"/>
          <w:szCs w:val="24"/>
          <w:lang w:val="en"/>
        </w:rPr>
        <w:t xml:space="preserve"> plan, this study uses independent sample t-test and one-way ANOVA test. </w:t>
      </w:r>
      <w:r w:rsidR="001D0045">
        <w:rPr>
          <w:rFonts w:ascii="Times New Roman" w:hAnsi="Times New Roman"/>
          <w:sz w:val="24"/>
          <w:szCs w:val="24"/>
          <w:lang w:val="en"/>
        </w:rPr>
        <w:t xml:space="preserve">Through </w:t>
      </w:r>
      <w:r w:rsidRPr="00C27245">
        <w:rPr>
          <w:rFonts w:ascii="Times New Roman" w:hAnsi="Times New Roman"/>
          <w:sz w:val="24"/>
          <w:szCs w:val="24"/>
          <w:lang w:val="en"/>
        </w:rPr>
        <w:t xml:space="preserve">this test, </w:t>
      </w:r>
      <w:r w:rsidR="001D0045">
        <w:rPr>
          <w:rFonts w:ascii="Times New Roman" w:hAnsi="Times New Roman"/>
          <w:sz w:val="24"/>
          <w:szCs w:val="24"/>
          <w:lang w:val="en"/>
        </w:rPr>
        <w:t xml:space="preserve">the </w:t>
      </w:r>
      <w:r w:rsidRPr="00C27245">
        <w:rPr>
          <w:rFonts w:ascii="Times New Roman" w:hAnsi="Times New Roman"/>
          <w:sz w:val="24"/>
          <w:szCs w:val="24"/>
          <w:lang w:val="en"/>
        </w:rPr>
        <w:t xml:space="preserve">differences in overall understanding </w:t>
      </w:r>
      <w:r w:rsidR="001D0045">
        <w:rPr>
          <w:rFonts w:ascii="Times New Roman" w:hAnsi="Times New Roman"/>
          <w:sz w:val="24"/>
          <w:szCs w:val="24"/>
          <w:lang w:val="en"/>
        </w:rPr>
        <w:t>between</w:t>
      </w:r>
      <w:r w:rsidRPr="00C27245">
        <w:rPr>
          <w:rFonts w:ascii="Times New Roman" w:hAnsi="Times New Roman"/>
          <w:sz w:val="24"/>
          <w:szCs w:val="24"/>
          <w:lang w:val="en"/>
        </w:rPr>
        <w:t xml:space="preserve"> different groups for each demographic </w:t>
      </w:r>
      <w:r w:rsidRPr="00C27245">
        <w:rPr>
          <w:rFonts w:ascii="Times New Roman" w:hAnsi="Times New Roman"/>
          <w:sz w:val="24"/>
          <w:szCs w:val="24"/>
          <w:lang w:val="en"/>
        </w:rPr>
        <w:lastRenderedPageBreak/>
        <w:t>feature can be measured.</w:t>
      </w:r>
      <w:r w:rsidRPr="00C27245">
        <w:rPr>
          <w:rFonts w:ascii="Times New Roman" w:hAnsi="Times New Roman"/>
          <w:sz w:val="24"/>
          <w:szCs w:val="24"/>
        </w:rPr>
        <w:t xml:space="preserve"> </w:t>
      </w:r>
      <w:r w:rsidRPr="00C27245">
        <w:rPr>
          <w:rFonts w:ascii="Times New Roman" w:hAnsi="Times New Roman"/>
          <w:sz w:val="24"/>
          <w:szCs w:val="24"/>
          <w:lang w:val="en"/>
        </w:rPr>
        <w:t>Specifically, independent sample t-tests were performed to determine the difference in the average score of a continuous variable (level of understanding), for groups with two categories (</w:t>
      </w:r>
      <w:proofErr w:type="spellStart"/>
      <w:r w:rsidRPr="00C27245">
        <w:rPr>
          <w:rFonts w:ascii="Times New Roman" w:hAnsi="Times New Roman"/>
          <w:sz w:val="24"/>
          <w:szCs w:val="24"/>
          <w:lang w:val="en"/>
        </w:rPr>
        <w:t>Sekaran</w:t>
      </w:r>
      <w:proofErr w:type="spellEnd"/>
      <w:r w:rsidRPr="00C27245">
        <w:rPr>
          <w:rFonts w:ascii="Times New Roman" w:hAnsi="Times New Roman"/>
          <w:sz w:val="24"/>
          <w:szCs w:val="24"/>
          <w:lang w:val="en"/>
        </w:rPr>
        <w:t xml:space="preserve"> </w:t>
      </w:r>
      <w:r w:rsidR="00B47BB9">
        <w:rPr>
          <w:rFonts w:ascii="Times New Roman" w:hAnsi="Times New Roman"/>
          <w:sz w:val="24"/>
          <w:szCs w:val="24"/>
          <w:lang w:val="en"/>
        </w:rPr>
        <w:t>&amp;</w:t>
      </w:r>
      <w:r w:rsidRPr="00C27245">
        <w:rPr>
          <w:rFonts w:ascii="Times New Roman" w:hAnsi="Times New Roman"/>
          <w:sz w:val="24"/>
          <w:szCs w:val="24"/>
          <w:lang w:val="en"/>
        </w:rPr>
        <w:t xml:space="preserve"> </w:t>
      </w:r>
      <w:proofErr w:type="spellStart"/>
      <w:r w:rsidRPr="00C27245">
        <w:rPr>
          <w:rFonts w:ascii="Times New Roman" w:hAnsi="Times New Roman"/>
          <w:sz w:val="24"/>
          <w:szCs w:val="24"/>
          <w:lang w:val="en"/>
        </w:rPr>
        <w:t>Bougie</w:t>
      </w:r>
      <w:proofErr w:type="spellEnd"/>
      <w:r w:rsidRPr="00C27245">
        <w:rPr>
          <w:rFonts w:ascii="Times New Roman" w:hAnsi="Times New Roman"/>
          <w:sz w:val="24"/>
          <w:szCs w:val="24"/>
          <w:lang w:val="en"/>
        </w:rPr>
        <w:t xml:space="preserve">, 2016). </w:t>
      </w:r>
      <w:r w:rsidRPr="00C27245">
        <w:rPr>
          <w:rFonts w:ascii="Times New Roman" w:hAnsi="Times New Roman"/>
          <w:sz w:val="24"/>
          <w:szCs w:val="24"/>
        </w:rPr>
        <w:t>The hypothesis for independent sample t-test is as follows:</w:t>
      </w:r>
    </w:p>
    <w:p w:rsidR="00C27245" w:rsidRDefault="00EB0E90" w:rsidP="00425D18">
      <w:pPr>
        <w:spacing w:after="0" w:line="240" w:lineRule="auto"/>
        <w:jc w:val="center"/>
        <w:rPr>
          <w:rFonts w:ascii="Cambria Math" w:hAnsi="Cambria Math"/>
          <w:sz w:val="24"/>
          <w:szCs w:val="24"/>
        </w:rPr>
      </w:pPr>
      <w:r w:rsidRPr="00B41C93">
        <w:rPr>
          <w:rFonts w:ascii="Cambria Math" w:hAnsi="Cambria Math"/>
          <w:i/>
          <w:sz w:val="24"/>
          <w:szCs w:val="24"/>
        </w:rPr>
        <w:t>H</w:t>
      </w:r>
      <w:r w:rsidRPr="00B41C93">
        <w:rPr>
          <w:rFonts w:ascii="Cambria Math" w:hAnsi="Cambria Math"/>
          <w:i/>
          <w:sz w:val="24"/>
          <w:szCs w:val="24"/>
          <w:vertAlign w:val="subscript"/>
        </w:rPr>
        <w:t>0</w:t>
      </w:r>
      <w:r w:rsidRPr="00B41C93">
        <w:rPr>
          <w:rFonts w:ascii="Cambria Math" w:hAnsi="Cambria Math"/>
          <w:i/>
          <w:sz w:val="24"/>
          <w:szCs w:val="24"/>
        </w:rPr>
        <w:t>: µ</w:t>
      </w:r>
      <w:r w:rsidRPr="00B41C93">
        <w:rPr>
          <w:rFonts w:ascii="Cambria Math" w:hAnsi="Cambria Math"/>
          <w:sz w:val="24"/>
          <w:szCs w:val="24"/>
          <w:vertAlign w:val="subscript"/>
        </w:rPr>
        <w:t xml:space="preserve">1 </w:t>
      </w:r>
      <w:r w:rsidRPr="00B41C93">
        <w:rPr>
          <w:rFonts w:ascii="Cambria Math" w:hAnsi="Cambria Math"/>
          <w:sz w:val="24"/>
          <w:szCs w:val="24"/>
        </w:rPr>
        <w:t xml:space="preserve">= </w:t>
      </w:r>
      <w:r w:rsidRPr="00B41C93">
        <w:rPr>
          <w:rFonts w:ascii="Cambria Math" w:hAnsi="Cambria Math"/>
          <w:i/>
          <w:sz w:val="24"/>
          <w:szCs w:val="24"/>
        </w:rPr>
        <w:t>µ</w:t>
      </w:r>
      <w:r w:rsidRPr="00B41C93">
        <w:rPr>
          <w:rFonts w:ascii="Cambria Math" w:hAnsi="Cambria Math"/>
          <w:sz w:val="24"/>
          <w:szCs w:val="24"/>
          <w:vertAlign w:val="subscript"/>
        </w:rPr>
        <w:t>2</w:t>
      </w:r>
    </w:p>
    <w:p w:rsidR="001D0045" w:rsidRPr="001D0045" w:rsidRDefault="001D0045" w:rsidP="00425D18">
      <w:pPr>
        <w:spacing w:after="0" w:line="240" w:lineRule="auto"/>
        <w:jc w:val="center"/>
        <w:rPr>
          <w:rFonts w:ascii="Cambria Math" w:hAnsi="Cambria Math"/>
          <w:sz w:val="24"/>
          <w:szCs w:val="24"/>
        </w:rPr>
      </w:pPr>
    </w:p>
    <w:p w:rsidR="00EF36B4" w:rsidRPr="00B34055" w:rsidRDefault="00A42AEF" w:rsidP="00C27245">
      <w:pPr>
        <w:spacing w:after="0" w:line="240" w:lineRule="auto"/>
        <w:jc w:val="both"/>
        <w:rPr>
          <w:rFonts w:ascii="Times New Roman" w:eastAsia="MS Mincho" w:hAnsi="Times New Roman"/>
          <w:sz w:val="24"/>
          <w:szCs w:val="24"/>
        </w:rPr>
      </w:pPr>
      <w:proofErr w:type="gramStart"/>
      <w:r>
        <w:rPr>
          <w:rFonts w:ascii="Times New Roman" w:eastAsia="MS Mincho" w:hAnsi="Times New Roman"/>
          <w:sz w:val="24"/>
          <w:szCs w:val="24"/>
        </w:rPr>
        <w:t>w</w:t>
      </w:r>
      <w:r w:rsidR="001D0045">
        <w:rPr>
          <w:rFonts w:ascii="Times New Roman" w:eastAsia="MS Mincho" w:hAnsi="Times New Roman"/>
          <w:sz w:val="24"/>
          <w:szCs w:val="24"/>
        </w:rPr>
        <w:t>here</w:t>
      </w:r>
      <w:proofErr w:type="gramEnd"/>
      <w:r>
        <w:rPr>
          <w:rFonts w:ascii="Times New Roman" w:eastAsia="MS Mincho" w:hAnsi="Times New Roman"/>
          <w:sz w:val="24"/>
          <w:szCs w:val="24"/>
        </w:rPr>
        <w:t>,</w:t>
      </w:r>
      <w:r w:rsidR="00C27245" w:rsidRPr="00C27245">
        <w:rPr>
          <w:rFonts w:ascii="Times New Roman" w:eastAsia="MS Mincho" w:hAnsi="Times New Roman"/>
          <w:sz w:val="24"/>
          <w:szCs w:val="24"/>
        </w:rPr>
        <w:t xml:space="preserve"> </w:t>
      </w:r>
      <w:r w:rsidR="00FC6297" w:rsidRPr="00EB0E90">
        <w:rPr>
          <w:rFonts w:ascii="Times New Roman" w:eastAsia="MS Mincho" w:hAnsi="Times New Roman"/>
          <w:i/>
          <w:sz w:val="24"/>
          <w:szCs w:val="24"/>
        </w:rPr>
        <w:t>µ</w:t>
      </w:r>
      <w:r w:rsidR="00FC6297" w:rsidRPr="00EB0E90">
        <w:rPr>
          <w:rFonts w:ascii="Times New Roman" w:eastAsia="MS Mincho" w:hAnsi="Times New Roman"/>
          <w:sz w:val="24"/>
          <w:szCs w:val="24"/>
          <w:vertAlign w:val="subscript"/>
        </w:rPr>
        <w:t>1</w:t>
      </w:r>
      <w:r w:rsidR="001D0045">
        <w:rPr>
          <w:rFonts w:ascii="Times New Roman" w:eastAsia="MS Mincho" w:hAnsi="Times New Roman"/>
          <w:sz w:val="24"/>
          <w:szCs w:val="24"/>
          <w:vertAlign w:val="subscript"/>
        </w:rPr>
        <w:t xml:space="preserve"> </w:t>
      </w:r>
      <w:r w:rsidR="001D0045">
        <w:rPr>
          <w:rFonts w:ascii="Times New Roman" w:eastAsia="MS Mincho" w:hAnsi="Times New Roman"/>
          <w:sz w:val="24"/>
          <w:szCs w:val="24"/>
        </w:rPr>
        <w:t xml:space="preserve">and </w:t>
      </w:r>
      <w:r w:rsidR="001D0045" w:rsidRPr="00EB0E90">
        <w:rPr>
          <w:rFonts w:ascii="Times New Roman" w:eastAsia="MS Mincho" w:hAnsi="Times New Roman"/>
          <w:i/>
          <w:sz w:val="24"/>
          <w:szCs w:val="24"/>
        </w:rPr>
        <w:t>µ</w:t>
      </w:r>
      <w:r w:rsidR="001D0045" w:rsidRPr="00EB0E90">
        <w:rPr>
          <w:rFonts w:ascii="Times New Roman" w:eastAsia="MS Mincho" w:hAnsi="Times New Roman"/>
          <w:sz w:val="24"/>
          <w:szCs w:val="24"/>
          <w:vertAlign w:val="subscript"/>
        </w:rPr>
        <w:t>2</w:t>
      </w:r>
      <w:r w:rsidR="001D0045">
        <w:rPr>
          <w:rFonts w:ascii="Times New Roman" w:eastAsia="MS Mincho" w:hAnsi="Times New Roman"/>
          <w:sz w:val="24"/>
          <w:szCs w:val="24"/>
        </w:rPr>
        <w:t xml:space="preserve"> are</w:t>
      </w:r>
      <w:r w:rsidR="00C27245" w:rsidRPr="00C27245">
        <w:rPr>
          <w:rFonts w:ascii="Times New Roman" w:eastAsia="MS Mincho" w:hAnsi="Times New Roman"/>
          <w:sz w:val="24"/>
          <w:szCs w:val="24"/>
        </w:rPr>
        <w:t xml:space="preserve"> the average value of the first </w:t>
      </w:r>
      <w:r w:rsidR="001D0045">
        <w:rPr>
          <w:rFonts w:ascii="Times New Roman" w:eastAsia="MS Mincho" w:hAnsi="Times New Roman"/>
          <w:sz w:val="24"/>
          <w:szCs w:val="24"/>
        </w:rPr>
        <w:t xml:space="preserve">and second </w:t>
      </w:r>
      <w:r w:rsidR="00C27245" w:rsidRPr="00C27245">
        <w:rPr>
          <w:rFonts w:ascii="Times New Roman" w:eastAsia="MS Mincho" w:hAnsi="Times New Roman"/>
          <w:sz w:val="24"/>
          <w:szCs w:val="24"/>
        </w:rPr>
        <w:t>category</w:t>
      </w:r>
      <w:r w:rsidR="001D0045">
        <w:rPr>
          <w:rFonts w:ascii="Times New Roman" w:eastAsia="MS Mincho" w:hAnsi="Times New Roman"/>
          <w:sz w:val="24"/>
          <w:szCs w:val="24"/>
        </w:rPr>
        <w:t>, respectively. This study tested t</w:t>
      </w:r>
      <w:r w:rsidR="004A6113" w:rsidRPr="00B34055">
        <w:rPr>
          <w:rFonts w:ascii="Times New Roman" w:eastAsia="MS Mincho" w:hAnsi="Times New Roman"/>
          <w:sz w:val="24"/>
          <w:szCs w:val="24"/>
        </w:rPr>
        <w:t xml:space="preserve">he influence of gender on </w:t>
      </w:r>
      <w:r w:rsidR="009D36F0">
        <w:rPr>
          <w:rFonts w:ascii="Times New Roman" w:eastAsia="MS Mincho" w:hAnsi="Times New Roman"/>
          <w:sz w:val="24"/>
          <w:szCs w:val="24"/>
        </w:rPr>
        <w:t>understanding</w:t>
      </w:r>
      <w:r w:rsidR="004A6113" w:rsidRPr="00B34055">
        <w:rPr>
          <w:rFonts w:ascii="Times New Roman" w:eastAsia="MS Mincho" w:hAnsi="Times New Roman"/>
          <w:sz w:val="24"/>
          <w:szCs w:val="24"/>
        </w:rPr>
        <w:t xml:space="preserve"> with a t-test </w:t>
      </w:r>
      <w:r w:rsidR="001D0045">
        <w:rPr>
          <w:rFonts w:ascii="Times New Roman" w:eastAsia="MS Mincho" w:hAnsi="Times New Roman"/>
          <w:sz w:val="24"/>
          <w:szCs w:val="24"/>
        </w:rPr>
        <w:t>using</w:t>
      </w:r>
      <w:r w:rsidR="004A6113" w:rsidRPr="00B34055">
        <w:rPr>
          <w:rFonts w:ascii="Times New Roman" w:eastAsia="MS Mincho" w:hAnsi="Times New Roman"/>
          <w:sz w:val="24"/>
          <w:szCs w:val="24"/>
        </w:rPr>
        <w:t xml:space="preserve"> the following null hypothesis: </w:t>
      </w:r>
    </w:p>
    <w:p w:rsidR="00EF36B4" w:rsidRPr="00B34055" w:rsidRDefault="00EF36B4" w:rsidP="00C27245">
      <w:pPr>
        <w:spacing w:after="0" w:line="240" w:lineRule="auto"/>
        <w:jc w:val="both"/>
        <w:rPr>
          <w:rFonts w:ascii="Times New Roman" w:eastAsia="MS Mincho" w:hAnsi="Times New Roman"/>
          <w:sz w:val="24"/>
          <w:szCs w:val="24"/>
        </w:rPr>
      </w:pPr>
    </w:p>
    <w:p w:rsidR="00C27245" w:rsidRPr="00C27245" w:rsidRDefault="00EF36B4" w:rsidP="00C27245">
      <w:pPr>
        <w:spacing w:after="0" w:line="240" w:lineRule="auto"/>
        <w:jc w:val="both"/>
        <w:rPr>
          <w:rFonts w:ascii="Times New Roman" w:eastAsia="MS Mincho" w:hAnsi="Times New Roman"/>
          <w:sz w:val="24"/>
          <w:szCs w:val="24"/>
        </w:rPr>
      </w:pPr>
      <w:r w:rsidRPr="00B34055">
        <w:rPr>
          <w:rFonts w:ascii="Times New Roman" w:eastAsia="MS Mincho" w:hAnsi="Times New Roman"/>
          <w:sz w:val="24"/>
          <w:szCs w:val="24"/>
        </w:rPr>
        <w:t>H</w:t>
      </w:r>
      <w:r w:rsidRPr="00B34055">
        <w:rPr>
          <w:rFonts w:ascii="Times New Roman" w:eastAsia="MS Mincho" w:hAnsi="Times New Roman"/>
          <w:sz w:val="24"/>
          <w:szCs w:val="24"/>
          <w:vertAlign w:val="subscript"/>
        </w:rPr>
        <w:t>01</w:t>
      </w:r>
      <w:r w:rsidRPr="00B34055">
        <w:rPr>
          <w:rFonts w:ascii="Times New Roman" w:eastAsia="MS Mincho" w:hAnsi="Times New Roman"/>
          <w:sz w:val="24"/>
          <w:szCs w:val="24"/>
        </w:rPr>
        <w:t>: There is n</w:t>
      </w:r>
      <w:r w:rsidR="004A6113" w:rsidRPr="00B34055">
        <w:rPr>
          <w:rFonts w:ascii="Times New Roman" w:eastAsia="MS Mincho" w:hAnsi="Times New Roman"/>
          <w:sz w:val="24"/>
          <w:szCs w:val="24"/>
        </w:rPr>
        <w:t xml:space="preserve">o significant difference in </w:t>
      </w:r>
      <w:r w:rsidR="009D36F0">
        <w:rPr>
          <w:rFonts w:ascii="Times New Roman" w:eastAsia="MS Mincho" w:hAnsi="Times New Roman"/>
          <w:sz w:val="24"/>
          <w:szCs w:val="24"/>
        </w:rPr>
        <w:t>understanding</w:t>
      </w:r>
      <w:r w:rsidR="004A6113" w:rsidRPr="00B34055">
        <w:rPr>
          <w:rFonts w:ascii="Times New Roman" w:eastAsia="MS Mincho" w:hAnsi="Times New Roman"/>
          <w:sz w:val="24"/>
          <w:szCs w:val="24"/>
        </w:rPr>
        <w:t xml:space="preserve"> between </w:t>
      </w:r>
      <w:r w:rsidR="00FB4115" w:rsidRPr="00B34055">
        <w:rPr>
          <w:rFonts w:ascii="Times New Roman" w:eastAsia="MS Mincho" w:hAnsi="Times New Roman"/>
          <w:sz w:val="24"/>
          <w:szCs w:val="24"/>
        </w:rPr>
        <w:t>genders</w:t>
      </w:r>
      <w:r w:rsidR="004A6113" w:rsidRPr="00B34055">
        <w:rPr>
          <w:rFonts w:ascii="Times New Roman" w:eastAsia="MS Mincho" w:hAnsi="Times New Roman"/>
          <w:sz w:val="24"/>
          <w:szCs w:val="24"/>
        </w:rPr>
        <w:t>.</w:t>
      </w:r>
    </w:p>
    <w:p w:rsidR="00EF36B4" w:rsidRDefault="00EF36B4" w:rsidP="00C27245">
      <w:pPr>
        <w:spacing w:after="0" w:line="240" w:lineRule="auto"/>
        <w:ind w:firstLine="360"/>
        <w:jc w:val="both"/>
        <w:rPr>
          <w:rFonts w:ascii="Times New Roman" w:hAnsi="Times New Roman"/>
          <w:sz w:val="24"/>
          <w:szCs w:val="24"/>
        </w:rPr>
      </w:pPr>
    </w:p>
    <w:p w:rsidR="00966CD7" w:rsidRDefault="001D0045" w:rsidP="00966CD7">
      <w:pPr>
        <w:spacing w:after="0" w:line="240" w:lineRule="auto"/>
        <w:ind w:firstLine="360"/>
        <w:jc w:val="both"/>
        <w:rPr>
          <w:rFonts w:ascii="Times New Roman" w:hAnsi="Times New Roman"/>
          <w:sz w:val="24"/>
          <w:szCs w:val="24"/>
        </w:rPr>
      </w:pPr>
      <w:r>
        <w:rPr>
          <w:rFonts w:ascii="Times New Roman" w:hAnsi="Times New Roman"/>
          <w:sz w:val="24"/>
          <w:szCs w:val="24"/>
          <w:lang w:val="en"/>
        </w:rPr>
        <w:t xml:space="preserve">Meanwhile, </w:t>
      </w:r>
      <w:r w:rsidR="00C27245" w:rsidRPr="00C27245">
        <w:rPr>
          <w:rFonts w:ascii="Times New Roman" w:hAnsi="Times New Roman"/>
          <w:sz w:val="24"/>
          <w:szCs w:val="24"/>
          <w:lang w:val="en"/>
        </w:rPr>
        <w:t>one-way ANOVA test determine</w:t>
      </w:r>
      <w:r>
        <w:rPr>
          <w:rFonts w:ascii="Times New Roman" w:hAnsi="Times New Roman"/>
          <w:sz w:val="24"/>
          <w:szCs w:val="24"/>
          <w:lang w:val="en"/>
        </w:rPr>
        <w:t>s</w:t>
      </w:r>
      <w:r w:rsidR="00C27245" w:rsidRPr="00C27245">
        <w:rPr>
          <w:rFonts w:ascii="Times New Roman" w:hAnsi="Times New Roman"/>
          <w:sz w:val="24"/>
          <w:szCs w:val="24"/>
          <w:lang w:val="en"/>
        </w:rPr>
        <w:t xml:space="preserve"> the difference in the average score of a continuous variab</w:t>
      </w:r>
      <w:r>
        <w:rPr>
          <w:rFonts w:ascii="Times New Roman" w:hAnsi="Times New Roman"/>
          <w:sz w:val="24"/>
          <w:szCs w:val="24"/>
          <w:lang w:val="en"/>
        </w:rPr>
        <w:t xml:space="preserve">le (level of understanding) for </w:t>
      </w:r>
      <w:r w:rsidR="00C27245" w:rsidRPr="00C27245">
        <w:rPr>
          <w:rFonts w:ascii="Times New Roman" w:hAnsi="Times New Roman"/>
          <w:sz w:val="24"/>
          <w:szCs w:val="24"/>
          <w:lang w:val="en"/>
        </w:rPr>
        <w:t>groups with more than two categories (</w:t>
      </w:r>
      <w:proofErr w:type="spellStart"/>
      <w:r w:rsidR="00C27245" w:rsidRPr="00C27245">
        <w:rPr>
          <w:rFonts w:ascii="Times New Roman" w:hAnsi="Times New Roman"/>
          <w:sz w:val="24"/>
          <w:szCs w:val="24"/>
          <w:lang w:val="en"/>
        </w:rPr>
        <w:t>Sekaran</w:t>
      </w:r>
      <w:proofErr w:type="spellEnd"/>
      <w:r w:rsidR="00C27245" w:rsidRPr="00C27245">
        <w:rPr>
          <w:rFonts w:ascii="Times New Roman" w:hAnsi="Times New Roman"/>
          <w:sz w:val="24"/>
          <w:szCs w:val="24"/>
          <w:lang w:val="en"/>
        </w:rPr>
        <w:t xml:space="preserve"> </w:t>
      </w:r>
      <w:r w:rsidR="00B47BB9">
        <w:rPr>
          <w:rFonts w:ascii="Times New Roman" w:hAnsi="Times New Roman"/>
          <w:sz w:val="24"/>
          <w:szCs w:val="24"/>
          <w:lang w:val="en"/>
        </w:rPr>
        <w:t>&amp;</w:t>
      </w:r>
      <w:r w:rsidR="00C27245" w:rsidRPr="00C27245">
        <w:rPr>
          <w:rFonts w:ascii="Times New Roman" w:hAnsi="Times New Roman"/>
          <w:sz w:val="24"/>
          <w:szCs w:val="24"/>
          <w:lang w:val="en"/>
        </w:rPr>
        <w:t xml:space="preserve"> </w:t>
      </w:r>
      <w:proofErr w:type="spellStart"/>
      <w:r w:rsidR="00C27245" w:rsidRPr="00C27245">
        <w:rPr>
          <w:rFonts w:ascii="Times New Roman" w:hAnsi="Times New Roman"/>
          <w:sz w:val="24"/>
          <w:szCs w:val="24"/>
          <w:lang w:val="en"/>
        </w:rPr>
        <w:t>Bougie</w:t>
      </w:r>
      <w:proofErr w:type="spellEnd"/>
      <w:r w:rsidR="00C27245" w:rsidRPr="00C27245">
        <w:rPr>
          <w:rFonts w:ascii="Times New Roman" w:hAnsi="Times New Roman"/>
          <w:sz w:val="24"/>
          <w:szCs w:val="24"/>
          <w:lang w:val="en"/>
        </w:rPr>
        <w:t>, 2016). The hypothesis of the one-way ANOVA test is as follows</w:t>
      </w:r>
      <w:r w:rsidR="00C27245" w:rsidRPr="00C27245">
        <w:rPr>
          <w:rFonts w:ascii="Times New Roman" w:hAnsi="Times New Roman"/>
          <w:sz w:val="24"/>
          <w:szCs w:val="24"/>
        </w:rPr>
        <w:t>:</w:t>
      </w:r>
    </w:p>
    <w:p w:rsidR="00966CD7" w:rsidRDefault="00966CD7" w:rsidP="00966CD7">
      <w:pPr>
        <w:spacing w:after="0" w:line="240" w:lineRule="auto"/>
        <w:jc w:val="both"/>
        <w:rPr>
          <w:rFonts w:ascii="Times New Roman" w:hAnsi="Times New Roman"/>
          <w:sz w:val="24"/>
          <w:szCs w:val="24"/>
        </w:rPr>
      </w:pPr>
    </w:p>
    <w:p w:rsidR="00C27245" w:rsidRPr="00C27245" w:rsidRDefault="00EB0E90" w:rsidP="00966CD7">
      <w:pPr>
        <w:spacing w:after="0" w:line="240" w:lineRule="auto"/>
        <w:jc w:val="center"/>
        <w:rPr>
          <w:rFonts w:ascii="Times New Roman" w:hAnsi="Times New Roman"/>
          <w:sz w:val="24"/>
          <w:szCs w:val="24"/>
        </w:rPr>
      </w:pPr>
      <w:r w:rsidRPr="00B41C93">
        <w:rPr>
          <w:rFonts w:ascii="Cambria Math" w:hAnsi="Cambria Math"/>
          <w:i/>
          <w:sz w:val="24"/>
          <w:szCs w:val="24"/>
        </w:rPr>
        <w:t>H</w:t>
      </w:r>
      <w:r w:rsidRPr="00B41C93">
        <w:rPr>
          <w:rFonts w:ascii="Cambria Math" w:hAnsi="Cambria Math"/>
          <w:i/>
          <w:sz w:val="24"/>
          <w:szCs w:val="24"/>
          <w:vertAlign w:val="subscript"/>
        </w:rPr>
        <w:t>0</w:t>
      </w:r>
      <w:r w:rsidRPr="00B41C93">
        <w:rPr>
          <w:rFonts w:ascii="Cambria Math" w:hAnsi="Cambria Math"/>
          <w:i/>
          <w:sz w:val="24"/>
          <w:szCs w:val="24"/>
        </w:rPr>
        <w:t>: µ</w:t>
      </w:r>
      <w:r w:rsidRPr="00B41C93">
        <w:rPr>
          <w:rFonts w:ascii="Cambria Math" w:hAnsi="Cambria Math"/>
          <w:sz w:val="24"/>
          <w:szCs w:val="24"/>
          <w:vertAlign w:val="subscript"/>
        </w:rPr>
        <w:t xml:space="preserve">1 </w:t>
      </w:r>
      <w:r w:rsidR="00966CD7">
        <w:rPr>
          <w:rFonts w:ascii="Cambria Math" w:hAnsi="Cambria Math"/>
          <w:sz w:val="24"/>
          <w:szCs w:val="24"/>
        </w:rPr>
        <w:t>=</w:t>
      </w:r>
      <w:r w:rsidRPr="00B41C93">
        <w:rPr>
          <w:rFonts w:ascii="Cambria Math" w:hAnsi="Cambria Math"/>
          <w:i/>
          <w:sz w:val="24"/>
          <w:szCs w:val="24"/>
        </w:rPr>
        <w:t>µ</w:t>
      </w:r>
      <w:r w:rsidRPr="00B41C93">
        <w:rPr>
          <w:rFonts w:ascii="Cambria Math" w:hAnsi="Cambria Math"/>
          <w:sz w:val="24"/>
          <w:szCs w:val="24"/>
          <w:vertAlign w:val="subscript"/>
        </w:rPr>
        <w:t xml:space="preserve">2 </w:t>
      </w:r>
      <w:r w:rsidRPr="00B41C93">
        <w:rPr>
          <w:rFonts w:ascii="Cambria Math" w:hAnsi="Cambria Math"/>
          <w:sz w:val="24"/>
          <w:szCs w:val="24"/>
        </w:rPr>
        <w:t>=…=</w:t>
      </w:r>
      <w:r w:rsidRPr="00B41C93">
        <w:rPr>
          <w:rFonts w:ascii="Cambria Math" w:hAnsi="Cambria Math"/>
          <w:i/>
          <w:sz w:val="24"/>
          <w:szCs w:val="24"/>
        </w:rPr>
        <w:t>µ</w:t>
      </w:r>
      <w:r w:rsidRPr="00B41C93">
        <w:rPr>
          <w:rFonts w:ascii="Cambria Math" w:hAnsi="Cambria Math"/>
          <w:i/>
          <w:sz w:val="24"/>
          <w:szCs w:val="24"/>
          <w:vertAlign w:val="subscript"/>
        </w:rPr>
        <w:t>k</w:t>
      </w:r>
    </w:p>
    <w:p w:rsidR="00966CD7" w:rsidRDefault="00966CD7" w:rsidP="00C27245">
      <w:pPr>
        <w:spacing w:after="0" w:line="240" w:lineRule="auto"/>
        <w:jc w:val="both"/>
        <w:rPr>
          <w:rFonts w:ascii="Times New Roman" w:hAnsi="Times New Roman"/>
          <w:sz w:val="24"/>
          <w:szCs w:val="24"/>
        </w:rPr>
      </w:pPr>
    </w:p>
    <w:p w:rsidR="00C27245" w:rsidRPr="00B34055" w:rsidRDefault="00A42AEF" w:rsidP="00C27245">
      <w:pPr>
        <w:spacing w:after="0" w:line="240" w:lineRule="auto"/>
        <w:jc w:val="both"/>
        <w:rPr>
          <w:rFonts w:ascii="Times New Roman" w:hAnsi="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w:t>
      </w:r>
      <w:r w:rsidR="00C27245" w:rsidRPr="00C27245">
        <w:rPr>
          <w:rFonts w:ascii="Times New Roman" w:hAnsi="Times New Roman"/>
          <w:sz w:val="24"/>
          <w:szCs w:val="24"/>
        </w:rPr>
        <w:t xml:space="preserve"> </w:t>
      </w:r>
      <w:r w:rsidR="00FC6297" w:rsidRPr="00EB0E90">
        <w:rPr>
          <w:rFonts w:ascii="Times New Roman" w:eastAsia="MS Mincho" w:hAnsi="Times New Roman"/>
          <w:i/>
          <w:sz w:val="24"/>
          <w:szCs w:val="24"/>
        </w:rPr>
        <w:t>µ</w:t>
      </w:r>
      <w:r w:rsidR="00C27245" w:rsidRPr="00EB0E90">
        <w:rPr>
          <w:rFonts w:ascii="Times New Roman" w:eastAsia="MS Mincho" w:hAnsi="Times New Roman"/>
          <w:i/>
          <w:sz w:val="24"/>
          <w:szCs w:val="24"/>
        </w:rPr>
        <w:t xml:space="preserve"> </w:t>
      </w:r>
      <w:r w:rsidR="00C27245" w:rsidRPr="00C27245">
        <w:rPr>
          <w:rFonts w:ascii="Times New Roman" w:eastAsia="MS Mincho" w:hAnsi="Times New Roman"/>
          <w:sz w:val="24"/>
          <w:szCs w:val="24"/>
        </w:rPr>
        <w:t>is the average value for a category and</w:t>
      </w:r>
      <w:r>
        <w:rPr>
          <w:rFonts w:ascii="Times New Roman" w:eastAsia="MS Mincho" w:hAnsi="Times New Roman"/>
          <w:sz w:val="24"/>
          <w:szCs w:val="24"/>
        </w:rPr>
        <w:t xml:space="preserve"> </w:t>
      </w:r>
      <w:r w:rsidRPr="00A42AEF">
        <w:rPr>
          <w:rFonts w:ascii="Times New Roman" w:eastAsia="MS Mincho" w:hAnsi="Times New Roman"/>
          <w:i/>
          <w:sz w:val="24"/>
          <w:szCs w:val="24"/>
        </w:rPr>
        <w:t>k</w:t>
      </w:r>
      <w:r w:rsidR="00C27245" w:rsidRPr="00C27245">
        <w:rPr>
          <w:rFonts w:ascii="Times New Roman" w:eastAsia="MS Mincho" w:hAnsi="Times New Roman"/>
          <w:sz w:val="24"/>
          <w:szCs w:val="24"/>
        </w:rPr>
        <w:t xml:space="preserve"> is the number of categories. </w:t>
      </w:r>
      <w:r w:rsidR="00C27245" w:rsidRPr="00C27245">
        <w:rPr>
          <w:rFonts w:ascii="Times New Roman" w:eastAsia="MS Mincho" w:hAnsi="Times New Roman"/>
          <w:sz w:val="24"/>
          <w:szCs w:val="24"/>
          <w:lang w:val="en"/>
        </w:rPr>
        <w:t>However, one-way ANOVA test gave an overall effect between independent variable and dependent variable (omnibus statistics) which is at least 2 categories with a significant difference.</w:t>
      </w:r>
      <w:r w:rsidR="00C27245" w:rsidRPr="00C27245">
        <w:rPr>
          <w:rFonts w:ascii="Times New Roman" w:eastAsia="MS Mincho" w:hAnsi="Times New Roman"/>
          <w:sz w:val="24"/>
          <w:szCs w:val="24"/>
        </w:rPr>
        <w:t xml:space="preserve"> </w:t>
      </w:r>
      <w:r w:rsidR="00904832">
        <w:rPr>
          <w:rFonts w:ascii="Times New Roman" w:eastAsia="MS Mincho" w:hAnsi="Times New Roman"/>
          <w:sz w:val="24"/>
          <w:szCs w:val="24"/>
        </w:rPr>
        <w:t>Therefore</w:t>
      </w:r>
      <w:r w:rsidR="00C27245" w:rsidRPr="00C27245">
        <w:rPr>
          <w:rFonts w:ascii="Times New Roman" w:eastAsia="MS Mincho" w:hAnsi="Times New Roman"/>
          <w:sz w:val="24"/>
          <w:szCs w:val="24"/>
        </w:rPr>
        <w:t>, the actual category that is different cannot be identified using the one-way ANOVA test. For this purpose</w:t>
      </w:r>
      <w:r w:rsidR="00D459C8">
        <w:rPr>
          <w:rFonts w:ascii="Times New Roman" w:eastAsia="MS Mincho" w:hAnsi="Times New Roman"/>
          <w:sz w:val="24"/>
          <w:szCs w:val="24"/>
        </w:rPr>
        <w:t>,</w:t>
      </w:r>
      <w:r w:rsidR="00C27245" w:rsidRPr="00C27245">
        <w:rPr>
          <w:rFonts w:ascii="Times New Roman" w:eastAsia="MS Mincho" w:hAnsi="Times New Roman"/>
          <w:sz w:val="24"/>
          <w:szCs w:val="24"/>
        </w:rPr>
        <w:t xml:space="preserve"> post-hoc test needs to be carried out.</w:t>
      </w:r>
      <w:r w:rsidR="00C27245" w:rsidRPr="00C27245">
        <w:rPr>
          <w:rFonts w:ascii="Times New Roman" w:hAnsi="Times New Roman"/>
          <w:sz w:val="24"/>
          <w:szCs w:val="24"/>
        </w:rPr>
        <w:t xml:space="preserve"> </w:t>
      </w:r>
      <w:r w:rsidR="00EF36B4" w:rsidRPr="00EF36B4">
        <w:t xml:space="preserve"> </w:t>
      </w:r>
      <w:r w:rsidR="00EF36B4" w:rsidRPr="00B34055">
        <w:rPr>
          <w:rFonts w:ascii="Times New Roman" w:hAnsi="Times New Roman"/>
          <w:sz w:val="24"/>
          <w:szCs w:val="24"/>
        </w:rPr>
        <w:t xml:space="preserve">Other variables such as age, education level, employment, income and number of children were tested </w:t>
      </w:r>
      <w:r w:rsidR="00CD160C">
        <w:rPr>
          <w:rFonts w:ascii="Times New Roman" w:hAnsi="Times New Roman"/>
          <w:sz w:val="24"/>
          <w:szCs w:val="24"/>
        </w:rPr>
        <w:t>using ANOVA with null hypothese</w:t>
      </w:r>
      <w:r w:rsidR="00EF36B4" w:rsidRPr="00B34055">
        <w:rPr>
          <w:rFonts w:ascii="Times New Roman" w:hAnsi="Times New Roman"/>
          <w:sz w:val="24"/>
          <w:szCs w:val="24"/>
        </w:rPr>
        <w:t>s as follows:</w:t>
      </w:r>
    </w:p>
    <w:p w:rsidR="00EF36B4" w:rsidRPr="00B34055" w:rsidRDefault="00EF36B4" w:rsidP="00EF36B4">
      <w:pPr>
        <w:spacing w:after="0" w:line="240" w:lineRule="auto"/>
        <w:jc w:val="both"/>
        <w:rPr>
          <w:rFonts w:ascii="Times New Roman" w:hAnsi="Times New Roman"/>
          <w:sz w:val="24"/>
          <w:szCs w:val="24"/>
          <w:lang w:val="en"/>
        </w:rPr>
      </w:pPr>
    </w:p>
    <w:p w:rsidR="00EF36B4" w:rsidRPr="00B34055" w:rsidRDefault="00EF36B4" w:rsidP="00EF36B4">
      <w:pPr>
        <w:spacing w:after="0" w:line="240" w:lineRule="auto"/>
        <w:jc w:val="both"/>
        <w:rPr>
          <w:rFonts w:ascii="Times New Roman" w:eastAsia="MS Mincho" w:hAnsi="Times New Roman"/>
          <w:sz w:val="24"/>
          <w:szCs w:val="24"/>
        </w:rPr>
      </w:pPr>
      <w:r w:rsidRPr="00B34055">
        <w:rPr>
          <w:rFonts w:ascii="Times New Roman" w:eastAsia="MS Mincho" w:hAnsi="Times New Roman"/>
          <w:sz w:val="24"/>
          <w:szCs w:val="24"/>
        </w:rPr>
        <w:t>H</w:t>
      </w:r>
      <w:r w:rsidRPr="00B34055">
        <w:rPr>
          <w:rFonts w:ascii="Times New Roman" w:eastAsia="MS Mincho" w:hAnsi="Times New Roman"/>
          <w:sz w:val="24"/>
          <w:szCs w:val="24"/>
          <w:vertAlign w:val="subscript"/>
        </w:rPr>
        <w:t>02</w:t>
      </w:r>
      <w:r w:rsidRPr="00B34055">
        <w:rPr>
          <w:rFonts w:ascii="Times New Roman" w:eastAsia="MS Mincho" w:hAnsi="Times New Roman"/>
          <w:sz w:val="24"/>
          <w:szCs w:val="24"/>
        </w:rPr>
        <w:t xml:space="preserve">: There is no significant difference in </w:t>
      </w:r>
      <w:bookmarkStart w:id="1" w:name="_Hlk21961022"/>
      <w:r w:rsidR="009D36F0">
        <w:rPr>
          <w:rFonts w:ascii="Times New Roman" w:eastAsia="MS Mincho" w:hAnsi="Times New Roman"/>
          <w:sz w:val="24"/>
          <w:szCs w:val="24"/>
        </w:rPr>
        <w:t>understanding</w:t>
      </w:r>
      <w:bookmarkEnd w:id="1"/>
      <w:r w:rsidRPr="00B34055">
        <w:rPr>
          <w:rFonts w:ascii="Times New Roman" w:eastAsia="MS Mincho" w:hAnsi="Times New Roman"/>
          <w:sz w:val="24"/>
          <w:szCs w:val="24"/>
        </w:rPr>
        <w:t xml:space="preserve"> between age </w:t>
      </w:r>
      <w:r w:rsidR="00FB4115" w:rsidRPr="00B34055">
        <w:rPr>
          <w:rFonts w:ascii="Times New Roman" w:eastAsia="MS Mincho" w:hAnsi="Times New Roman"/>
          <w:sz w:val="24"/>
          <w:szCs w:val="24"/>
        </w:rPr>
        <w:t>categories</w:t>
      </w:r>
      <w:r w:rsidRPr="00B34055">
        <w:rPr>
          <w:rFonts w:ascii="Times New Roman" w:eastAsia="MS Mincho" w:hAnsi="Times New Roman"/>
          <w:sz w:val="24"/>
          <w:szCs w:val="24"/>
        </w:rPr>
        <w:t>.</w:t>
      </w:r>
    </w:p>
    <w:p w:rsidR="00EF36B4" w:rsidRPr="00B34055" w:rsidRDefault="00EF36B4" w:rsidP="00EF36B4">
      <w:pPr>
        <w:spacing w:after="0" w:line="240" w:lineRule="auto"/>
        <w:jc w:val="both"/>
        <w:rPr>
          <w:rFonts w:ascii="Times New Roman" w:eastAsia="MS Mincho" w:hAnsi="Times New Roman"/>
          <w:sz w:val="24"/>
          <w:szCs w:val="24"/>
        </w:rPr>
      </w:pPr>
      <w:r w:rsidRPr="00B34055">
        <w:rPr>
          <w:rFonts w:ascii="Times New Roman" w:eastAsia="MS Mincho" w:hAnsi="Times New Roman"/>
          <w:sz w:val="24"/>
          <w:szCs w:val="24"/>
        </w:rPr>
        <w:t>H</w:t>
      </w:r>
      <w:r w:rsidRPr="00B34055">
        <w:rPr>
          <w:rFonts w:ascii="Times New Roman" w:eastAsia="MS Mincho" w:hAnsi="Times New Roman"/>
          <w:sz w:val="24"/>
          <w:szCs w:val="24"/>
          <w:vertAlign w:val="subscript"/>
        </w:rPr>
        <w:t>03</w:t>
      </w:r>
      <w:r w:rsidRPr="00B34055">
        <w:rPr>
          <w:rFonts w:ascii="Times New Roman" w:eastAsia="MS Mincho" w:hAnsi="Times New Roman"/>
          <w:sz w:val="24"/>
          <w:szCs w:val="24"/>
        </w:rPr>
        <w:t xml:space="preserve">: There is no significant difference in </w:t>
      </w:r>
      <w:r w:rsidR="009D36F0" w:rsidRPr="009D36F0">
        <w:rPr>
          <w:rFonts w:ascii="Times New Roman" w:eastAsia="MS Mincho" w:hAnsi="Times New Roman"/>
          <w:sz w:val="24"/>
          <w:szCs w:val="24"/>
        </w:rPr>
        <w:t>understanding</w:t>
      </w:r>
      <w:r w:rsidRPr="00B34055">
        <w:rPr>
          <w:rFonts w:ascii="Times New Roman" w:eastAsia="MS Mincho" w:hAnsi="Times New Roman"/>
          <w:sz w:val="24"/>
          <w:szCs w:val="24"/>
        </w:rPr>
        <w:t xml:space="preserve"> between education </w:t>
      </w:r>
      <w:r w:rsidR="00FB4115" w:rsidRPr="00B34055">
        <w:rPr>
          <w:rFonts w:ascii="Times New Roman" w:eastAsia="MS Mincho" w:hAnsi="Times New Roman"/>
          <w:sz w:val="24"/>
          <w:szCs w:val="24"/>
        </w:rPr>
        <w:t>levels</w:t>
      </w:r>
      <w:r w:rsidRPr="00B34055">
        <w:rPr>
          <w:rFonts w:ascii="Times New Roman" w:eastAsia="MS Mincho" w:hAnsi="Times New Roman"/>
          <w:sz w:val="24"/>
          <w:szCs w:val="24"/>
        </w:rPr>
        <w:t>.</w:t>
      </w:r>
    </w:p>
    <w:p w:rsidR="00EF36B4" w:rsidRPr="00B34055" w:rsidRDefault="00EF36B4" w:rsidP="00EF36B4">
      <w:pPr>
        <w:spacing w:after="0" w:line="240" w:lineRule="auto"/>
        <w:jc w:val="both"/>
        <w:rPr>
          <w:rFonts w:ascii="Times New Roman" w:eastAsia="MS Mincho" w:hAnsi="Times New Roman"/>
          <w:sz w:val="24"/>
          <w:szCs w:val="24"/>
        </w:rPr>
      </w:pPr>
      <w:r w:rsidRPr="00B34055">
        <w:rPr>
          <w:rFonts w:ascii="Times New Roman" w:eastAsia="MS Mincho" w:hAnsi="Times New Roman"/>
          <w:sz w:val="24"/>
          <w:szCs w:val="24"/>
        </w:rPr>
        <w:t>H</w:t>
      </w:r>
      <w:r w:rsidRPr="00B34055">
        <w:rPr>
          <w:rFonts w:ascii="Times New Roman" w:eastAsia="MS Mincho" w:hAnsi="Times New Roman"/>
          <w:sz w:val="24"/>
          <w:szCs w:val="24"/>
          <w:vertAlign w:val="subscript"/>
        </w:rPr>
        <w:t>04</w:t>
      </w:r>
      <w:r w:rsidRPr="00B34055">
        <w:rPr>
          <w:rFonts w:ascii="Times New Roman" w:eastAsia="MS Mincho" w:hAnsi="Times New Roman"/>
          <w:sz w:val="24"/>
          <w:szCs w:val="24"/>
        </w:rPr>
        <w:t xml:space="preserve">: There is no significant difference in </w:t>
      </w:r>
      <w:r w:rsidR="009D36F0" w:rsidRPr="009D36F0">
        <w:rPr>
          <w:rFonts w:ascii="Times New Roman" w:eastAsia="MS Mincho" w:hAnsi="Times New Roman"/>
          <w:sz w:val="24"/>
          <w:szCs w:val="24"/>
        </w:rPr>
        <w:t>understanding</w:t>
      </w:r>
      <w:r w:rsidRPr="00B34055">
        <w:rPr>
          <w:rFonts w:ascii="Times New Roman" w:eastAsia="MS Mincho" w:hAnsi="Times New Roman"/>
          <w:sz w:val="24"/>
          <w:szCs w:val="24"/>
        </w:rPr>
        <w:t xml:space="preserve"> between employment</w:t>
      </w:r>
      <w:r w:rsidR="00D459C8">
        <w:rPr>
          <w:rFonts w:ascii="Times New Roman" w:eastAsia="MS Mincho" w:hAnsi="Times New Roman"/>
          <w:sz w:val="24"/>
          <w:szCs w:val="24"/>
        </w:rPr>
        <w:t xml:space="preserve"> </w:t>
      </w:r>
      <w:r w:rsidR="00FB4115">
        <w:rPr>
          <w:rFonts w:ascii="Times New Roman" w:eastAsia="MS Mincho" w:hAnsi="Times New Roman"/>
          <w:sz w:val="24"/>
          <w:szCs w:val="24"/>
        </w:rPr>
        <w:t>sectors</w:t>
      </w:r>
      <w:r w:rsidRPr="00B34055">
        <w:rPr>
          <w:rFonts w:ascii="Times New Roman" w:eastAsia="MS Mincho" w:hAnsi="Times New Roman"/>
          <w:sz w:val="24"/>
          <w:szCs w:val="24"/>
        </w:rPr>
        <w:t>.</w:t>
      </w:r>
    </w:p>
    <w:p w:rsidR="00EF36B4" w:rsidRPr="00B34055" w:rsidRDefault="00EF36B4" w:rsidP="00EF36B4">
      <w:pPr>
        <w:spacing w:after="0" w:line="240" w:lineRule="auto"/>
        <w:jc w:val="both"/>
        <w:rPr>
          <w:rFonts w:ascii="Times New Roman" w:eastAsia="MS Mincho" w:hAnsi="Times New Roman"/>
          <w:sz w:val="24"/>
          <w:szCs w:val="24"/>
        </w:rPr>
      </w:pPr>
      <w:r w:rsidRPr="00B34055">
        <w:rPr>
          <w:rFonts w:ascii="Times New Roman" w:eastAsia="MS Mincho" w:hAnsi="Times New Roman"/>
          <w:sz w:val="24"/>
          <w:szCs w:val="24"/>
        </w:rPr>
        <w:t>H</w:t>
      </w:r>
      <w:r w:rsidRPr="00B34055">
        <w:rPr>
          <w:rFonts w:ascii="Times New Roman" w:eastAsia="MS Mincho" w:hAnsi="Times New Roman"/>
          <w:sz w:val="24"/>
          <w:szCs w:val="24"/>
          <w:vertAlign w:val="subscript"/>
        </w:rPr>
        <w:t>05</w:t>
      </w:r>
      <w:r w:rsidRPr="00B34055">
        <w:rPr>
          <w:rFonts w:ascii="Times New Roman" w:eastAsia="MS Mincho" w:hAnsi="Times New Roman"/>
          <w:sz w:val="24"/>
          <w:szCs w:val="24"/>
        </w:rPr>
        <w:t xml:space="preserve">: There is no significant difference in </w:t>
      </w:r>
      <w:r w:rsidR="009D36F0" w:rsidRPr="009D36F0">
        <w:rPr>
          <w:rFonts w:ascii="Times New Roman" w:eastAsia="MS Mincho" w:hAnsi="Times New Roman"/>
          <w:sz w:val="24"/>
          <w:szCs w:val="24"/>
        </w:rPr>
        <w:t>understanding</w:t>
      </w:r>
      <w:r w:rsidRPr="00B34055">
        <w:rPr>
          <w:rFonts w:ascii="Times New Roman" w:eastAsia="MS Mincho" w:hAnsi="Times New Roman"/>
          <w:sz w:val="24"/>
          <w:szCs w:val="24"/>
        </w:rPr>
        <w:t xml:space="preserve"> between income </w:t>
      </w:r>
      <w:r w:rsidR="00FB4115" w:rsidRPr="00B34055">
        <w:rPr>
          <w:rFonts w:ascii="Times New Roman" w:eastAsia="MS Mincho" w:hAnsi="Times New Roman"/>
          <w:sz w:val="24"/>
          <w:szCs w:val="24"/>
        </w:rPr>
        <w:t>categories</w:t>
      </w:r>
      <w:r w:rsidRPr="00B34055">
        <w:rPr>
          <w:rFonts w:ascii="Times New Roman" w:eastAsia="MS Mincho" w:hAnsi="Times New Roman"/>
          <w:sz w:val="24"/>
          <w:szCs w:val="24"/>
        </w:rPr>
        <w:t>.</w:t>
      </w:r>
    </w:p>
    <w:p w:rsidR="00EF36B4" w:rsidRPr="00C27245" w:rsidRDefault="00EF36B4" w:rsidP="00EF36B4">
      <w:pPr>
        <w:spacing w:after="0" w:line="240" w:lineRule="auto"/>
        <w:jc w:val="both"/>
        <w:rPr>
          <w:rFonts w:ascii="Times New Roman" w:eastAsia="MS Mincho" w:hAnsi="Times New Roman"/>
          <w:sz w:val="24"/>
          <w:szCs w:val="24"/>
        </w:rPr>
      </w:pPr>
      <w:r w:rsidRPr="00B34055">
        <w:rPr>
          <w:rFonts w:ascii="Times New Roman" w:eastAsia="MS Mincho" w:hAnsi="Times New Roman"/>
          <w:sz w:val="24"/>
          <w:szCs w:val="24"/>
        </w:rPr>
        <w:t>H</w:t>
      </w:r>
      <w:r w:rsidRPr="00B34055">
        <w:rPr>
          <w:rFonts w:ascii="Times New Roman" w:eastAsia="MS Mincho" w:hAnsi="Times New Roman"/>
          <w:sz w:val="24"/>
          <w:szCs w:val="24"/>
          <w:vertAlign w:val="subscript"/>
        </w:rPr>
        <w:t>06</w:t>
      </w:r>
      <w:r w:rsidRPr="00B34055">
        <w:rPr>
          <w:rFonts w:ascii="Times New Roman" w:eastAsia="MS Mincho" w:hAnsi="Times New Roman"/>
          <w:sz w:val="24"/>
          <w:szCs w:val="24"/>
        </w:rPr>
        <w:t xml:space="preserve">: There is no significant difference in </w:t>
      </w:r>
      <w:r w:rsidR="009D36F0" w:rsidRPr="009D36F0">
        <w:rPr>
          <w:rFonts w:ascii="Times New Roman" w:eastAsia="MS Mincho" w:hAnsi="Times New Roman"/>
          <w:sz w:val="24"/>
          <w:szCs w:val="24"/>
        </w:rPr>
        <w:t>understanding</w:t>
      </w:r>
      <w:r w:rsidRPr="00B34055">
        <w:rPr>
          <w:rFonts w:ascii="Times New Roman" w:eastAsia="MS Mincho" w:hAnsi="Times New Roman"/>
          <w:sz w:val="24"/>
          <w:szCs w:val="24"/>
        </w:rPr>
        <w:t xml:space="preserve"> between </w:t>
      </w:r>
      <w:r w:rsidR="00FB4115" w:rsidRPr="00B34055">
        <w:rPr>
          <w:rFonts w:ascii="Times New Roman" w:eastAsia="MS Mincho" w:hAnsi="Times New Roman"/>
          <w:sz w:val="24"/>
          <w:szCs w:val="24"/>
        </w:rPr>
        <w:t>numbers</w:t>
      </w:r>
      <w:r w:rsidR="006F1187" w:rsidRPr="00B34055">
        <w:rPr>
          <w:rFonts w:ascii="Times New Roman" w:eastAsia="MS Mincho" w:hAnsi="Times New Roman"/>
          <w:sz w:val="24"/>
          <w:szCs w:val="24"/>
        </w:rPr>
        <w:t xml:space="preserve"> of children</w:t>
      </w:r>
      <w:r w:rsidRPr="00B34055">
        <w:rPr>
          <w:rFonts w:ascii="Times New Roman" w:eastAsia="MS Mincho" w:hAnsi="Times New Roman"/>
          <w:sz w:val="24"/>
          <w:szCs w:val="24"/>
        </w:rPr>
        <w:t>.</w:t>
      </w:r>
    </w:p>
    <w:p w:rsidR="00EF36B4" w:rsidRPr="00EF36B4" w:rsidRDefault="00EF36B4" w:rsidP="00EF36B4">
      <w:pPr>
        <w:spacing w:after="0" w:line="240" w:lineRule="auto"/>
        <w:jc w:val="both"/>
        <w:rPr>
          <w:rFonts w:ascii="Times New Roman" w:hAnsi="Times New Roman"/>
          <w:sz w:val="24"/>
          <w:szCs w:val="24"/>
        </w:rPr>
      </w:pPr>
    </w:p>
    <w:p w:rsidR="00690B87" w:rsidRPr="00C27245" w:rsidRDefault="00C27245" w:rsidP="00966CD7">
      <w:pPr>
        <w:spacing w:after="0" w:line="240" w:lineRule="auto"/>
        <w:jc w:val="both"/>
        <w:rPr>
          <w:rFonts w:ascii="Times New Roman" w:eastAsia="MS Mincho" w:hAnsi="Times New Roman"/>
          <w:sz w:val="24"/>
          <w:szCs w:val="24"/>
        </w:rPr>
      </w:pPr>
      <w:r w:rsidRPr="00C27245">
        <w:rPr>
          <w:rFonts w:ascii="Times New Roman" w:hAnsi="Times New Roman"/>
          <w:sz w:val="24"/>
          <w:szCs w:val="24"/>
          <w:lang w:val="en"/>
        </w:rPr>
        <w:t xml:space="preserve">If the results </w:t>
      </w:r>
      <w:r w:rsidR="00CD160C" w:rsidRPr="00C27245">
        <w:rPr>
          <w:rFonts w:ascii="Times New Roman" w:hAnsi="Times New Roman"/>
          <w:sz w:val="24"/>
          <w:szCs w:val="24"/>
          <w:lang w:val="en"/>
        </w:rPr>
        <w:t xml:space="preserve">for both independent sample t-test and one-way ANOVA test </w:t>
      </w:r>
      <w:r w:rsidRPr="00C27245">
        <w:rPr>
          <w:rFonts w:ascii="Times New Roman" w:hAnsi="Times New Roman"/>
          <w:sz w:val="24"/>
          <w:szCs w:val="24"/>
          <w:lang w:val="en"/>
        </w:rPr>
        <w:t>are statistically significant, the null hypothesis is rejected</w:t>
      </w:r>
      <w:r w:rsidR="00CD160C">
        <w:rPr>
          <w:rFonts w:ascii="Times New Roman" w:hAnsi="Times New Roman"/>
          <w:sz w:val="24"/>
          <w:szCs w:val="24"/>
          <w:lang w:val="en"/>
        </w:rPr>
        <w:t>. It infers the existence of</w:t>
      </w:r>
      <w:r w:rsidRPr="00C27245">
        <w:rPr>
          <w:rFonts w:ascii="Times New Roman" w:hAnsi="Times New Roman"/>
          <w:sz w:val="24"/>
          <w:szCs w:val="24"/>
          <w:lang w:val="en"/>
        </w:rPr>
        <w:t xml:space="preserve"> a significant difference in average between the categories observed.</w:t>
      </w:r>
    </w:p>
    <w:p w:rsidR="00690B87" w:rsidRDefault="00690B87" w:rsidP="00D9735B">
      <w:pPr>
        <w:pStyle w:val="NoSpacing"/>
        <w:jc w:val="both"/>
        <w:rPr>
          <w:rFonts w:ascii="Times New Roman" w:hAnsi="Times New Roman"/>
          <w:b/>
          <w:bCs/>
          <w:sz w:val="24"/>
          <w:szCs w:val="24"/>
        </w:rPr>
      </w:pPr>
    </w:p>
    <w:p w:rsidR="00690B87" w:rsidRPr="007144ED" w:rsidRDefault="00690B87" w:rsidP="00D9735B">
      <w:pPr>
        <w:pStyle w:val="NoSpacing"/>
        <w:jc w:val="both"/>
        <w:rPr>
          <w:rFonts w:ascii="Times New Roman" w:hAnsi="Times New Roman"/>
          <w:b/>
          <w:bCs/>
          <w:sz w:val="24"/>
          <w:szCs w:val="24"/>
        </w:rPr>
      </w:pPr>
    </w:p>
    <w:p w:rsidR="00690B87" w:rsidRPr="007144ED" w:rsidRDefault="00556F15" w:rsidP="00D9735B">
      <w:pPr>
        <w:pStyle w:val="NoSpacing"/>
        <w:jc w:val="both"/>
        <w:rPr>
          <w:rFonts w:ascii="Times New Roman" w:hAnsi="Times New Roman"/>
          <w:b/>
          <w:bCs/>
          <w:sz w:val="24"/>
          <w:szCs w:val="24"/>
        </w:rPr>
      </w:pPr>
      <w:r>
        <w:rPr>
          <w:rFonts w:ascii="Times New Roman" w:hAnsi="Times New Roman"/>
          <w:b/>
          <w:bCs/>
          <w:sz w:val="24"/>
          <w:szCs w:val="24"/>
        </w:rPr>
        <w:t xml:space="preserve">Study </w:t>
      </w:r>
      <w:r w:rsidR="00FA3587">
        <w:rPr>
          <w:rFonts w:ascii="Times New Roman" w:hAnsi="Times New Roman"/>
          <w:b/>
          <w:bCs/>
          <w:sz w:val="24"/>
          <w:szCs w:val="24"/>
        </w:rPr>
        <w:t>f</w:t>
      </w:r>
      <w:r>
        <w:rPr>
          <w:rFonts w:ascii="Times New Roman" w:hAnsi="Times New Roman"/>
          <w:b/>
          <w:bCs/>
          <w:sz w:val="24"/>
          <w:szCs w:val="24"/>
        </w:rPr>
        <w:t>indings</w:t>
      </w:r>
    </w:p>
    <w:p w:rsidR="00690B87" w:rsidRPr="007144ED" w:rsidRDefault="00690B87" w:rsidP="00D9735B">
      <w:pPr>
        <w:pStyle w:val="NoSpacing"/>
        <w:jc w:val="both"/>
        <w:rPr>
          <w:rFonts w:ascii="Times New Roman" w:hAnsi="Times New Roman"/>
          <w:b/>
          <w:bCs/>
          <w:sz w:val="24"/>
          <w:szCs w:val="24"/>
        </w:rPr>
      </w:pPr>
    </w:p>
    <w:p w:rsidR="00556F15" w:rsidRDefault="00556F15" w:rsidP="00556F15">
      <w:pPr>
        <w:spacing w:after="0" w:line="240" w:lineRule="auto"/>
        <w:ind w:left="680" w:hanging="680"/>
        <w:outlineLvl w:val="1"/>
        <w:rPr>
          <w:rFonts w:ascii="Times New Roman" w:eastAsia="MS Gothic" w:hAnsi="Times New Roman"/>
          <w:i/>
          <w:sz w:val="24"/>
          <w:szCs w:val="24"/>
        </w:rPr>
      </w:pPr>
      <w:r w:rsidRPr="00556F15">
        <w:rPr>
          <w:rFonts w:ascii="Times New Roman" w:eastAsia="MS Gothic" w:hAnsi="Times New Roman"/>
          <w:i/>
          <w:sz w:val="24"/>
          <w:szCs w:val="24"/>
        </w:rPr>
        <w:t>Descriptive analysis</w:t>
      </w:r>
    </w:p>
    <w:p w:rsidR="00556F15" w:rsidRPr="00556F15" w:rsidRDefault="00556F15" w:rsidP="00FB4115">
      <w:pPr>
        <w:spacing w:after="0" w:line="240" w:lineRule="auto"/>
        <w:outlineLvl w:val="1"/>
        <w:rPr>
          <w:rFonts w:ascii="Times New Roman" w:eastAsia="MS Gothic" w:hAnsi="Times New Roman"/>
          <w:i/>
          <w:sz w:val="24"/>
          <w:szCs w:val="24"/>
        </w:rPr>
      </w:pPr>
    </w:p>
    <w:p w:rsidR="00556F15" w:rsidRPr="00556F15" w:rsidRDefault="00556F15" w:rsidP="00556F15">
      <w:pPr>
        <w:spacing w:after="0" w:line="240" w:lineRule="auto"/>
        <w:jc w:val="both"/>
        <w:rPr>
          <w:rFonts w:ascii="Times New Roman" w:hAnsi="Times New Roman"/>
          <w:sz w:val="24"/>
          <w:szCs w:val="24"/>
        </w:rPr>
      </w:pPr>
      <w:r w:rsidRPr="00556F15">
        <w:rPr>
          <w:rFonts w:ascii="Times New Roman" w:hAnsi="Times New Roman"/>
          <w:sz w:val="24"/>
          <w:szCs w:val="24"/>
          <w:lang w:val="en"/>
        </w:rPr>
        <w:t xml:space="preserve">Table </w:t>
      </w:r>
      <w:r w:rsidR="00F263B7">
        <w:rPr>
          <w:rFonts w:ascii="Times New Roman" w:hAnsi="Times New Roman"/>
          <w:sz w:val="24"/>
          <w:szCs w:val="24"/>
          <w:lang w:val="en"/>
        </w:rPr>
        <w:t>4</w:t>
      </w:r>
      <w:r w:rsidR="00F10B7C">
        <w:rPr>
          <w:rFonts w:ascii="Times New Roman" w:hAnsi="Times New Roman"/>
          <w:sz w:val="24"/>
          <w:szCs w:val="24"/>
          <w:lang w:val="en"/>
        </w:rPr>
        <w:t xml:space="preserve"> showed</w:t>
      </w:r>
      <w:r w:rsidR="002A5304">
        <w:rPr>
          <w:rFonts w:ascii="Times New Roman" w:hAnsi="Times New Roman"/>
          <w:sz w:val="24"/>
          <w:szCs w:val="24"/>
          <w:lang w:val="en"/>
        </w:rPr>
        <w:t xml:space="preserve"> that 53.1% </w:t>
      </w:r>
      <w:r w:rsidR="00814D19">
        <w:rPr>
          <w:rFonts w:ascii="Times New Roman" w:hAnsi="Times New Roman"/>
          <w:sz w:val="24"/>
          <w:szCs w:val="24"/>
          <w:lang w:val="en"/>
        </w:rPr>
        <w:t xml:space="preserve">of respondents </w:t>
      </w:r>
      <w:r w:rsidR="0082047E">
        <w:rPr>
          <w:rFonts w:ascii="Times New Roman" w:hAnsi="Times New Roman"/>
          <w:sz w:val="24"/>
          <w:szCs w:val="24"/>
          <w:lang w:val="en"/>
        </w:rPr>
        <w:t>wer</w:t>
      </w:r>
      <w:r w:rsidR="00814D19">
        <w:rPr>
          <w:rFonts w:ascii="Times New Roman" w:hAnsi="Times New Roman"/>
          <w:sz w:val="24"/>
          <w:szCs w:val="24"/>
          <w:lang w:val="en"/>
        </w:rPr>
        <w:t xml:space="preserve">e </w:t>
      </w:r>
      <w:r w:rsidR="0082047E">
        <w:rPr>
          <w:rFonts w:ascii="Times New Roman" w:hAnsi="Times New Roman"/>
          <w:sz w:val="24"/>
          <w:szCs w:val="24"/>
          <w:lang w:val="en"/>
        </w:rPr>
        <w:t>female</w:t>
      </w:r>
      <w:r w:rsidR="002A5304">
        <w:rPr>
          <w:rFonts w:ascii="Times New Roman" w:hAnsi="Times New Roman"/>
          <w:sz w:val="24"/>
          <w:szCs w:val="24"/>
          <w:lang w:val="en"/>
        </w:rPr>
        <w:t xml:space="preserve">, </w:t>
      </w:r>
      <w:r w:rsidRPr="00556F15">
        <w:rPr>
          <w:rFonts w:ascii="Times New Roman" w:hAnsi="Times New Roman"/>
          <w:sz w:val="24"/>
          <w:szCs w:val="24"/>
          <w:lang w:val="en"/>
        </w:rPr>
        <w:t xml:space="preserve">while </w:t>
      </w:r>
      <w:r w:rsidR="0082047E">
        <w:rPr>
          <w:rFonts w:ascii="Times New Roman" w:hAnsi="Times New Roman"/>
          <w:sz w:val="24"/>
          <w:szCs w:val="24"/>
          <w:lang w:val="en"/>
        </w:rPr>
        <w:t xml:space="preserve">male </w:t>
      </w:r>
      <w:r w:rsidR="00305465">
        <w:rPr>
          <w:rFonts w:ascii="Times New Roman" w:hAnsi="Times New Roman"/>
          <w:sz w:val="24"/>
          <w:szCs w:val="24"/>
          <w:lang w:val="en"/>
        </w:rPr>
        <w:t xml:space="preserve">represents </w:t>
      </w:r>
      <w:r w:rsidRPr="00556F15">
        <w:rPr>
          <w:rFonts w:ascii="Times New Roman" w:hAnsi="Times New Roman"/>
          <w:sz w:val="24"/>
          <w:szCs w:val="24"/>
          <w:lang w:val="en"/>
        </w:rPr>
        <w:t>46.9%</w:t>
      </w:r>
      <w:r w:rsidR="00305465">
        <w:rPr>
          <w:rFonts w:ascii="Times New Roman" w:hAnsi="Times New Roman"/>
          <w:sz w:val="24"/>
          <w:szCs w:val="24"/>
          <w:lang w:val="en"/>
        </w:rPr>
        <w:t xml:space="preserve">. </w:t>
      </w:r>
      <w:r w:rsidR="00F10B7C">
        <w:rPr>
          <w:rFonts w:ascii="Times New Roman" w:hAnsi="Times New Roman"/>
          <w:sz w:val="24"/>
          <w:szCs w:val="24"/>
          <w:lang w:val="en"/>
        </w:rPr>
        <w:t>Age distribution demonstrated</w:t>
      </w:r>
      <w:r w:rsidR="00305465">
        <w:rPr>
          <w:rFonts w:ascii="Times New Roman" w:hAnsi="Times New Roman"/>
          <w:sz w:val="24"/>
          <w:szCs w:val="24"/>
          <w:lang w:val="en"/>
        </w:rPr>
        <w:t xml:space="preserve"> that most of respondents were </w:t>
      </w:r>
      <w:r w:rsidR="008C6892">
        <w:rPr>
          <w:rFonts w:ascii="Times New Roman" w:hAnsi="Times New Roman"/>
          <w:sz w:val="24"/>
          <w:szCs w:val="24"/>
          <w:lang w:val="en"/>
        </w:rPr>
        <w:t xml:space="preserve">below 40 years (53.8%) and only 3.4% aged above 60 years. </w:t>
      </w:r>
      <w:proofErr w:type="gramStart"/>
      <w:r w:rsidRPr="00556F15">
        <w:rPr>
          <w:rFonts w:ascii="Times New Roman" w:hAnsi="Times New Roman"/>
          <w:sz w:val="24"/>
          <w:szCs w:val="24"/>
        </w:rPr>
        <w:t>Additio</w:t>
      </w:r>
      <w:r w:rsidR="00AE4EC7">
        <w:rPr>
          <w:rFonts w:ascii="Times New Roman" w:hAnsi="Times New Roman"/>
          <w:sz w:val="24"/>
          <w:szCs w:val="24"/>
        </w:rPr>
        <w:t xml:space="preserve">nally, </w:t>
      </w:r>
      <w:r w:rsidRPr="00556F15">
        <w:rPr>
          <w:rFonts w:ascii="Times New Roman" w:hAnsi="Times New Roman"/>
          <w:sz w:val="24"/>
          <w:szCs w:val="24"/>
        </w:rPr>
        <w:t>41.4%</w:t>
      </w:r>
      <w:r w:rsidR="00AE4EC7">
        <w:rPr>
          <w:rFonts w:ascii="Times New Roman" w:hAnsi="Times New Roman"/>
          <w:sz w:val="24"/>
          <w:szCs w:val="24"/>
        </w:rPr>
        <w:t xml:space="preserve"> of the respondent</w:t>
      </w:r>
      <w:r w:rsidR="00F10B7C">
        <w:rPr>
          <w:rFonts w:ascii="Times New Roman" w:hAnsi="Times New Roman"/>
          <w:sz w:val="24"/>
          <w:szCs w:val="24"/>
        </w:rPr>
        <w:t xml:space="preserve">s hold </w:t>
      </w:r>
      <w:proofErr w:type="spellStart"/>
      <w:r w:rsidRPr="00556F15">
        <w:rPr>
          <w:rFonts w:ascii="Times New Roman" w:hAnsi="Times New Roman"/>
          <w:sz w:val="24"/>
          <w:szCs w:val="24"/>
        </w:rPr>
        <w:t>Sijil</w:t>
      </w:r>
      <w:proofErr w:type="spellEnd"/>
      <w:r w:rsidRPr="00556F15">
        <w:rPr>
          <w:rFonts w:ascii="Times New Roman" w:hAnsi="Times New Roman"/>
          <w:sz w:val="24"/>
          <w:szCs w:val="24"/>
        </w:rPr>
        <w:t xml:space="preserve"> </w:t>
      </w:r>
      <w:proofErr w:type="spellStart"/>
      <w:r w:rsidRPr="00556F15">
        <w:rPr>
          <w:rFonts w:ascii="Times New Roman" w:hAnsi="Times New Roman"/>
          <w:sz w:val="24"/>
          <w:szCs w:val="24"/>
        </w:rPr>
        <w:t>Pelajaran</w:t>
      </w:r>
      <w:proofErr w:type="spellEnd"/>
      <w:r w:rsidRPr="00556F15">
        <w:rPr>
          <w:rFonts w:ascii="Times New Roman" w:hAnsi="Times New Roman"/>
          <w:sz w:val="24"/>
          <w:szCs w:val="24"/>
        </w:rPr>
        <w:t xml:space="preserve"> Malaysia (SPM)</w:t>
      </w:r>
      <w:r w:rsidR="00AE4EC7">
        <w:rPr>
          <w:rFonts w:ascii="Times New Roman" w:hAnsi="Times New Roman"/>
          <w:sz w:val="24"/>
          <w:szCs w:val="24"/>
        </w:rPr>
        <w:t>, while</w:t>
      </w:r>
      <w:r w:rsidR="00BF1C8F">
        <w:rPr>
          <w:rFonts w:ascii="Times New Roman" w:hAnsi="Times New Roman"/>
          <w:sz w:val="24"/>
          <w:szCs w:val="24"/>
        </w:rPr>
        <w:t xml:space="preserve"> 10.3% and 25.5% </w:t>
      </w:r>
      <w:r w:rsidR="00F10B7C">
        <w:rPr>
          <w:rFonts w:ascii="Times New Roman" w:hAnsi="Times New Roman"/>
          <w:sz w:val="24"/>
          <w:szCs w:val="24"/>
        </w:rPr>
        <w:t>possess</w:t>
      </w:r>
      <w:r w:rsidR="00BF1C8F">
        <w:rPr>
          <w:rFonts w:ascii="Times New Roman" w:hAnsi="Times New Roman"/>
          <w:sz w:val="24"/>
          <w:szCs w:val="24"/>
        </w:rPr>
        <w:t xml:space="preserve"> Diploma and </w:t>
      </w:r>
      <w:r w:rsidR="00BF1C8F">
        <w:rPr>
          <w:rFonts w:ascii="Times New Roman" w:hAnsi="Times New Roman"/>
          <w:sz w:val="24"/>
          <w:szCs w:val="24"/>
          <w:lang w:val="en"/>
        </w:rPr>
        <w:t>Bachelor</w:t>
      </w:r>
      <w:r w:rsidR="00BF1C8F" w:rsidRPr="00556F15">
        <w:rPr>
          <w:rFonts w:ascii="Times New Roman" w:hAnsi="Times New Roman"/>
          <w:sz w:val="24"/>
          <w:szCs w:val="24"/>
          <w:lang w:val="en"/>
        </w:rPr>
        <w:t xml:space="preserve"> Degree</w:t>
      </w:r>
      <w:r w:rsidR="00BF1C8F">
        <w:rPr>
          <w:rFonts w:ascii="Times New Roman" w:hAnsi="Times New Roman"/>
          <w:sz w:val="24"/>
          <w:szCs w:val="24"/>
          <w:lang w:val="en"/>
        </w:rPr>
        <w:t xml:space="preserve"> respectively</w:t>
      </w:r>
      <w:r w:rsidRPr="00556F15">
        <w:rPr>
          <w:rFonts w:ascii="Times New Roman" w:hAnsi="Times New Roman"/>
          <w:sz w:val="24"/>
          <w:szCs w:val="24"/>
        </w:rPr>
        <w:t>.</w:t>
      </w:r>
      <w:proofErr w:type="gramEnd"/>
      <w:r w:rsidRPr="00556F15">
        <w:rPr>
          <w:rFonts w:ascii="Times New Roman" w:hAnsi="Times New Roman"/>
          <w:sz w:val="24"/>
          <w:szCs w:val="24"/>
        </w:rPr>
        <w:t xml:space="preserve"> </w:t>
      </w:r>
      <w:r w:rsidRPr="00556F15">
        <w:rPr>
          <w:rFonts w:ascii="Times New Roman" w:hAnsi="Times New Roman"/>
          <w:sz w:val="24"/>
          <w:szCs w:val="24"/>
          <w:lang w:val="en"/>
        </w:rPr>
        <w:t>Other education</w:t>
      </w:r>
      <w:r w:rsidR="00BF1C8F">
        <w:rPr>
          <w:rFonts w:ascii="Times New Roman" w:hAnsi="Times New Roman"/>
          <w:sz w:val="24"/>
          <w:szCs w:val="24"/>
          <w:lang w:val="en"/>
        </w:rPr>
        <w:t xml:space="preserve"> qualification</w:t>
      </w:r>
      <w:r w:rsidR="002A5304">
        <w:rPr>
          <w:rFonts w:ascii="Times New Roman" w:hAnsi="Times New Roman"/>
          <w:sz w:val="24"/>
          <w:szCs w:val="24"/>
          <w:lang w:val="en"/>
        </w:rPr>
        <w:t>s</w:t>
      </w:r>
      <w:r w:rsidR="00BF1C8F">
        <w:rPr>
          <w:rFonts w:ascii="Times New Roman" w:hAnsi="Times New Roman"/>
          <w:sz w:val="24"/>
          <w:szCs w:val="24"/>
          <w:lang w:val="en"/>
        </w:rPr>
        <w:t xml:space="preserve"> </w:t>
      </w:r>
      <w:r w:rsidR="00AD4BCD">
        <w:rPr>
          <w:rFonts w:ascii="Times New Roman" w:hAnsi="Times New Roman"/>
          <w:sz w:val="24"/>
          <w:szCs w:val="24"/>
          <w:lang w:val="en"/>
        </w:rPr>
        <w:t xml:space="preserve">were below 10%. </w:t>
      </w:r>
      <w:r w:rsidR="00F10B7C">
        <w:rPr>
          <w:rFonts w:ascii="Times New Roman" w:hAnsi="Times New Roman"/>
          <w:sz w:val="24"/>
          <w:szCs w:val="24"/>
          <w:lang w:val="en"/>
        </w:rPr>
        <w:t>For employment, 37.9% were</w:t>
      </w:r>
      <w:r w:rsidR="00F94E9B">
        <w:rPr>
          <w:rFonts w:ascii="Times New Roman" w:hAnsi="Times New Roman"/>
          <w:sz w:val="24"/>
          <w:szCs w:val="24"/>
          <w:lang w:val="en"/>
        </w:rPr>
        <w:t xml:space="preserve"> working in the government sector while 32.4% in the private sectors. The </w:t>
      </w:r>
      <w:r w:rsidR="00577D62">
        <w:rPr>
          <w:rFonts w:ascii="Times New Roman" w:hAnsi="Times New Roman"/>
          <w:sz w:val="24"/>
          <w:szCs w:val="24"/>
          <w:lang w:val="en"/>
        </w:rPr>
        <w:t>remaining were</w:t>
      </w:r>
      <w:r w:rsidRPr="00556F15">
        <w:rPr>
          <w:rFonts w:ascii="Times New Roman" w:hAnsi="Times New Roman"/>
          <w:sz w:val="24"/>
          <w:szCs w:val="24"/>
          <w:lang w:val="en"/>
        </w:rPr>
        <w:t xml:space="preserve"> self-employed, </w:t>
      </w:r>
      <w:r w:rsidR="00577D62">
        <w:rPr>
          <w:rFonts w:ascii="Times New Roman" w:hAnsi="Times New Roman"/>
          <w:sz w:val="24"/>
          <w:szCs w:val="24"/>
          <w:lang w:val="en"/>
        </w:rPr>
        <w:lastRenderedPageBreak/>
        <w:t xml:space="preserve">students and other category i.e. </w:t>
      </w:r>
      <w:r w:rsidR="00577D62" w:rsidRPr="00556F15">
        <w:rPr>
          <w:rFonts w:ascii="Times New Roman" w:hAnsi="Times New Roman"/>
          <w:sz w:val="24"/>
          <w:szCs w:val="24"/>
        </w:rPr>
        <w:t>pensioners and housewives</w:t>
      </w:r>
      <w:r w:rsidR="00577D62">
        <w:rPr>
          <w:rFonts w:ascii="Times New Roman" w:hAnsi="Times New Roman"/>
          <w:sz w:val="24"/>
          <w:szCs w:val="24"/>
        </w:rPr>
        <w:t xml:space="preserve">. </w:t>
      </w:r>
      <w:r w:rsidR="003B77FC">
        <w:rPr>
          <w:rFonts w:ascii="Times New Roman" w:hAnsi="Times New Roman"/>
          <w:sz w:val="24"/>
          <w:szCs w:val="24"/>
        </w:rPr>
        <w:t xml:space="preserve">Apparently, </w:t>
      </w:r>
      <w:r w:rsidR="003B77FC" w:rsidRPr="00556F15">
        <w:rPr>
          <w:rFonts w:ascii="Times New Roman" w:hAnsi="Times New Roman"/>
          <w:sz w:val="24"/>
          <w:szCs w:val="24"/>
          <w:lang w:val="en"/>
        </w:rPr>
        <w:t>majority</w:t>
      </w:r>
      <w:r w:rsidRPr="00556F15">
        <w:rPr>
          <w:rFonts w:ascii="Times New Roman" w:hAnsi="Times New Roman"/>
          <w:sz w:val="24"/>
          <w:szCs w:val="24"/>
          <w:lang w:val="en"/>
        </w:rPr>
        <w:t xml:space="preserve"> of respondents had a monthly income</w:t>
      </w:r>
      <w:r w:rsidR="003B77FC">
        <w:rPr>
          <w:rFonts w:ascii="Times New Roman" w:hAnsi="Times New Roman"/>
          <w:sz w:val="24"/>
          <w:szCs w:val="24"/>
          <w:lang w:val="en"/>
        </w:rPr>
        <w:t xml:space="preserve"> of</w:t>
      </w:r>
      <w:r w:rsidRPr="00556F15">
        <w:rPr>
          <w:rFonts w:ascii="Times New Roman" w:hAnsi="Times New Roman"/>
          <w:sz w:val="24"/>
          <w:szCs w:val="24"/>
          <w:lang w:val="en"/>
        </w:rPr>
        <w:t xml:space="preserve"> </w:t>
      </w:r>
      <w:r w:rsidR="003B77FC">
        <w:rPr>
          <w:rFonts w:ascii="Times New Roman" w:hAnsi="Times New Roman"/>
          <w:sz w:val="24"/>
          <w:szCs w:val="24"/>
          <w:lang w:val="en"/>
        </w:rPr>
        <w:t>RM4000 and below (79.3%), while only 20.7% earns more than RM4000 a month.</w:t>
      </w:r>
      <w:r w:rsidR="00D80350">
        <w:rPr>
          <w:rFonts w:ascii="Times New Roman" w:hAnsi="Times New Roman"/>
          <w:sz w:val="24"/>
          <w:szCs w:val="24"/>
          <w:lang w:val="en"/>
        </w:rPr>
        <w:t xml:space="preserve"> More than 44% of the respondents had</w:t>
      </w:r>
      <w:r w:rsidRPr="00556F15">
        <w:rPr>
          <w:rFonts w:ascii="Times New Roman" w:hAnsi="Times New Roman"/>
          <w:sz w:val="24"/>
          <w:szCs w:val="24"/>
        </w:rPr>
        <w:t xml:space="preserve"> 1</w:t>
      </w:r>
      <w:r w:rsidR="00D80350">
        <w:rPr>
          <w:rFonts w:ascii="Times New Roman" w:hAnsi="Times New Roman"/>
          <w:sz w:val="24"/>
          <w:szCs w:val="24"/>
        </w:rPr>
        <w:t xml:space="preserve"> to </w:t>
      </w:r>
      <w:r w:rsidRPr="00556F15">
        <w:rPr>
          <w:rFonts w:ascii="Times New Roman" w:hAnsi="Times New Roman"/>
          <w:sz w:val="24"/>
          <w:szCs w:val="24"/>
        </w:rPr>
        <w:t>3 child</w:t>
      </w:r>
      <w:r w:rsidR="0099736D">
        <w:rPr>
          <w:rFonts w:ascii="Times New Roman" w:hAnsi="Times New Roman"/>
          <w:sz w:val="24"/>
          <w:szCs w:val="24"/>
        </w:rPr>
        <w:t xml:space="preserve">ren, 26.9% with 4-6 children, </w:t>
      </w:r>
      <w:r w:rsidR="0099736D" w:rsidRPr="00556F15">
        <w:rPr>
          <w:rFonts w:ascii="Times New Roman" w:hAnsi="Times New Roman"/>
          <w:sz w:val="24"/>
          <w:szCs w:val="24"/>
        </w:rPr>
        <w:t>8.3</w:t>
      </w:r>
      <w:r w:rsidRPr="00556F15">
        <w:rPr>
          <w:rFonts w:ascii="Times New Roman" w:hAnsi="Times New Roman"/>
          <w:sz w:val="24"/>
          <w:szCs w:val="24"/>
        </w:rPr>
        <w:t>% had more than 6 children</w:t>
      </w:r>
      <w:r w:rsidR="0099736D">
        <w:rPr>
          <w:rFonts w:ascii="Times New Roman" w:hAnsi="Times New Roman"/>
          <w:sz w:val="24"/>
          <w:szCs w:val="24"/>
        </w:rPr>
        <w:t xml:space="preserve"> while </w:t>
      </w:r>
      <w:r w:rsidR="00D80350" w:rsidRPr="00556F15">
        <w:rPr>
          <w:rFonts w:ascii="Times New Roman" w:hAnsi="Times New Roman"/>
          <w:sz w:val="24"/>
          <w:szCs w:val="24"/>
        </w:rPr>
        <w:t>20% had no children</w:t>
      </w:r>
      <w:r w:rsidR="0099736D">
        <w:rPr>
          <w:rFonts w:ascii="Times New Roman" w:hAnsi="Times New Roman"/>
          <w:sz w:val="24"/>
          <w:szCs w:val="24"/>
        </w:rPr>
        <w:t>.</w:t>
      </w:r>
    </w:p>
    <w:p w:rsidR="00556F15" w:rsidRPr="00556F15" w:rsidRDefault="00556F15" w:rsidP="00556F15">
      <w:pPr>
        <w:spacing w:after="0" w:line="240" w:lineRule="auto"/>
        <w:jc w:val="both"/>
        <w:rPr>
          <w:rFonts w:ascii="Times New Roman" w:hAnsi="Times New Roman"/>
          <w:sz w:val="24"/>
          <w:szCs w:val="24"/>
        </w:rPr>
      </w:pPr>
    </w:p>
    <w:p w:rsidR="002436E9" w:rsidRPr="00C80832" w:rsidRDefault="002436E9" w:rsidP="002436E9">
      <w:pPr>
        <w:spacing w:after="0" w:line="240" w:lineRule="auto"/>
        <w:jc w:val="center"/>
        <w:rPr>
          <w:rFonts w:ascii="Times New Roman" w:hAnsi="Times New Roman"/>
          <w:iCs/>
          <w:sz w:val="20"/>
          <w:szCs w:val="20"/>
          <w:lang w:val="en"/>
        </w:rPr>
      </w:pPr>
      <w:bookmarkStart w:id="2" w:name="_Toc463727265"/>
      <w:proofErr w:type="gramStart"/>
      <w:r w:rsidRPr="00C80832">
        <w:rPr>
          <w:rFonts w:ascii="Times New Roman" w:hAnsi="Times New Roman"/>
          <w:b/>
          <w:iCs/>
          <w:sz w:val="20"/>
          <w:szCs w:val="20"/>
        </w:rPr>
        <w:t>Table 4.</w:t>
      </w:r>
      <w:proofErr w:type="gramEnd"/>
      <w:r w:rsidRPr="00C80832">
        <w:rPr>
          <w:rFonts w:ascii="Times New Roman" w:hAnsi="Times New Roman"/>
          <w:iCs/>
          <w:sz w:val="20"/>
          <w:szCs w:val="20"/>
        </w:rPr>
        <w:t xml:space="preserve"> </w:t>
      </w:r>
      <w:r w:rsidRPr="00C80832">
        <w:rPr>
          <w:rFonts w:ascii="Times New Roman" w:hAnsi="Times New Roman"/>
          <w:iCs/>
          <w:sz w:val="20"/>
          <w:szCs w:val="20"/>
          <w:lang w:val="en"/>
        </w:rPr>
        <w:t xml:space="preserve">Distribution of </w:t>
      </w:r>
      <w:r w:rsidR="004840EC" w:rsidRPr="00C80832">
        <w:rPr>
          <w:rFonts w:ascii="Times New Roman" w:hAnsi="Times New Roman"/>
          <w:iCs/>
          <w:sz w:val="20"/>
          <w:szCs w:val="20"/>
          <w:lang w:val="en"/>
        </w:rPr>
        <w:t>demographic</w:t>
      </w:r>
      <w:r w:rsidRPr="00C80832">
        <w:rPr>
          <w:rFonts w:ascii="Times New Roman" w:hAnsi="Times New Roman"/>
          <w:iCs/>
          <w:sz w:val="20"/>
          <w:szCs w:val="20"/>
          <w:lang w:val="en"/>
        </w:rPr>
        <w:t xml:space="preserve"> characteristics</w:t>
      </w:r>
    </w:p>
    <w:p w:rsidR="002436E9" w:rsidRPr="00C80832" w:rsidRDefault="002436E9" w:rsidP="002436E9">
      <w:pPr>
        <w:spacing w:after="0" w:line="240" w:lineRule="auto"/>
        <w:jc w:val="center"/>
        <w:rPr>
          <w:rFonts w:ascii="Times New Roman" w:hAnsi="Times New Roman"/>
          <w:iCs/>
          <w:sz w:val="20"/>
          <w:szCs w:val="20"/>
          <w:lang w:val="en"/>
        </w:rPr>
      </w:pPr>
    </w:p>
    <w:tbl>
      <w:tblPr>
        <w:tblW w:w="0" w:type="auto"/>
        <w:jc w:val="center"/>
        <w:tblLook w:val="04A0" w:firstRow="1" w:lastRow="0" w:firstColumn="1" w:lastColumn="0" w:noHBand="0" w:noVBand="1"/>
      </w:tblPr>
      <w:tblGrid>
        <w:gridCol w:w="2155"/>
        <w:gridCol w:w="2790"/>
        <w:gridCol w:w="1530"/>
        <w:gridCol w:w="1843"/>
      </w:tblGrid>
      <w:tr w:rsidR="002436E9" w:rsidRPr="00C80832" w:rsidTr="00FA3587">
        <w:trPr>
          <w:jc w:val="center"/>
        </w:trPr>
        <w:tc>
          <w:tcPr>
            <w:tcW w:w="4945" w:type="dxa"/>
            <w:gridSpan w:val="2"/>
            <w:tcBorders>
              <w:top w:val="single" w:sz="4" w:space="0" w:color="auto"/>
              <w:bottom w:val="single" w:sz="4" w:space="0" w:color="auto"/>
            </w:tcBorders>
            <w:shd w:val="clear" w:color="auto" w:fill="BDD6EE"/>
            <w:hideMark/>
          </w:tcPr>
          <w:p w:rsidR="002436E9" w:rsidRPr="00C80832" w:rsidRDefault="002436E9" w:rsidP="00A84631">
            <w:pPr>
              <w:spacing w:after="0" w:line="240" w:lineRule="auto"/>
              <w:jc w:val="center"/>
              <w:rPr>
                <w:rFonts w:ascii="Times New Roman" w:hAnsi="Times New Roman"/>
                <w:b/>
                <w:sz w:val="20"/>
                <w:szCs w:val="20"/>
              </w:rPr>
            </w:pPr>
            <w:r w:rsidRPr="00C80832">
              <w:rPr>
                <w:rFonts w:ascii="Times New Roman" w:hAnsi="Times New Roman"/>
                <w:b/>
                <w:sz w:val="20"/>
                <w:szCs w:val="20"/>
              </w:rPr>
              <w:t xml:space="preserve">Demographic </w:t>
            </w:r>
          </w:p>
          <w:p w:rsidR="002436E9" w:rsidRPr="00C80832" w:rsidRDefault="002436E9" w:rsidP="00A84631">
            <w:pPr>
              <w:spacing w:after="0" w:line="240" w:lineRule="auto"/>
              <w:jc w:val="center"/>
              <w:rPr>
                <w:rFonts w:ascii="Times New Roman" w:hAnsi="Times New Roman"/>
                <w:b/>
                <w:sz w:val="20"/>
                <w:szCs w:val="20"/>
              </w:rPr>
            </w:pPr>
            <w:r w:rsidRPr="00C80832">
              <w:rPr>
                <w:rFonts w:ascii="Times New Roman" w:hAnsi="Times New Roman"/>
                <w:b/>
                <w:sz w:val="20"/>
                <w:szCs w:val="20"/>
              </w:rPr>
              <w:t>characteristics</w:t>
            </w:r>
          </w:p>
        </w:tc>
        <w:tc>
          <w:tcPr>
            <w:tcW w:w="1530" w:type="dxa"/>
            <w:tcBorders>
              <w:top w:val="single" w:sz="4" w:space="0" w:color="auto"/>
              <w:bottom w:val="single" w:sz="4" w:space="0" w:color="auto"/>
            </w:tcBorders>
            <w:shd w:val="clear" w:color="auto" w:fill="BDD6EE"/>
            <w:hideMark/>
          </w:tcPr>
          <w:p w:rsidR="002436E9" w:rsidRPr="00C80832" w:rsidRDefault="002436E9" w:rsidP="00A84631">
            <w:pPr>
              <w:spacing w:after="0" w:line="240" w:lineRule="auto"/>
              <w:jc w:val="both"/>
              <w:rPr>
                <w:rFonts w:ascii="Times New Roman" w:hAnsi="Times New Roman"/>
                <w:b/>
                <w:sz w:val="20"/>
                <w:szCs w:val="20"/>
              </w:rPr>
            </w:pPr>
            <w:r w:rsidRPr="00C80832">
              <w:rPr>
                <w:rFonts w:ascii="Times New Roman" w:hAnsi="Times New Roman"/>
                <w:b/>
                <w:sz w:val="20"/>
                <w:szCs w:val="20"/>
              </w:rPr>
              <w:t>Frequency</w:t>
            </w:r>
          </w:p>
        </w:tc>
        <w:tc>
          <w:tcPr>
            <w:tcW w:w="1843" w:type="dxa"/>
            <w:tcBorders>
              <w:top w:val="single" w:sz="4" w:space="0" w:color="auto"/>
              <w:bottom w:val="single" w:sz="4" w:space="0" w:color="auto"/>
            </w:tcBorders>
            <w:shd w:val="clear" w:color="auto" w:fill="BDD6EE"/>
            <w:hideMark/>
          </w:tcPr>
          <w:p w:rsidR="002436E9" w:rsidRPr="00C80832" w:rsidRDefault="002436E9" w:rsidP="00A84631">
            <w:pPr>
              <w:spacing w:after="0" w:line="240" w:lineRule="auto"/>
              <w:jc w:val="both"/>
              <w:rPr>
                <w:rFonts w:ascii="Times New Roman" w:hAnsi="Times New Roman"/>
                <w:b/>
                <w:sz w:val="20"/>
                <w:szCs w:val="20"/>
              </w:rPr>
            </w:pPr>
            <w:r w:rsidRPr="00C80832">
              <w:rPr>
                <w:rFonts w:ascii="Times New Roman" w:hAnsi="Times New Roman"/>
                <w:b/>
                <w:sz w:val="20"/>
                <w:szCs w:val="20"/>
              </w:rPr>
              <w:t>Percentage (%)</w:t>
            </w:r>
          </w:p>
        </w:tc>
      </w:tr>
      <w:tr w:rsidR="002436E9" w:rsidRPr="00C80832" w:rsidTr="00FA3587">
        <w:trPr>
          <w:jc w:val="center"/>
        </w:trPr>
        <w:tc>
          <w:tcPr>
            <w:tcW w:w="2155" w:type="dxa"/>
            <w:vMerge w:val="restart"/>
            <w:tcBorders>
              <w:top w:val="single" w:sz="4" w:space="0" w:color="auto"/>
            </w:tcBorders>
            <w:shd w:val="clear" w:color="auto" w:fill="auto"/>
            <w:hideMark/>
          </w:tcPr>
          <w:p w:rsidR="002436E9" w:rsidRPr="00C80832" w:rsidRDefault="002436E9" w:rsidP="00A84631">
            <w:pPr>
              <w:spacing w:after="0" w:line="240" w:lineRule="auto"/>
              <w:jc w:val="both"/>
              <w:rPr>
                <w:rFonts w:ascii="Times New Roman" w:hAnsi="Times New Roman"/>
                <w:b/>
                <w:sz w:val="20"/>
                <w:szCs w:val="20"/>
              </w:rPr>
            </w:pPr>
            <w:r w:rsidRPr="00C80832">
              <w:rPr>
                <w:rFonts w:ascii="Times New Roman" w:hAnsi="Times New Roman"/>
                <w:b/>
                <w:sz w:val="20"/>
                <w:szCs w:val="20"/>
              </w:rPr>
              <w:t>Gender</w:t>
            </w:r>
          </w:p>
        </w:tc>
        <w:tc>
          <w:tcPr>
            <w:tcW w:w="2790" w:type="dxa"/>
            <w:tcBorders>
              <w:top w:val="single" w:sz="4" w:space="0" w:color="auto"/>
            </w:tcBorders>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Male</w:t>
            </w:r>
          </w:p>
        </w:tc>
        <w:tc>
          <w:tcPr>
            <w:tcW w:w="1530" w:type="dxa"/>
            <w:tcBorders>
              <w:top w:val="single" w:sz="4" w:space="0" w:color="auto"/>
            </w:tcBorders>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68</w:t>
            </w:r>
          </w:p>
        </w:tc>
        <w:tc>
          <w:tcPr>
            <w:tcW w:w="1843" w:type="dxa"/>
            <w:tcBorders>
              <w:top w:val="single" w:sz="4" w:space="0" w:color="auto"/>
            </w:tcBorders>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46.9</w:t>
            </w:r>
          </w:p>
        </w:tc>
      </w:tr>
      <w:tr w:rsidR="002436E9" w:rsidRPr="00C80832" w:rsidTr="00FA3587">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Female</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77</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53.1</w:t>
            </w:r>
          </w:p>
        </w:tc>
      </w:tr>
      <w:tr w:rsidR="002436E9" w:rsidRPr="00C80832" w:rsidTr="00FA3587">
        <w:trPr>
          <w:jc w:val="center"/>
        </w:trPr>
        <w:tc>
          <w:tcPr>
            <w:tcW w:w="2155" w:type="dxa"/>
            <w:vMerge w:val="restart"/>
            <w:shd w:val="clear" w:color="auto" w:fill="auto"/>
            <w:hideMark/>
          </w:tcPr>
          <w:p w:rsidR="002436E9" w:rsidRPr="00C80832" w:rsidRDefault="002436E9" w:rsidP="00A84631">
            <w:pPr>
              <w:spacing w:after="0" w:line="240" w:lineRule="auto"/>
              <w:jc w:val="both"/>
              <w:rPr>
                <w:rFonts w:ascii="Times New Roman" w:hAnsi="Times New Roman"/>
                <w:b/>
                <w:sz w:val="20"/>
                <w:szCs w:val="20"/>
              </w:rPr>
            </w:pPr>
            <w:r w:rsidRPr="00C80832">
              <w:rPr>
                <w:rFonts w:ascii="Times New Roman" w:hAnsi="Times New Roman"/>
                <w:b/>
                <w:sz w:val="20"/>
                <w:szCs w:val="20"/>
              </w:rPr>
              <w:t>Age</w:t>
            </w:r>
            <w:r w:rsidR="0099736D" w:rsidRPr="00C80832">
              <w:rPr>
                <w:rFonts w:ascii="Times New Roman" w:hAnsi="Times New Roman"/>
                <w:b/>
                <w:sz w:val="20"/>
                <w:szCs w:val="20"/>
              </w:rPr>
              <w:t xml:space="preserve"> (Years)</w:t>
            </w:r>
          </w:p>
        </w:tc>
        <w:tc>
          <w:tcPr>
            <w:tcW w:w="2790" w:type="dxa"/>
            <w:shd w:val="clear" w:color="auto" w:fill="auto"/>
            <w:hideMark/>
          </w:tcPr>
          <w:p w:rsidR="002436E9" w:rsidRPr="00C80832" w:rsidRDefault="004D6A1F" w:rsidP="00A84631">
            <w:pPr>
              <w:spacing w:after="0" w:line="240" w:lineRule="auto"/>
              <w:rPr>
                <w:rFonts w:ascii="Times New Roman" w:hAnsi="Times New Roman"/>
                <w:sz w:val="20"/>
                <w:szCs w:val="20"/>
              </w:rPr>
            </w:pPr>
            <w:r w:rsidRPr="00C80832">
              <w:rPr>
                <w:rFonts w:ascii="Times New Roman" w:hAnsi="Times New Roman"/>
                <w:sz w:val="20"/>
                <w:szCs w:val="20"/>
              </w:rPr>
              <w:t>20-</w:t>
            </w:r>
            <w:r w:rsidR="0099736D" w:rsidRPr="00C80832">
              <w:rPr>
                <w:rFonts w:ascii="Times New Roman" w:hAnsi="Times New Roman"/>
                <w:sz w:val="20"/>
                <w:szCs w:val="20"/>
              </w:rPr>
              <w:t xml:space="preserve">29 </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33</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22.8</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4D6A1F" w:rsidP="00A84631">
            <w:pPr>
              <w:spacing w:after="0" w:line="240" w:lineRule="auto"/>
              <w:rPr>
                <w:rFonts w:ascii="Times New Roman" w:hAnsi="Times New Roman"/>
                <w:sz w:val="20"/>
                <w:szCs w:val="20"/>
              </w:rPr>
            </w:pPr>
            <w:r w:rsidRPr="00C80832">
              <w:rPr>
                <w:rFonts w:ascii="Times New Roman" w:hAnsi="Times New Roman"/>
                <w:sz w:val="20"/>
                <w:szCs w:val="20"/>
              </w:rPr>
              <w:t>30-</w:t>
            </w:r>
            <w:r w:rsidR="0099736D" w:rsidRPr="00C80832">
              <w:rPr>
                <w:rFonts w:ascii="Times New Roman" w:hAnsi="Times New Roman"/>
                <w:sz w:val="20"/>
                <w:szCs w:val="20"/>
              </w:rPr>
              <w:t>39</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45</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31.0</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4D6A1F" w:rsidP="00A84631">
            <w:pPr>
              <w:spacing w:after="0" w:line="240" w:lineRule="auto"/>
              <w:rPr>
                <w:rFonts w:ascii="Times New Roman" w:hAnsi="Times New Roman"/>
                <w:sz w:val="20"/>
                <w:szCs w:val="20"/>
              </w:rPr>
            </w:pPr>
            <w:r w:rsidRPr="00C80832">
              <w:rPr>
                <w:rFonts w:ascii="Times New Roman" w:hAnsi="Times New Roman"/>
                <w:sz w:val="20"/>
                <w:szCs w:val="20"/>
              </w:rPr>
              <w:t>40-</w:t>
            </w:r>
            <w:r w:rsidR="0099736D" w:rsidRPr="00C80832">
              <w:rPr>
                <w:rFonts w:ascii="Times New Roman" w:hAnsi="Times New Roman"/>
                <w:sz w:val="20"/>
                <w:szCs w:val="20"/>
              </w:rPr>
              <w:t>49</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26</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17.9</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4D6A1F" w:rsidP="00A84631">
            <w:pPr>
              <w:spacing w:after="0" w:line="240" w:lineRule="auto"/>
              <w:rPr>
                <w:rFonts w:ascii="Times New Roman" w:hAnsi="Times New Roman"/>
                <w:sz w:val="20"/>
                <w:szCs w:val="20"/>
              </w:rPr>
            </w:pPr>
            <w:r w:rsidRPr="00C80832">
              <w:rPr>
                <w:rFonts w:ascii="Times New Roman" w:hAnsi="Times New Roman"/>
                <w:sz w:val="20"/>
                <w:szCs w:val="20"/>
              </w:rPr>
              <w:t>50-</w:t>
            </w:r>
            <w:r w:rsidR="0099736D" w:rsidRPr="00C80832">
              <w:rPr>
                <w:rFonts w:ascii="Times New Roman" w:hAnsi="Times New Roman"/>
                <w:sz w:val="20"/>
                <w:szCs w:val="20"/>
              </w:rPr>
              <w:t>59</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36</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24.8</w:t>
            </w:r>
          </w:p>
        </w:tc>
      </w:tr>
      <w:tr w:rsidR="002436E9" w:rsidRPr="00C80832" w:rsidTr="00FA3587">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60 and above</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5</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3.4</w:t>
            </w:r>
          </w:p>
        </w:tc>
      </w:tr>
      <w:tr w:rsidR="002436E9" w:rsidRPr="00C80832" w:rsidTr="00FA3587">
        <w:trPr>
          <w:jc w:val="center"/>
        </w:trPr>
        <w:tc>
          <w:tcPr>
            <w:tcW w:w="2155" w:type="dxa"/>
            <w:vMerge w:val="restart"/>
            <w:shd w:val="clear" w:color="auto" w:fill="auto"/>
            <w:hideMark/>
          </w:tcPr>
          <w:p w:rsidR="002436E9" w:rsidRPr="00C80832" w:rsidRDefault="002436E9" w:rsidP="00A84631">
            <w:pPr>
              <w:spacing w:after="0" w:line="240" w:lineRule="auto"/>
              <w:jc w:val="both"/>
              <w:rPr>
                <w:rFonts w:ascii="Times New Roman" w:hAnsi="Times New Roman"/>
                <w:b/>
                <w:sz w:val="20"/>
                <w:szCs w:val="20"/>
              </w:rPr>
            </w:pPr>
            <w:r w:rsidRPr="00C80832">
              <w:rPr>
                <w:rFonts w:ascii="Times New Roman" w:hAnsi="Times New Roman"/>
                <w:b/>
                <w:sz w:val="20"/>
                <w:szCs w:val="20"/>
              </w:rPr>
              <w:t>Education level</w:t>
            </w:r>
          </w:p>
        </w:tc>
        <w:tc>
          <w:tcPr>
            <w:tcW w:w="2790" w:type="dxa"/>
            <w:shd w:val="clear" w:color="auto" w:fill="auto"/>
            <w:hideMark/>
          </w:tcPr>
          <w:p w:rsidR="002436E9" w:rsidRPr="00C80832" w:rsidRDefault="004D6A1F" w:rsidP="00A84631">
            <w:pPr>
              <w:spacing w:after="0" w:line="240" w:lineRule="auto"/>
              <w:rPr>
                <w:rFonts w:ascii="Times New Roman" w:hAnsi="Times New Roman"/>
                <w:sz w:val="20"/>
                <w:szCs w:val="20"/>
              </w:rPr>
            </w:pPr>
            <w:r w:rsidRPr="00C80832">
              <w:rPr>
                <w:rFonts w:ascii="Times New Roman" w:hAnsi="Times New Roman"/>
                <w:sz w:val="20"/>
                <w:szCs w:val="20"/>
              </w:rPr>
              <w:t>&lt;=</w:t>
            </w:r>
            <w:r w:rsidR="002436E9" w:rsidRPr="00C80832">
              <w:rPr>
                <w:rFonts w:ascii="Times New Roman" w:hAnsi="Times New Roman"/>
                <w:sz w:val="20"/>
                <w:szCs w:val="20"/>
              </w:rPr>
              <w:t>Primary school</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11</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7.6</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Certificate/SPM</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60</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41.4</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STPM</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12</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8.0</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Diploma</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15</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10.3</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99736D" w:rsidP="00A84631">
            <w:pPr>
              <w:spacing w:after="0" w:line="240" w:lineRule="auto"/>
              <w:rPr>
                <w:rFonts w:ascii="Times New Roman" w:hAnsi="Times New Roman"/>
                <w:sz w:val="20"/>
                <w:szCs w:val="20"/>
              </w:rPr>
            </w:pPr>
            <w:r w:rsidRPr="00C80832">
              <w:rPr>
                <w:rFonts w:ascii="Times New Roman" w:hAnsi="Times New Roman"/>
                <w:sz w:val="20"/>
                <w:szCs w:val="20"/>
              </w:rPr>
              <w:t>Bachelor</w:t>
            </w:r>
            <w:r w:rsidR="002436E9" w:rsidRPr="00C80832">
              <w:rPr>
                <w:rFonts w:ascii="Times New Roman" w:hAnsi="Times New Roman"/>
                <w:sz w:val="20"/>
                <w:szCs w:val="20"/>
              </w:rPr>
              <w:t xml:space="preserve"> Degree</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37</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25.5</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99736D" w:rsidP="00A84631">
            <w:pPr>
              <w:spacing w:after="0" w:line="240" w:lineRule="auto"/>
              <w:rPr>
                <w:rFonts w:ascii="Times New Roman" w:hAnsi="Times New Roman"/>
                <w:sz w:val="20"/>
                <w:szCs w:val="20"/>
              </w:rPr>
            </w:pPr>
            <w:r w:rsidRPr="00C80832">
              <w:rPr>
                <w:rFonts w:ascii="Times New Roman" w:hAnsi="Times New Roman"/>
                <w:sz w:val="20"/>
                <w:szCs w:val="20"/>
              </w:rPr>
              <w:t>Master</w:t>
            </w:r>
            <w:r w:rsidR="002436E9" w:rsidRPr="00C80832">
              <w:rPr>
                <w:rFonts w:ascii="Times New Roman" w:hAnsi="Times New Roman"/>
                <w:sz w:val="20"/>
                <w:szCs w:val="20"/>
              </w:rPr>
              <w:t xml:space="preserve"> Degree</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8</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6.0</w:t>
            </w:r>
          </w:p>
        </w:tc>
      </w:tr>
      <w:tr w:rsidR="002436E9" w:rsidRPr="00C80832" w:rsidTr="00FA3587">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AE4EC7" w:rsidP="00A84631">
            <w:pPr>
              <w:spacing w:after="0" w:line="240" w:lineRule="auto"/>
              <w:rPr>
                <w:rFonts w:ascii="Times New Roman" w:hAnsi="Times New Roman"/>
                <w:sz w:val="20"/>
                <w:szCs w:val="20"/>
              </w:rPr>
            </w:pPr>
            <w:r w:rsidRPr="00C80832">
              <w:rPr>
                <w:rFonts w:ascii="Times New Roman" w:hAnsi="Times New Roman"/>
                <w:sz w:val="20"/>
                <w:szCs w:val="20"/>
              </w:rPr>
              <w:t>Doctor</w:t>
            </w:r>
            <w:r w:rsidR="002436E9" w:rsidRPr="00C80832">
              <w:rPr>
                <w:rFonts w:ascii="Times New Roman" w:hAnsi="Times New Roman"/>
                <w:sz w:val="20"/>
                <w:szCs w:val="20"/>
              </w:rPr>
              <w:t xml:space="preserve"> of Philosophy</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1.0</w:t>
            </w:r>
          </w:p>
        </w:tc>
      </w:tr>
      <w:tr w:rsidR="002436E9" w:rsidRPr="00C80832" w:rsidTr="00FA3587">
        <w:trPr>
          <w:jc w:val="center"/>
        </w:trPr>
        <w:tc>
          <w:tcPr>
            <w:tcW w:w="2155" w:type="dxa"/>
            <w:vMerge w:val="restart"/>
            <w:shd w:val="clear" w:color="auto" w:fill="auto"/>
          </w:tcPr>
          <w:p w:rsidR="002436E9" w:rsidRPr="00C80832" w:rsidRDefault="002436E9" w:rsidP="00A84631">
            <w:pPr>
              <w:spacing w:after="0" w:line="240" w:lineRule="auto"/>
              <w:jc w:val="both"/>
              <w:rPr>
                <w:rFonts w:ascii="Times New Roman" w:hAnsi="Times New Roman"/>
                <w:b/>
                <w:sz w:val="20"/>
                <w:szCs w:val="20"/>
              </w:rPr>
            </w:pPr>
            <w:r w:rsidRPr="00C80832">
              <w:rPr>
                <w:rFonts w:ascii="Times New Roman" w:hAnsi="Times New Roman"/>
                <w:b/>
                <w:sz w:val="20"/>
                <w:szCs w:val="20"/>
              </w:rPr>
              <w:t>Employment</w:t>
            </w:r>
          </w:p>
          <w:p w:rsidR="002436E9" w:rsidRPr="00C80832" w:rsidRDefault="002436E9" w:rsidP="00A84631">
            <w:pPr>
              <w:spacing w:after="0" w:line="240" w:lineRule="auto"/>
              <w:jc w:val="both"/>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Government</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55</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37.9</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Private</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47</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32.4</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Self-employed</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18</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12.4</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Studying</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9</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6.2</w:t>
            </w:r>
          </w:p>
        </w:tc>
      </w:tr>
      <w:tr w:rsidR="002436E9" w:rsidRPr="00C80832" w:rsidTr="00FA3587">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Others</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16</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11.0</w:t>
            </w:r>
          </w:p>
        </w:tc>
      </w:tr>
      <w:tr w:rsidR="002436E9" w:rsidRPr="00C80832" w:rsidTr="00FA3587">
        <w:trPr>
          <w:jc w:val="center"/>
        </w:trPr>
        <w:tc>
          <w:tcPr>
            <w:tcW w:w="2155" w:type="dxa"/>
            <w:vMerge w:val="restart"/>
            <w:shd w:val="clear" w:color="auto" w:fill="auto"/>
            <w:hideMark/>
          </w:tcPr>
          <w:p w:rsidR="002436E9" w:rsidRPr="00C80832" w:rsidRDefault="002436E9" w:rsidP="00A84631">
            <w:pPr>
              <w:spacing w:after="0" w:line="240" w:lineRule="auto"/>
              <w:jc w:val="both"/>
              <w:rPr>
                <w:rFonts w:ascii="Times New Roman" w:hAnsi="Times New Roman"/>
                <w:b/>
                <w:sz w:val="20"/>
                <w:szCs w:val="20"/>
              </w:rPr>
            </w:pPr>
            <w:r w:rsidRPr="00C80832">
              <w:rPr>
                <w:rFonts w:ascii="Times New Roman" w:hAnsi="Times New Roman"/>
                <w:b/>
                <w:sz w:val="20"/>
                <w:szCs w:val="20"/>
              </w:rPr>
              <w:t>Income</w:t>
            </w:r>
            <w:r w:rsidR="00FD0FEC" w:rsidRPr="00C80832">
              <w:rPr>
                <w:rFonts w:ascii="Times New Roman" w:hAnsi="Times New Roman"/>
                <w:b/>
                <w:sz w:val="20"/>
                <w:szCs w:val="20"/>
              </w:rPr>
              <w:t xml:space="preserve"> (RM)</w:t>
            </w:r>
          </w:p>
        </w:tc>
        <w:tc>
          <w:tcPr>
            <w:tcW w:w="2790" w:type="dxa"/>
            <w:shd w:val="clear" w:color="auto" w:fill="auto"/>
            <w:hideMark/>
          </w:tcPr>
          <w:p w:rsidR="002436E9" w:rsidRPr="00C80832" w:rsidRDefault="0099736D" w:rsidP="00A84631">
            <w:pPr>
              <w:spacing w:after="0" w:line="240" w:lineRule="auto"/>
              <w:rPr>
                <w:rFonts w:ascii="Times New Roman" w:hAnsi="Times New Roman"/>
                <w:sz w:val="20"/>
                <w:szCs w:val="20"/>
              </w:rPr>
            </w:pPr>
            <w:r w:rsidRPr="00C80832">
              <w:rPr>
                <w:rFonts w:ascii="Times New Roman" w:hAnsi="Times New Roman"/>
                <w:sz w:val="20"/>
                <w:szCs w:val="20"/>
              </w:rPr>
              <w:t>&lt;=</w:t>
            </w:r>
            <w:r w:rsidR="002436E9" w:rsidRPr="00C80832">
              <w:rPr>
                <w:rFonts w:ascii="Times New Roman" w:hAnsi="Times New Roman"/>
                <w:sz w:val="20"/>
                <w:szCs w:val="20"/>
              </w:rPr>
              <w:t>1,000</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27</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18.6</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1</w:t>
            </w:r>
            <w:r w:rsidR="00FD0FEC" w:rsidRPr="00C80832">
              <w:rPr>
                <w:rFonts w:ascii="Times New Roman" w:hAnsi="Times New Roman"/>
                <w:sz w:val="20"/>
                <w:szCs w:val="20"/>
              </w:rPr>
              <w:t>,001-</w:t>
            </w:r>
            <w:r w:rsidRPr="00C80832">
              <w:rPr>
                <w:rFonts w:ascii="Times New Roman" w:hAnsi="Times New Roman"/>
                <w:sz w:val="20"/>
                <w:szCs w:val="20"/>
              </w:rPr>
              <w:t>2500</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37</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25.5</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FD0FEC" w:rsidP="00A84631">
            <w:pPr>
              <w:spacing w:after="0" w:line="240" w:lineRule="auto"/>
              <w:rPr>
                <w:rFonts w:ascii="Times New Roman" w:hAnsi="Times New Roman"/>
                <w:sz w:val="20"/>
                <w:szCs w:val="20"/>
              </w:rPr>
            </w:pPr>
            <w:r w:rsidRPr="00C80832">
              <w:rPr>
                <w:rFonts w:ascii="Times New Roman" w:hAnsi="Times New Roman"/>
                <w:sz w:val="20"/>
                <w:szCs w:val="20"/>
              </w:rPr>
              <w:t>2,501-</w:t>
            </w:r>
            <w:r w:rsidR="002436E9" w:rsidRPr="00C80832">
              <w:rPr>
                <w:rFonts w:ascii="Times New Roman" w:hAnsi="Times New Roman"/>
                <w:sz w:val="20"/>
                <w:szCs w:val="20"/>
              </w:rPr>
              <w:t>4,000</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51</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35.2</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FD0FEC" w:rsidP="00A84631">
            <w:pPr>
              <w:spacing w:after="0" w:line="240" w:lineRule="auto"/>
              <w:rPr>
                <w:rFonts w:ascii="Times New Roman" w:hAnsi="Times New Roman"/>
                <w:sz w:val="20"/>
                <w:szCs w:val="20"/>
              </w:rPr>
            </w:pPr>
            <w:r w:rsidRPr="00C80832">
              <w:rPr>
                <w:rFonts w:ascii="Times New Roman" w:hAnsi="Times New Roman"/>
                <w:sz w:val="20"/>
                <w:szCs w:val="20"/>
              </w:rPr>
              <w:t>4,001-</w:t>
            </w:r>
            <w:r w:rsidR="002436E9" w:rsidRPr="00C80832">
              <w:rPr>
                <w:rFonts w:ascii="Times New Roman" w:hAnsi="Times New Roman"/>
                <w:sz w:val="20"/>
                <w:szCs w:val="20"/>
              </w:rPr>
              <w:t>5,500</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15</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10.3</w:t>
            </w:r>
          </w:p>
        </w:tc>
      </w:tr>
      <w:tr w:rsidR="002436E9" w:rsidRPr="00C80832" w:rsidTr="00FA3587">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b/>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5,501=&gt;</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15</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10.3</w:t>
            </w:r>
          </w:p>
        </w:tc>
      </w:tr>
      <w:tr w:rsidR="002436E9" w:rsidRPr="00C80832" w:rsidTr="00FA3587">
        <w:trPr>
          <w:jc w:val="center"/>
        </w:trPr>
        <w:tc>
          <w:tcPr>
            <w:tcW w:w="2155" w:type="dxa"/>
            <w:vMerge w:val="restart"/>
            <w:shd w:val="clear" w:color="auto" w:fill="auto"/>
            <w:hideMark/>
          </w:tcPr>
          <w:p w:rsidR="002436E9" w:rsidRPr="00C80832" w:rsidRDefault="002436E9" w:rsidP="00A84631">
            <w:pPr>
              <w:spacing w:after="0" w:line="240" w:lineRule="auto"/>
              <w:jc w:val="both"/>
              <w:rPr>
                <w:rFonts w:ascii="Times New Roman" w:hAnsi="Times New Roman"/>
                <w:sz w:val="20"/>
                <w:szCs w:val="20"/>
              </w:rPr>
            </w:pPr>
            <w:r w:rsidRPr="00C80832">
              <w:rPr>
                <w:rFonts w:ascii="Times New Roman" w:hAnsi="Times New Roman"/>
                <w:b/>
                <w:sz w:val="20"/>
                <w:szCs w:val="20"/>
              </w:rPr>
              <w:t>Number of children</w:t>
            </w: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None</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29</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20.0</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sz w:val="20"/>
                <w:szCs w:val="20"/>
              </w:rPr>
            </w:pPr>
          </w:p>
        </w:tc>
        <w:tc>
          <w:tcPr>
            <w:tcW w:w="2790" w:type="dxa"/>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1</w:t>
            </w:r>
            <w:r w:rsidR="0099736D" w:rsidRPr="00C80832">
              <w:rPr>
                <w:rFonts w:ascii="Times New Roman" w:hAnsi="Times New Roman"/>
                <w:sz w:val="20"/>
                <w:szCs w:val="20"/>
              </w:rPr>
              <w:t>-</w:t>
            </w:r>
            <w:r w:rsidRPr="00C80832">
              <w:rPr>
                <w:rFonts w:ascii="Times New Roman" w:hAnsi="Times New Roman"/>
                <w:sz w:val="20"/>
                <w:szCs w:val="20"/>
              </w:rPr>
              <w:t>3</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65</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44.8</w:t>
            </w:r>
          </w:p>
        </w:tc>
      </w:tr>
      <w:tr w:rsidR="002436E9" w:rsidRPr="00C80832" w:rsidTr="00A84631">
        <w:trPr>
          <w:jc w:val="center"/>
        </w:trPr>
        <w:tc>
          <w:tcPr>
            <w:tcW w:w="0" w:type="auto"/>
            <w:vMerge/>
            <w:shd w:val="clear" w:color="auto" w:fill="auto"/>
            <w:vAlign w:val="center"/>
            <w:hideMark/>
          </w:tcPr>
          <w:p w:rsidR="002436E9" w:rsidRPr="00C80832" w:rsidRDefault="002436E9" w:rsidP="00A84631">
            <w:pPr>
              <w:spacing w:after="0" w:line="240" w:lineRule="auto"/>
              <w:rPr>
                <w:rFonts w:ascii="Times New Roman" w:hAnsi="Times New Roman"/>
                <w:sz w:val="20"/>
                <w:szCs w:val="20"/>
              </w:rPr>
            </w:pPr>
          </w:p>
        </w:tc>
        <w:tc>
          <w:tcPr>
            <w:tcW w:w="2790" w:type="dxa"/>
            <w:shd w:val="clear" w:color="auto" w:fill="auto"/>
            <w:hideMark/>
          </w:tcPr>
          <w:p w:rsidR="002436E9" w:rsidRPr="00C80832" w:rsidRDefault="0099736D" w:rsidP="0099736D">
            <w:pPr>
              <w:spacing w:after="0" w:line="240" w:lineRule="auto"/>
              <w:rPr>
                <w:rFonts w:ascii="Times New Roman" w:hAnsi="Times New Roman"/>
                <w:sz w:val="20"/>
                <w:szCs w:val="20"/>
              </w:rPr>
            </w:pPr>
            <w:r w:rsidRPr="00C80832">
              <w:rPr>
                <w:rFonts w:ascii="Times New Roman" w:hAnsi="Times New Roman"/>
                <w:sz w:val="20"/>
                <w:szCs w:val="20"/>
              </w:rPr>
              <w:t>4-</w:t>
            </w:r>
            <w:r w:rsidR="002436E9" w:rsidRPr="00C80832">
              <w:rPr>
                <w:rFonts w:ascii="Times New Roman" w:hAnsi="Times New Roman"/>
                <w:sz w:val="20"/>
                <w:szCs w:val="20"/>
              </w:rPr>
              <w:t>6</w:t>
            </w:r>
          </w:p>
        </w:tc>
        <w:tc>
          <w:tcPr>
            <w:tcW w:w="1530"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39</w:t>
            </w:r>
          </w:p>
        </w:tc>
        <w:tc>
          <w:tcPr>
            <w:tcW w:w="1843" w:type="dxa"/>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26.9</w:t>
            </w:r>
          </w:p>
        </w:tc>
      </w:tr>
      <w:tr w:rsidR="002436E9" w:rsidRPr="00C80832" w:rsidTr="00A84631">
        <w:trPr>
          <w:jc w:val="center"/>
        </w:trPr>
        <w:tc>
          <w:tcPr>
            <w:tcW w:w="0" w:type="auto"/>
            <w:vMerge/>
            <w:tcBorders>
              <w:bottom w:val="single" w:sz="4" w:space="0" w:color="auto"/>
            </w:tcBorders>
            <w:shd w:val="clear" w:color="auto" w:fill="auto"/>
            <w:vAlign w:val="center"/>
            <w:hideMark/>
          </w:tcPr>
          <w:p w:rsidR="002436E9" w:rsidRPr="00C80832" w:rsidRDefault="002436E9" w:rsidP="00A84631">
            <w:pPr>
              <w:spacing w:after="0" w:line="240" w:lineRule="auto"/>
              <w:rPr>
                <w:rFonts w:ascii="Times New Roman" w:hAnsi="Times New Roman"/>
                <w:sz w:val="20"/>
                <w:szCs w:val="20"/>
              </w:rPr>
            </w:pPr>
          </w:p>
        </w:tc>
        <w:tc>
          <w:tcPr>
            <w:tcW w:w="2790" w:type="dxa"/>
            <w:tcBorders>
              <w:bottom w:val="single" w:sz="4" w:space="0" w:color="auto"/>
            </w:tcBorders>
            <w:shd w:val="clear" w:color="auto" w:fill="auto"/>
            <w:hideMark/>
          </w:tcPr>
          <w:p w:rsidR="002436E9" w:rsidRPr="00C80832" w:rsidRDefault="002436E9" w:rsidP="00A84631">
            <w:pPr>
              <w:spacing w:after="0" w:line="240" w:lineRule="auto"/>
              <w:rPr>
                <w:rFonts w:ascii="Times New Roman" w:hAnsi="Times New Roman"/>
                <w:sz w:val="20"/>
                <w:szCs w:val="20"/>
              </w:rPr>
            </w:pPr>
            <w:r w:rsidRPr="00C80832">
              <w:rPr>
                <w:rFonts w:ascii="Times New Roman" w:hAnsi="Times New Roman"/>
                <w:sz w:val="20"/>
                <w:szCs w:val="20"/>
              </w:rPr>
              <w:t>&gt;6</w:t>
            </w:r>
          </w:p>
        </w:tc>
        <w:tc>
          <w:tcPr>
            <w:tcW w:w="1530" w:type="dxa"/>
            <w:tcBorders>
              <w:bottom w:val="single" w:sz="4" w:space="0" w:color="auto"/>
            </w:tcBorders>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12</w:t>
            </w:r>
          </w:p>
        </w:tc>
        <w:tc>
          <w:tcPr>
            <w:tcW w:w="1843" w:type="dxa"/>
            <w:tcBorders>
              <w:bottom w:val="single" w:sz="4" w:space="0" w:color="auto"/>
            </w:tcBorders>
            <w:shd w:val="clear" w:color="auto" w:fill="auto"/>
            <w:hideMark/>
          </w:tcPr>
          <w:p w:rsidR="002436E9" w:rsidRPr="00C80832" w:rsidRDefault="002436E9" w:rsidP="00A84631">
            <w:pPr>
              <w:spacing w:after="0" w:line="240" w:lineRule="auto"/>
              <w:jc w:val="center"/>
              <w:rPr>
                <w:rFonts w:ascii="Times New Roman" w:hAnsi="Times New Roman"/>
                <w:sz w:val="20"/>
                <w:szCs w:val="20"/>
              </w:rPr>
            </w:pPr>
            <w:r w:rsidRPr="00C80832">
              <w:rPr>
                <w:rFonts w:ascii="Times New Roman" w:hAnsi="Times New Roman"/>
                <w:sz w:val="20"/>
                <w:szCs w:val="20"/>
              </w:rPr>
              <w:t>8.3</w:t>
            </w:r>
          </w:p>
        </w:tc>
      </w:tr>
    </w:tbl>
    <w:p w:rsidR="00966CD7" w:rsidRDefault="00966CD7" w:rsidP="00556F15">
      <w:pPr>
        <w:spacing w:after="0" w:line="240" w:lineRule="auto"/>
        <w:jc w:val="both"/>
        <w:rPr>
          <w:rFonts w:ascii="Times New Roman" w:hAnsi="Times New Roman"/>
          <w:i/>
          <w:sz w:val="24"/>
          <w:szCs w:val="24"/>
          <w:lang w:val="en-MY"/>
        </w:rPr>
      </w:pPr>
    </w:p>
    <w:p w:rsidR="00425D18" w:rsidRDefault="00425D18" w:rsidP="00556F15">
      <w:pPr>
        <w:spacing w:after="0" w:line="240" w:lineRule="auto"/>
        <w:jc w:val="both"/>
        <w:rPr>
          <w:rFonts w:ascii="Times New Roman" w:hAnsi="Times New Roman"/>
          <w:i/>
          <w:sz w:val="24"/>
          <w:szCs w:val="24"/>
          <w:lang w:val="en-MY"/>
        </w:rPr>
      </w:pPr>
    </w:p>
    <w:p w:rsidR="00556F15" w:rsidRPr="00556F15" w:rsidRDefault="00556F15" w:rsidP="00556F15">
      <w:pPr>
        <w:spacing w:after="0" w:line="240" w:lineRule="auto"/>
        <w:jc w:val="both"/>
        <w:rPr>
          <w:rFonts w:ascii="Times New Roman" w:hAnsi="Times New Roman"/>
          <w:i/>
          <w:sz w:val="24"/>
          <w:szCs w:val="24"/>
          <w:lang w:val="en-MY"/>
        </w:rPr>
      </w:pPr>
      <w:r w:rsidRPr="00556F15">
        <w:rPr>
          <w:rFonts w:ascii="Times New Roman" w:hAnsi="Times New Roman"/>
          <w:i/>
          <w:sz w:val="24"/>
          <w:szCs w:val="24"/>
          <w:lang w:val="en-MY"/>
        </w:rPr>
        <w:t>Level of understanding</w:t>
      </w:r>
    </w:p>
    <w:p w:rsidR="00556F15" w:rsidRDefault="00556F15" w:rsidP="00556F15">
      <w:pPr>
        <w:spacing w:after="0" w:line="240" w:lineRule="auto"/>
        <w:jc w:val="both"/>
        <w:rPr>
          <w:rFonts w:ascii="Times New Roman" w:hAnsi="Times New Roman"/>
          <w:sz w:val="24"/>
          <w:szCs w:val="24"/>
        </w:rPr>
      </w:pPr>
    </w:p>
    <w:p w:rsidR="00556F15" w:rsidRPr="00556F15" w:rsidRDefault="00556F15" w:rsidP="00556F15">
      <w:pPr>
        <w:spacing w:after="0" w:line="240" w:lineRule="auto"/>
        <w:jc w:val="both"/>
        <w:rPr>
          <w:rFonts w:ascii="Times New Roman" w:hAnsi="Times New Roman"/>
          <w:sz w:val="24"/>
          <w:szCs w:val="24"/>
        </w:rPr>
      </w:pPr>
      <w:r w:rsidRPr="00556F15">
        <w:rPr>
          <w:rFonts w:ascii="Times New Roman" w:hAnsi="Times New Roman"/>
          <w:sz w:val="24"/>
          <w:szCs w:val="24"/>
        </w:rPr>
        <w:t xml:space="preserve">Table </w:t>
      </w:r>
      <w:r w:rsidR="00F263B7">
        <w:rPr>
          <w:rFonts w:ascii="Times New Roman" w:hAnsi="Times New Roman"/>
          <w:sz w:val="24"/>
          <w:szCs w:val="24"/>
        </w:rPr>
        <w:t>5</w:t>
      </w:r>
      <w:r w:rsidR="00F10B7C">
        <w:rPr>
          <w:rFonts w:ascii="Times New Roman" w:hAnsi="Times New Roman"/>
          <w:sz w:val="24"/>
          <w:szCs w:val="24"/>
        </w:rPr>
        <w:t xml:space="preserve"> showed</w:t>
      </w:r>
      <w:r w:rsidRPr="00556F15">
        <w:rPr>
          <w:rFonts w:ascii="Times New Roman" w:hAnsi="Times New Roman"/>
          <w:sz w:val="24"/>
          <w:szCs w:val="24"/>
        </w:rPr>
        <w:t xml:space="preserve"> the reliability test</w:t>
      </w:r>
      <w:r w:rsidR="00F10B7C">
        <w:rPr>
          <w:rFonts w:ascii="Times New Roman" w:hAnsi="Times New Roman"/>
          <w:sz w:val="24"/>
          <w:szCs w:val="24"/>
        </w:rPr>
        <w:t xml:space="preserve"> results</w:t>
      </w:r>
      <w:r w:rsidRPr="00556F15">
        <w:rPr>
          <w:rFonts w:ascii="Times New Roman" w:hAnsi="Times New Roman"/>
          <w:sz w:val="24"/>
          <w:szCs w:val="24"/>
        </w:rPr>
        <w:t xml:space="preserve"> of the items used to measure each component of </w:t>
      </w:r>
      <w:proofErr w:type="spellStart"/>
      <w:r w:rsidRPr="00556F15">
        <w:rPr>
          <w:rFonts w:ascii="Times New Roman" w:hAnsi="Times New Roman"/>
          <w:sz w:val="24"/>
          <w:szCs w:val="24"/>
        </w:rPr>
        <w:t>takaful</w:t>
      </w:r>
      <w:proofErr w:type="spellEnd"/>
      <w:r w:rsidRPr="00556F15">
        <w:rPr>
          <w:rFonts w:ascii="Times New Roman" w:hAnsi="Times New Roman"/>
          <w:sz w:val="24"/>
          <w:szCs w:val="24"/>
        </w:rPr>
        <w:t xml:space="preserve"> education</w:t>
      </w:r>
      <w:r w:rsidR="00F10B7C" w:rsidRPr="00F10B7C">
        <w:rPr>
          <w:rFonts w:ascii="Times New Roman" w:hAnsi="Times New Roman"/>
          <w:sz w:val="24"/>
          <w:szCs w:val="24"/>
        </w:rPr>
        <w:t xml:space="preserve"> </w:t>
      </w:r>
      <w:r w:rsidR="00F10B7C" w:rsidRPr="00556F15">
        <w:rPr>
          <w:rFonts w:ascii="Times New Roman" w:hAnsi="Times New Roman"/>
          <w:sz w:val="24"/>
          <w:szCs w:val="24"/>
        </w:rPr>
        <w:t>understanding</w:t>
      </w:r>
      <w:r w:rsidRPr="00556F15">
        <w:rPr>
          <w:rFonts w:ascii="Times New Roman" w:hAnsi="Times New Roman"/>
          <w:sz w:val="24"/>
          <w:szCs w:val="24"/>
        </w:rPr>
        <w:t xml:space="preserve">. </w:t>
      </w:r>
      <w:r w:rsidRPr="00556F15">
        <w:rPr>
          <w:rFonts w:ascii="Times New Roman" w:hAnsi="Times New Roman"/>
          <w:sz w:val="24"/>
          <w:szCs w:val="24"/>
          <w:lang w:val="en"/>
        </w:rPr>
        <w:t xml:space="preserve">The </w:t>
      </w:r>
      <w:r w:rsidR="00294B7D" w:rsidRPr="00556F15">
        <w:rPr>
          <w:rFonts w:ascii="Times New Roman" w:hAnsi="Times New Roman"/>
          <w:sz w:val="24"/>
          <w:szCs w:val="24"/>
          <w:lang w:val="en"/>
        </w:rPr>
        <w:t xml:space="preserve">coefficients </w:t>
      </w:r>
      <w:r w:rsidR="00294B7D">
        <w:rPr>
          <w:rFonts w:ascii="Times New Roman" w:hAnsi="Times New Roman"/>
          <w:sz w:val="24"/>
          <w:szCs w:val="24"/>
          <w:lang w:val="en"/>
        </w:rPr>
        <w:t>o</w:t>
      </w:r>
      <w:r w:rsidRPr="00556F15">
        <w:rPr>
          <w:rFonts w:ascii="Times New Roman" w:hAnsi="Times New Roman"/>
          <w:sz w:val="24"/>
          <w:szCs w:val="24"/>
          <w:lang w:val="en"/>
        </w:rPr>
        <w:t>f Cronbach's Alpha for concept, importa</w:t>
      </w:r>
      <w:r w:rsidR="00F10B7C">
        <w:rPr>
          <w:rFonts w:ascii="Times New Roman" w:hAnsi="Times New Roman"/>
          <w:sz w:val="24"/>
          <w:szCs w:val="24"/>
          <w:lang w:val="en"/>
        </w:rPr>
        <w:t>nce, protection, and benefit were</w:t>
      </w:r>
      <w:r w:rsidRPr="00556F15">
        <w:rPr>
          <w:rFonts w:ascii="Times New Roman" w:hAnsi="Times New Roman"/>
          <w:sz w:val="24"/>
          <w:szCs w:val="24"/>
          <w:lang w:val="en"/>
        </w:rPr>
        <w:t xml:space="preserve"> 0.86, 0.84, 0.90 and 0.90</w:t>
      </w:r>
      <w:r w:rsidR="00294B7D">
        <w:rPr>
          <w:rFonts w:ascii="Times New Roman" w:hAnsi="Times New Roman"/>
          <w:sz w:val="24"/>
          <w:szCs w:val="24"/>
          <w:lang w:val="en"/>
        </w:rPr>
        <w:t xml:space="preserve"> respe</w:t>
      </w:r>
      <w:r w:rsidR="00F10B7C">
        <w:rPr>
          <w:rFonts w:ascii="Times New Roman" w:hAnsi="Times New Roman"/>
          <w:sz w:val="24"/>
          <w:szCs w:val="24"/>
          <w:lang w:val="en"/>
        </w:rPr>
        <w:t>ctively. These values were</w:t>
      </w:r>
      <w:r w:rsidRPr="00556F15">
        <w:rPr>
          <w:rFonts w:ascii="Times New Roman" w:hAnsi="Times New Roman"/>
          <w:sz w:val="24"/>
          <w:szCs w:val="24"/>
          <w:lang w:val="en"/>
        </w:rPr>
        <w:t xml:space="preserve"> </w:t>
      </w:r>
      <w:r w:rsidR="00294B7D">
        <w:rPr>
          <w:rFonts w:ascii="Times New Roman" w:hAnsi="Times New Roman"/>
          <w:sz w:val="24"/>
          <w:szCs w:val="24"/>
          <w:lang w:val="en"/>
        </w:rPr>
        <w:t>more than the</w:t>
      </w:r>
      <w:r w:rsidRPr="00556F15">
        <w:rPr>
          <w:rFonts w:ascii="Times New Roman" w:hAnsi="Times New Roman"/>
          <w:sz w:val="24"/>
          <w:szCs w:val="24"/>
          <w:lang w:val="en"/>
        </w:rPr>
        <w:t xml:space="preserve"> acceptable reliability value of 0.7 (</w:t>
      </w:r>
      <w:proofErr w:type="spellStart"/>
      <w:r w:rsidRPr="00556F15">
        <w:rPr>
          <w:rFonts w:ascii="Times New Roman" w:hAnsi="Times New Roman"/>
          <w:sz w:val="24"/>
          <w:szCs w:val="24"/>
          <w:lang w:val="en"/>
        </w:rPr>
        <w:t>Sekaran</w:t>
      </w:r>
      <w:proofErr w:type="spellEnd"/>
      <w:r w:rsidRPr="00556F15">
        <w:rPr>
          <w:rFonts w:ascii="Times New Roman" w:hAnsi="Times New Roman"/>
          <w:sz w:val="24"/>
          <w:szCs w:val="24"/>
          <w:lang w:val="en"/>
        </w:rPr>
        <w:t xml:space="preserve"> </w:t>
      </w:r>
      <w:r w:rsidR="00B47BB9">
        <w:rPr>
          <w:rFonts w:ascii="Times New Roman" w:hAnsi="Times New Roman"/>
          <w:sz w:val="24"/>
          <w:szCs w:val="24"/>
          <w:lang w:val="en"/>
        </w:rPr>
        <w:t>&amp;</w:t>
      </w:r>
      <w:r w:rsidRPr="00556F15">
        <w:rPr>
          <w:rFonts w:ascii="Times New Roman" w:hAnsi="Times New Roman"/>
          <w:sz w:val="24"/>
          <w:szCs w:val="24"/>
          <w:lang w:val="en"/>
        </w:rPr>
        <w:t xml:space="preserve"> </w:t>
      </w:r>
      <w:proofErr w:type="spellStart"/>
      <w:r w:rsidRPr="00556F15">
        <w:rPr>
          <w:rFonts w:ascii="Times New Roman" w:hAnsi="Times New Roman"/>
          <w:sz w:val="24"/>
          <w:szCs w:val="24"/>
          <w:lang w:val="en"/>
        </w:rPr>
        <w:t>Bougie</w:t>
      </w:r>
      <w:proofErr w:type="spellEnd"/>
      <w:r w:rsidRPr="00556F15">
        <w:rPr>
          <w:rFonts w:ascii="Times New Roman" w:hAnsi="Times New Roman"/>
          <w:sz w:val="24"/>
          <w:szCs w:val="24"/>
          <w:lang w:val="en"/>
        </w:rPr>
        <w:t>, 2016).</w:t>
      </w:r>
      <w:r w:rsidRPr="00556F15">
        <w:rPr>
          <w:rFonts w:ascii="Times New Roman" w:hAnsi="Times New Roman"/>
          <w:sz w:val="24"/>
          <w:szCs w:val="24"/>
        </w:rPr>
        <w:t xml:space="preserve"> Therefore, </w:t>
      </w:r>
      <w:r w:rsidR="00294B7D">
        <w:rPr>
          <w:rFonts w:ascii="Times New Roman" w:hAnsi="Times New Roman"/>
          <w:sz w:val="24"/>
          <w:szCs w:val="24"/>
        </w:rPr>
        <w:t>these</w:t>
      </w:r>
      <w:r w:rsidRPr="00556F15">
        <w:rPr>
          <w:rFonts w:ascii="Times New Roman" w:hAnsi="Times New Roman"/>
          <w:sz w:val="24"/>
          <w:szCs w:val="24"/>
        </w:rPr>
        <w:t xml:space="preserve"> items measure the same components (in their respective components) and have a high correlation between each other.</w:t>
      </w:r>
      <w:bookmarkStart w:id="3" w:name="_Toc463727266"/>
      <w:bookmarkEnd w:id="2"/>
    </w:p>
    <w:p w:rsidR="00556F15" w:rsidRDefault="00556F15" w:rsidP="00556F15">
      <w:pPr>
        <w:spacing w:after="0" w:line="240" w:lineRule="auto"/>
        <w:jc w:val="both"/>
        <w:rPr>
          <w:rFonts w:ascii="Times New Roman" w:hAnsi="Times New Roman"/>
          <w:sz w:val="24"/>
          <w:szCs w:val="24"/>
        </w:rPr>
      </w:pPr>
    </w:p>
    <w:p w:rsidR="00425D18" w:rsidRDefault="00425D18" w:rsidP="00556F15">
      <w:pPr>
        <w:spacing w:after="0" w:line="240" w:lineRule="auto"/>
        <w:jc w:val="both"/>
        <w:rPr>
          <w:rFonts w:ascii="Times New Roman" w:hAnsi="Times New Roman"/>
          <w:sz w:val="24"/>
          <w:szCs w:val="24"/>
        </w:rPr>
      </w:pPr>
    </w:p>
    <w:p w:rsidR="00425D18" w:rsidRDefault="00425D18" w:rsidP="00556F15">
      <w:pPr>
        <w:spacing w:after="0" w:line="240" w:lineRule="auto"/>
        <w:jc w:val="both"/>
        <w:rPr>
          <w:rFonts w:ascii="Times New Roman" w:hAnsi="Times New Roman"/>
          <w:sz w:val="24"/>
          <w:szCs w:val="24"/>
        </w:rPr>
      </w:pPr>
    </w:p>
    <w:p w:rsidR="00425D18" w:rsidRDefault="00425D18" w:rsidP="00556F15">
      <w:pPr>
        <w:spacing w:after="0" w:line="240" w:lineRule="auto"/>
        <w:jc w:val="both"/>
        <w:rPr>
          <w:rFonts w:ascii="Times New Roman" w:hAnsi="Times New Roman"/>
          <w:sz w:val="24"/>
          <w:szCs w:val="24"/>
        </w:rPr>
      </w:pPr>
    </w:p>
    <w:p w:rsidR="00FA3587" w:rsidRPr="00556F15" w:rsidRDefault="00FA3587" w:rsidP="00556F15">
      <w:pPr>
        <w:spacing w:after="0" w:line="240" w:lineRule="auto"/>
        <w:jc w:val="both"/>
        <w:rPr>
          <w:rFonts w:ascii="Times New Roman" w:hAnsi="Times New Roman"/>
          <w:sz w:val="24"/>
          <w:szCs w:val="24"/>
        </w:rPr>
      </w:pPr>
    </w:p>
    <w:p w:rsidR="002436E9" w:rsidRDefault="002436E9" w:rsidP="002436E9">
      <w:pPr>
        <w:spacing w:after="0" w:line="240" w:lineRule="auto"/>
        <w:jc w:val="center"/>
        <w:rPr>
          <w:rFonts w:ascii="Times New Roman" w:hAnsi="Times New Roman"/>
          <w:iCs/>
          <w:sz w:val="20"/>
          <w:szCs w:val="20"/>
        </w:rPr>
      </w:pPr>
      <w:proofErr w:type="gramStart"/>
      <w:r w:rsidRPr="00F6382B">
        <w:rPr>
          <w:rFonts w:ascii="Times New Roman" w:hAnsi="Times New Roman"/>
          <w:b/>
          <w:iCs/>
          <w:sz w:val="20"/>
          <w:szCs w:val="20"/>
        </w:rPr>
        <w:lastRenderedPageBreak/>
        <w:t xml:space="preserve">Table </w:t>
      </w:r>
      <w:r>
        <w:rPr>
          <w:rFonts w:ascii="Times New Roman" w:hAnsi="Times New Roman"/>
          <w:b/>
          <w:iCs/>
          <w:sz w:val="20"/>
          <w:szCs w:val="20"/>
        </w:rPr>
        <w:t>5</w:t>
      </w:r>
      <w:r w:rsidRPr="00F6382B">
        <w:rPr>
          <w:rFonts w:ascii="Times New Roman" w:hAnsi="Times New Roman"/>
          <w:b/>
          <w:iCs/>
          <w:sz w:val="20"/>
          <w:szCs w:val="20"/>
        </w:rPr>
        <w:t>.</w:t>
      </w:r>
      <w:proofErr w:type="gramEnd"/>
      <w:r w:rsidRPr="00F6382B">
        <w:rPr>
          <w:rFonts w:ascii="Times New Roman" w:hAnsi="Times New Roman"/>
          <w:iCs/>
          <w:sz w:val="20"/>
          <w:szCs w:val="20"/>
        </w:rPr>
        <w:t xml:space="preserve">  Reliability test results</w:t>
      </w:r>
    </w:p>
    <w:p w:rsidR="002436E9" w:rsidRPr="00F6382B" w:rsidRDefault="002436E9" w:rsidP="002436E9">
      <w:pPr>
        <w:spacing w:after="0" w:line="240" w:lineRule="auto"/>
        <w:jc w:val="center"/>
        <w:rPr>
          <w:rFonts w:ascii="Times New Roman" w:hAnsi="Times New Roman"/>
          <w:iCs/>
          <w:sz w:val="20"/>
          <w:szCs w:val="20"/>
        </w:rPr>
      </w:pPr>
    </w:p>
    <w:tbl>
      <w:tblPr>
        <w:tblW w:w="0" w:type="auto"/>
        <w:jc w:val="center"/>
        <w:tblLook w:val="04A0" w:firstRow="1" w:lastRow="0" w:firstColumn="1" w:lastColumn="0" w:noHBand="0" w:noVBand="1"/>
      </w:tblPr>
      <w:tblGrid>
        <w:gridCol w:w="4373"/>
        <w:gridCol w:w="4825"/>
      </w:tblGrid>
      <w:tr w:rsidR="002436E9" w:rsidRPr="007844AB" w:rsidTr="00EA7987">
        <w:trPr>
          <w:trHeight w:val="238"/>
          <w:jc w:val="center"/>
        </w:trPr>
        <w:tc>
          <w:tcPr>
            <w:tcW w:w="4373" w:type="dxa"/>
            <w:tcBorders>
              <w:top w:val="single" w:sz="4" w:space="0" w:color="auto"/>
              <w:bottom w:val="single" w:sz="4" w:space="0" w:color="auto"/>
            </w:tcBorders>
            <w:shd w:val="clear" w:color="auto" w:fill="BDD6EE"/>
            <w:hideMark/>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Understanding component</w:t>
            </w:r>
          </w:p>
        </w:tc>
        <w:tc>
          <w:tcPr>
            <w:tcW w:w="4825" w:type="dxa"/>
            <w:tcBorders>
              <w:top w:val="single" w:sz="4" w:space="0" w:color="auto"/>
              <w:bottom w:val="single" w:sz="4" w:space="0" w:color="auto"/>
            </w:tcBorders>
            <w:shd w:val="clear" w:color="auto" w:fill="BDD6EE"/>
            <w:hideMark/>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Cronbach's Alpha Coefficient</w:t>
            </w:r>
          </w:p>
        </w:tc>
      </w:tr>
      <w:tr w:rsidR="002436E9" w:rsidRPr="007844AB" w:rsidTr="00A84631">
        <w:trPr>
          <w:trHeight w:val="213"/>
          <w:jc w:val="center"/>
        </w:trPr>
        <w:tc>
          <w:tcPr>
            <w:tcW w:w="4373" w:type="dxa"/>
            <w:tcBorders>
              <w:top w:val="single" w:sz="4" w:space="0" w:color="auto"/>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Concept</w:t>
            </w:r>
          </w:p>
        </w:tc>
        <w:tc>
          <w:tcPr>
            <w:tcW w:w="4825" w:type="dxa"/>
            <w:tcBorders>
              <w:top w:val="single" w:sz="4" w:space="0" w:color="auto"/>
            </w:tcBorders>
            <w:shd w:val="clear" w:color="auto" w:fill="auto"/>
            <w:hideMark/>
          </w:tcPr>
          <w:p w:rsidR="002436E9" w:rsidRPr="007844AB" w:rsidRDefault="002436E9" w:rsidP="00A84631">
            <w:pPr>
              <w:tabs>
                <w:tab w:val="left" w:pos="855"/>
                <w:tab w:val="center" w:pos="1394"/>
              </w:tabs>
              <w:spacing w:after="0" w:line="240" w:lineRule="auto"/>
              <w:jc w:val="center"/>
              <w:rPr>
                <w:rFonts w:ascii="Times New Roman" w:hAnsi="Times New Roman"/>
                <w:sz w:val="20"/>
                <w:szCs w:val="20"/>
              </w:rPr>
            </w:pPr>
            <w:r w:rsidRPr="007844AB">
              <w:rPr>
                <w:rFonts w:ascii="Times New Roman" w:hAnsi="Times New Roman"/>
                <w:sz w:val="20"/>
                <w:szCs w:val="20"/>
              </w:rPr>
              <w:t>0.86</w:t>
            </w:r>
          </w:p>
        </w:tc>
      </w:tr>
      <w:tr w:rsidR="002436E9" w:rsidRPr="007844AB" w:rsidTr="00A84631">
        <w:trPr>
          <w:trHeight w:val="227"/>
          <w:jc w:val="center"/>
        </w:trPr>
        <w:tc>
          <w:tcPr>
            <w:tcW w:w="4373"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Importance</w:t>
            </w:r>
          </w:p>
        </w:tc>
        <w:tc>
          <w:tcPr>
            <w:tcW w:w="4825"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0.84</w:t>
            </w:r>
          </w:p>
        </w:tc>
      </w:tr>
      <w:tr w:rsidR="002436E9" w:rsidRPr="007844AB" w:rsidTr="00A84631">
        <w:trPr>
          <w:trHeight w:val="227"/>
          <w:jc w:val="center"/>
        </w:trPr>
        <w:tc>
          <w:tcPr>
            <w:tcW w:w="4373"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Protection</w:t>
            </w:r>
          </w:p>
        </w:tc>
        <w:tc>
          <w:tcPr>
            <w:tcW w:w="4825"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0.90</w:t>
            </w:r>
          </w:p>
        </w:tc>
      </w:tr>
      <w:tr w:rsidR="002436E9" w:rsidRPr="007844AB" w:rsidTr="00A84631">
        <w:trPr>
          <w:trHeight w:val="227"/>
          <w:jc w:val="center"/>
        </w:trPr>
        <w:tc>
          <w:tcPr>
            <w:tcW w:w="4373" w:type="dxa"/>
            <w:tcBorders>
              <w:bottom w:val="single" w:sz="4" w:space="0" w:color="auto"/>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Benefit</w:t>
            </w:r>
          </w:p>
        </w:tc>
        <w:tc>
          <w:tcPr>
            <w:tcW w:w="4825" w:type="dxa"/>
            <w:tcBorders>
              <w:bottom w:val="single" w:sz="4" w:space="0" w:color="auto"/>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0.90</w:t>
            </w:r>
          </w:p>
        </w:tc>
      </w:tr>
    </w:tbl>
    <w:p w:rsidR="002436E9" w:rsidRPr="00F6382B" w:rsidRDefault="002436E9" w:rsidP="002436E9">
      <w:pPr>
        <w:spacing w:after="0" w:line="240" w:lineRule="auto"/>
        <w:jc w:val="both"/>
        <w:rPr>
          <w:rFonts w:ascii="Times New Roman" w:hAnsi="Times New Roman"/>
          <w:iCs/>
          <w:sz w:val="20"/>
          <w:szCs w:val="20"/>
        </w:rPr>
      </w:pPr>
    </w:p>
    <w:p w:rsidR="00556F15" w:rsidRPr="00556F15" w:rsidRDefault="00556F15" w:rsidP="00556F15">
      <w:pPr>
        <w:spacing w:after="0" w:line="240" w:lineRule="auto"/>
        <w:ind w:firstLine="360"/>
        <w:jc w:val="both"/>
        <w:rPr>
          <w:rFonts w:ascii="Times New Roman" w:hAnsi="Times New Roman"/>
          <w:sz w:val="24"/>
          <w:szCs w:val="24"/>
        </w:rPr>
      </w:pPr>
      <w:r w:rsidRPr="00556F15">
        <w:rPr>
          <w:rFonts w:ascii="Times New Roman" w:hAnsi="Times New Roman"/>
          <w:sz w:val="24"/>
          <w:szCs w:val="24"/>
          <w:lang w:val="en"/>
        </w:rPr>
        <w:t xml:space="preserve">Based on Table </w:t>
      </w:r>
      <w:r w:rsidR="00F263B7">
        <w:rPr>
          <w:rFonts w:ascii="Times New Roman" w:hAnsi="Times New Roman"/>
          <w:sz w:val="24"/>
          <w:szCs w:val="24"/>
          <w:lang w:val="en"/>
        </w:rPr>
        <w:t>6</w:t>
      </w:r>
      <w:r w:rsidRPr="00556F15">
        <w:rPr>
          <w:rFonts w:ascii="Times New Roman" w:hAnsi="Times New Roman"/>
          <w:sz w:val="24"/>
          <w:szCs w:val="24"/>
          <w:lang w:val="en"/>
        </w:rPr>
        <w:t>, the mean value of each component of understanding i.e. concept, import</w:t>
      </w:r>
      <w:r w:rsidR="00F10B7C">
        <w:rPr>
          <w:rFonts w:ascii="Times New Roman" w:hAnsi="Times New Roman"/>
          <w:sz w:val="24"/>
          <w:szCs w:val="24"/>
          <w:lang w:val="en"/>
        </w:rPr>
        <w:t>ance, protection and benefit were</w:t>
      </w:r>
      <w:r w:rsidRPr="00556F15">
        <w:rPr>
          <w:rFonts w:ascii="Times New Roman" w:hAnsi="Times New Roman"/>
          <w:sz w:val="24"/>
          <w:szCs w:val="24"/>
          <w:lang w:val="en"/>
        </w:rPr>
        <w:t xml:space="preserve"> 3.88, 3.76, 3.86 and 3.71 respectively</w:t>
      </w:r>
      <w:r w:rsidRPr="00556F15">
        <w:rPr>
          <w:rFonts w:ascii="Times New Roman" w:hAnsi="Times New Roman"/>
          <w:sz w:val="24"/>
          <w:szCs w:val="24"/>
        </w:rPr>
        <w:t xml:space="preserve">. </w:t>
      </w:r>
      <w:r w:rsidR="008D761B">
        <w:rPr>
          <w:rFonts w:ascii="Times New Roman" w:hAnsi="Times New Roman"/>
          <w:sz w:val="24"/>
          <w:szCs w:val="24"/>
        </w:rPr>
        <w:t xml:space="preserve">It illustrates that the </w:t>
      </w:r>
      <w:r w:rsidR="008D761B" w:rsidRPr="00556F15">
        <w:rPr>
          <w:rFonts w:ascii="Times New Roman" w:hAnsi="Times New Roman"/>
          <w:sz w:val="24"/>
          <w:szCs w:val="24"/>
        </w:rPr>
        <w:t xml:space="preserve">level of understanding </w:t>
      </w:r>
      <w:r w:rsidR="008D761B">
        <w:rPr>
          <w:rFonts w:ascii="Times New Roman" w:hAnsi="Times New Roman"/>
          <w:sz w:val="24"/>
          <w:szCs w:val="24"/>
        </w:rPr>
        <w:t>on the</w:t>
      </w:r>
      <w:r w:rsidR="008D761B" w:rsidRPr="00556F15">
        <w:rPr>
          <w:rFonts w:ascii="Times New Roman" w:hAnsi="Times New Roman"/>
          <w:sz w:val="24"/>
          <w:szCs w:val="24"/>
        </w:rPr>
        <w:t xml:space="preserve"> concept, importance, protection, and benefit of education </w:t>
      </w:r>
      <w:proofErr w:type="spellStart"/>
      <w:r w:rsidR="008D761B" w:rsidRPr="00556F15">
        <w:rPr>
          <w:rFonts w:ascii="Times New Roman" w:hAnsi="Times New Roman"/>
          <w:sz w:val="24"/>
          <w:szCs w:val="24"/>
        </w:rPr>
        <w:t>takaful</w:t>
      </w:r>
      <w:proofErr w:type="spellEnd"/>
      <w:r w:rsidR="008D761B" w:rsidRPr="00556F15">
        <w:rPr>
          <w:rFonts w:ascii="Times New Roman" w:hAnsi="Times New Roman"/>
          <w:sz w:val="24"/>
          <w:szCs w:val="24"/>
        </w:rPr>
        <w:t xml:space="preserve"> </w:t>
      </w:r>
      <w:r w:rsidR="00F10B7C">
        <w:rPr>
          <w:rFonts w:ascii="Times New Roman" w:hAnsi="Times New Roman"/>
          <w:sz w:val="24"/>
          <w:szCs w:val="24"/>
        </w:rPr>
        <w:t xml:space="preserve">among respondents was high (see </w:t>
      </w:r>
      <w:r w:rsidRPr="00556F15">
        <w:rPr>
          <w:rFonts w:ascii="Times New Roman" w:hAnsi="Times New Roman"/>
          <w:sz w:val="24"/>
          <w:szCs w:val="24"/>
        </w:rPr>
        <w:t xml:space="preserve">Table </w:t>
      </w:r>
      <w:r w:rsidR="00F263B7">
        <w:rPr>
          <w:rFonts w:ascii="Times New Roman" w:hAnsi="Times New Roman"/>
          <w:sz w:val="24"/>
          <w:szCs w:val="24"/>
        </w:rPr>
        <w:t>3</w:t>
      </w:r>
      <w:r w:rsidR="008D761B">
        <w:rPr>
          <w:rFonts w:ascii="Times New Roman" w:hAnsi="Times New Roman"/>
          <w:sz w:val="24"/>
          <w:szCs w:val="24"/>
        </w:rPr>
        <w:t xml:space="preserve">). </w:t>
      </w:r>
      <w:r w:rsidR="00D71769">
        <w:rPr>
          <w:rFonts w:ascii="Times New Roman" w:hAnsi="Times New Roman"/>
          <w:sz w:val="24"/>
          <w:szCs w:val="24"/>
        </w:rPr>
        <w:t xml:space="preserve">Finally, the </w:t>
      </w:r>
      <w:r w:rsidR="0046379D">
        <w:rPr>
          <w:rFonts w:ascii="Times New Roman" w:hAnsi="Times New Roman"/>
          <w:sz w:val="24"/>
          <w:szCs w:val="24"/>
        </w:rPr>
        <w:t xml:space="preserve">overall mean value of </w:t>
      </w:r>
      <w:r w:rsidRPr="00556F15">
        <w:rPr>
          <w:rFonts w:ascii="Times New Roman" w:hAnsi="Times New Roman"/>
          <w:sz w:val="24"/>
          <w:szCs w:val="24"/>
        </w:rPr>
        <w:t xml:space="preserve">understanding is </w:t>
      </w:r>
      <w:r w:rsidR="0046379D">
        <w:rPr>
          <w:rFonts w:ascii="Times New Roman" w:hAnsi="Times New Roman"/>
          <w:sz w:val="24"/>
          <w:szCs w:val="24"/>
        </w:rPr>
        <w:t xml:space="preserve">relatively high, stood at </w:t>
      </w:r>
      <w:bookmarkStart w:id="4" w:name="_Hlk7532072"/>
      <w:r w:rsidR="0046379D">
        <w:rPr>
          <w:rFonts w:ascii="Times New Roman" w:hAnsi="Times New Roman"/>
          <w:sz w:val="24"/>
          <w:szCs w:val="24"/>
        </w:rPr>
        <w:t>3.80.</w:t>
      </w:r>
    </w:p>
    <w:p w:rsidR="00556F15" w:rsidRPr="00556F15" w:rsidRDefault="00556F15" w:rsidP="00556F15">
      <w:pPr>
        <w:spacing w:after="0" w:line="240" w:lineRule="auto"/>
        <w:jc w:val="both"/>
        <w:rPr>
          <w:rFonts w:ascii="Times New Roman" w:hAnsi="Times New Roman"/>
          <w:sz w:val="24"/>
          <w:szCs w:val="24"/>
        </w:rPr>
      </w:pPr>
    </w:p>
    <w:bookmarkEnd w:id="4"/>
    <w:p w:rsidR="002436E9" w:rsidRDefault="002436E9" w:rsidP="002436E9">
      <w:pPr>
        <w:spacing w:after="0" w:line="240" w:lineRule="auto"/>
        <w:jc w:val="center"/>
        <w:rPr>
          <w:rFonts w:ascii="Times New Roman" w:hAnsi="Times New Roman"/>
          <w:iCs/>
          <w:sz w:val="20"/>
          <w:szCs w:val="20"/>
        </w:rPr>
      </w:pPr>
      <w:proofErr w:type="gramStart"/>
      <w:r w:rsidRPr="00F6382B">
        <w:rPr>
          <w:rFonts w:ascii="Times New Roman" w:hAnsi="Times New Roman"/>
          <w:b/>
          <w:iCs/>
          <w:sz w:val="20"/>
          <w:szCs w:val="20"/>
        </w:rPr>
        <w:t xml:space="preserve">Table </w:t>
      </w:r>
      <w:r>
        <w:rPr>
          <w:rFonts w:ascii="Times New Roman" w:hAnsi="Times New Roman"/>
          <w:b/>
          <w:iCs/>
          <w:sz w:val="20"/>
          <w:szCs w:val="20"/>
        </w:rPr>
        <w:t>6</w:t>
      </w:r>
      <w:r w:rsidRPr="00F6382B">
        <w:rPr>
          <w:rFonts w:ascii="Times New Roman" w:hAnsi="Times New Roman"/>
          <w:b/>
          <w:iCs/>
          <w:sz w:val="20"/>
          <w:szCs w:val="20"/>
        </w:rPr>
        <w:t>.</w:t>
      </w:r>
      <w:proofErr w:type="gramEnd"/>
      <w:r w:rsidRPr="00F6382B">
        <w:rPr>
          <w:rFonts w:ascii="Times New Roman" w:hAnsi="Times New Roman"/>
          <w:iCs/>
          <w:sz w:val="20"/>
          <w:szCs w:val="20"/>
        </w:rPr>
        <w:t xml:space="preserve"> </w:t>
      </w:r>
      <w:r w:rsidR="00496E8B">
        <w:rPr>
          <w:rFonts w:ascii="Times New Roman" w:hAnsi="Times New Roman"/>
          <w:iCs/>
          <w:sz w:val="20"/>
          <w:szCs w:val="20"/>
        </w:rPr>
        <w:t>Mean score of u</w:t>
      </w:r>
      <w:r w:rsidRPr="00F6382B">
        <w:rPr>
          <w:rFonts w:ascii="Times New Roman" w:hAnsi="Times New Roman"/>
          <w:iCs/>
          <w:sz w:val="20"/>
          <w:szCs w:val="20"/>
        </w:rPr>
        <w:t>nderstanding component</w:t>
      </w:r>
    </w:p>
    <w:p w:rsidR="002436E9" w:rsidRPr="00F6382B" w:rsidRDefault="002436E9" w:rsidP="002436E9">
      <w:pPr>
        <w:spacing w:after="0" w:line="240" w:lineRule="auto"/>
        <w:jc w:val="center"/>
        <w:rPr>
          <w:rFonts w:ascii="Times New Roman" w:hAnsi="Times New Roman"/>
          <w:iCs/>
          <w:sz w:val="20"/>
          <w:szCs w:val="20"/>
        </w:rPr>
      </w:pP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31"/>
        <w:gridCol w:w="6287"/>
        <w:gridCol w:w="1773"/>
      </w:tblGrid>
      <w:tr w:rsidR="002436E9" w:rsidRPr="007844AB" w:rsidTr="00EA7987">
        <w:trPr>
          <w:trHeight w:val="259"/>
          <w:jc w:val="center"/>
        </w:trPr>
        <w:tc>
          <w:tcPr>
            <w:tcW w:w="1231" w:type="dxa"/>
            <w:tcBorders>
              <w:bottom w:val="single" w:sz="4" w:space="0" w:color="auto"/>
              <w:right w:val="nil"/>
            </w:tcBorders>
            <w:shd w:val="clear" w:color="auto" w:fill="BDD6EE"/>
            <w:hideMark/>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No.</w:t>
            </w:r>
          </w:p>
        </w:tc>
        <w:tc>
          <w:tcPr>
            <w:tcW w:w="6287" w:type="dxa"/>
            <w:tcBorders>
              <w:left w:val="nil"/>
              <w:bottom w:val="single" w:sz="4" w:space="0" w:color="auto"/>
              <w:right w:val="nil"/>
            </w:tcBorders>
            <w:shd w:val="clear" w:color="auto" w:fill="BDD6EE"/>
            <w:hideMark/>
          </w:tcPr>
          <w:p w:rsidR="002436E9" w:rsidRPr="007844AB" w:rsidRDefault="002436E9" w:rsidP="00D71769">
            <w:pPr>
              <w:spacing w:after="0" w:line="240" w:lineRule="auto"/>
              <w:rPr>
                <w:rFonts w:ascii="Times New Roman" w:hAnsi="Times New Roman"/>
                <w:b/>
                <w:sz w:val="20"/>
                <w:szCs w:val="20"/>
              </w:rPr>
            </w:pPr>
            <w:r w:rsidRPr="007844AB">
              <w:rPr>
                <w:rFonts w:ascii="Times New Roman" w:hAnsi="Times New Roman"/>
                <w:b/>
                <w:sz w:val="20"/>
                <w:szCs w:val="20"/>
              </w:rPr>
              <w:t>Variable</w:t>
            </w:r>
          </w:p>
        </w:tc>
        <w:tc>
          <w:tcPr>
            <w:tcW w:w="1773" w:type="dxa"/>
            <w:tcBorders>
              <w:left w:val="nil"/>
              <w:bottom w:val="single" w:sz="4" w:space="0" w:color="auto"/>
            </w:tcBorders>
            <w:shd w:val="clear" w:color="auto" w:fill="BDD6EE"/>
            <w:hideMark/>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 xml:space="preserve">Average </w:t>
            </w:r>
          </w:p>
        </w:tc>
      </w:tr>
      <w:tr w:rsidR="002436E9" w:rsidRPr="007844AB" w:rsidTr="00A84631">
        <w:trPr>
          <w:trHeight w:val="270"/>
          <w:jc w:val="center"/>
        </w:trPr>
        <w:tc>
          <w:tcPr>
            <w:tcW w:w="1231" w:type="dxa"/>
            <w:tcBorders>
              <w:bottom w:val="nil"/>
              <w:right w:val="nil"/>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1</w:t>
            </w:r>
          </w:p>
        </w:tc>
        <w:tc>
          <w:tcPr>
            <w:tcW w:w="6287" w:type="dxa"/>
            <w:tcBorders>
              <w:left w:val="nil"/>
              <w:bottom w:val="nil"/>
              <w:right w:val="nil"/>
            </w:tcBorders>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 xml:space="preserve">Education </w:t>
            </w:r>
            <w:proofErr w:type="spellStart"/>
            <w:r w:rsidRPr="007844AB">
              <w:rPr>
                <w:rFonts w:ascii="Times New Roman" w:hAnsi="Times New Roman"/>
                <w:sz w:val="20"/>
                <w:szCs w:val="20"/>
              </w:rPr>
              <w:t>takaful</w:t>
            </w:r>
            <w:proofErr w:type="spellEnd"/>
            <w:r w:rsidRPr="007844AB">
              <w:rPr>
                <w:rFonts w:ascii="Times New Roman" w:hAnsi="Times New Roman"/>
                <w:sz w:val="20"/>
                <w:szCs w:val="20"/>
              </w:rPr>
              <w:t xml:space="preserve"> concept</w:t>
            </w:r>
          </w:p>
        </w:tc>
        <w:tc>
          <w:tcPr>
            <w:tcW w:w="1773" w:type="dxa"/>
            <w:tcBorders>
              <w:left w:val="nil"/>
              <w:bottom w:val="nil"/>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3.88</w:t>
            </w:r>
          </w:p>
        </w:tc>
      </w:tr>
      <w:tr w:rsidR="002436E9" w:rsidRPr="007844AB" w:rsidTr="00A84631">
        <w:trPr>
          <w:trHeight w:val="268"/>
          <w:jc w:val="center"/>
        </w:trPr>
        <w:tc>
          <w:tcPr>
            <w:tcW w:w="1231" w:type="dxa"/>
            <w:tcBorders>
              <w:top w:val="nil"/>
              <w:bottom w:val="nil"/>
              <w:right w:val="nil"/>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2</w:t>
            </w:r>
          </w:p>
        </w:tc>
        <w:tc>
          <w:tcPr>
            <w:tcW w:w="6287" w:type="dxa"/>
            <w:tcBorders>
              <w:top w:val="nil"/>
              <w:left w:val="nil"/>
              <w:bottom w:val="nil"/>
              <w:right w:val="nil"/>
            </w:tcBorders>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Importance of education policy</w:t>
            </w:r>
          </w:p>
        </w:tc>
        <w:tc>
          <w:tcPr>
            <w:tcW w:w="1773" w:type="dxa"/>
            <w:tcBorders>
              <w:top w:val="nil"/>
              <w:left w:val="nil"/>
              <w:bottom w:val="nil"/>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3.76</w:t>
            </w:r>
          </w:p>
        </w:tc>
      </w:tr>
      <w:tr w:rsidR="002436E9" w:rsidRPr="007844AB" w:rsidTr="00A84631">
        <w:trPr>
          <w:trHeight w:val="268"/>
          <w:jc w:val="center"/>
        </w:trPr>
        <w:tc>
          <w:tcPr>
            <w:tcW w:w="1231" w:type="dxa"/>
            <w:tcBorders>
              <w:top w:val="nil"/>
              <w:bottom w:val="nil"/>
              <w:right w:val="nil"/>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w:t>
            </w:r>
          </w:p>
        </w:tc>
        <w:tc>
          <w:tcPr>
            <w:tcW w:w="6287" w:type="dxa"/>
            <w:tcBorders>
              <w:top w:val="nil"/>
              <w:left w:val="nil"/>
              <w:bottom w:val="nil"/>
              <w:right w:val="nil"/>
            </w:tcBorders>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Protection under the policy</w:t>
            </w:r>
          </w:p>
        </w:tc>
        <w:tc>
          <w:tcPr>
            <w:tcW w:w="1773" w:type="dxa"/>
            <w:tcBorders>
              <w:top w:val="nil"/>
              <w:left w:val="nil"/>
              <w:bottom w:val="nil"/>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3.86</w:t>
            </w:r>
          </w:p>
        </w:tc>
      </w:tr>
      <w:tr w:rsidR="002436E9" w:rsidRPr="007844AB" w:rsidTr="00A84631">
        <w:trPr>
          <w:trHeight w:val="68"/>
          <w:jc w:val="center"/>
        </w:trPr>
        <w:tc>
          <w:tcPr>
            <w:tcW w:w="1231" w:type="dxa"/>
            <w:tcBorders>
              <w:top w:val="nil"/>
              <w:bottom w:val="nil"/>
              <w:right w:val="nil"/>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4</w:t>
            </w:r>
          </w:p>
        </w:tc>
        <w:tc>
          <w:tcPr>
            <w:tcW w:w="6287" w:type="dxa"/>
            <w:tcBorders>
              <w:top w:val="nil"/>
              <w:left w:val="nil"/>
              <w:bottom w:val="nil"/>
              <w:right w:val="nil"/>
            </w:tcBorders>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 xml:space="preserve">Benefits under the policy </w:t>
            </w:r>
          </w:p>
        </w:tc>
        <w:tc>
          <w:tcPr>
            <w:tcW w:w="1773" w:type="dxa"/>
            <w:tcBorders>
              <w:top w:val="nil"/>
              <w:left w:val="nil"/>
              <w:bottom w:val="nil"/>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3.71</w:t>
            </w:r>
          </w:p>
        </w:tc>
      </w:tr>
      <w:tr w:rsidR="002436E9" w:rsidRPr="007844AB" w:rsidTr="00A84631">
        <w:trPr>
          <w:trHeight w:val="68"/>
          <w:jc w:val="center"/>
        </w:trPr>
        <w:tc>
          <w:tcPr>
            <w:tcW w:w="1231" w:type="dxa"/>
            <w:tcBorders>
              <w:top w:val="nil"/>
              <w:right w:val="nil"/>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5</w:t>
            </w:r>
          </w:p>
        </w:tc>
        <w:tc>
          <w:tcPr>
            <w:tcW w:w="6287" w:type="dxa"/>
            <w:tcBorders>
              <w:top w:val="nil"/>
              <w:left w:val="nil"/>
              <w:right w:val="nil"/>
            </w:tcBorders>
            <w:shd w:val="clear" w:color="auto" w:fill="auto"/>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Average overall understanding</w:t>
            </w:r>
          </w:p>
        </w:tc>
        <w:tc>
          <w:tcPr>
            <w:tcW w:w="1773" w:type="dxa"/>
            <w:tcBorders>
              <w:top w:val="nil"/>
              <w:left w:val="nil"/>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3.80</w:t>
            </w:r>
          </w:p>
        </w:tc>
      </w:tr>
    </w:tbl>
    <w:p w:rsidR="00B23D15" w:rsidRPr="00B23D15" w:rsidRDefault="00B23D15" w:rsidP="00C80832">
      <w:pPr>
        <w:spacing w:after="0" w:line="240" w:lineRule="auto"/>
        <w:rPr>
          <w:rFonts w:ascii="Times New Roman" w:hAnsi="Times New Roman"/>
          <w:iCs/>
          <w:sz w:val="24"/>
          <w:szCs w:val="20"/>
        </w:rPr>
      </w:pPr>
    </w:p>
    <w:p w:rsidR="00556F15" w:rsidRDefault="00556F15" w:rsidP="00556F15">
      <w:pPr>
        <w:spacing w:after="0" w:line="240" w:lineRule="auto"/>
        <w:jc w:val="both"/>
        <w:rPr>
          <w:rFonts w:ascii="Times New Roman" w:hAnsi="Times New Roman"/>
          <w:i/>
          <w:sz w:val="24"/>
          <w:szCs w:val="24"/>
        </w:rPr>
      </w:pPr>
      <w:r w:rsidRPr="00556F15">
        <w:rPr>
          <w:rFonts w:ascii="Times New Roman" w:hAnsi="Times New Roman"/>
          <w:i/>
          <w:sz w:val="24"/>
          <w:szCs w:val="24"/>
        </w:rPr>
        <w:t xml:space="preserve">Profile of </w:t>
      </w:r>
      <w:r w:rsidR="00FA3587">
        <w:rPr>
          <w:rFonts w:ascii="Times New Roman" w:hAnsi="Times New Roman"/>
          <w:i/>
          <w:sz w:val="24"/>
          <w:szCs w:val="24"/>
        </w:rPr>
        <w:t>e</w:t>
      </w:r>
      <w:r w:rsidRPr="00556F15">
        <w:rPr>
          <w:rFonts w:ascii="Times New Roman" w:hAnsi="Times New Roman"/>
          <w:i/>
          <w:sz w:val="24"/>
          <w:szCs w:val="24"/>
        </w:rPr>
        <w:t xml:space="preserve">ducation </w:t>
      </w:r>
      <w:proofErr w:type="spellStart"/>
      <w:r w:rsidR="00FA3587">
        <w:rPr>
          <w:rFonts w:ascii="Times New Roman" w:hAnsi="Times New Roman"/>
          <w:i/>
          <w:sz w:val="24"/>
          <w:szCs w:val="24"/>
        </w:rPr>
        <w:t>t</w:t>
      </w:r>
      <w:r w:rsidRPr="00556F15">
        <w:rPr>
          <w:rFonts w:ascii="Times New Roman" w:hAnsi="Times New Roman"/>
          <w:i/>
          <w:sz w:val="24"/>
          <w:szCs w:val="24"/>
        </w:rPr>
        <w:t>akaful</w:t>
      </w:r>
      <w:proofErr w:type="spellEnd"/>
      <w:r w:rsidRPr="00556F15">
        <w:rPr>
          <w:rFonts w:ascii="Times New Roman" w:hAnsi="Times New Roman"/>
          <w:i/>
          <w:sz w:val="24"/>
          <w:szCs w:val="24"/>
        </w:rPr>
        <w:t xml:space="preserve"> </w:t>
      </w:r>
      <w:r w:rsidR="00FA3587">
        <w:rPr>
          <w:rFonts w:ascii="Times New Roman" w:hAnsi="Times New Roman"/>
          <w:i/>
          <w:sz w:val="24"/>
          <w:szCs w:val="24"/>
        </w:rPr>
        <w:t>u</w:t>
      </w:r>
      <w:r w:rsidRPr="00556F15">
        <w:rPr>
          <w:rFonts w:ascii="Times New Roman" w:hAnsi="Times New Roman"/>
          <w:i/>
          <w:sz w:val="24"/>
          <w:szCs w:val="24"/>
        </w:rPr>
        <w:t>nderstanding</w:t>
      </w:r>
    </w:p>
    <w:p w:rsidR="00556F15" w:rsidRPr="00556F15" w:rsidRDefault="00556F15" w:rsidP="00556F15">
      <w:pPr>
        <w:spacing w:after="0" w:line="240" w:lineRule="auto"/>
        <w:jc w:val="both"/>
        <w:rPr>
          <w:rFonts w:ascii="Times New Roman" w:hAnsi="Times New Roman"/>
          <w:i/>
          <w:sz w:val="24"/>
          <w:szCs w:val="24"/>
        </w:rPr>
      </w:pPr>
    </w:p>
    <w:p w:rsidR="00966CD7" w:rsidRDefault="00556F15" w:rsidP="00556F15">
      <w:pPr>
        <w:spacing w:after="0" w:line="240" w:lineRule="auto"/>
        <w:jc w:val="both"/>
        <w:rPr>
          <w:rFonts w:ascii="Times New Roman" w:hAnsi="Times New Roman"/>
          <w:sz w:val="24"/>
          <w:szCs w:val="24"/>
        </w:rPr>
      </w:pPr>
      <w:r w:rsidRPr="00556F15">
        <w:rPr>
          <w:rFonts w:ascii="Times New Roman" w:hAnsi="Times New Roman"/>
          <w:sz w:val="24"/>
          <w:szCs w:val="24"/>
          <w:lang w:val="en"/>
        </w:rPr>
        <w:t xml:space="preserve">Table </w:t>
      </w:r>
      <w:r w:rsidR="00F263B7">
        <w:rPr>
          <w:rFonts w:ascii="Times New Roman" w:hAnsi="Times New Roman"/>
          <w:sz w:val="24"/>
          <w:szCs w:val="24"/>
          <w:lang w:val="en"/>
        </w:rPr>
        <w:t>7</w:t>
      </w:r>
      <w:r w:rsidR="00D71769">
        <w:rPr>
          <w:rFonts w:ascii="Times New Roman" w:hAnsi="Times New Roman"/>
          <w:sz w:val="24"/>
          <w:szCs w:val="24"/>
          <w:lang w:val="en"/>
        </w:rPr>
        <w:t xml:space="preserve"> illustrated</w:t>
      </w:r>
      <w:r w:rsidRPr="00556F15">
        <w:rPr>
          <w:rFonts w:ascii="Times New Roman" w:hAnsi="Times New Roman"/>
          <w:sz w:val="24"/>
          <w:szCs w:val="24"/>
          <w:lang w:val="en"/>
        </w:rPr>
        <w:t xml:space="preserve"> the average</w:t>
      </w:r>
      <w:r w:rsidR="00496E8B">
        <w:rPr>
          <w:rFonts w:ascii="Times New Roman" w:hAnsi="Times New Roman"/>
          <w:sz w:val="24"/>
          <w:szCs w:val="24"/>
          <w:lang w:val="en"/>
        </w:rPr>
        <w:t xml:space="preserve"> mean score of understanding across </w:t>
      </w:r>
      <w:r w:rsidRPr="00556F15">
        <w:rPr>
          <w:rFonts w:ascii="Times New Roman" w:hAnsi="Times New Roman"/>
          <w:sz w:val="24"/>
          <w:szCs w:val="24"/>
          <w:lang w:val="en"/>
        </w:rPr>
        <w:t xml:space="preserve">demographics such as gender, age, education level, </w:t>
      </w:r>
      <w:r w:rsidR="00D459C8">
        <w:rPr>
          <w:rFonts w:ascii="Times New Roman" w:hAnsi="Times New Roman"/>
          <w:sz w:val="24"/>
          <w:szCs w:val="24"/>
          <w:lang w:val="en"/>
        </w:rPr>
        <w:t>employment sector</w:t>
      </w:r>
      <w:r w:rsidRPr="00556F15">
        <w:rPr>
          <w:rFonts w:ascii="Times New Roman" w:hAnsi="Times New Roman"/>
          <w:sz w:val="24"/>
          <w:szCs w:val="24"/>
          <w:lang w:val="en"/>
        </w:rPr>
        <w:t>, income and number of children.</w:t>
      </w:r>
      <w:r w:rsidRPr="00556F15">
        <w:rPr>
          <w:rFonts w:ascii="Times New Roman" w:hAnsi="Times New Roman"/>
          <w:sz w:val="24"/>
          <w:szCs w:val="24"/>
        </w:rPr>
        <w:t xml:space="preserve"> </w:t>
      </w:r>
      <w:r w:rsidR="00E112BB">
        <w:rPr>
          <w:rFonts w:ascii="Times New Roman" w:hAnsi="Times New Roman"/>
          <w:sz w:val="24"/>
          <w:szCs w:val="24"/>
        </w:rPr>
        <w:t>Female has higher level of understanding than male, as shown by th</w:t>
      </w:r>
      <w:r w:rsidR="00115DDC">
        <w:rPr>
          <w:rFonts w:ascii="Times New Roman" w:hAnsi="Times New Roman"/>
          <w:sz w:val="24"/>
          <w:szCs w:val="24"/>
        </w:rPr>
        <w:t xml:space="preserve">e mean score of 3.88 over 3.71. </w:t>
      </w:r>
      <w:r w:rsidRPr="00556F15">
        <w:rPr>
          <w:rFonts w:ascii="Times New Roman" w:hAnsi="Times New Roman"/>
          <w:sz w:val="24"/>
          <w:szCs w:val="24"/>
          <w:lang w:val="en"/>
        </w:rPr>
        <w:t>Meanwhile,</w:t>
      </w:r>
      <w:r w:rsidR="00963363">
        <w:rPr>
          <w:rFonts w:ascii="Times New Roman" w:hAnsi="Times New Roman"/>
          <w:sz w:val="24"/>
          <w:szCs w:val="24"/>
          <w:lang w:val="en"/>
        </w:rPr>
        <w:t xml:space="preserve"> the group</w:t>
      </w:r>
      <w:r w:rsidR="00115DDC">
        <w:rPr>
          <w:rFonts w:ascii="Times New Roman" w:hAnsi="Times New Roman"/>
          <w:sz w:val="24"/>
          <w:szCs w:val="24"/>
          <w:lang w:val="en"/>
        </w:rPr>
        <w:t xml:space="preserve"> </w:t>
      </w:r>
      <w:r w:rsidRPr="00556F15">
        <w:rPr>
          <w:rFonts w:ascii="Times New Roman" w:hAnsi="Times New Roman"/>
          <w:sz w:val="24"/>
          <w:szCs w:val="24"/>
          <w:lang w:val="en"/>
        </w:rPr>
        <w:t>age</w:t>
      </w:r>
      <w:r w:rsidR="00115DDC">
        <w:rPr>
          <w:rFonts w:ascii="Times New Roman" w:hAnsi="Times New Roman"/>
          <w:sz w:val="24"/>
          <w:szCs w:val="24"/>
          <w:lang w:val="en"/>
        </w:rPr>
        <w:t xml:space="preserve"> between 30 and </w:t>
      </w:r>
      <w:r w:rsidRPr="00556F15">
        <w:rPr>
          <w:rFonts w:ascii="Times New Roman" w:hAnsi="Times New Roman"/>
          <w:sz w:val="24"/>
          <w:szCs w:val="24"/>
          <w:lang w:val="en"/>
        </w:rPr>
        <w:t xml:space="preserve">40 years </w:t>
      </w:r>
      <w:r w:rsidR="00115DDC">
        <w:rPr>
          <w:rFonts w:ascii="Times New Roman" w:hAnsi="Times New Roman"/>
          <w:sz w:val="24"/>
          <w:szCs w:val="24"/>
          <w:lang w:val="en"/>
        </w:rPr>
        <w:t>have the</w:t>
      </w:r>
      <w:r w:rsidRPr="00556F15">
        <w:rPr>
          <w:rFonts w:ascii="Times New Roman" w:hAnsi="Times New Roman"/>
          <w:sz w:val="24"/>
          <w:szCs w:val="24"/>
          <w:lang w:val="en"/>
        </w:rPr>
        <w:t xml:space="preserve"> highest mean score of 3.88</w:t>
      </w:r>
      <w:r w:rsidR="00963363">
        <w:rPr>
          <w:rFonts w:ascii="Times New Roman" w:hAnsi="Times New Roman"/>
          <w:sz w:val="24"/>
          <w:szCs w:val="24"/>
          <w:lang w:val="en"/>
        </w:rPr>
        <w:t xml:space="preserve">, while those aged 60 years and above score </w:t>
      </w:r>
      <w:r w:rsidR="007B3852">
        <w:rPr>
          <w:rFonts w:ascii="Times New Roman" w:hAnsi="Times New Roman"/>
          <w:sz w:val="24"/>
          <w:szCs w:val="24"/>
        </w:rPr>
        <w:t xml:space="preserve">lowest </w:t>
      </w:r>
      <w:r w:rsidR="00D71769">
        <w:rPr>
          <w:rFonts w:ascii="Times New Roman" w:hAnsi="Times New Roman"/>
          <w:sz w:val="24"/>
          <w:szCs w:val="24"/>
        </w:rPr>
        <w:t xml:space="preserve">mean. </w:t>
      </w:r>
      <w:r w:rsidR="003A2B1F">
        <w:rPr>
          <w:rFonts w:ascii="Times New Roman" w:hAnsi="Times New Roman"/>
          <w:sz w:val="24"/>
          <w:szCs w:val="24"/>
        </w:rPr>
        <w:t xml:space="preserve">It </w:t>
      </w:r>
      <w:r w:rsidR="00D71769">
        <w:rPr>
          <w:rFonts w:ascii="Times New Roman" w:hAnsi="Times New Roman"/>
          <w:sz w:val="24"/>
          <w:szCs w:val="24"/>
        </w:rPr>
        <w:t xml:space="preserve">showed that </w:t>
      </w:r>
      <w:r w:rsidR="003A2B1F">
        <w:rPr>
          <w:rFonts w:ascii="Times New Roman" w:hAnsi="Times New Roman"/>
          <w:sz w:val="24"/>
          <w:szCs w:val="24"/>
        </w:rPr>
        <w:t xml:space="preserve">child </w:t>
      </w:r>
      <w:r w:rsidR="00D71769">
        <w:rPr>
          <w:rFonts w:ascii="Times New Roman" w:hAnsi="Times New Roman"/>
          <w:sz w:val="24"/>
          <w:szCs w:val="24"/>
        </w:rPr>
        <w:t>education</w:t>
      </w:r>
      <w:r w:rsidR="003A2B1F">
        <w:rPr>
          <w:rFonts w:ascii="Times New Roman" w:hAnsi="Times New Roman"/>
          <w:sz w:val="24"/>
          <w:szCs w:val="24"/>
        </w:rPr>
        <w:t xml:space="preserve"> cost is no longer relevant</w:t>
      </w:r>
      <w:r w:rsidR="00D71769">
        <w:rPr>
          <w:rFonts w:ascii="Times New Roman" w:hAnsi="Times New Roman"/>
          <w:sz w:val="24"/>
          <w:szCs w:val="24"/>
        </w:rPr>
        <w:t xml:space="preserve"> as age </w:t>
      </w:r>
      <w:proofErr w:type="gramStart"/>
      <w:r w:rsidR="00D71769">
        <w:rPr>
          <w:rFonts w:ascii="Times New Roman" w:hAnsi="Times New Roman"/>
          <w:sz w:val="24"/>
          <w:szCs w:val="24"/>
        </w:rPr>
        <w:t>increases</w:t>
      </w:r>
      <w:r w:rsidR="003A2B1F">
        <w:rPr>
          <w:rFonts w:ascii="Times New Roman" w:hAnsi="Times New Roman"/>
          <w:sz w:val="24"/>
          <w:szCs w:val="24"/>
        </w:rPr>
        <w:t>,</w:t>
      </w:r>
      <w:proofErr w:type="gramEnd"/>
      <w:r w:rsidR="003A2B1F">
        <w:rPr>
          <w:rFonts w:ascii="Times New Roman" w:hAnsi="Times New Roman"/>
          <w:sz w:val="24"/>
          <w:szCs w:val="24"/>
        </w:rPr>
        <w:t xml:space="preserve"> </w:t>
      </w:r>
      <w:r w:rsidRPr="00556F15">
        <w:rPr>
          <w:rFonts w:ascii="Times New Roman" w:hAnsi="Times New Roman"/>
          <w:sz w:val="24"/>
          <w:szCs w:val="24"/>
          <w:lang w:val="en"/>
        </w:rPr>
        <w:t xml:space="preserve">hence </w:t>
      </w:r>
      <w:r w:rsidR="003A2B1F">
        <w:rPr>
          <w:rFonts w:ascii="Times New Roman" w:hAnsi="Times New Roman"/>
          <w:sz w:val="24"/>
          <w:szCs w:val="24"/>
          <w:lang w:val="en"/>
        </w:rPr>
        <w:t xml:space="preserve">lessen </w:t>
      </w:r>
      <w:r w:rsidRPr="00556F15">
        <w:rPr>
          <w:rFonts w:ascii="Times New Roman" w:hAnsi="Times New Roman"/>
          <w:sz w:val="24"/>
          <w:szCs w:val="24"/>
          <w:lang w:val="en"/>
        </w:rPr>
        <w:t>the</w:t>
      </w:r>
      <w:r w:rsidR="003A2B1F">
        <w:rPr>
          <w:rFonts w:ascii="Times New Roman" w:hAnsi="Times New Roman"/>
          <w:sz w:val="24"/>
          <w:szCs w:val="24"/>
          <w:lang w:val="en"/>
        </w:rPr>
        <w:t xml:space="preserve"> importance of understanding towards</w:t>
      </w:r>
      <w:r w:rsidRPr="00556F15">
        <w:rPr>
          <w:rFonts w:ascii="Times New Roman" w:hAnsi="Times New Roman"/>
          <w:sz w:val="24"/>
          <w:szCs w:val="24"/>
          <w:lang w:val="en"/>
        </w:rPr>
        <w:t xml:space="preserve"> education </w:t>
      </w:r>
      <w:proofErr w:type="spellStart"/>
      <w:r w:rsidRPr="00556F15">
        <w:rPr>
          <w:rFonts w:ascii="Times New Roman" w:hAnsi="Times New Roman"/>
          <w:sz w:val="24"/>
          <w:szCs w:val="24"/>
          <w:lang w:val="en"/>
        </w:rPr>
        <w:t>takaful</w:t>
      </w:r>
      <w:proofErr w:type="spellEnd"/>
      <w:r w:rsidRPr="00556F15">
        <w:rPr>
          <w:rFonts w:ascii="Times New Roman" w:hAnsi="Times New Roman"/>
          <w:sz w:val="24"/>
          <w:szCs w:val="24"/>
          <w:lang w:val="en"/>
        </w:rPr>
        <w:t xml:space="preserve"> plan.</w:t>
      </w:r>
      <w:r w:rsidR="003E07CE">
        <w:rPr>
          <w:rFonts w:ascii="Times New Roman" w:hAnsi="Times New Roman"/>
          <w:sz w:val="24"/>
          <w:szCs w:val="24"/>
          <w:lang w:val="en"/>
        </w:rPr>
        <w:t xml:space="preserve"> For </w:t>
      </w:r>
      <w:r w:rsidR="00C50623">
        <w:rPr>
          <w:rFonts w:ascii="Times New Roman" w:hAnsi="Times New Roman"/>
          <w:sz w:val="24"/>
          <w:szCs w:val="24"/>
          <w:lang w:val="en"/>
        </w:rPr>
        <w:t>education level, those who po</w:t>
      </w:r>
      <w:r w:rsidR="003E07CE">
        <w:rPr>
          <w:rFonts w:ascii="Times New Roman" w:hAnsi="Times New Roman"/>
          <w:sz w:val="24"/>
          <w:szCs w:val="24"/>
          <w:lang w:val="en"/>
        </w:rPr>
        <w:t>s</w:t>
      </w:r>
      <w:r w:rsidR="00C50623">
        <w:rPr>
          <w:rFonts w:ascii="Times New Roman" w:hAnsi="Times New Roman"/>
          <w:sz w:val="24"/>
          <w:szCs w:val="24"/>
          <w:lang w:val="en"/>
        </w:rPr>
        <w:t>ses</w:t>
      </w:r>
      <w:r w:rsidR="003E07CE">
        <w:rPr>
          <w:rFonts w:ascii="Times New Roman" w:hAnsi="Times New Roman"/>
          <w:sz w:val="24"/>
          <w:szCs w:val="24"/>
          <w:lang w:val="en"/>
        </w:rPr>
        <w:t>s</w:t>
      </w:r>
      <w:r w:rsidR="00C50623">
        <w:rPr>
          <w:rFonts w:ascii="Times New Roman" w:hAnsi="Times New Roman"/>
          <w:sz w:val="24"/>
          <w:szCs w:val="24"/>
          <w:lang w:val="en"/>
        </w:rPr>
        <w:t xml:space="preserve"> Doctor of Philosophy score the highest level of </w:t>
      </w:r>
      <w:r w:rsidRPr="00556F15">
        <w:rPr>
          <w:rFonts w:ascii="Times New Roman" w:hAnsi="Times New Roman"/>
          <w:sz w:val="24"/>
          <w:szCs w:val="24"/>
        </w:rPr>
        <w:t>understanding</w:t>
      </w:r>
      <w:r w:rsidR="00C50623">
        <w:rPr>
          <w:rFonts w:ascii="Times New Roman" w:hAnsi="Times New Roman"/>
          <w:sz w:val="24"/>
          <w:szCs w:val="24"/>
        </w:rPr>
        <w:t xml:space="preserve">, </w:t>
      </w:r>
      <w:r w:rsidR="006E3379">
        <w:rPr>
          <w:rFonts w:ascii="Times New Roman" w:hAnsi="Times New Roman"/>
          <w:sz w:val="24"/>
          <w:szCs w:val="24"/>
        </w:rPr>
        <w:t xml:space="preserve">whilst </w:t>
      </w:r>
      <w:r w:rsidRPr="00556F15">
        <w:rPr>
          <w:rFonts w:ascii="Times New Roman" w:hAnsi="Times New Roman"/>
          <w:sz w:val="24"/>
          <w:szCs w:val="24"/>
        </w:rPr>
        <w:t xml:space="preserve">primary school and below </w:t>
      </w:r>
      <w:r w:rsidR="003A07FD" w:rsidRPr="00556F15">
        <w:rPr>
          <w:rFonts w:ascii="Times New Roman" w:hAnsi="Times New Roman"/>
          <w:sz w:val="24"/>
          <w:szCs w:val="24"/>
        </w:rPr>
        <w:t>show</w:t>
      </w:r>
      <w:r w:rsidR="003A07FD">
        <w:rPr>
          <w:rFonts w:ascii="Times New Roman" w:hAnsi="Times New Roman"/>
          <w:sz w:val="24"/>
          <w:szCs w:val="24"/>
        </w:rPr>
        <w:t xml:space="preserve">ed </w:t>
      </w:r>
      <w:r w:rsidRPr="00556F15">
        <w:rPr>
          <w:rFonts w:ascii="Times New Roman" w:hAnsi="Times New Roman"/>
          <w:sz w:val="24"/>
          <w:szCs w:val="24"/>
        </w:rPr>
        <w:t xml:space="preserve">the lowest </w:t>
      </w:r>
      <w:r w:rsidR="008C480C">
        <w:rPr>
          <w:rFonts w:ascii="Times New Roman" w:hAnsi="Times New Roman"/>
          <w:sz w:val="24"/>
          <w:szCs w:val="24"/>
        </w:rPr>
        <w:t>score.</w:t>
      </w:r>
    </w:p>
    <w:p w:rsidR="00425D18" w:rsidRPr="00556F15" w:rsidRDefault="00425D18" w:rsidP="00425D18">
      <w:pPr>
        <w:spacing w:after="0" w:line="240" w:lineRule="auto"/>
        <w:ind w:firstLine="454"/>
        <w:jc w:val="both"/>
        <w:rPr>
          <w:rFonts w:ascii="Times New Roman" w:hAnsi="Times New Roman"/>
          <w:sz w:val="24"/>
          <w:szCs w:val="24"/>
          <w:lang w:val="en"/>
        </w:rPr>
      </w:pPr>
      <w:r>
        <w:rPr>
          <w:rFonts w:ascii="Times New Roman" w:hAnsi="Times New Roman"/>
          <w:sz w:val="24"/>
          <w:szCs w:val="24"/>
        </w:rPr>
        <w:t>Moreover</w:t>
      </w:r>
      <w:r w:rsidRPr="00556F15">
        <w:rPr>
          <w:rFonts w:ascii="Times New Roman" w:hAnsi="Times New Roman"/>
          <w:sz w:val="24"/>
          <w:szCs w:val="24"/>
        </w:rPr>
        <w:t xml:space="preserve">, the average understanding </w:t>
      </w:r>
      <w:r>
        <w:rPr>
          <w:rFonts w:ascii="Times New Roman" w:hAnsi="Times New Roman"/>
          <w:sz w:val="24"/>
          <w:szCs w:val="24"/>
        </w:rPr>
        <w:t xml:space="preserve">among working individuals </w:t>
      </w:r>
      <w:r w:rsidRPr="00556F15">
        <w:rPr>
          <w:rFonts w:ascii="Times New Roman" w:hAnsi="Times New Roman"/>
          <w:sz w:val="24"/>
          <w:szCs w:val="24"/>
        </w:rPr>
        <w:t xml:space="preserve">in the government sector (3.89) </w:t>
      </w:r>
      <w:r>
        <w:rPr>
          <w:rFonts w:ascii="Times New Roman" w:hAnsi="Times New Roman"/>
          <w:sz w:val="24"/>
          <w:szCs w:val="24"/>
        </w:rPr>
        <w:t>was higher than</w:t>
      </w:r>
      <w:r w:rsidRPr="00556F15">
        <w:rPr>
          <w:rFonts w:ascii="Times New Roman" w:hAnsi="Times New Roman"/>
          <w:sz w:val="24"/>
          <w:szCs w:val="24"/>
        </w:rPr>
        <w:t xml:space="preserve"> other sectors such as private sector (3.86) and self-employed (3.60). Individuals </w:t>
      </w:r>
      <w:r>
        <w:rPr>
          <w:rFonts w:ascii="Times New Roman" w:hAnsi="Times New Roman"/>
          <w:sz w:val="24"/>
          <w:szCs w:val="24"/>
        </w:rPr>
        <w:t>with more than RM5</w:t>
      </w:r>
      <w:proofErr w:type="gramStart"/>
      <w:r>
        <w:rPr>
          <w:rFonts w:ascii="Times New Roman" w:hAnsi="Times New Roman"/>
          <w:sz w:val="24"/>
          <w:szCs w:val="24"/>
        </w:rPr>
        <w:t>,000</w:t>
      </w:r>
      <w:proofErr w:type="gramEnd"/>
      <w:r>
        <w:rPr>
          <w:rFonts w:ascii="Times New Roman" w:hAnsi="Times New Roman"/>
          <w:sz w:val="24"/>
          <w:szCs w:val="24"/>
        </w:rPr>
        <w:t xml:space="preserve"> </w:t>
      </w:r>
      <w:r w:rsidRPr="00556F15">
        <w:rPr>
          <w:rFonts w:ascii="Times New Roman" w:hAnsi="Times New Roman"/>
          <w:sz w:val="24"/>
          <w:szCs w:val="24"/>
        </w:rPr>
        <w:t>month</w:t>
      </w:r>
      <w:r>
        <w:rPr>
          <w:rFonts w:ascii="Times New Roman" w:hAnsi="Times New Roman"/>
          <w:sz w:val="24"/>
          <w:szCs w:val="24"/>
        </w:rPr>
        <w:t>ly incomes</w:t>
      </w:r>
      <w:r w:rsidRPr="00556F15">
        <w:rPr>
          <w:rFonts w:ascii="Times New Roman" w:hAnsi="Times New Roman"/>
          <w:sz w:val="24"/>
          <w:szCs w:val="24"/>
        </w:rPr>
        <w:t xml:space="preserve"> also </w:t>
      </w:r>
      <w:r>
        <w:rPr>
          <w:rFonts w:ascii="Times New Roman" w:hAnsi="Times New Roman"/>
          <w:sz w:val="24"/>
          <w:szCs w:val="24"/>
        </w:rPr>
        <w:t xml:space="preserve">score </w:t>
      </w:r>
      <w:r w:rsidRPr="00556F15">
        <w:rPr>
          <w:rFonts w:ascii="Times New Roman" w:hAnsi="Times New Roman"/>
          <w:sz w:val="24"/>
          <w:szCs w:val="24"/>
        </w:rPr>
        <w:t xml:space="preserve">the highest level of understanding at 3.96 compared </w:t>
      </w:r>
      <w:r>
        <w:rPr>
          <w:rFonts w:ascii="Times New Roman" w:hAnsi="Times New Roman"/>
          <w:sz w:val="24"/>
          <w:szCs w:val="24"/>
        </w:rPr>
        <w:t>to</w:t>
      </w:r>
      <w:r w:rsidRPr="00556F15">
        <w:rPr>
          <w:rFonts w:ascii="Times New Roman" w:hAnsi="Times New Roman"/>
          <w:sz w:val="24"/>
          <w:szCs w:val="24"/>
        </w:rPr>
        <w:t xml:space="preserve"> other salary intervals. </w:t>
      </w:r>
      <w:r>
        <w:rPr>
          <w:rFonts w:ascii="Times New Roman" w:hAnsi="Times New Roman"/>
          <w:sz w:val="24"/>
          <w:szCs w:val="24"/>
        </w:rPr>
        <w:t>Additionally, outputs from Table 7 also suggest that the mean score of understanding decrease a</w:t>
      </w:r>
      <w:r w:rsidRPr="00556F15">
        <w:rPr>
          <w:rFonts w:ascii="Times New Roman" w:hAnsi="Times New Roman"/>
          <w:sz w:val="24"/>
          <w:szCs w:val="24"/>
          <w:lang w:val="en"/>
        </w:rPr>
        <w:t>s number of children increases</w:t>
      </w:r>
      <w:r>
        <w:rPr>
          <w:rFonts w:ascii="Times New Roman" w:hAnsi="Times New Roman"/>
          <w:sz w:val="24"/>
          <w:szCs w:val="24"/>
          <w:lang w:val="en"/>
        </w:rPr>
        <w:t xml:space="preserve">. Interestingly, </w:t>
      </w:r>
      <w:r w:rsidRPr="00556F15">
        <w:rPr>
          <w:rFonts w:ascii="Times New Roman" w:hAnsi="Times New Roman"/>
          <w:sz w:val="24"/>
          <w:szCs w:val="24"/>
        </w:rPr>
        <w:t xml:space="preserve">the level of understanding </w:t>
      </w:r>
      <w:r>
        <w:rPr>
          <w:rFonts w:ascii="Times New Roman" w:hAnsi="Times New Roman"/>
          <w:sz w:val="24"/>
          <w:szCs w:val="24"/>
        </w:rPr>
        <w:t>among</w:t>
      </w:r>
      <w:r w:rsidRPr="00556F15">
        <w:rPr>
          <w:rFonts w:ascii="Times New Roman" w:hAnsi="Times New Roman"/>
          <w:sz w:val="24"/>
          <w:szCs w:val="24"/>
        </w:rPr>
        <w:t xml:space="preserve"> individuals without children is quite high at 3.68. </w:t>
      </w:r>
      <w:r>
        <w:rPr>
          <w:rFonts w:ascii="Times New Roman" w:hAnsi="Times New Roman"/>
          <w:sz w:val="24"/>
          <w:szCs w:val="24"/>
        </w:rPr>
        <w:t xml:space="preserve">These findings were somehow consistent with previous studies such as </w:t>
      </w:r>
      <w:proofErr w:type="spellStart"/>
      <w:r>
        <w:rPr>
          <w:rFonts w:ascii="Times New Roman" w:hAnsi="Times New Roman"/>
          <w:sz w:val="24"/>
          <w:szCs w:val="24"/>
        </w:rPr>
        <w:t>Manik</w:t>
      </w:r>
      <w:proofErr w:type="spellEnd"/>
      <w:r>
        <w:rPr>
          <w:rFonts w:ascii="Times New Roman" w:hAnsi="Times New Roman"/>
          <w:sz w:val="24"/>
          <w:szCs w:val="24"/>
        </w:rPr>
        <w:t xml:space="preserve"> &amp; Abdul </w:t>
      </w:r>
      <w:proofErr w:type="spellStart"/>
      <w:r>
        <w:rPr>
          <w:rFonts w:ascii="Times New Roman" w:hAnsi="Times New Roman"/>
          <w:sz w:val="24"/>
          <w:szCs w:val="24"/>
        </w:rPr>
        <w:t>Mannan</w:t>
      </w:r>
      <w:proofErr w:type="spellEnd"/>
      <w:r>
        <w:rPr>
          <w:rFonts w:ascii="Times New Roman" w:hAnsi="Times New Roman"/>
          <w:sz w:val="24"/>
          <w:szCs w:val="24"/>
        </w:rPr>
        <w:t xml:space="preserve"> (2017), </w:t>
      </w:r>
      <w:proofErr w:type="spellStart"/>
      <w:r w:rsidRPr="0033310D">
        <w:rPr>
          <w:rFonts w:ascii="Times New Roman" w:hAnsi="Times New Roman"/>
          <w:sz w:val="24"/>
          <w:szCs w:val="24"/>
        </w:rPr>
        <w:t>Yellaiah</w:t>
      </w:r>
      <w:proofErr w:type="spellEnd"/>
      <w:r w:rsidRPr="0033310D">
        <w:rPr>
          <w:rFonts w:ascii="Times New Roman" w:hAnsi="Times New Roman"/>
          <w:sz w:val="24"/>
          <w:szCs w:val="24"/>
        </w:rPr>
        <w:t xml:space="preserve"> (2012) </w:t>
      </w:r>
      <w:r>
        <w:rPr>
          <w:rFonts w:ascii="Times New Roman" w:hAnsi="Times New Roman"/>
          <w:sz w:val="24"/>
          <w:szCs w:val="24"/>
        </w:rPr>
        <w:t xml:space="preserve">and Sinha et al. </w:t>
      </w:r>
      <w:r w:rsidRPr="00DF4D49">
        <w:rPr>
          <w:rFonts w:ascii="Times New Roman" w:hAnsi="Times New Roman"/>
          <w:sz w:val="24"/>
          <w:szCs w:val="24"/>
        </w:rPr>
        <w:t>(2011)</w:t>
      </w:r>
      <w:r>
        <w:rPr>
          <w:rFonts w:ascii="Times New Roman" w:hAnsi="Times New Roman"/>
          <w:sz w:val="24"/>
          <w:szCs w:val="24"/>
        </w:rPr>
        <w:t xml:space="preserve">. For instance, </w:t>
      </w:r>
      <w:proofErr w:type="spellStart"/>
      <w:r>
        <w:rPr>
          <w:rFonts w:ascii="Times New Roman" w:hAnsi="Times New Roman"/>
          <w:sz w:val="24"/>
          <w:szCs w:val="24"/>
        </w:rPr>
        <w:t>Yellaiah</w:t>
      </w:r>
      <w:proofErr w:type="spellEnd"/>
      <w:r>
        <w:rPr>
          <w:rFonts w:ascii="Times New Roman" w:hAnsi="Times New Roman"/>
          <w:sz w:val="24"/>
          <w:szCs w:val="24"/>
        </w:rPr>
        <w:t xml:space="preserve"> (2012)</w:t>
      </w:r>
      <w:r w:rsidRPr="0033310D">
        <w:rPr>
          <w:rFonts w:ascii="Times New Roman" w:hAnsi="Times New Roman"/>
          <w:sz w:val="24"/>
          <w:szCs w:val="24"/>
        </w:rPr>
        <w:t xml:space="preserve"> found t</w:t>
      </w:r>
      <w:r>
        <w:rPr>
          <w:rFonts w:ascii="Times New Roman" w:hAnsi="Times New Roman"/>
          <w:sz w:val="24"/>
          <w:szCs w:val="24"/>
        </w:rPr>
        <w:t>he</w:t>
      </w:r>
      <w:r w:rsidRPr="0033310D">
        <w:rPr>
          <w:rFonts w:ascii="Times New Roman" w:hAnsi="Times New Roman"/>
          <w:sz w:val="24"/>
          <w:szCs w:val="24"/>
        </w:rPr>
        <w:t xml:space="preserve"> </w:t>
      </w:r>
      <w:r>
        <w:rPr>
          <w:rFonts w:ascii="Times New Roman" w:hAnsi="Times New Roman"/>
          <w:sz w:val="24"/>
          <w:szCs w:val="24"/>
        </w:rPr>
        <w:t xml:space="preserve">existence of </w:t>
      </w:r>
      <w:r w:rsidRPr="0033310D">
        <w:rPr>
          <w:rFonts w:ascii="Times New Roman" w:hAnsi="Times New Roman"/>
          <w:sz w:val="24"/>
          <w:szCs w:val="24"/>
        </w:rPr>
        <w:t xml:space="preserve">difference in percentages </w:t>
      </w:r>
      <w:r>
        <w:rPr>
          <w:rFonts w:ascii="Times New Roman" w:hAnsi="Times New Roman"/>
          <w:sz w:val="24"/>
          <w:szCs w:val="24"/>
        </w:rPr>
        <w:t>for</w:t>
      </w:r>
      <w:r w:rsidRPr="0033310D">
        <w:rPr>
          <w:rFonts w:ascii="Times New Roman" w:hAnsi="Times New Roman"/>
          <w:sz w:val="24"/>
          <w:szCs w:val="24"/>
        </w:rPr>
        <w:t xml:space="preserve"> health insurance awareness across gender, age, religion, education level, </w:t>
      </w:r>
      <w:r>
        <w:rPr>
          <w:rFonts w:ascii="Times New Roman" w:hAnsi="Times New Roman"/>
          <w:sz w:val="24"/>
          <w:szCs w:val="24"/>
        </w:rPr>
        <w:t>employment sector</w:t>
      </w:r>
      <w:r w:rsidRPr="0033310D">
        <w:rPr>
          <w:rFonts w:ascii="Times New Roman" w:hAnsi="Times New Roman"/>
          <w:sz w:val="24"/>
          <w:szCs w:val="24"/>
        </w:rPr>
        <w:t xml:space="preserve"> and family type.</w:t>
      </w:r>
    </w:p>
    <w:p w:rsidR="00B75DB5" w:rsidRDefault="00B75DB5" w:rsidP="00556F15">
      <w:pPr>
        <w:spacing w:after="0" w:line="240" w:lineRule="auto"/>
        <w:jc w:val="both"/>
        <w:rPr>
          <w:rFonts w:ascii="Times New Roman" w:hAnsi="Times New Roman"/>
          <w:sz w:val="24"/>
          <w:szCs w:val="24"/>
          <w:lang w:val="en"/>
        </w:rPr>
      </w:pPr>
    </w:p>
    <w:p w:rsidR="00425D18" w:rsidRDefault="00425D18" w:rsidP="00556F15">
      <w:pPr>
        <w:spacing w:after="0" w:line="240" w:lineRule="auto"/>
        <w:jc w:val="both"/>
        <w:rPr>
          <w:rFonts w:ascii="Times New Roman" w:hAnsi="Times New Roman"/>
          <w:sz w:val="24"/>
          <w:szCs w:val="24"/>
          <w:lang w:val="en"/>
        </w:rPr>
      </w:pPr>
    </w:p>
    <w:p w:rsidR="00425D18" w:rsidRDefault="00425D18" w:rsidP="00556F15">
      <w:pPr>
        <w:spacing w:after="0" w:line="240" w:lineRule="auto"/>
        <w:jc w:val="both"/>
        <w:rPr>
          <w:rFonts w:ascii="Times New Roman" w:hAnsi="Times New Roman"/>
          <w:sz w:val="24"/>
          <w:szCs w:val="24"/>
          <w:lang w:val="en"/>
        </w:rPr>
      </w:pPr>
    </w:p>
    <w:p w:rsidR="00425D18" w:rsidRDefault="00425D18" w:rsidP="00556F15">
      <w:pPr>
        <w:spacing w:after="0" w:line="240" w:lineRule="auto"/>
        <w:jc w:val="both"/>
        <w:rPr>
          <w:rFonts w:ascii="Times New Roman" w:hAnsi="Times New Roman"/>
          <w:sz w:val="24"/>
          <w:szCs w:val="24"/>
          <w:lang w:val="en"/>
        </w:rPr>
      </w:pPr>
    </w:p>
    <w:p w:rsidR="00E97F43" w:rsidRDefault="00E97F43">
      <w:pPr>
        <w:spacing w:after="0" w:line="240" w:lineRule="auto"/>
        <w:rPr>
          <w:rFonts w:ascii="Times New Roman" w:hAnsi="Times New Roman"/>
          <w:sz w:val="24"/>
          <w:szCs w:val="24"/>
          <w:lang w:val="en"/>
        </w:rPr>
      </w:pPr>
      <w:r>
        <w:rPr>
          <w:rFonts w:ascii="Times New Roman" w:hAnsi="Times New Roman"/>
          <w:sz w:val="24"/>
          <w:szCs w:val="24"/>
          <w:lang w:val="en"/>
        </w:rPr>
        <w:br w:type="page"/>
      </w:r>
    </w:p>
    <w:p w:rsidR="002436E9" w:rsidRDefault="002436E9" w:rsidP="002436E9">
      <w:pPr>
        <w:spacing w:after="0" w:line="240" w:lineRule="auto"/>
        <w:jc w:val="center"/>
        <w:rPr>
          <w:rFonts w:ascii="Times New Roman" w:hAnsi="Times New Roman"/>
          <w:iCs/>
          <w:sz w:val="20"/>
          <w:szCs w:val="20"/>
        </w:rPr>
      </w:pPr>
      <w:proofErr w:type="gramStart"/>
      <w:r w:rsidRPr="00F6382B">
        <w:rPr>
          <w:rFonts w:ascii="Times New Roman" w:hAnsi="Times New Roman"/>
          <w:b/>
          <w:iCs/>
          <w:sz w:val="20"/>
          <w:szCs w:val="20"/>
        </w:rPr>
        <w:lastRenderedPageBreak/>
        <w:t xml:space="preserve">Table </w:t>
      </w:r>
      <w:r>
        <w:rPr>
          <w:rFonts w:ascii="Times New Roman" w:hAnsi="Times New Roman"/>
          <w:b/>
          <w:iCs/>
          <w:sz w:val="20"/>
          <w:szCs w:val="20"/>
        </w:rPr>
        <w:t>7</w:t>
      </w:r>
      <w:r w:rsidRPr="00F6382B">
        <w:rPr>
          <w:rFonts w:ascii="Times New Roman" w:hAnsi="Times New Roman"/>
          <w:b/>
          <w:iCs/>
          <w:sz w:val="20"/>
          <w:szCs w:val="20"/>
        </w:rPr>
        <w:t>.</w:t>
      </w:r>
      <w:proofErr w:type="gramEnd"/>
      <w:r w:rsidRPr="00F6382B">
        <w:rPr>
          <w:rFonts w:ascii="Times New Roman" w:hAnsi="Times New Roman"/>
          <w:iCs/>
          <w:sz w:val="20"/>
          <w:szCs w:val="20"/>
        </w:rPr>
        <w:t xml:space="preserve"> Descriptive </w:t>
      </w:r>
      <w:r w:rsidR="008100E3">
        <w:rPr>
          <w:rFonts w:ascii="Times New Roman" w:hAnsi="Times New Roman"/>
          <w:iCs/>
          <w:sz w:val="20"/>
          <w:szCs w:val="20"/>
        </w:rPr>
        <w:t>a</w:t>
      </w:r>
      <w:r w:rsidRPr="00F6382B">
        <w:rPr>
          <w:rFonts w:ascii="Times New Roman" w:hAnsi="Times New Roman"/>
          <w:iCs/>
          <w:sz w:val="20"/>
          <w:szCs w:val="20"/>
        </w:rPr>
        <w:t xml:space="preserve">nalysis of </w:t>
      </w:r>
      <w:r w:rsidR="008100E3">
        <w:rPr>
          <w:rFonts w:ascii="Times New Roman" w:hAnsi="Times New Roman"/>
          <w:iCs/>
          <w:sz w:val="20"/>
          <w:szCs w:val="20"/>
        </w:rPr>
        <w:t>a</w:t>
      </w:r>
      <w:r w:rsidRPr="00F6382B">
        <w:rPr>
          <w:rFonts w:ascii="Times New Roman" w:hAnsi="Times New Roman"/>
          <w:iCs/>
          <w:sz w:val="20"/>
          <w:szCs w:val="20"/>
        </w:rPr>
        <w:t xml:space="preserve">verage </w:t>
      </w:r>
      <w:r w:rsidR="008100E3">
        <w:rPr>
          <w:rFonts w:ascii="Times New Roman" w:hAnsi="Times New Roman"/>
          <w:iCs/>
          <w:sz w:val="20"/>
          <w:szCs w:val="20"/>
        </w:rPr>
        <w:t>u</w:t>
      </w:r>
      <w:r w:rsidRPr="00F6382B">
        <w:rPr>
          <w:rFonts w:ascii="Times New Roman" w:hAnsi="Times New Roman"/>
          <w:iCs/>
          <w:sz w:val="20"/>
          <w:szCs w:val="20"/>
        </w:rPr>
        <w:t xml:space="preserve">nderstanding across </w:t>
      </w:r>
      <w:r w:rsidR="008100E3">
        <w:rPr>
          <w:rFonts w:ascii="Times New Roman" w:hAnsi="Times New Roman"/>
          <w:iCs/>
          <w:sz w:val="20"/>
          <w:szCs w:val="20"/>
        </w:rPr>
        <w:t>d</w:t>
      </w:r>
      <w:r w:rsidRPr="00F6382B">
        <w:rPr>
          <w:rFonts w:ascii="Times New Roman" w:hAnsi="Times New Roman"/>
          <w:iCs/>
          <w:sz w:val="20"/>
          <w:szCs w:val="20"/>
        </w:rPr>
        <w:t>emograp</w:t>
      </w:r>
      <w:r w:rsidR="00496E8B">
        <w:rPr>
          <w:rFonts w:ascii="Times New Roman" w:hAnsi="Times New Roman"/>
          <w:iCs/>
          <w:sz w:val="20"/>
          <w:szCs w:val="20"/>
        </w:rPr>
        <w:t>hics</w:t>
      </w:r>
    </w:p>
    <w:p w:rsidR="002436E9" w:rsidRPr="00F6382B" w:rsidRDefault="002436E9" w:rsidP="002436E9">
      <w:pPr>
        <w:spacing w:after="0" w:line="240" w:lineRule="auto"/>
        <w:jc w:val="center"/>
        <w:rPr>
          <w:rFonts w:ascii="Times New Roman" w:hAnsi="Times New Roman"/>
          <w:iCs/>
          <w:sz w:val="20"/>
          <w:szCs w:val="20"/>
        </w:rPr>
      </w:pPr>
    </w:p>
    <w:tbl>
      <w:tblPr>
        <w:tblW w:w="8920" w:type="dxa"/>
        <w:jc w:val="center"/>
        <w:tblLook w:val="04A0" w:firstRow="1" w:lastRow="0" w:firstColumn="1" w:lastColumn="0" w:noHBand="0" w:noVBand="1"/>
      </w:tblPr>
      <w:tblGrid>
        <w:gridCol w:w="2871"/>
        <w:gridCol w:w="3718"/>
        <w:gridCol w:w="2331"/>
      </w:tblGrid>
      <w:tr w:rsidR="002436E9" w:rsidRPr="007844AB" w:rsidTr="00FA3587">
        <w:trPr>
          <w:trHeight w:val="242"/>
          <w:jc w:val="center"/>
        </w:trPr>
        <w:tc>
          <w:tcPr>
            <w:tcW w:w="6589" w:type="dxa"/>
            <w:gridSpan w:val="2"/>
            <w:tcBorders>
              <w:top w:val="single" w:sz="4" w:space="0" w:color="auto"/>
              <w:bottom w:val="single" w:sz="4" w:space="0" w:color="auto"/>
            </w:tcBorders>
            <w:shd w:val="clear" w:color="auto" w:fill="BDD6EE"/>
            <w:hideMark/>
          </w:tcPr>
          <w:p w:rsidR="002436E9" w:rsidRPr="007844AB" w:rsidRDefault="002436E9" w:rsidP="00425D18">
            <w:pPr>
              <w:spacing w:after="0" w:line="240" w:lineRule="auto"/>
              <w:jc w:val="center"/>
              <w:rPr>
                <w:rFonts w:ascii="Times New Roman" w:hAnsi="Times New Roman"/>
                <w:b/>
                <w:sz w:val="20"/>
                <w:szCs w:val="20"/>
              </w:rPr>
            </w:pPr>
            <w:r w:rsidRPr="007844AB">
              <w:rPr>
                <w:rFonts w:ascii="Times New Roman" w:hAnsi="Times New Roman"/>
                <w:b/>
                <w:sz w:val="20"/>
                <w:szCs w:val="20"/>
              </w:rPr>
              <w:t>Demographic feature</w:t>
            </w:r>
          </w:p>
        </w:tc>
        <w:tc>
          <w:tcPr>
            <w:tcW w:w="2331" w:type="dxa"/>
            <w:tcBorders>
              <w:top w:val="single" w:sz="4" w:space="0" w:color="auto"/>
              <w:bottom w:val="single" w:sz="4" w:space="0" w:color="auto"/>
            </w:tcBorders>
            <w:shd w:val="clear" w:color="auto" w:fill="BDD6EE"/>
            <w:hideMark/>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Understanding level</w:t>
            </w:r>
          </w:p>
        </w:tc>
      </w:tr>
      <w:tr w:rsidR="002436E9" w:rsidRPr="007844AB" w:rsidTr="00FA3587">
        <w:trPr>
          <w:trHeight w:val="250"/>
          <w:jc w:val="center"/>
        </w:trPr>
        <w:tc>
          <w:tcPr>
            <w:tcW w:w="2871" w:type="dxa"/>
            <w:vMerge w:val="restart"/>
            <w:tcBorders>
              <w:top w:val="single" w:sz="4" w:space="0" w:color="auto"/>
            </w:tcBorders>
            <w:shd w:val="clear" w:color="auto" w:fill="auto"/>
            <w:hideMark/>
          </w:tcPr>
          <w:p w:rsidR="002436E9" w:rsidRPr="007844AB" w:rsidRDefault="002436E9" w:rsidP="00A84631">
            <w:pPr>
              <w:spacing w:after="0" w:line="240" w:lineRule="auto"/>
              <w:jc w:val="both"/>
              <w:rPr>
                <w:rFonts w:ascii="Times New Roman" w:hAnsi="Times New Roman"/>
                <w:b/>
                <w:sz w:val="20"/>
                <w:szCs w:val="20"/>
              </w:rPr>
            </w:pPr>
            <w:r w:rsidRPr="007844AB">
              <w:rPr>
                <w:rFonts w:ascii="Times New Roman" w:hAnsi="Times New Roman"/>
                <w:b/>
                <w:sz w:val="20"/>
                <w:szCs w:val="20"/>
              </w:rPr>
              <w:t>Gender</w:t>
            </w:r>
          </w:p>
        </w:tc>
        <w:tc>
          <w:tcPr>
            <w:tcW w:w="3717" w:type="dxa"/>
            <w:tcBorders>
              <w:top w:val="single" w:sz="4" w:space="0" w:color="auto"/>
            </w:tcBorders>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Male</w:t>
            </w:r>
          </w:p>
        </w:tc>
        <w:tc>
          <w:tcPr>
            <w:tcW w:w="2331" w:type="dxa"/>
            <w:tcBorders>
              <w:top w:val="single" w:sz="4" w:space="0" w:color="auto"/>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3.71</w:t>
            </w:r>
          </w:p>
        </w:tc>
      </w:tr>
      <w:tr w:rsidR="002436E9" w:rsidRPr="007844AB" w:rsidTr="00FA3587">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Female</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3.88</w:t>
            </w:r>
          </w:p>
        </w:tc>
      </w:tr>
      <w:tr w:rsidR="002436E9" w:rsidRPr="007844AB" w:rsidTr="00FA3587">
        <w:trPr>
          <w:trHeight w:val="265"/>
          <w:jc w:val="center"/>
        </w:trPr>
        <w:tc>
          <w:tcPr>
            <w:tcW w:w="2871" w:type="dxa"/>
            <w:vMerge w:val="restart"/>
            <w:shd w:val="clear" w:color="auto" w:fill="auto"/>
            <w:hideMark/>
          </w:tcPr>
          <w:p w:rsidR="002436E9" w:rsidRPr="007844AB" w:rsidRDefault="002436E9" w:rsidP="00A84631">
            <w:pPr>
              <w:spacing w:after="0" w:line="240" w:lineRule="auto"/>
              <w:jc w:val="both"/>
              <w:rPr>
                <w:rFonts w:ascii="Times New Roman" w:hAnsi="Times New Roman"/>
                <w:b/>
                <w:sz w:val="20"/>
                <w:szCs w:val="20"/>
              </w:rPr>
            </w:pPr>
            <w:r w:rsidRPr="007844AB">
              <w:rPr>
                <w:rFonts w:ascii="Times New Roman" w:hAnsi="Times New Roman"/>
                <w:b/>
                <w:sz w:val="20"/>
                <w:szCs w:val="20"/>
              </w:rPr>
              <w:t>Age</w:t>
            </w:r>
            <w:r w:rsidR="008C480C">
              <w:rPr>
                <w:rFonts w:ascii="Times New Roman" w:hAnsi="Times New Roman"/>
                <w:b/>
                <w:sz w:val="20"/>
                <w:szCs w:val="20"/>
              </w:rPr>
              <w:t xml:space="preserve"> (Years) </w:t>
            </w:r>
          </w:p>
        </w:tc>
        <w:tc>
          <w:tcPr>
            <w:tcW w:w="3717" w:type="dxa"/>
            <w:shd w:val="clear" w:color="auto" w:fill="auto"/>
            <w:hideMark/>
          </w:tcPr>
          <w:p w:rsidR="002436E9" w:rsidRPr="007844AB" w:rsidRDefault="004D6A1F" w:rsidP="00A84631">
            <w:pPr>
              <w:spacing w:after="0" w:line="240" w:lineRule="auto"/>
              <w:rPr>
                <w:rFonts w:ascii="Times New Roman" w:hAnsi="Times New Roman"/>
                <w:sz w:val="20"/>
                <w:szCs w:val="20"/>
              </w:rPr>
            </w:pPr>
            <w:r>
              <w:rPr>
                <w:rFonts w:ascii="Times New Roman" w:hAnsi="Times New Roman"/>
                <w:sz w:val="20"/>
                <w:szCs w:val="20"/>
              </w:rPr>
              <w:t>20-</w:t>
            </w:r>
            <w:r w:rsidR="008C480C">
              <w:rPr>
                <w:rFonts w:ascii="Times New Roman" w:hAnsi="Times New Roman"/>
                <w:sz w:val="20"/>
                <w:szCs w:val="20"/>
              </w:rPr>
              <w:t>29</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3.67</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4D6A1F" w:rsidP="00A84631">
            <w:pPr>
              <w:spacing w:after="0" w:line="240" w:lineRule="auto"/>
              <w:rPr>
                <w:rFonts w:ascii="Times New Roman" w:hAnsi="Times New Roman"/>
                <w:sz w:val="20"/>
                <w:szCs w:val="20"/>
              </w:rPr>
            </w:pPr>
            <w:r>
              <w:rPr>
                <w:rFonts w:ascii="Times New Roman" w:hAnsi="Times New Roman"/>
                <w:sz w:val="20"/>
                <w:szCs w:val="20"/>
              </w:rPr>
              <w:t>30-</w:t>
            </w:r>
            <w:r w:rsidR="008C480C">
              <w:rPr>
                <w:rFonts w:ascii="Times New Roman" w:hAnsi="Times New Roman"/>
                <w:sz w:val="20"/>
                <w:szCs w:val="20"/>
              </w:rPr>
              <w:t>39</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3.87</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4D6A1F" w:rsidP="004D6A1F">
            <w:pPr>
              <w:spacing w:after="0" w:line="240" w:lineRule="auto"/>
              <w:rPr>
                <w:rFonts w:ascii="Times New Roman" w:hAnsi="Times New Roman"/>
                <w:sz w:val="20"/>
                <w:szCs w:val="20"/>
              </w:rPr>
            </w:pPr>
            <w:r>
              <w:rPr>
                <w:rFonts w:ascii="Times New Roman" w:hAnsi="Times New Roman"/>
                <w:sz w:val="20"/>
                <w:szCs w:val="20"/>
              </w:rPr>
              <w:t>40-</w:t>
            </w:r>
            <w:r w:rsidR="008C480C">
              <w:rPr>
                <w:rFonts w:ascii="Times New Roman" w:hAnsi="Times New Roman"/>
                <w:sz w:val="20"/>
                <w:szCs w:val="20"/>
              </w:rPr>
              <w:t>49</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3.88</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4D6A1F" w:rsidP="00A84631">
            <w:pPr>
              <w:spacing w:after="0" w:line="240" w:lineRule="auto"/>
              <w:rPr>
                <w:rFonts w:ascii="Times New Roman" w:hAnsi="Times New Roman"/>
                <w:sz w:val="20"/>
                <w:szCs w:val="20"/>
              </w:rPr>
            </w:pPr>
            <w:r>
              <w:rPr>
                <w:rFonts w:ascii="Times New Roman" w:hAnsi="Times New Roman"/>
                <w:sz w:val="20"/>
                <w:szCs w:val="20"/>
              </w:rPr>
              <w:t>50-</w:t>
            </w:r>
            <w:r w:rsidR="008C480C">
              <w:rPr>
                <w:rFonts w:ascii="Times New Roman" w:hAnsi="Times New Roman"/>
                <w:sz w:val="20"/>
                <w:szCs w:val="20"/>
              </w:rPr>
              <w:t>59</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3.80</w:t>
            </w:r>
          </w:p>
        </w:tc>
      </w:tr>
      <w:tr w:rsidR="002436E9" w:rsidRPr="007844AB" w:rsidTr="00FA3587">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60 and above</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3.60</w:t>
            </w:r>
          </w:p>
        </w:tc>
      </w:tr>
      <w:tr w:rsidR="002436E9" w:rsidRPr="007844AB" w:rsidTr="00FA3587">
        <w:trPr>
          <w:trHeight w:val="265"/>
          <w:jc w:val="center"/>
        </w:trPr>
        <w:tc>
          <w:tcPr>
            <w:tcW w:w="2871" w:type="dxa"/>
            <w:vMerge w:val="restart"/>
            <w:shd w:val="clear" w:color="auto" w:fill="auto"/>
            <w:hideMark/>
          </w:tcPr>
          <w:p w:rsidR="002436E9" w:rsidRPr="007844AB" w:rsidRDefault="002436E9" w:rsidP="00A84631">
            <w:pPr>
              <w:spacing w:after="0" w:line="240" w:lineRule="auto"/>
              <w:jc w:val="both"/>
              <w:rPr>
                <w:rFonts w:ascii="Times New Roman" w:hAnsi="Times New Roman"/>
                <w:b/>
                <w:sz w:val="20"/>
                <w:szCs w:val="20"/>
              </w:rPr>
            </w:pPr>
            <w:r w:rsidRPr="007844AB">
              <w:rPr>
                <w:rFonts w:ascii="Times New Roman" w:hAnsi="Times New Roman"/>
                <w:b/>
                <w:sz w:val="20"/>
                <w:szCs w:val="20"/>
              </w:rPr>
              <w:t>Education level</w:t>
            </w:r>
          </w:p>
        </w:tc>
        <w:tc>
          <w:tcPr>
            <w:tcW w:w="3717" w:type="dxa"/>
            <w:shd w:val="clear" w:color="auto" w:fill="auto"/>
            <w:hideMark/>
          </w:tcPr>
          <w:p w:rsidR="002436E9" w:rsidRPr="007844AB" w:rsidRDefault="004D6A1F" w:rsidP="00A84631">
            <w:pPr>
              <w:spacing w:after="0" w:line="240" w:lineRule="auto"/>
              <w:rPr>
                <w:rFonts w:ascii="Times New Roman" w:hAnsi="Times New Roman"/>
                <w:sz w:val="20"/>
                <w:szCs w:val="20"/>
              </w:rPr>
            </w:pPr>
            <w:r>
              <w:rPr>
                <w:rFonts w:ascii="Times New Roman" w:hAnsi="Times New Roman"/>
                <w:sz w:val="20"/>
                <w:szCs w:val="20"/>
              </w:rPr>
              <w:t>&lt;=</w:t>
            </w:r>
            <w:r w:rsidR="002436E9" w:rsidRPr="007844AB">
              <w:rPr>
                <w:rFonts w:ascii="Times New Roman" w:hAnsi="Times New Roman"/>
                <w:sz w:val="20"/>
                <w:szCs w:val="20"/>
              </w:rPr>
              <w:t>Primary school</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3.72</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Certificate/SPM</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3.82</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STPM</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3.91</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Diploma</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3.89</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4D6A1F" w:rsidP="00A84631">
            <w:pPr>
              <w:spacing w:after="0" w:line="240" w:lineRule="auto"/>
              <w:rPr>
                <w:rFonts w:ascii="Times New Roman" w:hAnsi="Times New Roman"/>
                <w:sz w:val="20"/>
                <w:szCs w:val="20"/>
              </w:rPr>
            </w:pPr>
            <w:r>
              <w:rPr>
                <w:rFonts w:ascii="Times New Roman" w:hAnsi="Times New Roman"/>
                <w:sz w:val="20"/>
                <w:szCs w:val="20"/>
              </w:rPr>
              <w:t>Bachelor</w:t>
            </w:r>
            <w:r w:rsidR="002436E9" w:rsidRPr="007844AB">
              <w:rPr>
                <w:rFonts w:ascii="Times New Roman" w:hAnsi="Times New Roman"/>
                <w:sz w:val="20"/>
                <w:szCs w:val="20"/>
              </w:rPr>
              <w:t xml:space="preserve"> Degree</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3.77</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4D6A1F" w:rsidP="00A84631">
            <w:pPr>
              <w:spacing w:after="0" w:line="240" w:lineRule="auto"/>
              <w:rPr>
                <w:rFonts w:ascii="Times New Roman" w:hAnsi="Times New Roman"/>
                <w:sz w:val="20"/>
                <w:szCs w:val="20"/>
              </w:rPr>
            </w:pPr>
            <w:r>
              <w:rPr>
                <w:rFonts w:ascii="Times New Roman" w:hAnsi="Times New Roman"/>
                <w:sz w:val="20"/>
                <w:szCs w:val="20"/>
              </w:rPr>
              <w:t>Master</w:t>
            </w:r>
            <w:r w:rsidR="002436E9" w:rsidRPr="007844AB">
              <w:rPr>
                <w:rFonts w:ascii="Times New Roman" w:hAnsi="Times New Roman"/>
                <w:sz w:val="20"/>
                <w:szCs w:val="20"/>
              </w:rPr>
              <w:t xml:space="preserve"> Degree</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3.77</w:t>
            </w:r>
          </w:p>
        </w:tc>
      </w:tr>
      <w:tr w:rsidR="002436E9" w:rsidRPr="007844AB" w:rsidTr="00FA3587">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4D6A1F" w:rsidP="00A84631">
            <w:pPr>
              <w:spacing w:after="0" w:line="240" w:lineRule="auto"/>
              <w:rPr>
                <w:rFonts w:ascii="Times New Roman" w:hAnsi="Times New Roman"/>
                <w:sz w:val="20"/>
                <w:szCs w:val="20"/>
              </w:rPr>
            </w:pPr>
            <w:r>
              <w:rPr>
                <w:rFonts w:ascii="Times New Roman" w:hAnsi="Times New Roman"/>
                <w:sz w:val="20"/>
                <w:szCs w:val="20"/>
              </w:rPr>
              <w:t xml:space="preserve">Doctor </w:t>
            </w:r>
            <w:r w:rsidR="002436E9" w:rsidRPr="007844AB">
              <w:rPr>
                <w:rFonts w:ascii="Times New Roman" w:hAnsi="Times New Roman"/>
                <w:sz w:val="20"/>
                <w:szCs w:val="20"/>
              </w:rPr>
              <w:t>of Philosophy</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4.08</w:t>
            </w:r>
          </w:p>
        </w:tc>
      </w:tr>
      <w:tr w:rsidR="002436E9" w:rsidRPr="007844AB" w:rsidTr="00FA3587">
        <w:trPr>
          <w:trHeight w:val="265"/>
          <w:jc w:val="center"/>
        </w:trPr>
        <w:tc>
          <w:tcPr>
            <w:tcW w:w="2871" w:type="dxa"/>
            <w:vMerge w:val="restart"/>
            <w:shd w:val="clear" w:color="auto" w:fill="auto"/>
          </w:tcPr>
          <w:p w:rsidR="002436E9" w:rsidRPr="007844AB" w:rsidRDefault="002436E9" w:rsidP="00A84631">
            <w:pPr>
              <w:spacing w:after="0" w:line="240" w:lineRule="auto"/>
              <w:jc w:val="both"/>
              <w:rPr>
                <w:rFonts w:ascii="Times New Roman" w:hAnsi="Times New Roman"/>
                <w:b/>
                <w:sz w:val="20"/>
                <w:szCs w:val="20"/>
              </w:rPr>
            </w:pPr>
            <w:r w:rsidRPr="007844AB">
              <w:rPr>
                <w:rFonts w:ascii="Times New Roman" w:hAnsi="Times New Roman"/>
                <w:b/>
                <w:sz w:val="20"/>
                <w:szCs w:val="20"/>
              </w:rPr>
              <w:t>Employment</w:t>
            </w:r>
          </w:p>
          <w:p w:rsidR="002436E9" w:rsidRPr="007844AB" w:rsidRDefault="002436E9" w:rsidP="00A84631">
            <w:pPr>
              <w:spacing w:after="0" w:line="240" w:lineRule="auto"/>
              <w:jc w:val="both"/>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Government</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3.89</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Private</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3.86</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Self-employed</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3.60</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Studying</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3.50</w:t>
            </w:r>
          </w:p>
        </w:tc>
      </w:tr>
      <w:tr w:rsidR="002436E9" w:rsidRPr="007844AB" w:rsidTr="00FA3587">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Others</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3.72</w:t>
            </w:r>
          </w:p>
        </w:tc>
      </w:tr>
      <w:tr w:rsidR="002436E9" w:rsidRPr="007844AB" w:rsidTr="00FA3587">
        <w:trPr>
          <w:trHeight w:val="250"/>
          <w:jc w:val="center"/>
        </w:trPr>
        <w:tc>
          <w:tcPr>
            <w:tcW w:w="2871" w:type="dxa"/>
            <w:vMerge w:val="restart"/>
            <w:shd w:val="clear" w:color="auto" w:fill="auto"/>
            <w:hideMark/>
          </w:tcPr>
          <w:p w:rsidR="002436E9" w:rsidRPr="007844AB" w:rsidRDefault="002436E9" w:rsidP="00A84631">
            <w:pPr>
              <w:spacing w:after="0" w:line="240" w:lineRule="auto"/>
              <w:jc w:val="both"/>
              <w:rPr>
                <w:rFonts w:ascii="Times New Roman" w:hAnsi="Times New Roman"/>
                <w:b/>
                <w:sz w:val="20"/>
                <w:szCs w:val="20"/>
              </w:rPr>
            </w:pPr>
            <w:r w:rsidRPr="007844AB">
              <w:rPr>
                <w:rFonts w:ascii="Times New Roman" w:hAnsi="Times New Roman"/>
                <w:b/>
                <w:sz w:val="20"/>
                <w:szCs w:val="20"/>
              </w:rPr>
              <w:t>Income</w:t>
            </w:r>
            <w:r w:rsidR="008C480C">
              <w:rPr>
                <w:rFonts w:ascii="Times New Roman" w:hAnsi="Times New Roman"/>
                <w:b/>
                <w:sz w:val="20"/>
                <w:szCs w:val="20"/>
              </w:rPr>
              <w:t xml:space="preserve"> (RM)</w:t>
            </w:r>
          </w:p>
        </w:tc>
        <w:tc>
          <w:tcPr>
            <w:tcW w:w="3717" w:type="dxa"/>
            <w:shd w:val="clear" w:color="auto" w:fill="auto"/>
            <w:hideMark/>
          </w:tcPr>
          <w:p w:rsidR="002436E9" w:rsidRPr="007844AB" w:rsidRDefault="008C480C" w:rsidP="00A84631">
            <w:pPr>
              <w:spacing w:after="0" w:line="240" w:lineRule="auto"/>
              <w:rPr>
                <w:rFonts w:ascii="Times New Roman" w:hAnsi="Times New Roman"/>
                <w:sz w:val="20"/>
                <w:szCs w:val="20"/>
              </w:rPr>
            </w:pPr>
            <w:r>
              <w:rPr>
                <w:rFonts w:ascii="Times New Roman" w:hAnsi="Times New Roman"/>
                <w:sz w:val="20"/>
                <w:szCs w:val="20"/>
              </w:rPr>
              <w:t>&lt;=</w:t>
            </w:r>
            <w:r w:rsidR="002436E9" w:rsidRPr="007844AB">
              <w:rPr>
                <w:rFonts w:ascii="Times New Roman" w:hAnsi="Times New Roman"/>
                <w:sz w:val="20"/>
                <w:szCs w:val="20"/>
              </w:rPr>
              <w:t>1,000</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3.66</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8C480C" w:rsidP="00A84631">
            <w:pPr>
              <w:spacing w:after="0" w:line="240" w:lineRule="auto"/>
              <w:rPr>
                <w:rFonts w:ascii="Times New Roman" w:hAnsi="Times New Roman"/>
                <w:sz w:val="20"/>
                <w:szCs w:val="20"/>
              </w:rPr>
            </w:pPr>
            <w:r>
              <w:rPr>
                <w:rFonts w:ascii="Times New Roman" w:hAnsi="Times New Roman"/>
                <w:sz w:val="20"/>
                <w:szCs w:val="20"/>
              </w:rPr>
              <w:t>1,001</w:t>
            </w:r>
            <w:r w:rsidR="004D6A1F">
              <w:rPr>
                <w:rFonts w:ascii="Times New Roman" w:hAnsi="Times New Roman"/>
                <w:sz w:val="20"/>
                <w:szCs w:val="20"/>
              </w:rPr>
              <w:t>-</w:t>
            </w:r>
            <w:r w:rsidR="002436E9" w:rsidRPr="007844AB">
              <w:rPr>
                <w:rFonts w:ascii="Times New Roman" w:hAnsi="Times New Roman"/>
                <w:sz w:val="20"/>
                <w:szCs w:val="20"/>
              </w:rPr>
              <w:t>2</w:t>
            </w:r>
            <w:r>
              <w:rPr>
                <w:rFonts w:ascii="Times New Roman" w:hAnsi="Times New Roman"/>
                <w:sz w:val="20"/>
                <w:szCs w:val="20"/>
              </w:rPr>
              <w:t>,</w:t>
            </w:r>
            <w:r w:rsidR="002436E9" w:rsidRPr="007844AB">
              <w:rPr>
                <w:rFonts w:ascii="Times New Roman" w:hAnsi="Times New Roman"/>
                <w:sz w:val="20"/>
                <w:szCs w:val="20"/>
              </w:rPr>
              <w:t>500</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3.75</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8C480C" w:rsidP="00A84631">
            <w:pPr>
              <w:spacing w:after="0" w:line="240" w:lineRule="auto"/>
              <w:rPr>
                <w:rFonts w:ascii="Times New Roman" w:hAnsi="Times New Roman"/>
                <w:sz w:val="20"/>
                <w:szCs w:val="20"/>
              </w:rPr>
            </w:pPr>
            <w:r>
              <w:rPr>
                <w:rFonts w:ascii="Times New Roman" w:hAnsi="Times New Roman"/>
                <w:sz w:val="20"/>
                <w:szCs w:val="20"/>
              </w:rPr>
              <w:t>2,501</w:t>
            </w:r>
            <w:r w:rsidR="004D6A1F">
              <w:rPr>
                <w:rFonts w:ascii="Times New Roman" w:hAnsi="Times New Roman"/>
                <w:sz w:val="20"/>
                <w:szCs w:val="20"/>
              </w:rPr>
              <w:t>-</w:t>
            </w:r>
            <w:r w:rsidR="002436E9" w:rsidRPr="007844AB">
              <w:rPr>
                <w:rFonts w:ascii="Times New Roman" w:hAnsi="Times New Roman"/>
                <w:sz w:val="20"/>
                <w:szCs w:val="20"/>
              </w:rPr>
              <w:t>4,000</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3.87</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8C480C" w:rsidP="008C480C">
            <w:pPr>
              <w:spacing w:after="0" w:line="240" w:lineRule="auto"/>
              <w:rPr>
                <w:rFonts w:ascii="Times New Roman" w:hAnsi="Times New Roman"/>
                <w:sz w:val="20"/>
                <w:szCs w:val="20"/>
              </w:rPr>
            </w:pPr>
            <w:r>
              <w:rPr>
                <w:rFonts w:ascii="Times New Roman" w:hAnsi="Times New Roman"/>
                <w:sz w:val="20"/>
                <w:szCs w:val="20"/>
              </w:rPr>
              <w:t>4,001-</w:t>
            </w:r>
            <w:r w:rsidR="002436E9" w:rsidRPr="007844AB">
              <w:rPr>
                <w:rFonts w:ascii="Times New Roman" w:hAnsi="Times New Roman"/>
                <w:sz w:val="20"/>
                <w:szCs w:val="20"/>
              </w:rPr>
              <w:t>5,500</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3.76</w:t>
            </w:r>
          </w:p>
        </w:tc>
      </w:tr>
      <w:tr w:rsidR="002436E9" w:rsidRPr="007844AB" w:rsidTr="00FA3587">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b/>
                <w:sz w:val="20"/>
                <w:szCs w:val="20"/>
              </w:rPr>
            </w:pPr>
          </w:p>
        </w:tc>
        <w:tc>
          <w:tcPr>
            <w:tcW w:w="3717" w:type="dxa"/>
            <w:shd w:val="clear" w:color="auto" w:fill="auto"/>
            <w:hideMark/>
          </w:tcPr>
          <w:p w:rsidR="002436E9" w:rsidRPr="007844AB" w:rsidRDefault="008C480C" w:rsidP="00A84631">
            <w:pPr>
              <w:spacing w:after="0" w:line="240" w:lineRule="auto"/>
              <w:rPr>
                <w:rFonts w:ascii="Times New Roman" w:hAnsi="Times New Roman"/>
                <w:sz w:val="20"/>
                <w:szCs w:val="20"/>
              </w:rPr>
            </w:pPr>
            <w:r>
              <w:rPr>
                <w:rFonts w:ascii="Times New Roman" w:hAnsi="Times New Roman"/>
                <w:sz w:val="20"/>
                <w:szCs w:val="20"/>
              </w:rPr>
              <w:t>5,501</w:t>
            </w:r>
            <w:r w:rsidR="002436E9" w:rsidRPr="007844AB">
              <w:rPr>
                <w:rFonts w:ascii="Times New Roman" w:hAnsi="Times New Roman"/>
                <w:sz w:val="20"/>
                <w:szCs w:val="20"/>
              </w:rPr>
              <w:t>=&gt;</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3.96</w:t>
            </w:r>
          </w:p>
        </w:tc>
      </w:tr>
      <w:tr w:rsidR="002436E9" w:rsidRPr="007844AB" w:rsidTr="00FA3587">
        <w:trPr>
          <w:trHeight w:val="265"/>
          <w:jc w:val="center"/>
        </w:trPr>
        <w:tc>
          <w:tcPr>
            <w:tcW w:w="2871" w:type="dxa"/>
            <w:vMerge w:val="restart"/>
            <w:shd w:val="clear" w:color="auto" w:fill="auto"/>
            <w:hideMark/>
          </w:tcPr>
          <w:p w:rsidR="002436E9" w:rsidRPr="007844AB" w:rsidRDefault="002436E9" w:rsidP="00A84631">
            <w:pPr>
              <w:spacing w:after="0" w:line="240" w:lineRule="auto"/>
              <w:jc w:val="both"/>
              <w:rPr>
                <w:rFonts w:ascii="Times New Roman" w:hAnsi="Times New Roman"/>
                <w:sz w:val="20"/>
                <w:szCs w:val="20"/>
              </w:rPr>
            </w:pPr>
            <w:r w:rsidRPr="007844AB">
              <w:rPr>
                <w:rFonts w:ascii="Times New Roman" w:hAnsi="Times New Roman"/>
                <w:b/>
                <w:sz w:val="20"/>
                <w:szCs w:val="20"/>
              </w:rPr>
              <w:t>Number of children</w:t>
            </w:r>
          </w:p>
        </w:tc>
        <w:tc>
          <w:tcPr>
            <w:tcW w:w="3717" w:type="dxa"/>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None</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3.68</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sz w:val="20"/>
                <w:szCs w:val="20"/>
              </w:rPr>
            </w:pPr>
          </w:p>
        </w:tc>
        <w:tc>
          <w:tcPr>
            <w:tcW w:w="3717" w:type="dxa"/>
            <w:shd w:val="clear" w:color="auto" w:fill="auto"/>
            <w:hideMark/>
          </w:tcPr>
          <w:p w:rsidR="002436E9" w:rsidRPr="007844AB" w:rsidRDefault="004D6A1F" w:rsidP="00A84631">
            <w:pPr>
              <w:spacing w:after="0" w:line="240" w:lineRule="auto"/>
              <w:rPr>
                <w:rFonts w:ascii="Times New Roman" w:hAnsi="Times New Roman"/>
                <w:sz w:val="20"/>
                <w:szCs w:val="20"/>
              </w:rPr>
            </w:pPr>
            <w:r>
              <w:rPr>
                <w:rFonts w:ascii="Times New Roman" w:hAnsi="Times New Roman"/>
                <w:sz w:val="20"/>
                <w:szCs w:val="20"/>
              </w:rPr>
              <w:t>1-</w:t>
            </w:r>
            <w:r w:rsidR="002436E9" w:rsidRPr="007844AB">
              <w:rPr>
                <w:rFonts w:ascii="Times New Roman" w:hAnsi="Times New Roman"/>
                <w:sz w:val="20"/>
                <w:szCs w:val="20"/>
              </w:rPr>
              <w:t>3</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3.88</w:t>
            </w:r>
          </w:p>
        </w:tc>
      </w:tr>
      <w:tr w:rsidR="002436E9" w:rsidRPr="007844AB" w:rsidTr="00A84631">
        <w:trPr>
          <w:trHeight w:val="265"/>
          <w:jc w:val="center"/>
        </w:trPr>
        <w:tc>
          <w:tcPr>
            <w:tcW w:w="0" w:type="auto"/>
            <w:vMerge/>
            <w:shd w:val="clear" w:color="auto" w:fill="auto"/>
            <w:vAlign w:val="center"/>
            <w:hideMark/>
          </w:tcPr>
          <w:p w:rsidR="002436E9" w:rsidRPr="007844AB" w:rsidRDefault="002436E9" w:rsidP="00A84631">
            <w:pPr>
              <w:spacing w:after="0" w:line="240" w:lineRule="auto"/>
              <w:rPr>
                <w:rFonts w:ascii="Times New Roman" w:hAnsi="Times New Roman"/>
                <w:sz w:val="20"/>
                <w:szCs w:val="20"/>
              </w:rPr>
            </w:pPr>
          </w:p>
        </w:tc>
        <w:tc>
          <w:tcPr>
            <w:tcW w:w="3717" w:type="dxa"/>
            <w:shd w:val="clear" w:color="auto" w:fill="auto"/>
            <w:hideMark/>
          </w:tcPr>
          <w:p w:rsidR="002436E9" w:rsidRPr="007844AB" w:rsidRDefault="00B75DB5" w:rsidP="00A84631">
            <w:pPr>
              <w:spacing w:after="0" w:line="240" w:lineRule="auto"/>
              <w:rPr>
                <w:rFonts w:ascii="Times New Roman" w:hAnsi="Times New Roman"/>
                <w:sz w:val="20"/>
                <w:szCs w:val="20"/>
              </w:rPr>
            </w:pPr>
            <w:r>
              <w:rPr>
                <w:rFonts w:ascii="Times New Roman" w:hAnsi="Times New Roman"/>
                <w:sz w:val="20"/>
                <w:szCs w:val="20"/>
              </w:rPr>
              <w:t>4-</w:t>
            </w:r>
            <w:r w:rsidR="002436E9" w:rsidRPr="007844AB">
              <w:rPr>
                <w:rFonts w:ascii="Times New Roman" w:hAnsi="Times New Roman"/>
                <w:sz w:val="20"/>
                <w:szCs w:val="20"/>
              </w:rPr>
              <w:t>6</w:t>
            </w:r>
          </w:p>
        </w:tc>
        <w:tc>
          <w:tcPr>
            <w:tcW w:w="2331" w:type="dxa"/>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3.84</w:t>
            </w:r>
          </w:p>
        </w:tc>
      </w:tr>
      <w:tr w:rsidR="002436E9" w:rsidRPr="007844AB" w:rsidTr="00FA3587">
        <w:trPr>
          <w:trHeight w:val="265"/>
          <w:jc w:val="center"/>
        </w:trPr>
        <w:tc>
          <w:tcPr>
            <w:tcW w:w="0" w:type="auto"/>
            <w:vMerge/>
            <w:tcBorders>
              <w:bottom w:val="single" w:sz="4" w:space="0" w:color="auto"/>
            </w:tcBorders>
            <w:shd w:val="clear" w:color="auto" w:fill="auto"/>
            <w:vAlign w:val="center"/>
            <w:hideMark/>
          </w:tcPr>
          <w:p w:rsidR="002436E9" w:rsidRPr="007844AB" w:rsidRDefault="002436E9" w:rsidP="00A84631">
            <w:pPr>
              <w:spacing w:after="0" w:line="240" w:lineRule="auto"/>
              <w:rPr>
                <w:rFonts w:ascii="Times New Roman" w:hAnsi="Times New Roman"/>
                <w:sz w:val="20"/>
                <w:szCs w:val="20"/>
              </w:rPr>
            </w:pPr>
          </w:p>
        </w:tc>
        <w:tc>
          <w:tcPr>
            <w:tcW w:w="3717" w:type="dxa"/>
            <w:tcBorders>
              <w:bottom w:val="single" w:sz="4" w:space="0" w:color="auto"/>
            </w:tcBorders>
            <w:shd w:val="clear" w:color="auto" w:fill="auto"/>
            <w:hideMark/>
          </w:tcPr>
          <w:p w:rsidR="002436E9" w:rsidRPr="007844AB" w:rsidRDefault="002436E9" w:rsidP="00A84631">
            <w:pPr>
              <w:spacing w:after="0" w:line="240" w:lineRule="auto"/>
              <w:rPr>
                <w:rFonts w:ascii="Times New Roman" w:hAnsi="Times New Roman"/>
                <w:sz w:val="20"/>
                <w:szCs w:val="20"/>
              </w:rPr>
            </w:pPr>
            <w:r w:rsidRPr="007844AB">
              <w:rPr>
                <w:rFonts w:ascii="Times New Roman" w:hAnsi="Times New Roman"/>
                <w:sz w:val="20"/>
                <w:szCs w:val="20"/>
              </w:rPr>
              <w:t>&gt;6</w:t>
            </w:r>
          </w:p>
        </w:tc>
        <w:tc>
          <w:tcPr>
            <w:tcW w:w="2331" w:type="dxa"/>
            <w:tcBorders>
              <w:bottom w:val="single" w:sz="4" w:space="0" w:color="auto"/>
            </w:tcBorders>
            <w:shd w:val="clear" w:color="auto" w:fill="auto"/>
            <w:hideMark/>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3.54</w:t>
            </w:r>
          </w:p>
        </w:tc>
      </w:tr>
    </w:tbl>
    <w:p w:rsidR="00556F15" w:rsidRDefault="00556F15" w:rsidP="00556F15">
      <w:pPr>
        <w:spacing w:after="0" w:line="240" w:lineRule="auto"/>
        <w:jc w:val="both"/>
        <w:rPr>
          <w:rFonts w:ascii="Times New Roman" w:hAnsi="Times New Roman"/>
          <w:sz w:val="24"/>
          <w:szCs w:val="24"/>
        </w:rPr>
      </w:pPr>
    </w:p>
    <w:p w:rsidR="00556F15" w:rsidRDefault="00556F15" w:rsidP="00556F15">
      <w:pPr>
        <w:spacing w:after="0" w:line="240" w:lineRule="auto"/>
        <w:jc w:val="both"/>
        <w:rPr>
          <w:rFonts w:ascii="Times New Roman" w:hAnsi="Times New Roman"/>
          <w:i/>
          <w:iCs/>
          <w:sz w:val="24"/>
          <w:szCs w:val="24"/>
        </w:rPr>
      </w:pPr>
      <w:r w:rsidRPr="00556F15">
        <w:rPr>
          <w:rFonts w:ascii="Times New Roman" w:hAnsi="Times New Roman"/>
          <w:i/>
          <w:iCs/>
          <w:sz w:val="24"/>
          <w:szCs w:val="24"/>
        </w:rPr>
        <w:t xml:space="preserve">The Findings from </w:t>
      </w:r>
      <w:r w:rsidR="00FA3587">
        <w:rPr>
          <w:rFonts w:ascii="Times New Roman" w:hAnsi="Times New Roman"/>
          <w:i/>
          <w:iCs/>
          <w:sz w:val="24"/>
          <w:szCs w:val="24"/>
        </w:rPr>
        <w:t>i</w:t>
      </w:r>
      <w:r w:rsidRPr="00556F15">
        <w:rPr>
          <w:rFonts w:ascii="Times New Roman" w:hAnsi="Times New Roman"/>
          <w:i/>
          <w:iCs/>
          <w:sz w:val="24"/>
          <w:szCs w:val="24"/>
        </w:rPr>
        <w:t xml:space="preserve">ndependent </w:t>
      </w:r>
      <w:r w:rsidR="00FA3587">
        <w:rPr>
          <w:rFonts w:ascii="Times New Roman" w:hAnsi="Times New Roman"/>
          <w:i/>
          <w:iCs/>
          <w:sz w:val="24"/>
          <w:szCs w:val="24"/>
        </w:rPr>
        <w:t>s</w:t>
      </w:r>
      <w:r w:rsidRPr="00556F15">
        <w:rPr>
          <w:rFonts w:ascii="Times New Roman" w:hAnsi="Times New Roman"/>
          <w:i/>
          <w:iCs/>
          <w:sz w:val="24"/>
          <w:szCs w:val="24"/>
        </w:rPr>
        <w:t xml:space="preserve">ample t-test and </w:t>
      </w:r>
      <w:r w:rsidR="00FA3587">
        <w:rPr>
          <w:rFonts w:ascii="Times New Roman" w:hAnsi="Times New Roman"/>
          <w:i/>
          <w:iCs/>
          <w:sz w:val="24"/>
          <w:szCs w:val="24"/>
        </w:rPr>
        <w:t>o</w:t>
      </w:r>
      <w:r w:rsidRPr="00556F15">
        <w:rPr>
          <w:rFonts w:ascii="Times New Roman" w:hAnsi="Times New Roman"/>
          <w:i/>
          <w:iCs/>
          <w:sz w:val="24"/>
          <w:szCs w:val="24"/>
        </w:rPr>
        <w:t>ne-</w:t>
      </w:r>
      <w:r w:rsidR="00FA3587">
        <w:rPr>
          <w:rFonts w:ascii="Times New Roman" w:hAnsi="Times New Roman"/>
          <w:i/>
          <w:iCs/>
          <w:sz w:val="24"/>
          <w:szCs w:val="24"/>
        </w:rPr>
        <w:t>w</w:t>
      </w:r>
      <w:r w:rsidRPr="00556F15">
        <w:rPr>
          <w:rFonts w:ascii="Times New Roman" w:hAnsi="Times New Roman"/>
          <w:i/>
          <w:iCs/>
          <w:sz w:val="24"/>
          <w:szCs w:val="24"/>
        </w:rPr>
        <w:t>ay ANOVA Test</w:t>
      </w:r>
    </w:p>
    <w:p w:rsidR="00B328AF" w:rsidRPr="00556F15" w:rsidRDefault="00B328AF" w:rsidP="00556F15">
      <w:pPr>
        <w:spacing w:after="0" w:line="240" w:lineRule="auto"/>
        <w:jc w:val="both"/>
        <w:rPr>
          <w:rFonts w:ascii="Times New Roman" w:hAnsi="Times New Roman"/>
          <w:i/>
          <w:iCs/>
          <w:sz w:val="24"/>
          <w:szCs w:val="24"/>
        </w:rPr>
      </w:pPr>
    </w:p>
    <w:p w:rsidR="00556F15" w:rsidRDefault="00C94385" w:rsidP="00556F15">
      <w:pPr>
        <w:spacing w:after="0" w:line="240" w:lineRule="auto"/>
        <w:jc w:val="both"/>
        <w:rPr>
          <w:rFonts w:ascii="Times New Roman" w:hAnsi="Times New Roman"/>
          <w:iCs/>
          <w:sz w:val="24"/>
          <w:szCs w:val="24"/>
        </w:rPr>
      </w:pPr>
      <w:r>
        <w:rPr>
          <w:rFonts w:ascii="Times New Roman" w:hAnsi="Times New Roman"/>
          <w:iCs/>
          <w:sz w:val="24"/>
          <w:szCs w:val="24"/>
          <w:lang w:val="en"/>
        </w:rPr>
        <w:t xml:space="preserve">T-test result in </w:t>
      </w:r>
      <w:r w:rsidR="00556F15" w:rsidRPr="00854369">
        <w:rPr>
          <w:rFonts w:ascii="Times New Roman" w:hAnsi="Times New Roman"/>
          <w:iCs/>
          <w:sz w:val="24"/>
          <w:szCs w:val="24"/>
          <w:lang w:val="en"/>
        </w:rPr>
        <w:t xml:space="preserve">Table </w:t>
      </w:r>
      <w:r w:rsidR="00F263B7" w:rsidRPr="00854369">
        <w:rPr>
          <w:rFonts w:ascii="Times New Roman" w:hAnsi="Times New Roman"/>
          <w:iCs/>
          <w:sz w:val="24"/>
          <w:szCs w:val="24"/>
          <w:lang w:val="en"/>
        </w:rPr>
        <w:t>8</w:t>
      </w:r>
      <w:r>
        <w:rPr>
          <w:rFonts w:ascii="Times New Roman" w:hAnsi="Times New Roman"/>
          <w:iCs/>
          <w:sz w:val="24"/>
          <w:szCs w:val="24"/>
          <w:lang w:val="en"/>
        </w:rPr>
        <w:t xml:space="preserve"> show</w:t>
      </w:r>
      <w:r w:rsidR="007D6747">
        <w:rPr>
          <w:rFonts w:ascii="Times New Roman" w:hAnsi="Times New Roman"/>
          <w:iCs/>
          <w:sz w:val="24"/>
          <w:szCs w:val="24"/>
          <w:lang w:val="en"/>
        </w:rPr>
        <w:t>ed</w:t>
      </w:r>
      <w:r>
        <w:rPr>
          <w:rFonts w:ascii="Times New Roman" w:hAnsi="Times New Roman"/>
          <w:iCs/>
          <w:sz w:val="24"/>
          <w:szCs w:val="24"/>
          <w:lang w:val="en"/>
        </w:rPr>
        <w:t xml:space="preserve"> that </w:t>
      </w:r>
      <w:r w:rsidR="00556F15" w:rsidRPr="00854369">
        <w:rPr>
          <w:rFonts w:ascii="Times New Roman" w:hAnsi="Times New Roman"/>
          <w:iCs/>
          <w:sz w:val="24"/>
          <w:szCs w:val="24"/>
          <w:lang w:val="en"/>
        </w:rPr>
        <w:t xml:space="preserve">gender </w:t>
      </w:r>
      <w:r w:rsidR="006D5008" w:rsidRPr="00854369">
        <w:rPr>
          <w:rFonts w:ascii="Times New Roman" w:hAnsi="Times New Roman"/>
          <w:iCs/>
          <w:sz w:val="24"/>
          <w:szCs w:val="24"/>
          <w:lang w:val="en"/>
        </w:rPr>
        <w:t xml:space="preserve">is </w:t>
      </w:r>
      <w:r w:rsidR="00556F15" w:rsidRPr="00854369">
        <w:rPr>
          <w:rFonts w:ascii="Times New Roman" w:hAnsi="Times New Roman"/>
          <w:iCs/>
          <w:sz w:val="24"/>
          <w:szCs w:val="24"/>
          <w:lang w:val="en"/>
        </w:rPr>
        <w:t>significantly affects the understanding</w:t>
      </w:r>
      <w:r w:rsidR="002A7FDB">
        <w:rPr>
          <w:rFonts w:ascii="Times New Roman" w:hAnsi="Times New Roman"/>
          <w:iCs/>
          <w:sz w:val="24"/>
          <w:szCs w:val="24"/>
          <w:lang w:val="en"/>
        </w:rPr>
        <w:t xml:space="preserve"> of education </w:t>
      </w:r>
      <w:proofErr w:type="spellStart"/>
      <w:r w:rsidR="002A7FDB">
        <w:rPr>
          <w:rFonts w:ascii="Times New Roman" w:hAnsi="Times New Roman"/>
          <w:iCs/>
          <w:sz w:val="24"/>
          <w:szCs w:val="24"/>
          <w:lang w:val="en"/>
        </w:rPr>
        <w:t>takaful</w:t>
      </w:r>
      <w:proofErr w:type="spellEnd"/>
      <w:r w:rsidR="002A7FDB">
        <w:rPr>
          <w:rFonts w:ascii="Times New Roman" w:hAnsi="Times New Roman"/>
          <w:iCs/>
          <w:sz w:val="24"/>
          <w:szCs w:val="24"/>
          <w:lang w:val="en"/>
        </w:rPr>
        <w:t xml:space="preserve"> plan</w:t>
      </w:r>
      <w:r>
        <w:rPr>
          <w:rFonts w:ascii="Times New Roman" w:hAnsi="Times New Roman"/>
          <w:iCs/>
          <w:sz w:val="24"/>
          <w:szCs w:val="24"/>
          <w:lang w:val="en"/>
        </w:rPr>
        <w:t>,</w:t>
      </w:r>
      <w:r w:rsidR="002A7FDB">
        <w:rPr>
          <w:rFonts w:ascii="Times New Roman" w:hAnsi="Times New Roman"/>
          <w:iCs/>
          <w:sz w:val="24"/>
          <w:szCs w:val="24"/>
          <w:lang w:val="en"/>
        </w:rPr>
        <w:t xml:space="preserve"> at α=</w:t>
      </w:r>
      <w:r w:rsidR="00556F15" w:rsidRPr="00854369">
        <w:rPr>
          <w:rFonts w:ascii="Times New Roman" w:hAnsi="Times New Roman"/>
          <w:iCs/>
          <w:sz w:val="24"/>
          <w:szCs w:val="24"/>
          <w:lang w:val="en"/>
        </w:rPr>
        <w:t>0.05.</w:t>
      </w:r>
      <w:r w:rsidR="00556F15" w:rsidRPr="00854369">
        <w:rPr>
          <w:rFonts w:ascii="Times New Roman" w:hAnsi="Times New Roman"/>
          <w:iCs/>
          <w:sz w:val="24"/>
          <w:szCs w:val="24"/>
        </w:rPr>
        <w:t xml:space="preserve"> </w:t>
      </w:r>
      <w:r w:rsidR="006D5008" w:rsidRPr="00854369">
        <w:rPr>
          <w:rFonts w:ascii="Times New Roman" w:hAnsi="Times New Roman"/>
          <w:iCs/>
          <w:sz w:val="24"/>
          <w:szCs w:val="24"/>
        </w:rPr>
        <w:t>It</w:t>
      </w:r>
      <w:r w:rsidR="00556F15" w:rsidRPr="00854369">
        <w:rPr>
          <w:rFonts w:ascii="Times New Roman" w:hAnsi="Times New Roman"/>
          <w:iCs/>
          <w:sz w:val="24"/>
          <w:szCs w:val="24"/>
        </w:rPr>
        <w:t xml:space="preserve"> </w:t>
      </w:r>
      <w:r>
        <w:rPr>
          <w:rFonts w:ascii="Times New Roman" w:hAnsi="Times New Roman"/>
          <w:iCs/>
          <w:sz w:val="24"/>
          <w:szCs w:val="24"/>
        </w:rPr>
        <w:t xml:space="preserve">indicates </w:t>
      </w:r>
      <w:r w:rsidR="006D5008" w:rsidRPr="00854369">
        <w:rPr>
          <w:rFonts w:ascii="Times New Roman" w:hAnsi="Times New Roman"/>
          <w:iCs/>
          <w:sz w:val="24"/>
          <w:szCs w:val="24"/>
        </w:rPr>
        <w:t xml:space="preserve">the existence of </w:t>
      </w:r>
      <w:r w:rsidR="00556F15" w:rsidRPr="00854369">
        <w:rPr>
          <w:rFonts w:ascii="Times New Roman" w:hAnsi="Times New Roman"/>
          <w:iCs/>
          <w:sz w:val="24"/>
          <w:szCs w:val="24"/>
        </w:rPr>
        <w:t xml:space="preserve">difference in the level of understanding of education </w:t>
      </w:r>
      <w:proofErr w:type="spellStart"/>
      <w:r w:rsidR="00556F15" w:rsidRPr="00854369">
        <w:rPr>
          <w:rFonts w:ascii="Times New Roman" w:hAnsi="Times New Roman"/>
          <w:iCs/>
          <w:sz w:val="24"/>
          <w:szCs w:val="24"/>
        </w:rPr>
        <w:t>takaful</w:t>
      </w:r>
      <w:proofErr w:type="spellEnd"/>
      <w:r w:rsidR="00556F15" w:rsidRPr="00854369">
        <w:rPr>
          <w:rFonts w:ascii="Times New Roman" w:hAnsi="Times New Roman"/>
          <w:iCs/>
          <w:sz w:val="24"/>
          <w:szCs w:val="24"/>
        </w:rPr>
        <w:t xml:space="preserve"> plans between</w:t>
      </w:r>
      <w:r>
        <w:rPr>
          <w:rFonts w:ascii="Times New Roman" w:hAnsi="Times New Roman"/>
          <w:iCs/>
          <w:sz w:val="24"/>
          <w:szCs w:val="24"/>
        </w:rPr>
        <w:t xml:space="preserve"> female and male</w:t>
      </w:r>
      <w:r w:rsidR="006D5008" w:rsidRPr="00854369">
        <w:rPr>
          <w:rFonts w:ascii="Times New Roman" w:hAnsi="Times New Roman"/>
          <w:iCs/>
          <w:sz w:val="24"/>
          <w:szCs w:val="24"/>
        </w:rPr>
        <w:t xml:space="preserve">. Specifically, </w:t>
      </w:r>
      <w:r>
        <w:rPr>
          <w:rFonts w:ascii="Times New Roman" w:hAnsi="Times New Roman"/>
          <w:iCs/>
          <w:sz w:val="24"/>
          <w:szCs w:val="24"/>
        </w:rPr>
        <w:t xml:space="preserve">female has </w:t>
      </w:r>
      <w:r w:rsidR="006D5008" w:rsidRPr="00854369">
        <w:rPr>
          <w:rFonts w:ascii="Times New Roman" w:hAnsi="Times New Roman"/>
          <w:iCs/>
          <w:sz w:val="24"/>
          <w:szCs w:val="24"/>
        </w:rPr>
        <w:t>higher</w:t>
      </w:r>
      <w:r w:rsidR="00556F15" w:rsidRPr="00854369">
        <w:rPr>
          <w:rFonts w:ascii="Times New Roman" w:hAnsi="Times New Roman"/>
          <w:iCs/>
          <w:sz w:val="24"/>
          <w:szCs w:val="24"/>
        </w:rPr>
        <w:t xml:space="preserve"> level of understanding (3.88) than men (3.71)</w:t>
      </w:r>
      <w:r w:rsidR="007D6747">
        <w:rPr>
          <w:rFonts w:ascii="Times New Roman" w:hAnsi="Times New Roman"/>
          <w:iCs/>
          <w:sz w:val="24"/>
          <w:szCs w:val="24"/>
        </w:rPr>
        <w:t>, which c</w:t>
      </w:r>
      <w:r w:rsidR="006D5008" w:rsidRPr="00854369">
        <w:rPr>
          <w:rFonts w:ascii="Times New Roman" w:hAnsi="Times New Roman"/>
          <w:iCs/>
          <w:sz w:val="24"/>
          <w:szCs w:val="24"/>
        </w:rPr>
        <w:t>onsistent</w:t>
      </w:r>
      <w:r w:rsidR="00556F15" w:rsidRPr="00854369">
        <w:rPr>
          <w:rFonts w:ascii="Times New Roman" w:hAnsi="Times New Roman"/>
          <w:iCs/>
          <w:sz w:val="24"/>
          <w:szCs w:val="24"/>
        </w:rPr>
        <w:t xml:space="preserve"> with</w:t>
      </w:r>
      <w:r w:rsidR="006D5008" w:rsidRPr="00854369">
        <w:rPr>
          <w:rFonts w:ascii="Times New Roman" w:hAnsi="Times New Roman"/>
          <w:iCs/>
          <w:sz w:val="24"/>
          <w:szCs w:val="24"/>
        </w:rPr>
        <w:t xml:space="preserve"> </w:t>
      </w:r>
      <w:proofErr w:type="spellStart"/>
      <w:r w:rsidR="006D5008" w:rsidRPr="00854369">
        <w:rPr>
          <w:rFonts w:ascii="Times New Roman" w:hAnsi="Times New Roman"/>
          <w:iCs/>
          <w:sz w:val="24"/>
          <w:szCs w:val="24"/>
        </w:rPr>
        <w:t>Soualhi</w:t>
      </w:r>
      <w:proofErr w:type="spellEnd"/>
      <w:r w:rsidR="006D5008" w:rsidRPr="00854369">
        <w:rPr>
          <w:rFonts w:ascii="Times New Roman" w:hAnsi="Times New Roman"/>
          <w:iCs/>
          <w:sz w:val="24"/>
          <w:szCs w:val="24"/>
        </w:rPr>
        <w:t xml:space="preserve"> &amp; Al </w:t>
      </w:r>
      <w:proofErr w:type="spellStart"/>
      <w:r w:rsidR="006D5008" w:rsidRPr="00854369">
        <w:rPr>
          <w:rFonts w:ascii="Times New Roman" w:hAnsi="Times New Roman"/>
          <w:iCs/>
          <w:sz w:val="24"/>
          <w:szCs w:val="24"/>
        </w:rPr>
        <w:t>Shamm</w:t>
      </w:r>
      <w:r>
        <w:rPr>
          <w:rFonts w:ascii="Times New Roman" w:hAnsi="Times New Roman"/>
          <w:iCs/>
          <w:sz w:val="24"/>
          <w:szCs w:val="24"/>
        </w:rPr>
        <w:t>ari</w:t>
      </w:r>
      <w:proofErr w:type="spellEnd"/>
      <w:r>
        <w:rPr>
          <w:rFonts w:ascii="Times New Roman" w:hAnsi="Times New Roman"/>
          <w:iCs/>
          <w:sz w:val="24"/>
          <w:szCs w:val="24"/>
        </w:rPr>
        <w:t xml:space="preserve"> (2015)</w:t>
      </w:r>
      <w:r w:rsidR="006D5008" w:rsidRPr="00854369">
        <w:rPr>
          <w:rFonts w:ascii="Times New Roman" w:hAnsi="Times New Roman"/>
          <w:iCs/>
          <w:sz w:val="24"/>
          <w:szCs w:val="24"/>
        </w:rPr>
        <w:t>.</w:t>
      </w:r>
      <w:r w:rsidR="00FF2901" w:rsidRPr="00854369">
        <w:rPr>
          <w:rFonts w:ascii="Times New Roman" w:hAnsi="Times New Roman"/>
          <w:iCs/>
          <w:sz w:val="24"/>
          <w:szCs w:val="24"/>
        </w:rPr>
        <w:t xml:space="preserve"> In fact, women are naturally </w:t>
      </w:r>
      <w:r w:rsidR="00854369" w:rsidRPr="00854369">
        <w:rPr>
          <w:rFonts w:ascii="Times New Roman" w:hAnsi="Times New Roman"/>
          <w:iCs/>
          <w:sz w:val="24"/>
          <w:szCs w:val="24"/>
        </w:rPr>
        <w:t xml:space="preserve">more concerned and more mindful, which lead to higher understanding of </w:t>
      </w:r>
      <w:proofErr w:type="spellStart"/>
      <w:r w:rsidR="00854369" w:rsidRPr="00854369">
        <w:rPr>
          <w:rFonts w:ascii="Times New Roman" w:hAnsi="Times New Roman"/>
          <w:iCs/>
          <w:sz w:val="24"/>
          <w:szCs w:val="24"/>
        </w:rPr>
        <w:t>takaful</w:t>
      </w:r>
      <w:proofErr w:type="spellEnd"/>
      <w:r w:rsidR="00854369" w:rsidRPr="00854369">
        <w:rPr>
          <w:rFonts w:ascii="Times New Roman" w:hAnsi="Times New Roman"/>
          <w:iCs/>
          <w:sz w:val="24"/>
          <w:szCs w:val="24"/>
        </w:rPr>
        <w:t xml:space="preserve"> plans than men.</w:t>
      </w:r>
      <w:bookmarkEnd w:id="3"/>
      <w:r w:rsidR="00854369" w:rsidRPr="00854369">
        <w:rPr>
          <w:rFonts w:ascii="Times New Roman" w:hAnsi="Times New Roman"/>
          <w:iCs/>
          <w:sz w:val="24"/>
          <w:szCs w:val="24"/>
        </w:rPr>
        <w:t xml:space="preserve"> </w:t>
      </w:r>
      <w:r w:rsidR="0033310D" w:rsidRPr="00854369">
        <w:rPr>
          <w:rFonts w:ascii="Times New Roman" w:hAnsi="Times New Roman"/>
          <w:iCs/>
          <w:sz w:val="24"/>
          <w:szCs w:val="24"/>
        </w:rPr>
        <w:t xml:space="preserve">However, gender was </w:t>
      </w:r>
      <w:r w:rsidR="003D200C">
        <w:rPr>
          <w:rFonts w:ascii="Times New Roman" w:hAnsi="Times New Roman"/>
          <w:iCs/>
          <w:sz w:val="24"/>
          <w:szCs w:val="24"/>
        </w:rPr>
        <w:t xml:space="preserve">not </w:t>
      </w:r>
      <w:r w:rsidR="0033310D" w:rsidRPr="00854369">
        <w:rPr>
          <w:rFonts w:ascii="Times New Roman" w:hAnsi="Times New Roman"/>
          <w:iCs/>
          <w:sz w:val="24"/>
          <w:szCs w:val="24"/>
        </w:rPr>
        <w:t>significant in determining micro</w:t>
      </w:r>
      <w:r w:rsidR="008E01E9" w:rsidRPr="00854369">
        <w:rPr>
          <w:rFonts w:ascii="Times New Roman" w:hAnsi="Times New Roman"/>
          <w:iCs/>
          <w:sz w:val="24"/>
          <w:szCs w:val="24"/>
        </w:rPr>
        <w:t xml:space="preserve"> life insurance</w:t>
      </w:r>
      <w:r w:rsidR="0033310D" w:rsidRPr="00854369">
        <w:rPr>
          <w:rFonts w:ascii="Times New Roman" w:hAnsi="Times New Roman"/>
          <w:iCs/>
          <w:sz w:val="24"/>
          <w:szCs w:val="24"/>
        </w:rPr>
        <w:t xml:space="preserve"> awareness among Indian hawkers</w:t>
      </w:r>
      <w:r w:rsidR="006D5008" w:rsidRPr="00854369">
        <w:rPr>
          <w:rFonts w:ascii="Times New Roman" w:hAnsi="Times New Roman"/>
          <w:iCs/>
          <w:sz w:val="24"/>
          <w:szCs w:val="24"/>
        </w:rPr>
        <w:t xml:space="preserve"> (</w:t>
      </w:r>
      <w:proofErr w:type="spellStart"/>
      <w:r w:rsidR="0033310D" w:rsidRPr="00854369">
        <w:rPr>
          <w:rFonts w:ascii="Times New Roman" w:hAnsi="Times New Roman"/>
          <w:iCs/>
          <w:sz w:val="24"/>
          <w:szCs w:val="24"/>
        </w:rPr>
        <w:t>Manik</w:t>
      </w:r>
      <w:proofErr w:type="spellEnd"/>
      <w:r w:rsidR="0033310D" w:rsidRPr="00854369">
        <w:rPr>
          <w:rFonts w:ascii="Times New Roman" w:hAnsi="Times New Roman"/>
          <w:iCs/>
          <w:sz w:val="24"/>
          <w:szCs w:val="24"/>
        </w:rPr>
        <w:t xml:space="preserve"> </w:t>
      </w:r>
      <w:r w:rsidR="00E7065E" w:rsidRPr="00854369">
        <w:rPr>
          <w:rFonts w:ascii="Times New Roman" w:hAnsi="Times New Roman"/>
          <w:iCs/>
          <w:sz w:val="24"/>
          <w:szCs w:val="24"/>
        </w:rPr>
        <w:t>&amp;</w:t>
      </w:r>
      <w:r w:rsidR="0033310D" w:rsidRPr="00854369">
        <w:rPr>
          <w:rFonts w:ascii="Times New Roman" w:hAnsi="Times New Roman"/>
          <w:iCs/>
          <w:sz w:val="24"/>
          <w:szCs w:val="24"/>
        </w:rPr>
        <w:t xml:space="preserve"> Abdul </w:t>
      </w:r>
      <w:proofErr w:type="spellStart"/>
      <w:r w:rsidR="0033310D" w:rsidRPr="00854369">
        <w:rPr>
          <w:rFonts w:ascii="Times New Roman" w:hAnsi="Times New Roman"/>
          <w:iCs/>
          <w:sz w:val="24"/>
          <w:szCs w:val="24"/>
        </w:rPr>
        <w:t>Ma</w:t>
      </w:r>
      <w:r w:rsidR="006D5008" w:rsidRPr="00854369">
        <w:rPr>
          <w:rFonts w:ascii="Times New Roman" w:hAnsi="Times New Roman"/>
          <w:iCs/>
          <w:sz w:val="24"/>
          <w:szCs w:val="24"/>
        </w:rPr>
        <w:t>nnan</w:t>
      </w:r>
      <w:proofErr w:type="spellEnd"/>
      <w:r w:rsidR="006D5008" w:rsidRPr="00854369">
        <w:rPr>
          <w:rFonts w:ascii="Times New Roman" w:hAnsi="Times New Roman"/>
          <w:iCs/>
          <w:sz w:val="24"/>
          <w:szCs w:val="24"/>
        </w:rPr>
        <w:t xml:space="preserve">, </w:t>
      </w:r>
      <w:r w:rsidR="0033310D" w:rsidRPr="00854369">
        <w:rPr>
          <w:rFonts w:ascii="Times New Roman" w:hAnsi="Times New Roman"/>
          <w:iCs/>
          <w:sz w:val="24"/>
          <w:szCs w:val="24"/>
        </w:rPr>
        <w:t>201</w:t>
      </w:r>
      <w:r w:rsidR="008E01E9" w:rsidRPr="00854369">
        <w:rPr>
          <w:rFonts w:ascii="Times New Roman" w:hAnsi="Times New Roman"/>
          <w:iCs/>
          <w:sz w:val="24"/>
          <w:szCs w:val="24"/>
        </w:rPr>
        <w:t>7</w:t>
      </w:r>
      <w:r w:rsidR="0033310D" w:rsidRPr="00854369">
        <w:rPr>
          <w:rFonts w:ascii="Times New Roman" w:hAnsi="Times New Roman"/>
          <w:iCs/>
          <w:sz w:val="24"/>
          <w:szCs w:val="24"/>
        </w:rPr>
        <w:t>).</w:t>
      </w:r>
    </w:p>
    <w:p w:rsidR="00B60D2A" w:rsidRPr="00556F15" w:rsidRDefault="00B60D2A" w:rsidP="00556F15">
      <w:pPr>
        <w:spacing w:after="0" w:line="240" w:lineRule="auto"/>
        <w:jc w:val="both"/>
        <w:rPr>
          <w:rFonts w:ascii="Times New Roman" w:hAnsi="Times New Roman"/>
          <w:iCs/>
          <w:sz w:val="24"/>
          <w:szCs w:val="24"/>
        </w:rPr>
      </w:pPr>
    </w:p>
    <w:p w:rsidR="002436E9" w:rsidRDefault="002436E9" w:rsidP="002436E9">
      <w:pPr>
        <w:spacing w:after="0" w:line="240" w:lineRule="auto"/>
        <w:jc w:val="center"/>
        <w:rPr>
          <w:rFonts w:ascii="Times New Roman" w:hAnsi="Times New Roman"/>
          <w:iCs/>
          <w:sz w:val="20"/>
          <w:szCs w:val="20"/>
        </w:rPr>
      </w:pPr>
      <w:proofErr w:type="gramStart"/>
      <w:r w:rsidRPr="00F263B7">
        <w:rPr>
          <w:rFonts w:ascii="Times New Roman" w:hAnsi="Times New Roman"/>
          <w:b/>
          <w:bCs/>
          <w:iCs/>
          <w:sz w:val="20"/>
          <w:szCs w:val="20"/>
        </w:rPr>
        <w:t>Table 8</w:t>
      </w:r>
      <w:r w:rsidRPr="00F6382B">
        <w:rPr>
          <w:rFonts w:ascii="Times New Roman" w:hAnsi="Times New Roman"/>
          <w:iCs/>
          <w:sz w:val="20"/>
          <w:szCs w:val="20"/>
        </w:rPr>
        <w:t>.</w:t>
      </w:r>
      <w:proofErr w:type="gramEnd"/>
      <w:r w:rsidRPr="00F6382B">
        <w:rPr>
          <w:rFonts w:ascii="Times New Roman" w:hAnsi="Times New Roman"/>
          <w:iCs/>
          <w:sz w:val="20"/>
          <w:szCs w:val="20"/>
        </w:rPr>
        <w:t xml:space="preserve">  T-test results</w:t>
      </w:r>
    </w:p>
    <w:p w:rsidR="002436E9" w:rsidRPr="00F6382B" w:rsidRDefault="002436E9" w:rsidP="002436E9">
      <w:pPr>
        <w:spacing w:after="0" w:line="240" w:lineRule="auto"/>
        <w:jc w:val="center"/>
        <w:rPr>
          <w:rFonts w:ascii="Times New Roman" w:hAnsi="Times New Roman"/>
          <w:iCs/>
          <w:sz w:val="20"/>
          <w:szCs w:val="20"/>
        </w:rPr>
      </w:pPr>
    </w:p>
    <w:tbl>
      <w:tblPr>
        <w:tblpPr w:leftFromText="180" w:rightFromText="180" w:vertAnchor="text" w:horzAnchor="margin" w:tblpXSpec="center" w:tblpY="63"/>
        <w:tblW w:w="0" w:type="auto"/>
        <w:tblLook w:val="04A0" w:firstRow="1" w:lastRow="0" w:firstColumn="1" w:lastColumn="0" w:noHBand="0" w:noVBand="1"/>
      </w:tblPr>
      <w:tblGrid>
        <w:gridCol w:w="3697"/>
        <w:gridCol w:w="2669"/>
        <w:gridCol w:w="2663"/>
      </w:tblGrid>
      <w:tr w:rsidR="002436E9" w:rsidRPr="007844AB" w:rsidTr="00EA7987">
        <w:trPr>
          <w:trHeight w:val="275"/>
        </w:trPr>
        <w:tc>
          <w:tcPr>
            <w:tcW w:w="3697" w:type="dxa"/>
            <w:tcBorders>
              <w:top w:val="single" w:sz="4" w:space="0" w:color="auto"/>
              <w:bottom w:val="single" w:sz="4" w:space="0" w:color="auto"/>
            </w:tcBorders>
            <w:shd w:val="clear" w:color="auto" w:fill="BDD6EE"/>
          </w:tcPr>
          <w:p w:rsidR="00420F49" w:rsidRPr="007844AB" w:rsidRDefault="00420F49" w:rsidP="00420F49">
            <w:pPr>
              <w:spacing w:after="0" w:line="240" w:lineRule="auto"/>
              <w:jc w:val="center"/>
              <w:rPr>
                <w:rFonts w:ascii="Times New Roman" w:hAnsi="Times New Roman"/>
                <w:b/>
                <w:sz w:val="20"/>
                <w:szCs w:val="20"/>
              </w:rPr>
            </w:pPr>
            <w:r>
              <w:rPr>
                <w:rFonts w:ascii="Times New Roman" w:hAnsi="Times New Roman"/>
                <w:b/>
                <w:sz w:val="20"/>
                <w:szCs w:val="20"/>
              </w:rPr>
              <w:t>Demographic characteristic</w:t>
            </w:r>
          </w:p>
        </w:tc>
        <w:tc>
          <w:tcPr>
            <w:tcW w:w="2669" w:type="dxa"/>
            <w:tcBorders>
              <w:top w:val="single" w:sz="4" w:space="0" w:color="auto"/>
              <w:bottom w:val="single" w:sz="4" w:space="0" w:color="auto"/>
            </w:tcBorders>
            <w:shd w:val="clear" w:color="auto" w:fill="BDD6EE"/>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t-statistic</w:t>
            </w:r>
          </w:p>
        </w:tc>
        <w:tc>
          <w:tcPr>
            <w:tcW w:w="2663" w:type="dxa"/>
            <w:tcBorders>
              <w:top w:val="single" w:sz="4" w:space="0" w:color="auto"/>
              <w:bottom w:val="single" w:sz="4" w:space="0" w:color="auto"/>
            </w:tcBorders>
            <w:shd w:val="clear" w:color="auto" w:fill="BDD6EE"/>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ρ-sign</w:t>
            </w:r>
          </w:p>
        </w:tc>
      </w:tr>
      <w:tr w:rsidR="002436E9" w:rsidRPr="007844AB" w:rsidTr="00A84631">
        <w:trPr>
          <w:trHeight w:val="232"/>
        </w:trPr>
        <w:tc>
          <w:tcPr>
            <w:tcW w:w="3697" w:type="dxa"/>
            <w:tcBorders>
              <w:top w:val="single" w:sz="4" w:space="0" w:color="auto"/>
              <w:bottom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Gender</w:t>
            </w:r>
          </w:p>
        </w:tc>
        <w:tc>
          <w:tcPr>
            <w:tcW w:w="2669" w:type="dxa"/>
            <w:tcBorders>
              <w:top w:val="single" w:sz="4" w:space="0" w:color="auto"/>
              <w:bottom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-2.082</w:t>
            </w:r>
          </w:p>
        </w:tc>
        <w:tc>
          <w:tcPr>
            <w:tcW w:w="2663" w:type="dxa"/>
            <w:tcBorders>
              <w:top w:val="single" w:sz="4" w:space="0" w:color="auto"/>
              <w:bottom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0.037*</w:t>
            </w:r>
          </w:p>
        </w:tc>
      </w:tr>
    </w:tbl>
    <w:p w:rsidR="002436E9" w:rsidRDefault="00FB4115" w:rsidP="00190F0A">
      <w:pPr>
        <w:spacing w:after="0" w:line="240" w:lineRule="auto"/>
        <w:rPr>
          <w:rFonts w:ascii="Times New Roman" w:hAnsi="Times New Roman"/>
          <w:iCs/>
          <w:sz w:val="20"/>
          <w:szCs w:val="20"/>
        </w:rPr>
      </w:pPr>
      <w:r>
        <w:rPr>
          <w:rFonts w:ascii="Times New Roman" w:hAnsi="Times New Roman"/>
          <w:iCs/>
          <w:sz w:val="20"/>
          <w:szCs w:val="20"/>
        </w:rPr>
        <w:t xml:space="preserve">   </w:t>
      </w:r>
      <w:r w:rsidR="002436E9" w:rsidRPr="00F6382B">
        <w:rPr>
          <w:rFonts w:ascii="Times New Roman" w:hAnsi="Times New Roman"/>
          <w:iCs/>
          <w:sz w:val="20"/>
          <w:szCs w:val="20"/>
        </w:rPr>
        <w:t>Notes:* significant at α</w:t>
      </w:r>
      <w:r w:rsidR="00420F49">
        <w:rPr>
          <w:rFonts w:ascii="Times New Roman" w:hAnsi="Times New Roman"/>
          <w:iCs/>
          <w:sz w:val="20"/>
          <w:szCs w:val="20"/>
        </w:rPr>
        <w:t>=</w:t>
      </w:r>
      <w:r w:rsidR="002436E9" w:rsidRPr="00F6382B">
        <w:rPr>
          <w:rFonts w:ascii="Times New Roman" w:hAnsi="Times New Roman"/>
          <w:iCs/>
          <w:sz w:val="20"/>
          <w:szCs w:val="20"/>
        </w:rPr>
        <w:t>0.05</w:t>
      </w:r>
    </w:p>
    <w:p w:rsidR="00F6382B" w:rsidRDefault="00556F15" w:rsidP="00F6382B">
      <w:pPr>
        <w:spacing w:after="0" w:line="240" w:lineRule="auto"/>
        <w:ind w:firstLine="360"/>
        <w:jc w:val="both"/>
        <w:rPr>
          <w:rFonts w:ascii="Times New Roman" w:hAnsi="Times New Roman"/>
          <w:sz w:val="24"/>
          <w:szCs w:val="24"/>
          <w:lang w:val="en"/>
        </w:rPr>
      </w:pPr>
      <w:r w:rsidRPr="00556F15">
        <w:rPr>
          <w:rFonts w:ascii="Times New Roman" w:hAnsi="Times New Roman"/>
          <w:sz w:val="24"/>
          <w:szCs w:val="24"/>
          <w:lang w:val="en"/>
        </w:rPr>
        <w:lastRenderedPageBreak/>
        <w:t xml:space="preserve">Meanwhile, the results of the one-way ANOVA test in Table </w:t>
      </w:r>
      <w:r w:rsidR="00F263B7">
        <w:rPr>
          <w:rFonts w:ascii="Times New Roman" w:hAnsi="Times New Roman"/>
          <w:sz w:val="24"/>
          <w:szCs w:val="24"/>
          <w:lang w:val="en"/>
        </w:rPr>
        <w:t>9</w:t>
      </w:r>
      <w:r w:rsidR="00C94385">
        <w:rPr>
          <w:rFonts w:ascii="Times New Roman" w:hAnsi="Times New Roman"/>
          <w:sz w:val="24"/>
          <w:szCs w:val="24"/>
          <w:lang w:val="en"/>
        </w:rPr>
        <w:t xml:space="preserve"> proved </w:t>
      </w:r>
      <w:r w:rsidRPr="00556F15">
        <w:rPr>
          <w:rFonts w:ascii="Times New Roman" w:hAnsi="Times New Roman"/>
          <w:sz w:val="24"/>
          <w:szCs w:val="24"/>
          <w:lang w:val="en"/>
        </w:rPr>
        <w:t xml:space="preserve">that the employment sector and number of children </w:t>
      </w:r>
      <w:r w:rsidR="00C94385">
        <w:rPr>
          <w:rFonts w:ascii="Times New Roman" w:hAnsi="Times New Roman"/>
          <w:sz w:val="24"/>
          <w:szCs w:val="24"/>
          <w:lang w:val="en"/>
        </w:rPr>
        <w:t xml:space="preserve">have </w:t>
      </w:r>
      <w:r w:rsidRPr="00556F15">
        <w:rPr>
          <w:rFonts w:ascii="Times New Roman" w:hAnsi="Times New Roman"/>
          <w:sz w:val="24"/>
          <w:szCs w:val="24"/>
          <w:lang w:val="en"/>
        </w:rPr>
        <w:t>significantly influence the understanding of educati</w:t>
      </w:r>
      <w:r w:rsidR="00F6382B">
        <w:rPr>
          <w:rFonts w:ascii="Times New Roman" w:hAnsi="Times New Roman"/>
          <w:sz w:val="24"/>
          <w:szCs w:val="24"/>
          <w:lang w:val="en"/>
        </w:rPr>
        <w:t xml:space="preserve">on </w:t>
      </w:r>
      <w:proofErr w:type="spellStart"/>
      <w:r w:rsidR="00F6382B">
        <w:rPr>
          <w:rFonts w:ascii="Times New Roman" w:hAnsi="Times New Roman"/>
          <w:sz w:val="24"/>
          <w:szCs w:val="24"/>
          <w:lang w:val="en"/>
        </w:rPr>
        <w:t>takaful</w:t>
      </w:r>
      <w:proofErr w:type="spellEnd"/>
      <w:r w:rsidR="00C94385">
        <w:rPr>
          <w:rFonts w:ascii="Times New Roman" w:hAnsi="Times New Roman"/>
          <w:sz w:val="24"/>
          <w:szCs w:val="24"/>
          <w:lang w:val="en"/>
        </w:rPr>
        <w:t>,</w:t>
      </w:r>
      <w:r w:rsidR="00F6382B">
        <w:rPr>
          <w:rFonts w:ascii="Times New Roman" w:hAnsi="Times New Roman"/>
          <w:sz w:val="24"/>
          <w:szCs w:val="24"/>
          <w:lang w:val="en"/>
        </w:rPr>
        <w:t xml:space="preserve"> at α = 0.1</w:t>
      </w:r>
    </w:p>
    <w:p w:rsidR="00190F0A" w:rsidRDefault="00190F0A" w:rsidP="00F6382B">
      <w:pPr>
        <w:spacing w:after="0" w:line="240" w:lineRule="auto"/>
        <w:ind w:firstLine="360"/>
        <w:jc w:val="both"/>
        <w:rPr>
          <w:rFonts w:ascii="Times New Roman" w:hAnsi="Times New Roman"/>
          <w:sz w:val="24"/>
          <w:szCs w:val="24"/>
          <w:lang w:val="en"/>
        </w:rPr>
      </w:pPr>
    </w:p>
    <w:p w:rsidR="002436E9" w:rsidRDefault="002436E9" w:rsidP="002436E9">
      <w:pPr>
        <w:spacing w:after="0" w:line="240" w:lineRule="auto"/>
        <w:jc w:val="center"/>
        <w:rPr>
          <w:rFonts w:ascii="Times New Roman" w:hAnsi="Times New Roman"/>
          <w:iCs/>
          <w:sz w:val="20"/>
          <w:szCs w:val="20"/>
        </w:rPr>
      </w:pPr>
      <w:proofErr w:type="gramStart"/>
      <w:r w:rsidRPr="00F6382B">
        <w:rPr>
          <w:rFonts w:ascii="Times New Roman" w:hAnsi="Times New Roman"/>
          <w:b/>
          <w:iCs/>
          <w:sz w:val="20"/>
          <w:szCs w:val="20"/>
        </w:rPr>
        <w:t xml:space="preserve">Table </w:t>
      </w:r>
      <w:r>
        <w:rPr>
          <w:rFonts w:ascii="Times New Roman" w:hAnsi="Times New Roman"/>
          <w:b/>
          <w:iCs/>
          <w:sz w:val="20"/>
          <w:szCs w:val="20"/>
        </w:rPr>
        <w:t>9</w:t>
      </w:r>
      <w:r w:rsidRPr="00F6382B">
        <w:rPr>
          <w:rFonts w:ascii="Times New Roman" w:hAnsi="Times New Roman"/>
          <w:b/>
          <w:iCs/>
          <w:sz w:val="20"/>
          <w:szCs w:val="20"/>
        </w:rPr>
        <w:t>.</w:t>
      </w:r>
      <w:proofErr w:type="gramEnd"/>
      <w:r w:rsidRPr="00F6382B">
        <w:rPr>
          <w:rFonts w:ascii="Times New Roman" w:hAnsi="Times New Roman"/>
          <w:iCs/>
          <w:sz w:val="20"/>
          <w:szCs w:val="20"/>
        </w:rPr>
        <w:t xml:space="preserve"> One-way ANOVA test results</w:t>
      </w:r>
    </w:p>
    <w:p w:rsidR="002436E9" w:rsidRPr="00F6382B" w:rsidRDefault="002436E9" w:rsidP="002436E9">
      <w:pPr>
        <w:spacing w:after="0" w:line="240" w:lineRule="auto"/>
        <w:jc w:val="center"/>
        <w:rPr>
          <w:rFonts w:ascii="Times New Roman" w:hAnsi="Times New Roman"/>
          <w:iCs/>
          <w:sz w:val="20"/>
          <w:szCs w:val="20"/>
        </w:rPr>
      </w:pPr>
    </w:p>
    <w:tbl>
      <w:tblPr>
        <w:tblpPr w:leftFromText="180" w:rightFromText="180" w:vertAnchor="text" w:horzAnchor="margin" w:tblpXSpec="center" w:tblpY="63"/>
        <w:tblW w:w="9405" w:type="dxa"/>
        <w:tblLook w:val="04A0" w:firstRow="1" w:lastRow="0" w:firstColumn="1" w:lastColumn="0" w:noHBand="0" w:noVBand="1"/>
      </w:tblPr>
      <w:tblGrid>
        <w:gridCol w:w="4211"/>
        <w:gridCol w:w="2734"/>
        <w:gridCol w:w="2460"/>
      </w:tblGrid>
      <w:tr w:rsidR="002436E9" w:rsidRPr="007844AB" w:rsidTr="00EA7987">
        <w:trPr>
          <w:trHeight w:val="129"/>
        </w:trPr>
        <w:tc>
          <w:tcPr>
            <w:tcW w:w="4211" w:type="dxa"/>
            <w:tcBorders>
              <w:top w:val="single" w:sz="4" w:space="0" w:color="auto"/>
              <w:bottom w:val="single" w:sz="4" w:space="0" w:color="auto"/>
            </w:tcBorders>
            <w:shd w:val="clear" w:color="auto" w:fill="BDD6EE"/>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Demographic feature</w:t>
            </w:r>
          </w:p>
        </w:tc>
        <w:tc>
          <w:tcPr>
            <w:tcW w:w="2734" w:type="dxa"/>
            <w:tcBorders>
              <w:top w:val="single" w:sz="4" w:space="0" w:color="auto"/>
              <w:bottom w:val="single" w:sz="4" w:space="0" w:color="auto"/>
            </w:tcBorders>
            <w:shd w:val="clear" w:color="auto" w:fill="BDD6EE"/>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F-statistic</w:t>
            </w:r>
          </w:p>
        </w:tc>
        <w:tc>
          <w:tcPr>
            <w:tcW w:w="2460" w:type="dxa"/>
            <w:tcBorders>
              <w:top w:val="single" w:sz="4" w:space="0" w:color="auto"/>
              <w:bottom w:val="single" w:sz="4" w:space="0" w:color="auto"/>
            </w:tcBorders>
            <w:shd w:val="clear" w:color="auto" w:fill="BDD6EE"/>
          </w:tcPr>
          <w:p w:rsidR="002436E9" w:rsidRPr="007844AB" w:rsidRDefault="002436E9" w:rsidP="00A84631">
            <w:pPr>
              <w:spacing w:after="0" w:line="240" w:lineRule="auto"/>
              <w:jc w:val="center"/>
              <w:rPr>
                <w:rFonts w:ascii="Times New Roman" w:hAnsi="Times New Roman"/>
                <w:b/>
                <w:sz w:val="20"/>
                <w:szCs w:val="20"/>
              </w:rPr>
            </w:pPr>
            <w:r w:rsidRPr="007844AB">
              <w:rPr>
                <w:rFonts w:ascii="Times New Roman" w:hAnsi="Times New Roman"/>
                <w:b/>
                <w:sz w:val="20"/>
                <w:szCs w:val="20"/>
              </w:rPr>
              <w:t>ρ-sign</w:t>
            </w:r>
          </w:p>
        </w:tc>
      </w:tr>
      <w:tr w:rsidR="002436E9" w:rsidRPr="007844AB" w:rsidTr="00A84631">
        <w:trPr>
          <w:trHeight w:val="229"/>
        </w:trPr>
        <w:tc>
          <w:tcPr>
            <w:tcW w:w="4211" w:type="dxa"/>
            <w:tcBorders>
              <w:top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Age</w:t>
            </w:r>
          </w:p>
        </w:tc>
        <w:tc>
          <w:tcPr>
            <w:tcW w:w="2734" w:type="dxa"/>
            <w:tcBorders>
              <w:top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1.097</w:t>
            </w:r>
          </w:p>
        </w:tc>
        <w:tc>
          <w:tcPr>
            <w:tcW w:w="2460" w:type="dxa"/>
            <w:tcBorders>
              <w:top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0.360</w:t>
            </w:r>
          </w:p>
        </w:tc>
      </w:tr>
      <w:tr w:rsidR="002436E9" w:rsidRPr="007844AB" w:rsidTr="00A84631">
        <w:trPr>
          <w:trHeight w:val="230"/>
        </w:trPr>
        <w:tc>
          <w:tcPr>
            <w:tcW w:w="4211"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Education level</w:t>
            </w:r>
          </w:p>
        </w:tc>
        <w:tc>
          <w:tcPr>
            <w:tcW w:w="2734"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0.701</w:t>
            </w:r>
          </w:p>
        </w:tc>
        <w:tc>
          <w:tcPr>
            <w:tcW w:w="2460"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0.649</w:t>
            </w:r>
          </w:p>
        </w:tc>
      </w:tr>
      <w:tr w:rsidR="002436E9" w:rsidRPr="007844AB" w:rsidTr="00A84631">
        <w:trPr>
          <w:trHeight w:val="230"/>
        </w:trPr>
        <w:tc>
          <w:tcPr>
            <w:tcW w:w="4211"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Employment</w:t>
            </w:r>
          </w:p>
        </w:tc>
        <w:tc>
          <w:tcPr>
            <w:tcW w:w="2734"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2.168</w:t>
            </w:r>
          </w:p>
        </w:tc>
        <w:tc>
          <w:tcPr>
            <w:tcW w:w="2460"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0.076*</w:t>
            </w:r>
          </w:p>
        </w:tc>
      </w:tr>
      <w:tr w:rsidR="002436E9" w:rsidRPr="007844AB" w:rsidTr="00A84631">
        <w:trPr>
          <w:trHeight w:val="230"/>
        </w:trPr>
        <w:tc>
          <w:tcPr>
            <w:tcW w:w="4211"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Income</w:t>
            </w:r>
          </w:p>
        </w:tc>
        <w:tc>
          <w:tcPr>
            <w:tcW w:w="2734"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1.266</w:t>
            </w:r>
          </w:p>
        </w:tc>
        <w:tc>
          <w:tcPr>
            <w:tcW w:w="2460" w:type="dxa"/>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0.286</w:t>
            </w:r>
          </w:p>
        </w:tc>
      </w:tr>
      <w:tr w:rsidR="002436E9" w:rsidRPr="007844AB" w:rsidTr="00F84F28">
        <w:trPr>
          <w:trHeight w:val="241"/>
        </w:trPr>
        <w:tc>
          <w:tcPr>
            <w:tcW w:w="4211" w:type="dxa"/>
            <w:tcBorders>
              <w:bottom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Number of children</w:t>
            </w:r>
          </w:p>
        </w:tc>
        <w:tc>
          <w:tcPr>
            <w:tcW w:w="2734" w:type="dxa"/>
            <w:tcBorders>
              <w:bottom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2.181</w:t>
            </w:r>
          </w:p>
        </w:tc>
        <w:tc>
          <w:tcPr>
            <w:tcW w:w="2460" w:type="dxa"/>
            <w:tcBorders>
              <w:bottom w:val="single" w:sz="4" w:space="0" w:color="auto"/>
            </w:tcBorders>
            <w:shd w:val="clear" w:color="auto" w:fill="auto"/>
          </w:tcPr>
          <w:p w:rsidR="002436E9" w:rsidRPr="007844AB" w:rsidRDefault="002436E9" w:rsidP="00A84631">
            <w:pPr>
              <w:spacing w:after="0" w:line="240" w:lineRule="auto"/>
              <w:jc w:val="center"/>
              <w:rPr>
                <w:rFonts w:ascii="Times New Roman" w:hAnsi="Times New Roman"/>
                <w:sz w:val="20"/>
                <w:szCs w:val="20"/>
              </w:rPr>
            </w:pPr>
            <w:r w:rsidRPr="007844AB">
              <w:rPr>
                <w:rFonts w:ascii="Times New Roman" w:hAnsi="Times New Roman"/>
                <w:sz w:val="20"/>
                <w:szCs w:val="20"/>
              </w:rPr>
              <w:t>0.093*</w:t>
            </w:r>
          </w:p>
        </w:tc>
      </w:tr>
    </w:tbl>
    <w:p w:rsidR="002436E9" w:rsidRDefault="00420F49" w:rsidP="002436E9">
      <w:pPr>
        <w:spacing w:after="0" w:line="240" w:lineRule="auto"/>
        <w:rPr>
          <w:rFonts w:ascii="Times New Roman" w:hAnsi="Times New Roman"/>
          <w:sz w:val="20"/>
          <w:szCs w:val="20"/>
          <w:lang w:val="en"/>
        </w:rPr>
      </w:pPr>
      <w:r>
        <w:rPr>
          <w:rFonts w:ascii="Times New Roman" w:hAnsi="Times New Roman"/>
          <w:sz w:val="20"/>
          <w:szCs w:val="20"/>
          <w:lang w:val="en"/>
        </w:rPr>
        <w:t>Notes:* significant at α=</w:t>
      </w:r>
      <w:r w:rsidR="002436E9" w:rsidRPr="00F6382B">
        <w:rPr>
          <w:rFonts w:ascii="Times New Roman" w:hAnsi="Times New Roman"/>
          <w:sz w:val="20"/>
          <w:szCs w:val="20"/>
          <w:lang w:val="en"/>
        </w:rPr>
        <w:t>0.1</w:t>
      </w:r>
    </w:p>
    <w:p w:rsidR="00F6382B" w:rsidRDefault="00F6382B" w:rsidP="00F6382B">
      <w:pPr>
        <w:spacing w:after="0" w:line="240" w:lineRule="auto"/>
        <w:ind w:firstLine="360"/>
        <w:jc w:val="center"/>
        <w:rPr>
          <w:rFonts w:ascii="Times New Roman" w:hAnsi="Times New Roman"/>
          <w:sz w:val="24"/>
          <w:szCs w:val="24"/>
          <w:lang w:val="en"/>
        </w:rPr>
      </w:pPr>
    </w:p>
    <w:p w:rsidR="00556F15" w:rsidRPr="00556F15" w:rsidRDefault="00556F15" w:rsidP="00097C39">
      <w:pPr>
        <w:spacing w:after="0" w:line="240" w:lineRule="auto"/>
        <w:ind w:firstLine="360"/>
        <w:jc w:val="both"/>
        <w:rPr>
          <w:rFonts w:ascii="Times New Roman" w:hAnsi="Times New Roman"/>
          <w:sz w:val="24"/>
          <w:szCs w:val="24"/>
          <w:lang w:val="en"/>
        </w:rPr>
      </w:pPr>
      <w:r w:rsidRPr="00556F15">
        <w:rPr>
          <w:rFonts w:ascii="Times New Roman" w:hAnsi="Times New Roman"/>
          <w:sz w:val="24"/>
          <w:szCs w:val="24"/>
          <w:lang w:val="en"/>
        </w:rPr>
        <w:t xml:space="preserve">In detail, </w:t>
      </w:r>
      <w:r w:rsidR="008307B5">
        <w:rPr>
          <w:rFonts w:ascii="Times New Roman" w:hAnsi="Times New Roman"/>
          <w:sz w:val="24"/>
          <w:szCs w:val="24"/>
          <w:lang w:val="en"/>
        </w:rPr>
        <w:t xml:space="preserve">the understanding of </w:t>
      </w:r>
      <w:proofErr w:type="spellStart"/>
      <w:r w:rsidR="008307B5">
        <w:rPr>
          <w:rFonts w:ascii="Times New Roman" w:hAnsi="Times New Roman"/>
          <w:sz w:val="24"/>
          <w:szCs w:val="24"/>
          <w:lang w:val="en"/>
        </w:rPr>
        <w:t>takaful</w:t>
      </w:r>
      <w:proofErr w:type="spellEnd"/>
      <w:r w:rsidR="008307B5">
        <w:rPr>
          <w:rFonts w:ascii="Times New Roman" w:hAnsi="Times New Roman"/>
          <w:sz w:val="24"/>
          <w:szCs w:val="24"/>
          <w:lang w:val="en"/>
        </w:rPr>
        <w:t xml:space="preserve"> education between those who work in </w:t>
      </w:r>
      <w:r w:rsidR="00D17C2C">
        <w:rPr>
          <w:rFonts w:ascii="Times New Roman" w:hAnsi="Times New Roman"/>
          <w:sz w:val="24"/>
          <w:szCs w:val="24"/>
          <w:lang w:val="en"/>
        </w:rPr>
        <w:t xml:space="preserve">the </w:t>
      </w:r>
      <w:r w:rsidR="008307B5">
        <w:rPr>
          <w:rFonts w:ascii="Times New Roman" w:hAnsi="Times New Roman"/>
          <w:sz w:val="24"/>
          <w:szCs w:val="24"/>
          <w:lang w:val="en"/>
        </w:rPr>
        <w:t>government sector is significantly different</w:t>
      </w:r>
      <w:r w:rsidR="00D17C2C">
        <w:rPr>
          <w:rFonts w:ascii="Times New Roman" w:hAnsi="Times New Roman"/>
          <w:sz w:val="24"/>
          <w:szCs w:val="24"/>
          <w:lang w:val="en"/>
        </w:rPr>
        <w:t xml:space="preserve">, at </w:t>
      </w:r>
      <w:r w:rsidR="00C44161">
        <w:rPr>
          <w:rFonts w:ascii="Times New Roman" w:hAnsi="Times New Roman"/>
          <w:sz w:val="24"/>
          <w:szCs w:val="24"/>
          <w:lang w:val="en"/>
        </w:rPr>
        <w:t>α=</w:t>
      </w:r>
      <w:r w:rsidR="00D17C2C" w:rsidRPr="00556F15">
        <w:rPr>
          <w:rFonts w:ascii="Times New Roman" w:hAnsi="Times New Roman"/>
          <w:sz w:val="24"/>
          <w:szCs w:val="24"/>
          <w:lang w:val="en"/>
        </w:rPr>
        <w:t xml:space="preserve">0.05 </w:t>
      </w:r>
      <w:r w:rsidR="00D17C2C">
        <w:rPr>
          <w:rFonts w:ascii="Times New Roman" w:hAnsi="Times New Roman"/>
          <w:sz w:val="24"/>
          <w:szCs w:val="24"/>
          <w:lang w:val="en"/>
        </w:rPr>
        <w:t>with those who self-employed (</w:t>
      </w:r>
      <w:r w:rsidR="00D17C2C" w:rsidRPr="00556F15">
        <w:rPr>
          <w:rFonts w:ascii="Times New Roman" w:hAnsi="Times New Roman"/>
          <w:sz w:val="24"/>
          <w:szCs w:val="24"/>
          <w:lang w:val="en"/>
        </w:rPr>
        <w:t>ρ</w:t>
      </w:r>
      <w:r w:rsidR="00C44161">
        <w:rPr>
          <w:rFonts w:ascii="Times New Roman" w:hAnsi="Times New Roman"/>
          <w:sz w:val="24"/>
          <w:szCs w:val="24"/>
          <w:lang w:val="en"/>
        </w:rPr>
        <w:t>=</w:t>
      </w:r>
      <w:r w:rsidR="00D17C2C" w:rsidRPr="00556F15">
        <w:rPr>
          <w:rFonts w:ascii="Times New Roman" w:hAnsi="Times New Roman"/>
          <w:sz w:val="24"/>
          <w:szCs w:val="24"/>
          <w:lang w:val="en"/>
        </w:rPr>
        <w:t>0.049</w:t>
      </w:r>
      <w:r w:rsidR="00D17C2C">
        <w:rPr>
          <w:rFonts w:ascii="Times New Roman" w:hAnsi="Times New Roman"/>
          <w:sz w:val="24"/>
          <w:szCs w:val="24"/>
          <w:lang w:val="en"/>
        </w:rPr>
        <w:t xml:space="preserve">) and </w:t>
      </w:r>
      <w:r w:rsidR="00097C39">
        <w:rPr>
          <w:rFonts w:ascii="Times New Roman" w:hAnsi="Times New Roman"/>
          <w:sz w:val="24"/>
          <w:szCs w:val="24"/>
          <w:lang w:val="en"/>
        </w:rPr>
        <w:t>students</w:t>
      </w:r>
      <w:r w:rsidR="00D17C2C">
        <w:rPr>
          <w:rFonts w:ascii="Times New Roman" w:hAnsi="Times New Roman"/>
          <w:sz w:val="24"/>
          <w:szCs w:val="24"/>
          <w:lang w:val="en"/>
        </w:rPr>
        <w:t xml:space="preserve"> (</w:t>
      </w:r>
      <w:r w:rsidR="00C44161">
        <w:rPr>
          <w:rFonts w:ascii="Times New Roman" w:hAnsi="Times New Roman"/>
          <w:sz w:val="24"/>
          <w:szCs w:val="24"/>
          <w:lang w:val="en"/>
        </w:rPr>
        <w:t>ρ=</w:t>
      </w:r>
      <w:r w:rsidR="00D17C2C" w:rsidRPr="00556F15">
        <w:rPr>
          <w:rFonts w:ascii="Times New Roman" w:hAnsi="Times New Roman"/>
          <w:sz w:val="24"/>
          <w:szCs w:val="24"/>
          <w:lang w:val="en"/>
        </w:rPr>
        <w:t>0.026</w:t>
      </w:r>
      <w:r w:rsidR="00190F0A">
        <w:rPr>
          <w:rFonts w:ascii="Times New Roman" w:hAnsi="Times New Roman"/>
          <w:sz w:val="24"/>
          <w:szCs w:val="24"/>
          <w:lang w:val="en"/>
        </w:rPr>
        <w:t xml:space="preserve">). </w:t>
      </w:r>
      <w:r w:rsidR="00097C39">
        <w:rPr>
          <w:rFonts w:ascii="Times New Roman" w:hAnsi="Times New Roman"/>
          <w:sz w:val="24"/>
          <w:szCs w:val="24"/>
          <w:lang w:val="en"/>
        </w:rPr>
        <w:t>Furthermore</w:t>
      </w:r>
      <w:r w:rsidR="00623249">
        <w:rPr>
          <w:rFonts w:ascii="Times New Roman" w:hAnsi="Times New Roman"/>
          <w:sz w:val="24"/>
          <w:szCs w:val="24"/>
          <w:lang w:val="en"/>
        </w:rPr>
        <w:t xml:space="preserve">, the understanding among individuals in private sector is </w:t>
      </w:r>
      <w:r w:rsidR="00097C39">
        <w:rPr>
          <w:rFonts w:ascii="Times New Roman" w:hAnsi="Times New Roman"/>
          <w:sz w:val="24"/>
          <w:szCs w:val="24"/>
          <w:lang w:val="en"/>
        </w:rPr>
        <w:t xml:space="preserve">also </w:t>
      </w:r>
      <w:r w:rsidR="0080606F">
        <w:rPr>
          <w:rFonts w:ascii="Times New Roman" w:hAnsi="Times New Roman"/>
          <w:sz w:val="24"/>
          <w:szCs w:val="24"/>
          <w:lang w:val="en"/>
        </w:rPr>
        <w:t xml:space="preserve">significantly </w:t>
      </w:r>
      <w:r w:rsidR="00097C39">
        <w:rPr>
          <w:rFonts w:ascii="Times New Roman" w:hAnsi="Times New Roman"/>
          <w:sz w:val="24"/>
          <w:szCs w:val="24"/>
          <w:lang w:val="en"/>
        </w:rPr>
        <w:t>differed with student (</w:t>
      </w:r>
      <w:r w:rsidR="00C44161">
        <w:rPr>
          <w:rFonts w:ascii="Times New Roman" w:hAnsi="Times New Roman"/>
          <w:sz w:val="24"/>
          <w:szCs w:val="24"/>
          <w:lang w:val="en"/>
        </w:rPr>
        <w:t>ρ=</w:t>
      </w:r>
      <w:r w:rsidR="00097C39" w:rsidRPr="00556F15">
        <w:rPr>
          <w:rFonts w:ascii="Times New Roman" w:hAnsi="Times New Roman"/>
          <w:sz w:val="24"/>
          <w:szCs w:val="24"/>
          <w:lang w:val="en"/>
        </w:rPr>
        <w:t>0.041</w:t>
      </w:r>
      <w:r w:rsidR="00190F0A">
        <w:rPr>
          <w:rFonts w:ascii="Times New Roman" w:hAnsi="Times New Roman"/>
          <w:sz w:val="24"/>
          <w:szCs w:val="24"/>
          <w:lang w:val="en"/>
        </w:rPr>
        <w:t xml:space="preserve">). </w:t>
      </w:r>
      <w:r w:rsidR="00097C39">
        <w:rPr>
          <w:rFonts w:ascii="Times New Roman" w:hAnsi="Times New Roman"/>
          <w:sz w:val="24"/>
          <w:szCs w:val="24"/>
          <w:lang w:val="en"/>
        </w:rPr>
        <w:t>Specifically, individuals</w:t>
      </w:r>
      <w:r w:rsidR="00097C39">
        <w:rPr>
          <w:rFonts w:ascii="Times New Roman" w:hAnsi="Times New Roman"/>
          <w:sz w:val="24"/>
          <w:szCs w:val="24"/>
        </w:rPr>
        <w:t xml:space="preserve"> who working in</w:t>
      </w:r>
      <w:r w:rsidRPr="00556F15">
        <w:rPr>
          <w:rFonts w:ascii="Times New Roman" w:hAnsi="Times New Roman"/>
          <w:sz w:val="24"/>
          <w:szCs w:val="24"/>
        </w:rPr>
        <w:t xml:space="preserve"> government sector have a significantly higher level of understanding (3.89) compared to self-employed individuals (3.60) and </w:t>
      </w:r>
      <w:r w:rsidR="00097C39">
        <w:rPr>
          <w:rFonts w:ascii="Times New Roman" w:hAnsi="Times New Roman"/>
          <w:sz w:val="24"/>
          <w:szCs w:val="24"/>
        </w:rPr>
        <w:t xml:space="preserve">students (3.50). </w:t>
      </w:r>
      <w:r w:rsidRPr="00556F15">
        <w:rPr>
          <w:rFonts w:ascii="Times New Roman" w:hAnsi="Times New Roman"/>
          <w:sz w:val="24"/>
          <w:szCs w:val="24"/>
          <w:lang w:val="en"/>
        </w:rPr>
        <w:t xml:space="preserve">Likewise, individuals in the private sector are also found to have a significantly higher level of understanding (3.86) compared to </w:t>
      </w:r>
      <w:r w:rsidR="00097C39">
        <w:rPr>
          <w:rFonts w:ascii="Times New Roman" w:hAnsi="Times New Roman"/>
          <w:sz w:val="24"/>
          <w:szCs w:val="24"/>
          <w:lang w:val="en"/>
        </w:rPr>
        <w:t>students</w:t>
      </w:r>
      <w:r w:rsidRPr="00556F15">
        <w:rPr>
          <w:rFonts w:ascii="Times New Roman" w:hAnsi="Times New Roman"/>
          <w:sz w:val="24"/>
          <w:szCs w:val="24"/>
          <w:lang w:val="en"/>
        </w:rPr>
        <w:t xml:space="preserve"> (3.50).</w:t>
      </w:r>
      <w:r w:rsidRPr="00556F15">
        <w:rPr>
          <w:rFonts w:ascii="Times New Roman" w:hAnsi="Times New Roman"/>
          <w:sz w:val="24"/>
          <w:szCs w:val="24"/>
        </w:rPr>
        <w:t xml:space="preserve"> </w:t>
      </w:r>
      <w:r w:rsidR="00097C39">
        <w:rPr>
          <w:rFonts w:ascii="Times New Roman" w:hAnsi="Times New Roman"/>
          <w:sz w:val="24"/>
          <w:szCs w:val="24"/>
        </w:rPr>
        <w:t xml:space="preserve">These </w:t>
      </w:r>
      <w:r w:rsidRPr="00556F15">
        <w:rPr>
          <w:rFonts w:ascii="Times New Roman" w:hAnsi="Times New Roman"/>
          <w:sz w:val="24"/>
          <w:szCs w:val="24"/>
          <w:lang w:val="en"/>
        </w:rPr>
        <w:t xml:space="preserve">results </w:t>
      </w:r>
      <w:r w:rsidR="003D73AD">
        <w:rPr>
          <w:rFonts w:ascii="Times New Roman" w:hAnsi="Times New Roman"/>
          <w:sz w:val="24"/>
          <w:szCs w:val="24"/>
          <w:lang w:val="en"/>
        </w:rPr>
        <w:t>were</w:t>
      </w:r>
      <w:r w:rsidR="00097C39">
        <w:rPr>
          <w:rFonts w:ascii="Times New Roman" w:hAnsi="Times New Roman"/>
          <w:sz w:val="24"/>
          <w:szCs w:val="24"/>
          <w:lang w:val="en"/>
        </w:rPr>
        <w:t xml:space="preserve"> consistent with </w:t>
      </w:r>
      <w:proofErr w:type="spellStart"/>
      <w:r w:rsidRPr="00556F15">
        <w:rPr>
          <w:rFonts w:ascii="Times New Roman" w:hAnsi="Times New Roman"/>
          <w:sz w:val="24"/>
          <w:szCs w:val="24"/>
          <w:lang w:val="en"/>
        </w:rPr>
        <w:t>Soualhi</w:t>
      </w:r>
      <w:proofErr w:type="spellEnd"/>
      <w:r w:rsidRPr="00556F15">
        <w:rPr>
          <w:rFonts w:ascii="Times New Roman" w:hAnsi="Times New Roman"/>
          <w:sz w:val="24"/>
          <w:szCs w:val="24"/>
          <w:lang w:val="en"/>
        </w:rPr>
        <w:t xml:space="preserve"> </w:t>
      </w:r>
      <w:r w:rsidR="00B328AF">
        <w:rPr>
          <w:rFonts w:ascii="Times New Roman" w:hAnsi="Times New Roman"/>
          <w:sz w:val="24"/>
          <w:szCs w:val="24"/>
          <w:lang w:val="en"/>
        </w:rPr>
        <w:t>&amp;</w:t>
      </w:r>
      <w:r w:rsidRPr="00556F15">
        <w:rPr>
          <w:rFonts w:ascii="Times New Roman" w:hAnsi="Times New Roman"/>
          <w:sz w:val="24"/>
          <w:szCs w:val="24"/>
          <w:lang w:val="en"/>
        </w:rPr>
        <w:t xml:space="preserve"> Al </w:t>
      </w:r>
      <w:proofErr w:type="spellStart"/>
      <w:r w:rsidRPr="00556F15">
        <w:rPr>
          <w:rFonts w:ascii="Times New Roman" w:hAnsi="Times New Roman"/>
          <w:sz w:val="24"/>
          <w:szCs w:val="24"/>
          <w:lang w:val="en"/>
        </w:rPr>
        <w:t>Shammari</w:t>
      </w:r>
      <w:proofErr w:type="spellEnd"/>
      <w:r w:rsidRPr="00556F15">
        <w:rPr>
          <w:rFonts w:ascii="Times New Roman" w:hAnsi="Times New Roman"/>
          <w:sz w:val="24"/>
          <w:szCs w:val="24"/>
          <w:lang w:val="en"/>
        </w:rPr>
        <w:t xml:space="preserve"> (2015) </w:t>
      </w:r>
      <w:r w:rsidR="00097C39">
        <w:rPr>
          <w:rFonts w:ascii="Times New Roman" w:hAnsi="Times New Roman"/>
          <w:sz w:val="24"/>
          <w:szCs w:val="24"/>
          <w:lang w:val="en"/>
        </w:rPr>
        <w:t xml:space="preserve">and </w:t>
      </w:r>
      <w:proofErr w:type="spellStart"/>
      <w:r w:rsidR="00097C39">
        <w:rPr>
          <w:rFonts w:ascii="Times New Roman" w:hAnsi="Times New Roman"/>
          <w:sz w:val="24"/>
          <w:szCs w:val="24"/>
          <w:lang w:val="en"/>
        </w:rPr>
        <w:t>Yellaiah</w:t>
      </w:r>
      <w:proofErr w:type="spellEnd"/>
      <w:r w:rsidR="00097C39">
        <w:rPr>
          <w:rFonts w:ascii="Times New Roman" w:hAnsi="Times New Roman"/>
          <w:sz w:val="24"/>
          <w:szCs w:val="24"/>
          <w:lang w:val="en"/>
        </w:rPr>
        <w:t xml:space="preserve"> (2012). In fact, </w:t>
      </w:r>
      <w:r w:rsidR="003D73AD">
        <w:rPr>
          <w:rFonts w:ascii="Times New Roman" w:hAnsi="Times New Roman"/>
          <w:sz w:val="24"/>
          <w:szCs w:val="24"/>
          <w:lang w:val="en"/>
        </w:rPr>
        <w:t>civil</w:t>
      </w:r>
      <w:r w:rsidR="00097C39">
        <w:rPr>
          <w:rFonts w:ascii="Times New Roman" w:hAnsi="Times New Roman"/>
          <w:sz w:val="24"/>
          <w:szCs w:val="24"/>
          <w:lang w:val="en"/>
        </w:rPr>
        <w:t xml:space="preserve"> </w:t>
      </w:r>
      <w:r w:rsidRPr="00556F15">
        <w:rPr>
          <w:rFonts w:ascii="Times New Roman" w:hAnsi="Times New Roman"/>
          <w:sz w:val="24"/>
          <w:szCs w:val="24"/>
        </w:rPr>
        <w:t xml:space="preserve">servants </w:t>
      </w:r>
      <w:r w:rsidR="0080606F">
        <w:rPr>
          <w:rFonts w:ascii="Times New Roman" w:hAnsi="Times New Roman"/>
          <w:sz w:val="24"/>
          <w:szCs w:val="24"/>
        </w:rPr>
        <w:t xml:space="preserve">in Malaysia </w:t>
      </w:r>
      <w:r w:rsidR="00683673">
        <w:rPr>
          <w:rFonts w:ascii="Times New Roman" w:hAnsi="Times New Roman"/>
          <w:sz w:val="24"/>
          <w:szCs w:val="24"/>
        </w:rPr>
        <w:t xml:space="preserve">have been </w:t>
      </w:r>
      <w:r w:rsidR="0080606F">
        <w:rPr>
          <w:rFonts w:ascii="Times New Roman" w:hAnsi="Times New Roman"/>
          <w:sz w:val="24"/>
          <w:szCs w:val="24"/>
        </w:rPr>
        <w:t xml:space="preserve">more </w:t>
      </w:r>
      <w:r w:rsidR="00097C39">
        <w:rPr>
          <w:rFonts w:ascii="Times New Roman" w:hAnsi="Times New Roman"/>
          <w:sz w:val="24"/>
          <w:szCs w:val="24"/>
        </w:rPr>
        <w:t>expose</w:t>
      </w:r>
      <w:r w:rsidR="00683673">
        <w:rPr>
          <w:rFonts w:ascii="Times New Roman" w:hAnsi="Times New Roman"/>
          <w:sz w:val="24"/>
          <w:szCs w:val="24"/>
        </w:rPr>
        <w:t>d</w:t>
      </w:r>
      <w:r w:rsidRPr="00556F15">
        <w:rPr>
          <w:rFonts w:ascii="Times New Roman" w:hAnsi="Times New Roman"/>
          <w:sz w:val="24"/>
          <w:szCs w:val="24"/>
        </w:rPr>
        <w:t xml:space="preserve"> to </w:t>
      </w:r>
      <w:proofErr w:type="spellStart"/>
      <w:r w:rsidRPr="00556F15">
        <w:rPr>
          <w:rFonts w:ascii="Times New Roman" w:hAnsi="Times New Roman"/>
          <w:sz w:val="24"/>
          <w:szCs w:val="24"/>
        </w:rPr>
        <w:t>takaful</w:t>
      </w:r>
      <w:proofErr w:type="spellEnd"/>
      <w:r w:rsidRPr="00556F15">
        <w:rPr>
          <w:rFonts w:ascii="Times New Roman" w:hAnsi="Times New Roman"/>
          <w:sz w:val="24"/>
          <w:szCs w:val="24"/>
        </w:rPr>
        <w:t xml:space="preserve"> plans</w:t>
      </w:r>
      <w:r w:rsidR="00683673">
        <w:rPr>
          <w:rFonts w:ascii="Times New Roman" w:hAnsi="Times New Roman"/>
          <w:sz w:val="24"/>
          <w:szCs w:val="24"/>
        </w:rPr>
        <w:t xml:space="preserve"> in recent years</w:t>
      </w:r>
      <w:r w:rsidR="0080606F">
        <w:rPr>
          <w:rFonts w:ascii="Times New Roman" w:hAnsi="Times New Roman"/>
          <w:sz w:val="24"/>
          <w:szCs w:val="24"/>
        </w:rPr>
        <w:t xml:space="preserve"> after the inception of </w:t>
      </w:r>
      <w:proofErr w:type="spellStart"/>
      <w:r w:rsidR="0080606F" w:rsidRPr="00556F15">
        <w:rPr>
          <w:rFonts w:ascii="Times New Roman" w:hAnsi="Times New Roman"/>
          <w:sz w:val="24"/>
          <w:szCs w:val="24"/>
        </w:rPr>
        <w:t>Cuepac</w:t>
      </w:r>
      <w:proofErr w:type="spellEnd"/>
      <w:r w:rsidR="0080606F" w:rsidRPr="00556F15">
        <w:rPr>
          <w:rFonts w:ascii="Times New Roman" w:hAnsi="Times New Roman"/>
          <w:sz w:val="24"/>
          <w:szCs w:val="24"/>
        </w:rPr>
        <w:t>-Care</w:t>
      </w:r>
      <w:r w:rsidR="00683673">
        <w:rPr>
          <w:rFonts w:ascii="Times New Roman" w:hAnsi="Times New Roman"/>
          <w:sz w:val="24"/>
          <w:szCs w:val="24"/>
        </w:rPr>
        <w:t xml:space="preserve">. </w:t>
      </w:r>
      <w:proofErr w:type="spellStart"/>
      <w:r w:rsidR="0080606F" w:rsidRPr="00556F15">
        <w:rPr>
          <w:rFonts w:ascii="Times New Roman" w:hAnsi="Times New Roman"/>
          <w:sz w:val="24"/>
          <w:szCs w:val="24"/>
        </w:rPr>
        <w:t>Cuepac</w:t>
      </w:r>
      <w:proofErr w:type="spellEnd"/>
      <w:r w:rsidR="0080606F" w:rsidRPr="00556F15">
        <w:rPr>
          <w:rFonts w:ascii="Times New Roman" w:hAnsi="Times New Roman"/>
          <w:sz w:val="24"/>
          <w:szCs w:val="24"/>
        </w:rPr>
        <w:t>-Care</w:t>
      </w:r>
      <w:r w:rsidR="0080606F">
        <w:rPr>
          <w:rFonts w:ascii="Times New Roman" w:hAnsi="Times New Roman"/>
          <w:sz w:val="24"/>
          <w:szCs w:val="24"/>
        </w:rPr>
        <w:t xml:space="preserve"> is </w:t>
      </w:r>
      <w:r w:rsidR="00683673">
        <w:rPr>
          <w:rFonts w:ascii="Times New Roman" w:hAnsi="Times New Roman"/>
          <w:sz w:val="24"/>
          <w:szCs w:val="24"/>
        </w:rPr>
        <w:t>a s</w:t>
      </w:r>
      <w:r w:rsidR="00DD1A52">
        <w:rPr>
          <w:rFonts w:ascii="Times New Roman" w:hAnsi="Times New Roman"/>
          <w:sz w:val="24"/>
          <w:szCs w:val="24"/>
        </w:rPr>
        <w:t xml:space="preserve">pecific </w:t>
      </w:r>
      <w:proofErr w:type="spellStart"/>
      <w:r w:rsidR="00DD1A52">
        <w:rPr>
          <w:rFonts w:ascii="Times New Roman" w:hAnsi="Times New Roman"/>
          <w:sz w:val="24"/>
          <w:szCs w:val="24"/>
        </w:rPr>
        <w:t>takaful</w:t>
      </w:r>
      <w:proofErr w:type="spellEnd"/>
      <w:r w:rsidR="00DD1A52">
        <w:rPr>
          <w:rFonts w:ascii="Times New Roman" w:hAnsi="Times New Roman"/>
          <w:sz w:val="24"/>
          <w:szCs w:val="24"/>
        </w:rPr>
        <w:t xml:space="preserve"> plan</w:t>
      </w:r>
      <w:r w:rsidR="00683673">
        <w:rPr>
          <w:rFonts w:ascii="Times New Roman" w:hAnsi="Times New Roman"/>
          <w:sz w:val="24"/>
          <w:szCs w:val="24"/>
        </w:rPr>
        <w:t xml:space="preserve"> </w:t>
      </w:r>
      <w:r w:rsidR="009D36F0">
        <w:rPr>
          <w:rFonts w:ascii="Times New Roman" w:hAnsi="Times New Roman"/>
          <w:sz w:val="24"/>
          <w:szCs w:val="24"/>
        </w:rPr>
        <w:t>for Malaysian</w:t>
      </w:r>
      <w:r w:rsidR="00683673">
        <w:rPr>
          <w:rFonts w:ascii="Times New Roman" w:hAnsi="Times New Roman"/>
          <w:sz w:val="24"/>
          <w:szCs w:val="24"/>
        </w:rPr>
        <w:t xml:space="preserve"> </w:t>
      </w:r>
      <w:r w:rsidR="00DD1A52">
        <w:rPr>
          <w:rFonts w:ascii="Times New Roman" w:hAnsi="Times New Roman"/>
          <w:sz w:val="24"/>
          <w:szCs w:val="24"/>
        </w:rPr>
        <w:t xml:space="preserve">civil </w:t>
      </w:r>
      <w:r w:rsidR="00683673" w:rsidRPr="00556F15">
        <w:rPr>
          <w:rFonts w:ascii="Times New Roman" w:hAnsi="Times New Roman"/>
          <w:sz w:val="24"/>
          <w:szCs w:val="24"/>
        </w:rPr>
        <w:t>servants</w:t>
      </w:r>
      <w:r w:rsidR="00683673">
        <w:rPr>
          <w:rFonts w:ascii="Times New Roman" w:hAnsi="Times New Roman"/>
          <w:sz w:val="24"/>
          <w:szCs w:val="24"/>
        </w:rPr>
        <w:t xml:space="preserve"> to cater their need for </w:t>
      </w:r>
      <w:proofErr w:type="spellStart"/>
      <w:r w:rsidR="00683673">
        <w:rPr>
          <w:rFonts w:ascii="Times New Roman" w:hAnsi="Times New Roman"/>
          <w:sz w:val="24"/>
          <w:szCs w:val="24"/>
        </w:rPr>
        <w:t>takaful</w:t>
      </w:r>
      <w:proofErr w:type="spellEnd"/>
      <w:r w:rsidR="00683673">
        <w:rPr>
          <w:rFonts w:ascii="Times New Roman" w:hAnsi="Times New Roman"/>
          <w:sz w:val="24"/>
          <w:szCs w:val="24"/>
        </w:rPr>
        <w:t xml:space="preserve"> protection. </w:t>
      </w:r>
      <w:r w:rsidR="00F44868">
        <w:rPr>
          <w:rFonts w:ascii="Times New Roman" w:hAnsi="Times New Roman"/>
          <w:sz w:val="24"/>
          <w:szCs w:val="24"/>
        </w:rPr>
        <w:t xml:space="preserve">Perhaps, it </w:t>
      </w:r>
      <w:r w:rsidR="00683673">
        <w:rPr>
          <w:rFonts w:ascii="Times New Roman" w:hAnsi="Times New Roman"/>
          <w:sz w:val="24"/>
          <w:szCs w:val="24"/>
        </w:rPr>
        <w:t xml:space="preserve">indirectly improved the understanding of </w:t>
      </w:r>
      <w:proofErr w:type="spellStart"/>
      <w:r w:rsidR="00683673">
        <w:rPr>
          <w:rFonts w:ascii="Times New Roman" w:hAnsi="Times New Roman"/>
          <w:sz w:val="24"/>
          <w:szCs w:val="24"/>
        </w:rPr>
        <w:t>takaful</w:t>
      </w:r>
      <w:proofErr w:type="spellEnd"/>
      <w:r w:rsidR="00683673">
        <w:rPr>
          <w:rFonts w:ascii="Times New Roman" w:hAnsi="Times New Roman"/>
          <w:sz w:val="24"/>
          <w:szCs w:val="24"/>
        </w:rPr>
        <w:t xml:space="preserve"> concept and its importance among civil servants</w:t>
      </w:r>
      <w:r w:rsidR="009D36F0">
        <w:rPr>
          <w:rFonts w:ascii="Times New Roman" w:hAnsi="Times New Roman"/>
          <w:sz w:val="24"/>
          <w:szCs w:val="24"/>
        </w:rPr>
        <w:t>.</w:t>
      </w:r>
      <w:r w:rsidR="00F44868">
        <w:rPr>
          <w:rFonts w:ascii="Times New Roman" w:hAnsi="Times New Roman"/>
          <w:sz w:val="24"/>
          <w:szCs w:val="24"/>
        </w:rPr>
        <w:t xml:space="preserve"> Indeed, the exposure on </w:t>
      </w:r>
      <w:proofErr w:type="spellStart"/>
      <w:r w:rsidR="00F44868">
        <w:rPr>
          <w:rFonts w:ascii="Times New Roman" w:hAnsi="Times New Roman"/>
          <w:sz w:val="24"/>
          <w:szCs w:val="24"/>
        </w:rPr>
        <w:t>takaful</w:t>
      </w:r>
      <w:proofErr w:type="spellEnd"/>
      <w:r w:rsidR="00F44868">
        <w:rPr>
          <w:rFonts w:ascii="Times New Roman" w:hAnsi="Times New Roman"/>
          <w:sz w:val="24"/>
          <w:szCs w:val="24"/>
        </w:rPr>
        <w:t xml:space="preserve"> concept and benefits is higher in private sector which lead higher level of understanding compared to students. </w:t>
      </w:r>
      <w:r w:rsidR="003F44AC">
        <w:rPr>
          <w:rFonts w:ascii="Times New Roman" w:hAnsi="Times New Roman"/>
          <w:sz w:val="24"/>
          <w:szCs w:val="24"/>
        </w:rPr>
        <w:t xml:space="preserve">However, the level of </w:t>
      </w:r>
      <w:r w:rsidR="00F44868">
        <w:rPr>
          <w:rFonts w:ascii="Times New Roman" w:hAnsi="Times New Roman"/>
          <w:sz w:val="24"/>
          <w:szCs w:val="24"/>
        </w:rPr>
        <w:t xml:space="preserve">understanding </w:t>
      </w:r>
      <w:r w:rsidR="003F44AC">
        <w:rPr>
          <w:rFonts w:ascii="Times New Roman" w:hAnsi="Times New Roman"/>
          <w:sz w:val="24"/>
          <w:szCs w:val="24"/>
        </w:rPr>
        <w:t>among</w:t>
      </w:r>
      <w:r w:rsidRPr="00556F15">
        <w:rPr>
          <w:rFonts w:ascii="Times New Roman" w:hAnsi="Times New Roman"/>
          <w:sz w:val="24"/>
          <w:szCs w:val="24"/>
        </w:rPr>
        <w:t xml:space="preserve"> civil servants and private sector workers</w:t>
      </w:r>
      <w:r w:rsidR="003F44AC">
        <w:rPr>
          <w:rFonts w:ascii="Times New Roman" w:hAnsi="Times New Roman"/>
          <w:sz w:val="24"/>
          <w:szCs w:val="24"/>
        </w:rPr>
        <w:t xml:space="preserve"> </w:t>
      </w:r>
      <w:r w:rsidR="00462287">
        <w:rPr>
          <w:rFonts w:ascii="Times New Roman" w:hAnsi="Times New Roman"/>
          <w:sz w:val="24"/>
          <w:szCs w:val="24"/>
        </w:rPr>
        <w:t xml:space="preserve">was </w:t>
      </w:r>
      <w:r w:rsidR="003F44AC">
        <w:rPr>
          <w:rFonts w:ascii="Times New Roman" w:hAnsi="Times New Roman"/>
          <w:sz w:val="24"/>
          <w:szCs w:val="24"/>
        </w:rPr>
        <w:t xml:space="preserve">not significantly different. Its contradicted to </w:t>
      </w:r>
      <w:proofErr w:type="spellStart"/>
      <w:r w:rsidRPr="00556F15">
        <w:rPr>
          <w:rFonts w:ascii="Times New Roman" w:hAnsi="Times New Roman"/>
          <w:sz w:val="24"/>
          <w:szCs w:val="24"/>
          <w:lang w:val="en"/>
        </w:rPr>
        <w:t>Soualhi</w:t>
      </w:r>
      <w:proofErr w:type="spellEnd"/>
      <w:r w:rsidRPr="00556F15">
        <w:rPr>
          <w:rFonts w:ascii="Times New Roman" w:hAnsi="Times New Roman"/>
          <w:sz w:val="24"/>
          <w:szCs w:val="24"/>
          <w:lang w:val="en"/>
        </w:rPr>
        <w:t xml:space="preserve"> </w:t>
      </w:r>
      <w:r w:rsidR="005F7A0D">
        <w:rPr>
          <w:rFonts w:ascii="Times New Roman" w:hAnsi="Times New Roman"/>
          <w:sz w:val="24"/>
          <w:szCs w:val="24"/>
          <w:lang w:val="en"/>
        </w:rPr>
        <w:t>&amp;</w:t>
      </w:r>
      <w:r w:rsidRPr="00556F15">
        <w:rPr>
          <w:rFonts w:ascii="Times New Roman" w:hAnsi="Times New Roman"/>
          <w:sz w:val="24"/>
          <w:szCs w:val="24"/>
          <w:lang w:val="en"/>
        </w:rPr>
        <w:t xml:space="preserve"> Al </w:t>
      </w:r>
      <w:proofErr w:type="spellStart"/>
      <w:r w:rsidRPr="00556F15">
        <w:rPr>
          <w:rFonts w:ascii="Times New Roman" w:hAnsi="Times New Roman"/>
          <w:sz w:val="24"/>
          <w:szCs w:val="24"/>
          <w:lang w:val="en"/>
        </w:rPr>
        <w:t>Shammari</w:t>
      </w:r>
      <w:proofErr w:type="spellEnd"/>
      <w:r w:rsidRPr="00556F15">
        <w:rPr>
          <w:rFonts w:ascii="Times New Roman" w:hAnsi="Times New Roman"/>
          <w:sz w:val="24"/>
          <w:szCs w:val="24"/>
          <w:lang w:val="en"/>
        </w:rPr>
        <w:t xml:space="preserve"> (2015)</w:t>
      </w:r>
      <w:r w:rsidR="003F44AC">
        <w:rPr>
          <w:rFonts w:ascii="Times New Roman" w:hAnsi="Times New Roman"/>
          <w:sz w:val="24"/>
          <w:szCs w:val="24"/>
          <w:lang w:val="en"/>
        </w:rPr>
        <w:t>, who</w:t>
      </w:r>
      <w:r w:rsidRPr="00556F15">
        <w:rPr>
          <w:rFonts w:ascii="Times New Roman" w:hAnsi="Times New Roman"/>
          <w:sz w:val="24"/>
          <w:szCs w:val="24"/>
          <w:lang w:val="en"/>
        </w:rPr>
        <w:t xml:space="preserve"> found </w:t>
      </w:r>
      <w:r w:rsidR="00B35839">
        <w:rPr>
          <w:rFonts w:ascii="Times New Roman" w:hAnsi="Times New Roman"/>
          <w:sz w:val="24"/>
          <w:szCs w:val="24"/>
          <w:lang w:val="en"/>
        </w:rPr>
        <w:t>that</w:t>
      </w:r>
      <w:r w:rsidRPr="00556F15">
        <w:rPr>
          <w:rFonts w:ascii="Times New Roman" w:hAnsi="Times New Roman"/>
          <w:sz w:val="24"/>
          <w:szCs w:val="24"/>
          <w:lang w:val="en"/>
        </w:rPr>
        <w:t xml:space="preserve"> private sector </w:t>
      </w:r>
      <w:r w:rsidR="00462287">
        <w:rPr>
          <w:rFonts w:ascii="Times New Roman" w:hAnsi="Times New Roman"/>
          <w:sz w:val="24"/>
          <w:szCs w:val="24"/>
          <w:lang w:val="en"/>
        </w:rPr>
        <w:t>workers were</w:t>
      </w:r>
      <w:r w:rsidR="00B35839">
        <w:rPr>
          <w:rFonts w:ascii="Times New Roman" w:hAnsi="Times New Roman"/>
          <w:sz w:val="24"/>
          <w:szCs w:val="24"/>
          <w:lang w:val="en"/>
        </w:rPr>
        <w:t xml:space="preserve"> </w:t>
      </w:r>
      <w:r w:rsidRPr="00556F15">
        <w:rPr>
          <w:rFonts w:ascii="Times New Roman" w:hAnsi="Times New Roman"/>
          <w:sz w:val="24"/>
          <w:szCs w:val="24"/>
          <w:lang w:val="en"/>
        </w:rPr>
        <w:t xml:space="preserve">generally </w:t>
      </w:r>
      <w:r w:rsidR="00B35839">
        <w:rPr>
          <w:rFonts w:ascii="Times New Roman" w:hAnsi="Times New Roman"/>
          <w:sz w:val="24"/>
          <w:szCs w:val="24"/>
          <w:lang w:val="en"/>
        </w:rPr>
        <w:t>po</w:t>
      </w:r>
      <w:r w:rsidR="00462287">
        <w:rPr>
          <w:rFonts w:ascii="Times New Roman" w:hAnsi="Times New Roman"/>
          <w:sz w:val="24"/>
          <w:szCs w:val="24"/>
          <w:lang w:val="en"/>
        </w:rPr>
        <w:t>s</w:t>
      </w:r>
      <w:r w:rsidR="00B35839">
        <w:rPr>
          <w:rFonts w:ascii="Times New Roman" w:hAnsi="Times New Roman"/>
          <w:sz w:val="24"/>
          <w:szCs w:val="24"/>
          <w:lang w:val="en"/>
        </w:rPr>
        <w:t>se</w:t>
      </w:r>
      <w:r w:rsidR="00462287">
        <w:rPr>
          <w:rFonts w:ascii="Times New Roman" w:hAnsi="Times New Roman"/>
          <w:sz w:val="24"/>
          <w:szCs w:val="24"/>
          <w:lang w:val="en"/>
        </w:rPr>
        <w:t>ss</w:t>
      </w:r>
      <w:r w:rsidR="00B35839">
        <w:rPr>
          <w:rFonts w:ascii="Times New Roman" w:hAnsi="Times New Roman"/>
          <w:sz w:val="24"/>
          <w:szCs w:val="24"/>
          <w:lang w:val="en"/>
        </w:rPr>
        <w:t xml:space="preserve"> higher knowledge </w:t>
      </w:r>
      <w:r w:rsidR="00777709">
        <w:rPr>
          <w:rFonts w:ascii="Times New Roman" w:hAnsi="Times New Roman"/>
          <w:sz w:val="24"/>
          <w:szCs w:val="24"/>
          <w:lang w:val="en"/>
        </w:rPr>
        <w:t xml:space="preserve">on </w:t>
      </w:r>
      <w:proofErr w:type="spellStart"/>
      <w:r w:rsidR="00777709">
        <w:rPr>
          <w:rFonts w:ascii="Times New Roman" w:hAnsi="Times New Roman"/>
          <w:sz w:val="24"/>
          <w:szCs w:val="24"/>
          <w:lang w:val="en"/>
        </w:rPr>
        <w:t>takaful</w:t>
      </w:r>
      <w:proofErr w:type="spellEnd"/>
      <w:r w:rsidRPr="00556F15">
        <w:rPr>
          <w:rFonts w:ascii="Times New Roman" w:hAnsi="Times New Roman"/>
          <w:sz w:val="24"/>
          <w:szCs w:val="24"/>
          <w:lang w:val="en"/>
        </w:rPr>
        <w:t xml:space="preserve"> plans than other sectors.</w:t>
      </w:r>
    </w:p>
    <w:p w:rsidR="00556F15" w:rsidRPr="00556F15" w:rsidRDefault="00462287" w:rsidP="00556F15">
      <w:pPr>
        <w:spacing w:after="0" w:line="240" w:lineRule="auto"/>
        <w:ind w:firstLine="360"/>
        <w:jc w:val="both"/>
        <w:rPr>
          <w:rFonts w:ascii="Times New Roman" w:hAnsi="Times New Roman"/>
          <w:sz w:val="24"/>
          <w:szCs w:val="24"/>
        </w:rPr>
      </w:pPr>
      <w:r w:rsidRPr="00556F15">
        <w:rPr>
          <w:rFonts w:ascii="Times New Roman" w:hAnsi="Times New Roman"/>
          <w:sz w:val="24"/>
          <w:szCs w:val="24"/>
          <w:lang w:val="en"/>
        </w:rPr>
        <w:t>I</w:t>
      </w:r>
      <w:r w:rsidR="00556F15" w:rsidRPr="00556F15">
        <w:rPr>
          <w:rFonts w:ascii="Times New Roman" w:hAnsi="Times New Roman"/>
          <w:sz w:val="24"/>
          <w:szCs w:val="24"/>
          <w:lang w:val="en"/>
        </w:rPr>
        <w:t xml:space="preserve">n terms of </w:t>
      </w:r>
      <w:r>
        <w:rPr>
          <w:rFonts w:ascii="Times New Roman" w:hAnsi="Times New Roman"/>
          <w:sz w:val="24"/>
          <w:szCs w:val="24"/>
          <w:lang w:val="en"/>
        </w:rPr>
        <w:t xml:space="preserve">the </w:t>
      </w:r>
      <w:r w:rsidR="00556F15" w:rsidRPr="00556F15">
        <w:rPr>
          <w:rFonts w:ascii="Times New Roman" w:hAnsi="Times New Roman"/>
          <w:sz w:val="24"/>
          <w:szCs w:val="24"/>
          <w:lang w:val="en"/>
        </w:rPr>
        <w:t xml:space="preserve">number of children, individuals who had between 1-3 children </w:t>
      </w:r>
      <w:r w:rsidR="00B15EB2">
        <w:rPr>
          <w:rFonts w:ascii="Times New Roman" w:hAnsi="Times New Roman"/>
          <w:sz w:val="24"/>
          <w:szCs w:val="24"/>
          <w:lang w:val="en"/>
        </w:rPr>
        <w:t>score the</w:t>
      </w:r>
      <w:r w:rsidR="00556F15" w:rsidRPr="00556F15">
        <w:rPr>
          <w:rFonts w:ascii="Times New Roman" w:hAnsi="Times New Roman"/>
          <w:sz w:val="24"/>
          <w:szCs w:val="24"/>
          <w:lang w:val="en"/>
        </w:rPr>
        <w:t xml:space="preserve"> highest level of understanding (3.88) and </w:t>
      </w:r>
      <w:r w:rsidRPr="00556F15">
        <w:rPr>
          <w:rFonts w:ascii="Times New Roman" w:hAnsi="Times New Roman"/>
          <w:sz w:val="24"/>
          <w:szCs w:val="24"/>
          <w:lang w:val="en"/>
        </w:rPr>
        <w:t xml:space="preserve">significantly </w:t>
      </w:r>
      <w:r w:rsidR="00556F15" w:rsidRPr="00556F15">
        <w:rPr>
          <w:rFonts w:ascii="Times New Roman" w:hAnsi="Times New Roman"/>
          <w:sz w:val="24"/>
          <w:szCs w:val="24"/>
          <w:lang w:val="en"/>
        </w:rPr>
        <w:t>differ</w:t>
      </w:r>
      <w:r>
        <w:rPr>
          <w:rFonts w:ascii="Times New Roman" w:hAnsi="Times New Roman"/>
          <w:sz w:val="24"/>
          <w:szCs w:val="24"/>
          <w:lang w:val="en"/>
        </w:rPr>
        <w:t xml:space="preserve">ent </w:t>
      </w:r>
      <w:r w:rsidR="00556F15" w:rsidRPr="00556F15">
        <w:rPr>
          <w:rFonts w:ascii="Times New Roman" w:hAnsi="Times New Roman"/>
          <w:sz w:val="24"/>
          <w:szCs w:val="24"/>
          <w:lang w:val="en"/>
        </w:rPr>
        <w:t xml:space="preserve">from those who had no children (3.68) and more than 6 children (3.54) </w:t>
      </w:r>
      <w:r w:rsidR="009075A8">
        <w:rPr>
          <w:rFonts w:ascii="Times New Roman" w:hAnsi="Times New Roman"/>
          <w:sz w:val="24"/>
          <w:szCs w:val="24"/>
          <w:lang w:val="en"/>
        </w:rPr>
        <w:t>at α=0.1 and α=</w:t>
      </w:r>
      <w:r w:rsidR="00556F15" w:rsidRPr="00556F15">
        <w:rPr>
          <w:rFonts w:ascii="Times New Roman" w:hAnsi="Times New Roman"/>
          <w:sz w:val="24"/>
          <w:szCs w:val="24"/>
          <w:lang w:val="en"/>
        </w:rPr>
        <w:t>0.05.</w:t>
      </w:r>
      <w:r w:rsidR="00654DAC">
        <w:rPr>
          <w:rFonts w:ascii="Times New Roman" w:hAnsi="Times New Roman"/>
          <w:sz w:val="24"/>
          <w:szCs w:val="24"/>
          <w:lang w:val="en"/>
        </w:rPr>
        <w:t xml:space="preserve"> It </w:t>
      </w:r>
      <w:r w:rsidR="00B71BC0">
        <w:rPr>
          <w:rFonts w:ascii="Times New Roman" w:hAnsi="Times New Roman"/>
          <w:sz w:val="24"/>
          <w:szCs w:val="24"/>
          <w:lang w:val="en"/>
        </w:rPr>
        <w:t>indicated</w:t>
      </w:r>
      <w:r w:rsidR="00654DAC">
        <w:rPr>
          <w:rFonts w:ascii="Times New Roman" w:hAnsi="Times New Roman"/>
          <w:sz w:val="24"/>
          <w:szCs w:val="24"/>
          <w:lang w:val="en"/>
        </w:rPr>
        <w:t xml:space="preserve"> the existence of </w:t>
      </w:r>
      <w:r w:rsidR="00556F15" w:rsidRPr="00556F15">
        <w:rPr>
          <w:rFonts w:ascii="Times New Roman" w:hAnsi="Times New Roman"/>
          <w:sz w:val="24"/>
          <w:szCs w:val="24"/>
          <w:lang w:val="en"/>
        </w:rPr>
        <w:t>a trend in understanding distribution, w</w:t>
      </w:r>
      <w:r w:rsidR="004F3B64">
        <w:rPr>
          <w:rFonts w:ascii="Times New Roman" w:hAnsi="Times New Roman"/>
          <w:sz w:val="24"/>
          <w:szCs w:val="24"/>
          <w:lang w:val="en"/>
        </w:rPr>
        <w:t>ith level of understanding was</w:t>
      </w:r>
      <w:r w:rsidR="00556F15" w:rsidRPr="00556F15">
        <w:rPr>
          <w:rFonts w:ascii="Times New Roman" w:hAnsi="Times New Roman"/>
          <w:sz w:val="24"/>
          <w:szCs w:val="24"/>
          <w:lang w:val="en"/>
        </w:rPr>
        <w:t xml:space="preserve"> low at both extreme numbers of children </w:t>
      </w:r>
      <w:r w:rsidR="004F3B64">
        <w:rPr>
          <w:rFonts w:ascii="Times New Roman" w:hAnsi="Times New Roman"/>
          <w:sz w:val="24"/>
          <w:szCs w:val="24"/>
          <w:lang w:val="en"/>
        </w:rPr>
        <w:t xml:space="preserve">as </w:t>
      </w:r>
      <w:r w:rsidR="00556F15" w:rsidRPr="00556F15">
        <w:rPr>
          <w:rFonts w:ascii="Times New Roman" w:hAnsi="Times New Roman"/>
          <w:sz w:val="24"/>
          <w:szCs w:val="24"/>
          <w:lang w:val="en"/>
        </w:rPr>
        <w:t>compared to individuals with 1-3 children</w:t>
      </w:r>
      <w:r w:rsidR="00556F15" w:rsidRPr="00556F15">
        <w:rPr>
          <w:rFonts w:ascii="Times New Roman" w:hAnsi="Times New Roman"/>
          <w:sz w:val="24"/>
          <w:szCs w:val="24"/>
        </w:rPr>
        <w:t>.</w:t>
      </w:r>
      <w:r w:rsidR="00556F15" w:rsidRPr="00556F15">
        <w:rPr>
          <w:rFonts w:ascii="Times New Roman" w:eastAsia="Times New Roman" w:hAnsi="Times New Roman"/>
          <w:sz w:val="24"/>
          <w:szCs w:val="24"/>
          <w:lang w:val="en" w:eastAsia="en-GB"/>
        </w:rPr>
        <w:t xml:space="preserve"> </w:t>
      </w:r>
      <w:r w:rsidR="00556F15" w:rsidRPr="00556F15">
        <w:rPr>
          <w:rFonts w:ascii="Times New Roman" w:hAnsi="Times New Roman"/>
          <w:sz w:val="24"/>
          <w:szCs w:val="24"/>
          <w:lang w:val="en"/>
        </w:rPr>
        <w:t xml:space="preserve">For individuals </w:t>
      </w:r>
      <w:r w:rsidR="00654DAC">
        <w:rPr>
          <w:rFonts w:ascii="Times New Roman" w:hAnsi="Times New Roman"/>
          <w:sz w:val="24"/>
          <w:szCs w:val="24"/>
          <w:lang w:val="en"/>
        </w:rPr>
        <w:t xml:space="preserve">without </w:t>
      </w:r>
      <w:r w:rsidR="00556F15" w:rsidRPr="00556F15">
        <w:rPr>
          <w:rFonts w:ascii="Times New Roman" w:hAnsi="Times New Roman"/>
          <w:sz w:val="24"/>
          <w:szCs w:val="24"/>
          <w:lang w:val="en"/>
        </w:rPr>
        <w:t xml:space="preserve">children, </w:t>
      </w:r>
      <w:r w:rsidR="00654DAC">
        <w:rPr>
          <w:rFonts w:ascii="Times New Roman" w:hAnsi="Times New Roman"/>
          <w:sz w:val="24"/>
          <w:szCs w:val="24"/>
          <w:lang w:val="en"/>
        </w:rPr>
        <w:t xml:space="preserve">the necessity </w:t>
      </w:r>
      <w:r w:rsidR="00556F15" w:rsidRPr="00556F15">
        <w:rPr>
          <w:rFonts w:ascii="Times New Roman" w:hAnsi="Times New Roman"/>
          <w:sz w:val="24"/>
          <w:szCs w:val="24"/>
          <w:lang w:val="en"/>
        </w:rPr>
        <w:t xml:space="preserve">to purchase education </w:t>
      </w:r>
      <w:proofErr w:type="spellStart"/>
      <w:r w:rsidR="00556F15" w:rsidRPr="00556F15">
        <w:rPr>
          <w:rFonts w:ascii="Times New Roman" w:hAnsi="Times New Roman"/>
          <w:sz w:val="24"/>
          <w:szCs w:val="24"/>
          <w:lang w:val="en"/>
        </w:rPr>
        <w:t>takaful</w:t>
      </w:r>
      <w:proofErr w:type="spellEnd"/>
      <w:r w:rsidR="00556F15" w:rsidRPr="00556F15">
        <w:rPr>
          <w:rFonts w:ascii="Times New Roman" w:hAnsi="Times New Roman"/>
          <w:sz w:val="24"/>
          <w:szCs w:val="24"/>
          <w:lang w:val="en"/>
        </w:rPr>
        <w:t xml:space="preserve"> </w:t>
      </w:r>
      <w:r w:rsidR="00905C7A">
        <w:rPr>
          <w:rFonts w:ascii="Times New Roman" w:hAnsi="Times New Roman"/>
          <w:sz w:val="24"/>
          <w:szCs w:val="24"/>
          <w:lang w:val="en"/>
        </w:rPr>
        <w:t>might</w:t>
      </w:r>
      <w:r w:rsidR="00556F15" w:rsidRPr="00556F15">
        <w:rPr>
          <w:rFonts w:ascii="Times New Roman" w:hAnsi="Times New Roman"/>
          <w:sz w:val="24"/>
          <w:szCs w:val="24"/>
          <w:lang w:val="en"/>
        </w:rPr>
        <w:t xml:space="preserve"> not exist</w:t>
      </w:r>
      <w:r w:rsidR="00A31CA4">
        <w:rPr>
          <w:rFonts w:ascii="Times New Roman" w:hAnsi="Times New Roman"/>
          <w:sz w:val="24"/>
          <w:szCs w:val="24"/>
          <w:lang w:val="en"/>
        </w:rPr>
        <w:t xml:space="preserve">, which detach their need </w:t>
      </w:r>
      <w:r w:rsidR="00556F15" w:rsidRPr="00556F15">
        <w:rPr>
          <w:rFonts w:ascii="Times New Roman" w:hAnsi="Times New Roman"/>
          <w:sz w:val="24"/>
          <w:szCs w:val="24"/>
          <w:lang w:val="en"/>
        </w:rPr>
        <w:t xml:space="preserve">to further understand the education </w:t>
      </w:r>
      <w:proofErr w:type="spellStart"/>
      <w:r w:rsidR="00556F15" w:rsidRPr="00556F15">
        <w:rPr>
          <w:rFonts w:ascii="Times New Roman" w:hAnsi="Times New Roman"/>
          <w:sz w:val="24"/>
          <w:szCs w:val="24"/>
          <w:lang w:val="en"/>
        </w:rPr>
        <w:t>takaful</w:t>
      </w:r>
      <w:proofErr w:type="spellEnd"/>
      <w:r w:rsidR="00556F15" w:rsidRPr="00556F15">
        <w:rPr>
          <w:rFonts w:ascii="Times New Roman" w:hAnsi="Times New Roman"/>
          <w:sz w:val="24"/>
          <w:szCs w:val="24"/>
          <w:lang w:val="en"/>
        </w:rPr>
        <w:t xml:space="preserve"> plan.</w:t>
      </w:r>
      <w:r w:rsidR="00556F15" w:rsidRPr="00556F15">
        <w:rPr>
          <w:rFonts w:ascii="Times New Roman" w:hAnsi="Times New Roman"/>
          <w:sz w:val="24"/>
          <w:szCs w:val="24"/>
        </w:rPr>
        <w:t xml:space="preserve"> Perhaps</w:t>
      </w:r>
      <w:r w:rsidR="007F4B81">
        <w:rPr>
          <w:rFonts w:ascii="Times New Roman" w:hAnsi="Times New Roman"/>
          <w:sz w:val="24"/>
          <w:szCs w:val="24"/>
        </w:rPr>
        <w:t xml:space="preserve">, </w:t>
      </w:r>
      <w:r w:rsidR="00682ACA">
        <w:rPr>
          <w:rFonts w:ascii="Times New Roman" w:hAnsi="Times New Roman"/>
          <w:sz w:val="24"/>
          <w:szCs w:val="24"/>
        </w:rPr>
        <w:t xml:space="preserve">the understanding towards </w:t>
      </w:r>
      <w:r w:rsidR="00682ACA" w:rsidRPr="00556F15">
        <w:rPr>
          <w:rFonts w:ascii="Times New Roman" w:hAnsi="Times New Roman"/>
          <w:sz w:val="24"/>
          <w:szCs w:val="24"/>
        </w:rPr>
        <w:t xml:space="preserve">other types of </w:t>
      </w:r>
      <w:proofErr w:type="spellStart"/>
      <w:r w:rsidR="00682ACA" w:rsidRPr="00556F15">
        <w:rPr>
          <w:rFonts w:ascii="Times New Roman" w:hAnsi="Times New Roman"/>
          <w:sz w:val="24"/>
          <w:szCs w:val="24"/>
        </w:rPr>
        <w:t>takaful</w:t>
      </w:r>
      <w:proofErr w:type="spellEnd"/>
      <w:r w:rsidR="00682ACA" w:rsidRPr="00556F15">
        <w:rPr>
          <w:rFonts w:ascii="Times New Roman" w:hAnsi="Times New Roman"/>
          <w:sz w:val="24"/>
          <w:szCs w:val="24"/>
        </w:rPr>
        <w:t xml:space="preserve"> plans </w:t>
      </w:r>
      <w:r w:rsidR="00556F15" w:rsidRPr="00556F15">
        <w:rPr>
          <w:rFonts w:ascii="Times New Roman" w:hAnsi="Times New Roman"/>
          <w:sz w:val="24"/>
          <w:szCs w:val="24"/>
        </w:rPr>
        <w:t xml:space="preserve">is </w:t>
      </w:r>
      <w:r w:rsidR="00682ACA">
        <w:rPr>
          <w:rFonts w:ascii="Times New Roman" w:hAnsi="Times New Roman"/>
          <w:sz w:val="24"/>
          <w:szCs w:val="24"/>
        </w:rPr>
        <w:t xml:space="preserve">more preferred. </w:t>
      </w:r>
      <w:r w:rsidR="00556F15" w:rsidRPr="00556F15">
        <w:rPr>
          <w:rFonts w:ascii="Times New Roman" w:hAnsi="Times New Roman"/>
          <w:sz w:val="24"/>
          <w:szCs w:val="24"/>
          <w:lang w:val="en"/>
        </w:rPr>
        <w:t xml:space="preserve">Meanwhile, for individuals with over 6 children, the understanding of education </w:t>
      </w:r>
      <w:proofErr w:type="spellStart"/>
      <w:r w:rsidR="00556F15" w:rsidRPr="00556F15">
        <w:rPr>
          <w:rFonts w:ascii="Times New Roman" w:hAnsi="Times New Roman"/>
          <w:sz w:val="24"/>
          <w:szCs w:val="24"/>
          <w:lang w:val="en"/>
        </w:rPr>
        <w:t>takaful</w:t>
      </w:r>
      <w:proofErr w:type="spellEnd"/>
      <w:r w:rsidR="00556F15" w:rsidRPr="00556F15">
        <w:rPr>
          <w:rFonts w:ascii="Times New Roman" w:hAnsi="Times New Roman"/>
          <w:sz w:val="24"/>
          <w:szCs w:val="24"/>
          <w:lang w:val="en"/>
        </w:rPr>
        <w:t xml:space="preserve"> </w:t>
      </w:r>
      <w:r w:rsidR="00327FE1">
        <w:rPr>
          <w:rFonts w:ascii="Times New Roman" w:hAnsi="Times New Roman"/>
          <w:sz w:val="24"/>
          <w:szCs w:val="24"/>
          <w:lang w:val="en"/>
        </w:rPr>
        <w:t xml:space="preserve">is </w:t>
      </w:r>
      <w:r w:rsidR="00556F15" w:rsidRPr="00556F15">
        <w:rPr>
          <w:rFonts w:ascii="Times New Roman" w:hAnsi="Times New Roman"/>
          <w:sz w:val="24"/>
          <w:szCs w:val="24"/>
          <w:lang w:val="en"/>
        </w:rPr>
        <w:t xml:space="preserve">relatively low </w:t>
      </w:r>
      <w:r w:rsidR="00D02482">
        <w:rPr>
          <w:rFonts w:ascii="Times New Roman" w:hAnsi="Times New Roman"/>
          <w:sz w:val="24"/>
          <w:szCs w:val="24"/>
          <w:lang w:val="en"/>
        </w:rPr>
        <w:t xml:space="preserve">as compared to </w:t>
      </w:r>
      <w:r w:rsidR="00D02482" w:rsidRPr="00556F15">
        <w:rPr>
          <w:rFonts w:ascii="Times New Roman" w:hAnsi="Times New Roman"/>
          <w:sz w:val="24"/>
          <w:szCs w:val="24"/>
          <w:lang w:val="en"/>
        </w:rPr>
        <w:t>individuals</w:t>
      </w:r>
      <w:r w:rsidR="00556F15" w:rsidRPr="00556F15">
        <w:rPr>
          <w:rFonts w:ascii="Times New Roman" w:hAnsi="Times New Roman"/>
          <w:sz w:val="24"/>
          <w:szCs w:val="24"/>
          <w:lang w:val="en"/>
        </w:rPr>
        <w:t xml:space="preserve"> with 1-3 children </w:t>
      </w:r>
      <w:r w:rsidR="00D02482">
        <w:rPr>
          <w:rFonts w:ascii="Times New Roman" w:hAnsi="Times New Roman"/>
          <w:sz w:val="24"/>
          <w:szCs w:val="24"/>
          <w:lang w:val="en"/>
        </w:rPr>
        <w:t xml:space="preserve">because of the </w:t>
      </w:r>
      <w:r w:rsidR="00556F15" w:rsidRPr="00556F15">
        <w:rPr>
          <w:rFonts w:ascii="Times New Roman" w:hAnsi="Times New Roman"/>
          <w:sz w:val="24"/>
          <w:szCs w:val="24"/>
          <w:lang w:val="en"/>
        </w:rPr>
        <w:t xml:space="preserve">shift in priority </w:t>
      </w:r>
      <w:r w:rsidR="00D02482">
        <w:rPr>
          <w:rFonts w:ascii="Times New Roman" w:hAnsi="Times New Roman"/>
          <w:sz w:val="24"/>
          <w:szCs w:val="24"/>
          <w:lang w:val="en"/>
        </w:rPr>
        <w:t xml:space="preserve">to a </w:t>
      </w:r>
      <w:r w:rsidR="00556F15" w:rsidRPr="00556F15">
        <w:rPr>
          <w:rFonts w:ascii="Times New Roman" w:hAnsi="Times New Roman"/>
          <w:sz w:val="24"/>
          <w:szCs w:val="24"/>
          <w:lang w:val="en"/>
        </w:rPr>
        <w:t xml:space="preserve">comprehensive family </w:t>
      </w:r>
      <w:proofErr w:type="spellStart"/>
      <w:r w:rsidR="00556F15" w:rsidRPr="00556F15">
        <w:rPr>
          <w:rFonts w:ascii="Times New Roman" w:hAnsi="Times New Roman"/>
          <w:sz w:val="24"/>
          <w:szCs w:val="24"/>
          <w:lang w:val="en"/>
        </w:rPr>
        <w:t>takaful</w:t>
      </w:r>
      <w:proofErr w:type="spellEnd"/>
      <w:r w:rsidR="00556F15" w:rsidRPr="00556F15">
        <w:rPr>
          <w:rFonts w:ascii="Times New Roman" w:hAnsi="Times New Roman"/>
          <w:sz w:val="24"/>
          <w:szCs w:val="24"/>
          <w:lang w:val="en"/>
        </w:rPr>
        <w:t xml:space="preserve"> plan</w:t>
      </w:r>
      <w:r w:rsidR="0082304C">
        <w:rPr>
          <w:rFonts w:ascii="Times New Roman" w:hAnsi="Times New Roman"/>
          <w:sz w:val="24"/>
          <w:szCs w:val="24"/>
          <w:lang w:val="en"/>
        </w:rPr>
        <w:t xml:space="preserve"> rather than a </w:t>
      </w:r>
      <w:r w:rsidR="00556F15" w:rsidRPr="00556F15">
        <w:rPr>
          <w:rFonts w:ascii="Times New Roman" w:hAnsi="Times New Roman"/>
          <w:sz w:val="24"/>
          <w:szCs w:val="24"/>
          <w:lang w:val="en"/>
        </w:rPr>
        <w:t xml:space="preserve">specific education </w:t>
      </w:r>
      <w:proofErr w:type="spellStart"/>
      <w:r w:rsidR="00556F15" w:rsidRPr="00556F15">
        <w:rPr>
          <w:rFonts w:ascii="Times New Roman" w:hAnsi="Times New Roman"/>
          <w:sz w:val="24"/>
          <w:szCs w:val="24"/>
          <w:lang w:val="en"/>
        </w:rPr>
        <w:t>takaful</w:t>
      </w:r>
      <w:proofErr w:type="spellEnd"/>
      <w:r w:rsidR="00556F15" w:rsidRPr="00556F15">
        <w:rPr>
          <w:rFonts w:ascii="Times New Roman" w:hAnsi="Times New Roman"/>
          <w:sz w:val="24"/>
          <w:szCs w:val="24"/>
          <w:lang w:val="en"/>
        </w:rPr>
        <w:t xml:space="preserve"> for each child.</w:t>
      </w:r>
      <w:r w:rsidR="00556F15" w:rsidRPr="00556F15">
        <w:rPr>
          <w:rFonts w:ascii="Times New Roman" w:hAnsi="Times New Roman"/>
          <w:sz w:val="24"/>
          <w:szCs w:val="24"/>
        </w:rPr>
        <w:t xml:space="preserve"> </w:t>
      </w:r>
      <w:r w:rsidR="0082304C">
        <w:rPr>
          <w:rFonts w:ascii="Times New Roman" w:hAnsi="Times New Roman"/>
          <w:sz w:val="24"/>
          <w:szCs w:val="24"/>
        </w:rPr>
        <w:t xml:space="preserve">In fact, </w:t>
      </w:r>
      <w:r w:rsidR="00556F15" w:rsidRPr="00556F15">
        <w:rPr>
          <w:rFonts w:ascii="Times New Roman" w:hAnsi="Times New Roman"/>
          <w:sz w:val="24"/>
          <w:szCs w:val="24"/>
        </w:rPr>
        <w:t xml:space="preserve">other expenses for the whole family </w:t>
      </w:r>
      <w:r w:rsidR="003A0E33">
        <w:rPr>
          <w:rFonts w:ascii="Times New Roman" w:hAnsi="Times New Roman"/>
          <w:sz w:val="24"/>
          <w:szCs w:val="24"/>
        </w:rPr>
        <w:t xml:space="preserve">also </w:t>
      </w:r>
      <w:r w:rsidR="0082304C">
        <w:rPr>
          <w:rFonts w:ascii="Times New Roman" w:hAnsi="Times New Roman"/>
          <w:sz w:val="24"/>
          <w:szCs w:val="24"/>
        </w:rPr>
        <w:t xml:space="preserve">need to be considered. </w:t>
      </w:r>
      <w:r w:rsidR="00556F15" w:rsidRPr="00556F15">
        <w:rPr>
          <w:rFonts w:ascii="Times New Roman" w:hAnsi="Times New Roman"/>
          <w:sz w:val="24"/>
          <w:szCs w:val="24"/>
          <w:lang w:val="en"/>
        </w:rPr>
        <w:t>In general, th</w:t>
      </w:r>
      <w:r w:rsidR="0082304C">
        <w:rPr>
          <w:rFonts w:ascii="Times New Roman" w:hAnsi="Times New Roman"/>
          <w:sz w:val="24"/>
          <w:szCs w:val="24"/>
          <w:lang w:val="en"/>
        </w:rPr>
        <w:t>ese</w:t>
      </w:r>
      <w:r w:rsidR="00556F15" w:rsidRPr="00556F15">
        <w:rPr>
          <w:rFonts w:ascii="Times New Roman" w:hAnsi="Times New Roman"/>
          <w:sz w:val="24"/>
          <w:szCs w:val="24"/>
          <w:lang w:val="en"/>
        </w:rPr>
        <w:t xml:space="preserve"> finding</w:t>
      </w:r>
      <w:r w:rsidR="0082304C">
        <w:rPr>
          <w:rFonts w:ascii="Times New Roman" w:hAnsi="Times New Roman"/>
          <w:sz w:val="24"/>
          <w:szCs w:val="24"/>
          <w:lang w:val="en"/>
        </w:rPr>
        <w:t xml:space="preserve">s </w:t>
      </w:r>
      <w:r w:rsidR="00556F15" w:rsidRPr="00556F15">
        <w:rPr>
          <w:rFonts w:ascii="Times New Roman" w:hAnsi="Times New Roman"/>
          <w:sz w:val="24"/>
          <w:szCs w:val="24"/>
          <w:lang w:val="en"/>
        </w:rPr>
        <w:t xml:space="preserve">support Noor </w:t>
      </w:r>
      <w:proofErr w:type="spellStart"/>
      <w:r w:rsidR="00556F15" w:rsidRPr="00556F15">
        <w:rPr>
          <w:rFonts w:ascii="Times New Roman" w:hAnsi="Times New Roman"/>
          <w:sz w:val="24"/>
          <w:szCs w:val="24"/>
          <w:lang w:val="en"/>
        </w:rPr>
        <w:t>Ashikin</w:t>
      </w:r>
      <w:proofErr w:type="spellEnd"/>
      <w:r w:rsidR="00556F15" w:rsidRPr="00556F15">
        <w:rPr>
          <w:rFonts w:ascii="Times New Roman" w:hAnsi="Times New Roman"/>
          <w:sz w:val="24"/>
          <w:szCs w:val="24"/>
          <w:lang w:val="en"/>
        </w:rPr>
        <w:t xml:space="preserve"> &amp; </w:t>
      </w:r>
      <w:proofErr w:type="spellStart"/>
      <w:r w:rsidR="00556F15" w:rsidRPr="00556F15">
        <w:rPr>
          <w:rFonts w:ascii="Times New Roman" w:hAnsi="Times New Roman"/>
          <w:sz w:val="24"/>
          <w:szCs w:val="24"/>
          <w:lang w:val="en"/>
        </w:rPr>
        <w:t>Zuriah</w:t>
      </w:r>
      <w:proofErr w:type="spellEnd"/>
      <w:r w:rsidR="00556F15" w:rsidRPr="00556F15">
        <w:rPr>
          <w:rFonts w:ascii="Times New Roman" w:hAnsi="Times New Roman"/>
          <w:sz w:val="24"/>
          <w:szCs w:val="24"/>
          <w:lang w:val="en"/>
        </w:rPr>
        <w:t xml:space="preserve"> (2012) and </w:t>
      </w:r>
      <w:proofErr w:type="spellStart"/>
      <w:r w:rsidR="00516EFC" w:rsidRPr="00556F15">
        <w:rPr>
          <w:rFonts w:ascii="Times New Roman" w:hAnsi="Times New Roman"/>
          <w:sz w:val="24"/>
          <w:szCs w:val="24"/>
          <w:lang w:val="en"/>
        </w:rPr>
        <w:t>Nurul</w:t>
      </w:r>
      <w:proofErr w:type="spellEnd"/>
      <w:r w:rsidR="00556F15" w:rsidRPr="00556F15">
        <w:rPr>
          <w:rFonts w:ascii="Times New Roman" w:hAnsi="Times New Roman"/>
          <w:sz w:val="24"/>
          <w:szCs w:val="24"/>
          <w:lang w:val="en"/>
        </w:rPr>
        <w:t xml:space="preserve"> &amp; Sarah (2013)</w:t>
      </w:r>
      <w:r w:rsidR="002B41E7">
        <w:rPr>
          <w:rFonts w:ascii="Times New Roman" w:hAnsi="Times New Roman"/>
          <w:sz w:val="24"/>
          <w:szCs w:val="24"/>
          <w:lang w:val="en"/>
        </w:rPr>
        <w:t xml:space="preserve"> but contradicted to findings by </w:t>
      </w:r>
      <w:proofErr w:type="spellStart"/>
      <w:r w:rsidR="00556F15" w:rsidRPr="00556F15">
        <w:rPr>
          <w:rFonts w:ascii="Times New Roman" w:hAnsi="Times New Roman"/>
          <w:sz w:val="24"/>
          <w:szCs w:val="24"/>
          <w:lang w:val="en-MY"/>
        </w:rPr>
        <w:t>Ćurak</w:t>
      </w:r>
      <w:proofErr w:type="spellEnd"/>
      <w:r w:rsidR="002B41E7">
        <w:rPr>
          <w:rFonts w:ascii="Times New Roman" w:hAnsi="Times New Roman"/>
          <w:sz w:val="24"/>
          <w:szCs w:val="24"/>
          <w:lang w:val="en"/>
        </w:rPr>
        <w:t xml:space="preserve"> et al. (2013) and </w:t>
      </w:r>
      <w:proofErr w:type="spellStart"/>
      <w:r w:rsidR="007E2A27">
        <w:rPr>
          <w:rFonts w:ascii="Times New Roman" w:hAnsi="Times New Roman"/>
          <w:sz w:val="24"/>
          <w:szCs w:val="24"/>
          <w:lang w:val="en"/>
        </w:rPr>
        <w:t>Yellaiah</w:t>
      </w:r>
      <w:proofErr w:type="spellEnd"/>
      <w:r w:rsidR="002B41E7">
        <w:rPr>
          <w:rFonts w:ascii="Times New Roman" w:hAnsi="Times New Roman"/>
          <w:sz w:val="24"/>
          <w:szCs w:val="24"/>
          <w:lang w:val="en"/>
        </w:rPr>
        <w:t xml:space="preserve"> (</w:t>
      </w:r>
      <w:r w:rsidR="007E2A27" w:rsidRPr="00DF4D49">
        <w:rPr>
          <w:rFonts w:ascii="Times New Roman" w:hAnsi="Times New Roman"/>
          <w:sz w:val="24"/>
          <w:szCs w:val="24"/>
          <w:lang w:val="en"/>
        </w:rPr>
        <w:t>2012)</w:t>
      </w:r>
      <w:r w:rsidR="002B41E7">
        <w:rPr>
          <w:rFonts w:ascii="Times New Roman" w:hAnsi="Times New Roman"/>
          <w:sz w:val="24"/>
          <w:szCs w:val="24"/>
          <w:lang w:val="en"/>
        </w:rPr>
        <w:t>.</w:t>
      </w:r>
    </w:p>
    <w:p w:rsidR="00D9735B" w:rsidRDefault="00556F15" w:rsidP="005F7A0D">
      <w:pPr>
        <w:spacing w:after="0" w:line="240" w:lineRule="auto"/>
        <w:ind w:firstLine="360"/>
        <w:jc w:val="both"/>
        <w:rPr>
          <w:rFonts w:ascii="Times New Roman" w:hAnsi="Times New Roman"/>
          <w:sz w:val="24"/>
          <w:szCs w:val="24"/>
          <w:lang w:val="en"/>
        </w:rPr>
      </w:pPr>
      <w:r w:rsidRPr="00556F15">
        <w:rPr>
          <w:rFonts w:ascii="Times New Roman" w:hAnsi="Times New Roman"/>
          <w:sz w:val="24"/>
          <w:szCs w:val="24"/>
          <w:lang w:val="en"/>
        </w:rPr>
        <w:t xml:space="preserve">In addition, the understanding of education </w:t>
      </w:r>
      <w:proofErr w:type="spellStart"/>
      <w:r w:rsidRPr="00556F15">
        <w:rPr>
          <w:rFonts w:ascii="Times New Roman" w:hAnsi="Times New Roman"/>
          <w:sz w:val="24"/>
          <w:szCs w:val="24"/>
          <w:lang w:val="en"/>
        </w:rPr>
        <w:t>takaful</w:t>
      </w:r>
      <w:proofErr w:type="spellEnd"/>
      <w:r w:rsidRPr="00556F15">
        <w:rPr>
          <w:rFonts w:ascii="Times New Roman" w:hAnsi="Times New Roman"/>
          <w:sz w:val="24"/>
          <w:szCs w:val="24"/>
          <w:lang w:val="en"/>
        </w:rPr>
        <w:t xml:space="preserve"> is not significantly different in age, education and income levels. </w:t>
      </w:r>
      <w:r w:rsidR="00C94385">
        <w:rPr>
          <w:rFonts w:ascii="Times New Roman" w:hAnsi="Times New Roman"/>
          <w:sz w:val="24"/>
          <w:szCs w:val="24"/>
          <w:lang w:val="en"/>
        </w:rPr>
        <w:t>This finding</w:t>
      </w:r>
      <w:r w:rsidR="00DD27F1">
        <w:rPr>
          <w:rFonts w:ascii="Times New Roman" w:hAnsi="Times New Roman"/>
          <w:sz w:val="24"/>
          <w:szCs w:val="24"/>
          <w:lang w:val="en"/>
        </w:rPr>
        <w:t xml:space="preserve"> consistent to Hussein &amp; Al </w:t>
      </w:r>
      <w:proofErr w:type="spellStart"/>
      <w:r w:rsidR="00DD27F1">
        <w:rPr>
          <w:rFonts w:ascii="Times New Roman" w:hAnsi="Times New Roman"/>
          <w:sz w:val="24"/>
          <w:szCs w:val="24"/>
          <w:lang w:val="en"/>
        </w:rPr>
        <w:t>Anood</w:t>
      </w:r>
      <w:proofErr w:type="spellEnd"/>
      <w:r w:rsidR="00DD27F1">
        <w:rPr>
          <w:rFonts w:ascii="Times New Roman" w:hAnsi="Times New Roman"/>
          <w:sz w:val="24"/>
          <w:szCs w:val="24"/>
          <w:lang w:val="en"/>
        </w:rPr>
        <w:t xml:space="preserve"> (2009), </w:t>
      </w:r>
      <w:r w:rsidR="003E21B6">
        <w:rPr>
          <w:rFonts w:ascii="Times New Roman" w:hAnsi="Times New Roman"/>
          <w:sz w:val="24"/>
          <w:szCs w:val="24"/>
          <w:lang w:val="en"/>
        </w:rPr>
        <w:t xml:space="preserve">who </w:t>
      </w:r>
      <w:r w:rsidR="003E21B6" w:rsidRPr="00556F15">
        <w:rPr>
          <w:rFonts w:ascii="Times New Roman" w:hAnsi="Times New Roman"/>
          <w:sz w:val="24"/>
          <w:szCs w:val="24"/>
          <w:lang w:val="en"/>
        </w:rPr>
        <w:t>found</w:t>
      </w:r>
      <w:r w:rsidRPr="00556F15">
        <w:rPr>
          <w:rFonts w:ascii="Times New Roman" w:hAnsi="Times New Roman"/>
          <w:sz w:val="24"/>
          <w:szCs w:val="24"/>
          <w:lang w:val="en"/>
        </w:rPr>
        <w:t xml:space="preserve"> </w:t>
      </w:r>
      <w:r w:rsidR="003E21B6">
        <w:rPr>
          <w:rFonts w:ascii="Times New Roman" w:hAnsi="Times New Roman"/>
          <w:sz w:val="24"/>
          <w:szCs w:val="24"/>
          <w:lang w:val="en"/>
        </w:rPr>
        <w:t>the in</w:t>
      </w:r>
      <w:r w:rsidRPr="00556F15">
        <w:rPr>
          <w:rFonts w:ascii="Times New Roman" w:hAnsi="Times New Roman"/>
          <w:sz w:val="24"/>
          <w:szCs w:val="24"/>
          <w:lang w:val="en"/>
        </w:rPr>
        <w:t xml:space="preserve">significant difference in financial literacy </w:t>
      </w:r>
      <w:r w:rsidR="003E21B6">
        <w:rPr>
          <w:rFonts w:ascii="Times New Roman" w:hAnsi="Times New Roman"/>
          <w:sz w:val="24"/>
          <w:szCs w:val="24"/>
          <w:lang w:val="en"/>
        </w:rPr>
        <w:t xml:space="preserve">across </w:t>
      </w:r>
      <w:r w:rsidRPr="00556F15">
        <w:rPr>
          <w:rFonts w:ascii="Times New Roman" w:hAnsi="Times New Roman"/>
          <w:sz w:val="24"/>
          <w:szCs w:val="24"/>
          <w:lang w:val="en"/>
        </w:rPr>
        <w:t xml:space="preserve">different levels of income and age of purchasers in the UAE, but </w:t>
      </w:r>
      <w:proofErr w:type="gramStart"/>
      <w:r w:rsidRPr="00556F15">
        <w:rPr>
          <w:rFonts w:ascii="Times New Roman" w:hAnsi="Times New Roman"/>
          <w:sz w:val="24"/>
          <w:szCs w:val="24"/>
          <w:lang w:val="en"/>
        </w:rPr>
        <w:t>it</w:t>
      </w:r>
      <w:proofErr w:type="gramEnd"/>
      <w:r w:rsidRPr="00556F15">
        <w:rPr>
          <w:rFonts w:ascii="Times New Roman" w:hAnsi="Times New Roman"/>
          <w:sz w:val="24"/>
          <w:szCs w:val="24"/>
          <w:lang w:val="en"/>
        </w:rPr>
        <w:t xml:space="preserve"> was the opposite result for the level of education.</w:t>
      </w:r>
      <w:r w:rsidR="00DF4D49">
        <w:rPr>
          <w:rFonts w:ascii="Times New Roman" w:hAnsi="Times New Roman"/>
          <w:sz w:val="24"/>
          <w:szCs w:val="24"/>
          <w:lang w:val="en"/>
        </w:rPr>
        <w:t xml:space="preserve"> </w:t>
      </w:r>
      <w:r w:rsidR="00DF4D49" w:rsidRPr="00DF4D49">
        <w:rPr>
          <w:rFonts w:ascii="Times New Roman" w:hAnsi="Times New Roman"/>
          <w:sz w:val="24"/>
          <w:szCs w:val="24"/>
          <w:lang w:val="en"/>
        </w:rPr>
        <w:t xml:space="preserve">However, </w:t>
      </w:r>
      <w:proofErr w:type="spellStart"/>
      <w:r w:rsidR="00DF4D49" w:rsidRPr="00DF4D49">
        <w:rPr>
          <w:rFonts w:ascii="Times New Roman" w:hAnsi="Times New Roman"/>
          <w:sz w:val="24"/>
          <w:szCs w:val="24"/>
          <w:lang w:val="en"/>
        </w:rPr>
        <w:t>Manik</w:t>
      </w:r>
      <w:proofErr w:type="spellEnd"/>
      <w:r w:rsidR="00DF4D49" w:rsidRPr="00DF4D49">
        <w:rPr>
          <w:rFonts w:ascii="Times New Roman" w:hAnsi="Times New Roman"/>
          <w:sz w:val="24"/>
          <w:szCs w:val="24"/>
          <w:lang w:val="en"/>
        </w:rPr>
        <w:t xml:space="preserve"> </w:t>
      </w:r>
      <w:r w:rsidR="00E7065E">
        <w:rPr>
          <w:rFonts w:ascii="Times New Roman" w:hAnsi="Times New Roman"/>
          <w:sz w:val="24"/>
          <w:szCs w:val="24"/>
          <w:lang w:val="en"/>
        </w:rPr>
        <w:lastRenderedPageBreak/>
        <w:t>&amp;</w:t>
      </w:r>
      <w:r w:rsidR="00DF4D49" w:rsidRPr="00DF4D49">
        <w:rPr>
          <w:rFonts w:ascii="Times New Roman" w:hAnsi="Times New Roman"/>
          <w:sz w:val="24"/>
          <w:szCs w:val="24"/>
          <w:lang w:val="en"/>
        </w:rPr>
        <w:t xml:space="preserve"> Abdul </w:t>
      </w:r>
      <w:proofErr w:type="spellStart"/>
      <w:r w:rsidR="00DF4D49" w:rsidRPr="00DF4D49">
        <w:rPr>
          <w:rFonts w:ascii="Times New Roman" w:hAnsi="Times New Roman"/>
          <w:sz w:val="24"/>
          <w:szCs w:val="24"/>
          <w:lang w:val="en"/>
        </w:rPr>
        <w:t>Mannan</w:t>
      </w:r>
      <w:proofErr w:type="spellEnd"/>
      <w:r w:rsidR="00DF4D49" w:rsidRPr="00DF4D49">
        <w:rPr>
          <w:rFonts w:ascii="Times New Roman" w:hAnsi="Times New Roman"/>
          <w:sz w:val="24"/>
          <w:szCs w:val="24"/>
          <w:lang w:val="en"/>
        </w:rPr>
        <w:t xml:space="preserve"> (2017) and </w:t>
      </w:r>
      <w:proofErr w:type="spellStart"/>
      <w:r w:rsidR="00DF4D49" w:rsidRPr="00DF4D49">
        <w:rPr>
          <w:rFonts w:ascii="Times New Roman" w:hAnsi="Times New Roman"/>
          <w:sz w:val="24"/>
          <w:szCs w:val="24"/>
          <w:lang w:val="en"/>
        </w:rPr>
        <w:t>Yellaiah</w:t>
      </w:r>
      <w:proofErr w:type="spellEnd"/>
      <w:r w:rsidR="00DF4D49" w:rsidRPr="00DF4D49">
        <w:rPr>
          <w:rFonts w:ascii="Times New Roman" w:hAnsi="Times New Roman"/>
          <w:sz w:val="24"/>
          <w:szCs w:val="24"/>
          <w:lang w:val="en"/>
        </w:rPr>
        <w:t xml:space="preserve"> (2012) </w:t>
      </w:r>
      <w:r w:rsidR="00FE6A6C">
        <w:rPr>
          <w:rFonts w:ascii="Times New Roman" w:hAnsi="Times New Roman"/>
          <w:sz w:val="24"/>
          <w:szCs w:val="24"/>
          <w:lang w:val="en"/>
        </w:rPr>
        <w:t>report different results, as knowledge</w:t>
      </w:r>
      <w:r w:rsidR="00DF4D49" w:rsidRPr="00DF4D49">
        <w:rPr>
          <w:rFonts w:ascii="Times New Roman" w:hAnsi="Times New Roman"/>
          <w:sz w:val="24"/>
          <w:szCs w:val="24"/>
          <w:lang w:val="en"/>
        </w:rPr>
        <w:t xml:space="preserve"> or education level </w:t>
      </w:r>
      <w:r w:rsidR="00DF4D49">
        <w:rPr>
          <w:rFonts w:ascii="Times New Roman" w:hAnsi="Times New Roman"/>
          <w:sz w:val="24"/>
          <w:szCs w:val="24"/>
          <w:lang w:val="en"/>
        </w:rPr>
        <w:t xml:space="preserve">and income </w:t>
      </w:r>
      <w:r w:rsidR="00FE6A6C">
        <w:rPr>
          <w:rFonts w:ascii="Times New Roman" w:hAnsi="Times New Roman"/>
          <w:sz w:val="24"/>
          <w:szCs w:val="24"/>
          <w:lang w:val="en"/>
        </w:rPr>
        <w:t xml:space="preserve">has </w:t>
      </w:r>
      <w:r w:rsidR="00DF4D49" w:rsidRPr="00DF4D49">
        <w:rPr>
          <w:rFonts w:ascii="Times New Roman" w:hAnsi="Times New Roman"/>
          <w:sz w:val="24"/>
          <w:szCs w:val="24"/>
          <w:lang w:val="en"/>
        </w:rPr>
        <w:t>played an important role in insurance awareness.</w:t>
      </w:r>
    </w:p>
    <w:p w:rsidR="005F7A0D" w:rsidRPr="005F7A0D" w:rsidRDefault="005F7A0D" w:rsidP="005F7A0D">
      <w:pPr>
        <w:spacing w:after="0" w:line="240" w:lineRule="auto"/>
        <w:ind w:firstLine="360"/>
        <w:jc w:val="both"/>
        <w:rPr>
          <w:rFonts w:ascii="Times New Roman" w:hAnsi="Times New Roman"/>
          <w:sz w:val="24"/>
          <w:szCs w:val="24"/>
          <w:lang w:val="en"/>
        </w:rPr>
      </w:pPr>
    </w:p>
    <w:p w:rsidR="00D9735B" w:rsidRPr="00D9735B" w:rsidRDefault="00D9735B" w:rsidP="00D9735B">
      <w:pPr>
        <w:spacing w:after="0" w:line="240" w:lineRule="auto"/>
        <w:jc w:val="center"/>
        <w:rPr>
          <w:rFonts w:ascii="Times New Roman" w:hAnsi="Times New Roman"/>
        </w:rPr>
      </w:pPr>
    </w:p>
    <w:p w:rsidR="00D9735B" w:rsidRPr="00F43E83" w:rsidRDefault="00173AB2" w:rsidP="00D9735B">
      <w:pPr>
        <w:spacing w:after="0" w:line="240" w:lineRule="auto"/>
        <w:rPr>
          <w:rFonts w:ascii="Times New Roman" w:hAnsi="Times New Roman"/>
          <w:sz w:val="24"/>
          <w:szCs w:val="24"/>
        </w:rPr>
      </w:pPr>
      <w:r>
        <w:rPr>
          <w:rFonts w:ascii="Times New Roman" w:hAnsi="Times New Roman"/>
          <w:b/>
          <w:bCs/>
          <w:sz w:val="24"/>
          <w:szCs w:val="24"/>
        </w:rPr>
        <w:t>Conclusion</w:t>
      </w:r>
    </w:p>
    <w:p w:rsidR="00D9735B" w:rsidRPr="00F43E83" w:rsidRDefault="00D9735B" w:rsidP="00D9735B">
      <w:pPr>
        <w:spacing w:after="0" w:line="240" w:lineRule="auto"/>
        <w:rPr>
          <w:rFonts w:ascii="Times New Roman" w:hAnsi="Times New Roman"/>
          <w:sz w:val="24"/>
          <w:szCs w:val="24"/>
        </w:rPr>
      </w:pPr>
    </w:p>
    <w:p w:rsidR="005F7A0D" w:rsidRPr="005F7A0D" w:rsidRDefault="004216B3" w:rsidP="005F7A0D">
      <w:pPr>
        <w:spacing w:after="0" w:line="240" w:lineRule="auto"/>
        <w:jc w:val="both"/>
        <w:rPr>
          <w:rFonts w:ascii="Times New Roman" w:hAnsi="Times New Roman"/>
          <w:sz w:val="24"/>
          <w:szCs w:val="24"/>
        </w:rPr>
      </w:pPr>
      <w:r>
        <w:rPr>
          <w:rFonts w:ascii="Times New Roman" w:hAnsi="Times New Roman"/>
          <w:sz w:val="24"/>
          <w:szCs w:val="24"/>
          <w:lang w:val="en"/>
        </w:rPr>
        <w:t>T</w:t>
      </w:r>
      <w:r w:rsidR="00A32DAC">
        <w:rPr>
          <w:rFonts w:ascii="Times New Roman" w:hAnsi="Times New Roman"/>
          <w:sz w:val="24"/>
          <w:szCs w:val="24"/>
          <w:lang w:val="en"/>
        </w:rPr>
        <w:t xml:space="preserve">his </w:t>
      </w:r>
      <w:r w:rsidR="005F7A0D" w:rsidRPr="005F7A0D">
        <w:rPr>
          <w:rFonts w:ascii="Times New Roman" w:hAnsi="Times New Roman"/>
          <w:sz w:val="24"/>
          <w:szCs w:val="24"/>
          <w:lang w:val="en"/>
        </w:rPr>
        <w:t xml:space="preserve">study found that the understanding level on education </w:t>
      </w:r>
      <w:proofErr w:type="spellStart"/>
      <w:r w:rsidR="005F7A0D" w:rsidRPr="005F7A0D">
        <w:rPr>
          <w:rFonts w:ascii="Times New Roman" w:hAnsi="Times New Roman"/>
          <w:sz w:val="24"/>
          <w:szCs w:val="24"/>
          <w:lang w:val="en"/>
        </w:rPr>
        <w:t>takaful</w:t>
      </w:r>
      <w:proofErr w:type="spellEnd"/>
      <w:r w:rsidR="005F7A0D" w:rsidRPr="005F7A0D">
        <w:rPr>
          <w:rFonts w:ascii="Times New Roman" w:hAnsi="Times New Roman"/>
          <w:sz w:val="24"/>
          <w:szCs w:val="24"/>
          <w:lang w:val="en"/>
        </w:rPr>
        <w:t xml:space="preserve"> </w:t>
      </w:r>
      <w:r w:rsidR="00A236E6">
        <w:rPr>
          <w:rFonts w:ascii="Times New Roman" w:hAnsi="Times New Roman"/>
          <w:sz w:val="24"/>
          <w:szCs w:val="24"/>
          <w:lang w:val="en"/>
        </w:rPr>
        <w:t xml:space="preserve">among respondents in </w:t>
      </w:r>
      <w:proofErr w:type="spellStart"/>
      <w:r w:rsidR="00A236E6">
        <w:rPr>
          <w:rFonts w:ascii="Times New Roman" w:hAnsi="Times New Roman"/>
          <w:sz w:val="24"/>
          <w:szCs w:val="24"/>
          <w:lang w:val="en"/>
        </w:rPr>
        <w:t>Klang</w:t>
      </w:r>
      <w:proofErr w:type="spellEnd"/>
      <w:r w:rsidR="00A236E6">
        <w:rPr>
          <w:rFonts w:ascii="Times New Roman" w:hAnsi="Times New Roman"/>
          <w:sz w:val="24"/>
          <w:szCs w:val="24"/>
          <w:lang w:val="en"/>
        </w:rPr>
        <w:t xml:space="preserve"> Valley</w:t>
      </w:r>
      <w:r w:rsidR="001455FB">
        <w:rPr>
          <w:rFonts w:ascii="Times New Roman" w:hAnsi="Times New Roman"/>
          <w:sz w:val="24"/>
          <w:szCs w:val="24"/>
          <w:lang w:val="en"/>
        </w:rPr>
        <w:t xml:space="preserve"> is high. </w:t>
      </w:r>
      <w:r w:rsidR="005F7A0D" w:rsidRPr="005F7A0D">
        <w:rPr>
          <w:rFonts w:ascii="Times New Roman" w:hAnsi="Times New Roman"/>
          <w:sz w:val="24"/>
          <w:szCs w:val="24"/>
          <w:lang w:val="en"/>
        </w:rPr>
        <w:t>However, there is still room to thoroughly impro</w:t>
      </w:r>
      <w:r w:rsidR="001455FB">
        <w:rPr>
          <w:rFonts w:ascii="Times New Roman" w:hAnsi="Times New Roman"/>
          <w:sz w:val="24"/>
          <w:szCs w:val="24"/>
          <w:lang w:val="en"/>
        </w:rPr>
        <w:t>ve the public’s understanding on</w:t>
      </w:r>
      <w:r w:rsidR="005F7A0D" w:rsidRPr="005F7A0D">
        <w:rPr>
          <w:rFonts w:ascii="Times New Roman" w:hAnsi="Times New Roman"/>
          <w:sz w:val="24"/>
          <w:szCs w:val="24"/>
          <w:lang w:val="en"/>
        </w:rPr>
        <w:t xml:space="preserve"> </w:t>
      </w:r>
      <w:proofErr w:type="spellStart"/>
      <w:r w:rsidR="005F7A0D" w:rsidRPr="005F7A0D">
        <w:rPr>
          <w:rFonts w:ascii="Times New Roman" w:hAnsi="Times New Roman"/>
          <w:sz w:val="24"/>
          <w:szCs w:val="24"/>
          <w:lang w:val="en"/>
        </w:rPr>
        <w:t>takaful</w:t>
      </w:r>
      <w:proofErr w:type="spellEnd"/>
      <w:r w:rsidR="005F7A0D" w:rsidRPr="005F7A0D">
        <w:rPr>
          <w:rFonts w:ascii="Times New Roman" w:hAnsi="Times New Roman"/>
          <w:sz w:val="24"/>
          <w:szCs w:val="24"/>
          <w:lang w:val="en"/>
        </w:rPr>
        <w:t xml:space="preserve"> education plan to overcome their hesitation in purchasing education </w:t>
      </w:r>
      <w:proofErr w:type="spellStart"/>
      <w:r w:rsidR="005F7A0D" w:rsidRPr="005F7A0D">
        <w:rPr>
          <w:rFonts w:ascii="Times New Roman" w:hAnsi="Times New Roman"/>
          <w:sz w:val="24"/>
          <w:szCs w:val="24"/>
          <w:lang w:val="en"/>
        </w:rPr>
        <w:t>takaful</w:t>
      </w:r>
      <w:proofErr w:type="spellEnd"/>
      <w:r w:rsidR="005F7A0D" w:rsidRPr="005F7A0D">
        <w:rPr>
          <w:rFonts w:ascii="Times New Roman" w:hAnsi="Times New Roman"/>
          <w:sz w:val="24"/>
          <w:szCs w:val="24"/>
          <w:lang w:val="en"/>
        </w:rPr>
        <w:t xml:space="preserve"> plans</w:t>
      </w:r>
      <w:r w:rsidR="00F042BB">
        <w:rPr>
          <w:rFonts w:ascii="Times New Roman" w:hAnsi="Times New Roman"/>
          <w:sz w:val="24"/>
          <w:szCs w:val="24"/>
          <w:lang w:val="en"/>
        </w:rPr>
        <w:t xml:space="preserve">. </w:t>
      </w:r>
      <w:r w:rsidR="005F7A0D" w:rsidRPr="005F7A0D">
        <w:rPr>
          <w:rFonts w:ascii="Times New Roman" w:hAnsi="Times New Roman"/>
          <w:sz w:val="24"/>
          <w:szCs w:val="24"/>
          <w:lang w:val="en"/>
        </w:rPr>
        <w:t>Takaful operators can work</w:t>
      </w:r>
      <w:r w:rsidR="00F042BB">
        <w:rPr>
          <w:rFonts w:ascii="Times New Roman" w:hAnsi="Times New Roman"/>
          <w:sz w:val="24"/>
          <w:szCs w:val="24"/>
          <w:lang w:val="en"/>
        </w:rPr>
        <w:t xml:space="preserve"> together</w:t>
      </w:r>
      <w:r w:rsidR="005F7A0D" w:rsidRPr="005F7A0D">
        <w:rPr>
          <w:rFonts w:ascii="Times New Roman" w:hAnsi="Times New Roman"/>
          <w:sz w:val="24"/>
          <w:szCs w:val="24"/>
          <w:lang w:val="en"/>
        </w:rPr>
        <w:t xml:space="preserve"> with employers or authorities to </w:t>
      </w:r>
      <w:r w:rsidR="00F042BB">
        <w:rPr>
          <w:rFonts w:ascii="Times New Roman" w:hAnsi="Times New Roman"/>
          <w:sz w:val="24"/>
          <w:szCs w:val="24"/>
          <w:lang w:val="en"/>
        </w:rPr>
        <w:t xml:space="preserve">promote </w:t>
      </w:r>
      <w:r w:rsidR="005F7A0D" w:rsidRPr="005F7A0D">
        <w:rPr>
          <w:rFonts w:ascii="Times New Roman" w:hAnsi="Times New Roman"/>
          <w:sz w:val="24"/>
          <w:szCs w:val="24"/>
          <w:lang w:val="en"/>
        </w:rPr>
        <w:t xml:space="preserve">education </w:t>
      </w:r>
      <w:r w:rsidR="005B5998">
        <w:rPr>
          <w:rFonts w:ascii="Times New Roman" w:hAnsi="Times New Roman"/>
          <w:sz w:val="24"/>
          <w:szCs w:val="24"/>
          <w:lang w:val="en"/>
        </w:rPr>
        <w:t>plan.</w:t>
      </w:r>
      <w:r w:rsidR="00F848A0">
        <w:rPr>
          <w:rFonts w:ascii="Times New Roman" w:hAnsi="Times New Roman"/>
          <w:sz w:val="24"/>
          <w:szCs w:val="24"/>
          <w:lang w:val="en"/>
        </w:rPr>
        <w:t xml:space="preserve"> In fact, it must be</w:t>
      </w:r>
      <w:r w:rsidR="005F7A0D" w:rsidRPr="005F7A0D">
        <w:rPr>
          <w:rFonts w:ascii="Times New Roman" w:hAnsi="Times New Roman"/>
          <w:sz w:val="24"/>
          <w:szCs w:val="24"/>
          <w:lang w:val="en"/>
        </w:rPr>
        <w:t xml:space="preserve"> </w:t>
      </w:r>
      <w:r w:rsidR="00F848A0" w:rsidRPr="005F7A0D">
        <w:rPr>
          <w:rFonts w:ascii="Times New Roman" w:hAnsi="Times New Roman"/>
          <w:sz w:val="24"/>
          <w:szCs w:val="24"/>
          <w:lang w:val="en"/>
        </w:rPr>
        <w:t>given priority by parents</w:t>
      </w:r>
      <w:r w:rsidR="00F848A0">
        <w:rPr>
          <w:rFonts w:ascii="Times New Roman" w:hAnsi="Times New Roman"/>
          <w:sz w:val="24"/>
          <w:szCs w:val="24"/>
          <w:lang w:val="en"/>
        </w:rPr>
        <w:t xml:space="preserve"> </w:t>
      </w:r>
      <w:r w:rsidR="00E044A6">
        <w:rPr>
          <w:rFonts w:ascii="Times New Roman" w:hAnsi="Times New Roman"/>
          <w:sz w:val="24"/>
          <w:szCs w:val="24"/>
          <w:lang w:val="en"/>
        </w:rPr>
        <w:t xml:space="preserve">and </w:t>
      </w:r>
      <w:r w:rsidR="005F7A0D" w:rsidRPr="005F7A0D">
        <w:rPr>
          <w:rFonts w:ascii="Times New Roman" w:hAnsi="Times New Roman"/>
          <w:sz w:val="24"/>
          <w:szCs w:val="24"/>
          <w:lang w:val="en"/>
        </w:rPr>
        <w:t xml:space="preserve">becomes an </w:t>
      </w:r>
      <w:proofErr w:type="spellStart"/>
      <w:r w:rsidR="005F7A0D" w:rsidRPr="005F7A0D">
        <w:rPr>
          <w:rFonts w:ascii="Times New Roman" w:hAnsi="Times New Roman"/>
          <w:sz w:val="24"/>
          <w:szCs w:val="24"/>
          <w:lang w:val="en"/>
        </w:rPr>
        <w:t>i</w:t>
      </w:r>
      <w:r w:rsidR="00CC466C">
        <w:rPr>
          <w:rFonts w:ascii="Times New Roman" w:hAnsi="Times New Roman"/>
          <w:sz w:val="24"/>
          <w:szCs w:val="24"/>
          <w:lang w:val="en"/>
        </w:rPr>
        <w:t>ntergal</w:t>
      </w:r>
      <w:proofErr w:type="spellEnd"/>
      <w:r w:rsidR="00CC466C">
        <w:rPr>
          <w:rFonts w:ascii="Times New Roman" w:hAnsi="Times New Roman"/>
          <w:sz w:val="24"/>
          <w:szCs w:val="24"/>
          <w:lang w:val="en"/>
        </w:rPr>
        <w:t xml:space="preserve"> </w:t>
      </w:r>
      <w:r w:rsidR="005F7A0D" w:rsidRPr="005F7A0D">
        <w:rPr>
          <w:rFonts w:ascii="Times New Roman" w:hAnsi="Times New Roman"/>
          <w:sz w:val="24"/>
          <w:szCs w:val="24"/>
          <w:lang w:val="en"/>
        </w:rPr>
        <w:t>agenda in family financial management</w:t>
      </w:r>
      <w:r w:rsidR="00F848A0">
        <w:rPr>
          <w:rFonts w:ascii="Times New Roman" w:hAnsi="Times New Roman"/>
          <w:sz w:val="24"/>
          <w:szCs w:val="24"/>
          <w:lang w:val="en"/>
        </w:rPr>
        <w:t>.</w:t>
      </w:r>
    </w:p>
    <w:p w:rsidR="005F7A0D" w:rsidRPr="009002DD" w:rsidRDefault="005F7A0D" w:rsidP="006815DC">
      <w:pPr>
        <w:spacing w:after="0" w:line="240" w:lineRule="auto"/>
        <w:ind w:firstLine="360"/>
        <w:jc w:val="both"/>
        <w:rPr>
          <w:rFonts w:ascii="Times New Roman" w:hAnsi="Times New Roman"/>
          <w:sz w:val="24"/>
          <w:szCs w:val="24"/>
          <w:lang w:val="en"/>
        </w:rPr>
      </w:pPr>
      <w:r w:rsidRPr="005F7A0D">
        <w:rPr>
          <w:rFonts w:ascii="Times New Roman" w:hAnsi="Times New Roman"/>
          <w:sz w:val="24"/>
          <w:szCs w:val="24"/>
          <w:lang w:val="en"/>
        </w:rPr>
        <w:t xml:space="preserve">Additionally, </w:t>
      </w:r>
      <w:r w:rsidR="004216B3">
        <w:rPr>
          <w:rFonts w:ascii="Times New Roman" w:hAnsi="Times New Roman"/>
          <w:sz w:val="24"/>
          <w:szCs w:val="24"/>
          <w:lang w:val="en"/>
        </w:rPr>
        <w:t xml:space="preserve">the </w:t>
      </w:r>
      <w:r w:rsidR="005B5998">
        <w:rPr>
          <w:rFonts w:ascii="Times New Roman" w:hAnsi="Times New Roman"/>
          <w:sz w:val="24"/>
          <w:szCs w:val="24"/>
          <w:lang w:val="en"/>
        </w:rPr>
        <w:t xml:space="preserve">exposure on the </w:t>
      </w:r>
      <w:proofErr w:type="spellStart"/>
      <w:r w:rsidRPr="005F7A0D">
        <w:rPr>
          <w:rFonts w:ascii="Times New Roman" w:hAnsi="Times New Roman"/>
          <w:sz w:val="24"/>
          <w:szCs w:val="24"/>
          <w:lang w:val="en"/>
        </w:rPr>
        <w:t>takaful</w:t>
      </w:r>
      <w:proofErr w:type="spellEnd"/>
      <w:r w:rsidRPr="005F7A0D">
        <w:rPr>
          <w:rFonts w:ascii="Times New Roman" w:hAnsi="Times New Roman"/>
          <w:sz w:val="24"/>
          <w:szCs w:val="24"/>
          <w:lang w:val="en"/>
        </w:rPr>
        <w:t xml:space="preserve"> needs to be </w:t>
      </w:r>
      <w:r w:rsidR="000316ED">
        <w:rPr>
          <w:rFonts w:ascii="Times New Roman" w:hAnsi="Times New Roman"/>
          <w:sz w:val="24"/>
          <w:szCs w:val="24"/>
          <w:lang w:val="en"/>
        </w:rPr>
        <w:t xml:space="preserve">addressed </w:t>
      </w:r>
      <w:r w:rsidRPr="005F7A0D">
        <w:rPr>
          <w:rFonts w:ascii="Times New Roman" w:hAnsi="Times New Roman"/>
          <w:sz w:val="24"/>
          <w:szCs w:val="24"/>
          <w:lang w:val="en"/>
        </w:rPr>
        <w:t xml:space="preserve">by the industry </w:t>
      </w:r>
      <w:r w:rsidR="00FB4115">
        <w:rPr>
          <w:rFonts w:ascii="Times New Roman" w:hAnsi="Times New Roman"/>
          <w:sz w:val="24"/>
          <w:szCs w:val="24"/>
          <w:lang w:val="en"/>
        </w:rPr>
        <w:t xml:space="preserve">based </w:t>
      </w:r>
      <w:r w:rsidRPr="005F7A0D">
        <w:rPr>
          <w:rFonts w:ascii="Times New Roman" w:hAnsi="Times New Roman"/>
          <w:sz w:val="24"/>
          <w:szCs w:val="24"/>
          <w:lang w:val="en"/>
        </w:rPr>
        <w:t>on demographic profiles</w:t>
      </w:r>
      <w:r w:rsidR="00F848A0">
        <w:rPr>
          <w:rFonts w:ascii="Times New Roman" w:hAnsi="Times New Roman"/>
          <w:sz w:val="24"/>
          <w:szCs w:val="24"/>
          <w:lang w:val="en"/>
        </w:rPr>
        <w:t xml:space="preserve">, including </w:t>
      </w:r>
      <w:r w:rsidRPr="005F7A0D">
        <w:rPr>
          <w:rFonts w:ascii="Times New Roman" w:hAnsi="Times New Roman"/>
          <w:sz w:val="24"/>
          <w:szCs w:val="24"/>
          <w:lang w:val="en"/>
        </w:rPr>
        <w:t>gender, employment, and number of children.</w:t>
      </w:r>
      <w:r w:rsidR="00CC466C">
        <w:rPr>
          <w:rFonts w:ascii="Times New Roman" w:hAnsi="Times New Roman"/>
          <w:sz w:val="24"/>
          <w:szCs w:val="24"/>
          <w:lang w:val="en"/>
        </w:rPr>
        <w:t xml:space="preserve"> </w:t>
      </w:r>
      <w:r w:rsidR="00FB4115">
        <w:rPr>
          <w:rFonts w:ascii="Times New Roman" w:hAnsi="Times New Roman"/>
          <w:sz w:val="24"/>
          <w:szCs w:val="24"/>
          <w:lang w:val="en"/>
        </w:rPr>
        <w:t>It is w</w:t>
      </w:r>
      <w:r w:rsidR="00CC466C">
        <w:rPr>
          <w:rFonts w:ascii="Times New Roman" w:hAnsi="Times New Roman"/>
          <w:sz w:val="24"/>
          <w:szCs w:val="24"/>
          <w:lang w:val="en"/>
        </w:rPr>
        <w:t xml:space="preserve">orth to highlight that </w:t>
      </w:r>
      <w:r w:rsidR="00AC700F">
        <w:rPr>
          <w:rFonts w:ascii="Times New Roman" w:hAnsi="Times New Roman"/>
          <w:sz w:val="24"/>
          <w:szCs w:val="24"/>
          <w:lang w:val="en"/>
        </w:rPr>
        <w:t xml:space="preserve">female has higher </w:t>
      </w:r>
      <w:r w:rsidR="00FB4115">
        <w:rPr>
          <w:rFonts w:ascii="Times New Roman" w:hAnsi="Times New Roman"/>
          <w:sz w:val="24"/>
          <w:szCs w:val="24"/>
          <w:lang w:val="en"/>
        </w:rPr>
        <w:t>knowledge on</w:t>
      </w:r>
      <w:r w:rsidR="00CC466C">
        <w:rPr>
          <w:rFonts w:ascii="Times New Roman" w:hAnsi="Times New Roman"/>
          <w:sz w:val="24"/>
          <w:szCs w:val="24"/>
          <w:lang w:val="en"/>
        </w:rPr>
        <w:t xml:space="preserve"> </w:t>
      </w:r>
      <w:r w:rsidR="00AC700F">
        <w:rPr>
          <w:rFonts w:ascii="Times New Roman" w:hAnsi="Times New Roman"/>
          <w:sz w:val="24"/>
          <w:szCs w:val="24"/>
          <w:lang w:val="en"/>
        </w:rPr>
        <w:t xml:space="preserve">education </w:t>
      </w:r>
      <w:proofErr w:type="spellStart"/>
      <w:r w:rsidR="00AC700F">
        <w:rPr>
          <w:rFonts w:ascii="Times New Roman" w:hAnsi="Times New Roman"/>
          <w:sz w:val="24"/>
          <w:szCs w:val="24"/>
          <w:lang w:val="en"/>
        </w:rPr>
        <w:t>takaful</w:t>
      </w:r>
      <w:proofErr w:type="spellEnd"/>
      <w:r w:rsidR="00AC700F">
        <w:rPr>
          <w:rFonts w:ascii="Times New Roman" w:hAnsi="Times New Roman"/>
          <w:sz w:val="24"/>
          <w:szCs w:val="24"/>
          <w:lang w:val="en"/>
        </w:rPr>
        <w:t xml:space="preserve"> </w:t>
      </w:r>
      <w:r w:rsidR="00FB4115">
        <w:rPr>
          <w:rFonts w:ascii="Times New Roman" w:hAnsi="Times New Roman"/>
          <w:sz w:val="24"/>
          <w:szCs w:val="24"/>
          <w:lang w:val="en"/>
        </w:rPr>
        <w:t xml:space="preserve">compared to their </w:t>
      </w:r>
      <w:r w:rsidR="00CC466C">
        <w:rPr>
          <w:rFonts w:ascii="Times New Roman" w:hAnsi="Times New Roman"/>
          <w:sz w:val="24"/>
          <w:szCs w:val="24"/>
          <w:lang w:val="en"/>
        </w:rPr>
        <w:t>male</w:t>
      </w:r>
      <w:r w:rsidR="00FB4115">
        <w:rPr>
          <w:rFonts w:ascii="Times New Roman" w:hAnsi="Times New Roman"/>
          <w:sz w:val="24"/>
          <w:szCs w:val="24"/>
          <w:lang w:val="en"/>
        </w:rPr>
        <w:t xml:space="preserve"> counterpart</w:t>
      </w:r>
      <w:r w:rsidR="00CC466C">
        <w:rPr>
          <w:rFonts w:ascii="Times New Roman" w:hAnsi="Times New Roman"/>
          <w:sz w:val="24"/>
          <w:szCs w:val="24"/>
          <w:lang w:val="en"/>
        </w:rPr>
        <w:t xml:space="preserve">. </w:t>
      </w:r>
      <w:r w:rsidR="009002DD">
        <w:rPr>
          <w:rFonts w:ascii="Times New Roman" w:hAnsi="Times New Roman"/>
          <w:sz w:val="24"/>
          <w:szCs w:val="24"/>
          <w:lang w:val="en"/>
        </w:rPr>
        <w:t xml:space="preserve">As male remains as a dominant </w:t>
      </w:r>
      <w:r w:rsidR="009002DD" w:rsidRPr="005F7A0D">
        <w:rPr>
          <w:rFonts w:ascii="Times New Roman" w:hAnsi="Times New Roman"/>
          <w:sz w:val="24"/>
          <w:szCs w:val="24"/>
          <w:lang w:val="en"/>
        </w:rPr>
        <w:t xml:space="preserve">breadwinner in Malaysia </w:t>
      </w:r>
      <w:r w:rsidR="009002DD">
        <w:rPr>
          <w:rFonts w:ascii="Times New Roman" w:hAnsi="Times New Roman"/>
          <w:sz w:val="24"/>
          <w:szCs w:val="24"/>
          <w:lang w:val="en"/>
        </w:rPr>
        <w:t xml:space="preserve">and </w:t>
      </w:r>
      <w:r w:rsidR="009002DD" w:rsidRPr="005F7A0D">
        <w:rPr>
          <w:rFonts w:ascii="Times New Roman" w:hAnsi="Times New Roman"/>
          <w:sz w:val="24"/>
          <w:szCs w:val="24"/>
          <w:lang w:val="en"/>
        </w:rPr>
        <w:t xml:space="preserve">more vulnerable to </w:t>
      </w:r>
      <w:r w:rsidR="009002DD">
        <w:rPr>
          <w:rFonts w:ascii="Times New Roman" w:hAnsi="Times New Roman"/>
          <w:sz w:val="24"/>
          <w:szCs w:val="24"/>
          <w:lang w:val="en"/>
        </w:rPr>
        <w:t xml:space="preserve">personal risks such death, disability </w:t>
      </w:r>
      <w:r w:rsidR="009002DD" w:rsidRPr="005F7A0D">
        <w:rPr>
          <w:rFonts w:ascii="Times New Roman" w:hAnsi="Times New Roman"/>
          <w:sz w:val="24"/>
          <w:szCs w:val="24"/>
          <w:lang w:val="en"/>
        </w:rPr>
        <w:t>and critical illness</w:t>
      </w:r>
      <w:r w:rsidR="009002DD">
        <w:rPr>
          <w:rFonts w:ascii="Times New Roman" w:hAnsi="Times New Roman"/>
          <w:sz w:val="24"/>
          <w:szCs w:val="24"/>
          <w:lang w:val="en"/>
        </w:rPr>
        <w:t>, the</w:t>
      </w:r>
      <w:r w:rsidR="00417B23">
        <w:rPr>
          <w:rFonts w:ascii="Times New Roman" w:hAnsi="Times New Roman"/>
          <w:sz w:val="24"/>
          <w:szCs w:val="24"/>
          <w:lang w:val="en"/>
        </w:rPr>
        <w:t xml:space="preserve"> necessity for in-depth understanding on the importance of education </w:t>
      </w:r>
      <w:proofErr w:type="spellStart"/>
      <w:r w:rsidR="00417B23">
        <w:rPr>
          <w:rFonts w:ascii="Times New Roman" w:hAnsi="Times New Roman"/>
          <w:sz w:val="24"/>
          <w:szCs w:val="24"/>
          <w:lang w:val="en"/>
        </w:rPr>
        <w:t>taka</w:t>
      </w:r>
      <w:r w:rsidR="0032406D">
        <w:rPr>
          <w:rFonts w:ascii="Times New Roman" w:hAnsi="Times New Roman"/>
          <w:sz w:val="24"/>
          <w:szCs w:val="24"/>
          <w:lang w:val="en"/>
        </w:rPr>
        <w:t>ful</w:t>
      </w:r>
      <w:proofErr w:type="spellEnd"/>
      <w:r w:rsidR="0032406D">
        <w:rPr>
          <w:rFonts w:ascii="Times New Roman" w:hAnsi="Times New Roman"/>
          <w:sz w:val="24"/>
          <w:szCs w:val="24"/>
          <w:lang w:val="en"/>
        </w:rPr>
        <w:t xml:space="preserve"> is more demanding for male.</w:t>
      </w:r>
      <w:r w:rsidR="006815DC">
        <w:rPr>
          <w:rFonts w:ascii="Times New Roman" w:hAnsi="Times New Roman"/>
          <w:sz w:val="24"/>
          <w:szCs w:val="24"/>
          <w:lang w:val="en"/>
        </w:rPr>
        <w:t xml:space="preserve"> In fact, higher </w:t>
      </w:r>
      <w:r w:rsidR="006815DC" w:rsidRPr="005F7A0D">
        <w:rPr>
          <w:rFonts w:ascii="Times New Roman" w:hAnsi="Times New Roman"/>
          <w:sz w:val="24"/>
          <w:szCs w:val="24"/>
        </w:rPr>
        <w:t xml:space="preserve">understanding </w:t>
      </w:r>
      <w:r w:rsidR="006815DC">
        <w:rPr>
          <w:rFonts w:ascii="Times New Roman" w:hAnsi="Times New Roman"/>
          <w:sz w:val="24"/>
          <w:szCs w:val="24"/>
        </w:rPr>
        <w:t xml:space="preserve">could </w:t>
      </w:r>
      <w:r w:rsidR="006815DC" w:rsidRPr="005F7A0D">
        <w:rPr>
          <w:rFonts w:ascii="Times New Roman" w:hAnsi="Times New Roman"/>
          <w:sz w:val="24"/>
          <w:szCs w:val="24"/>
        </w:rPr>
        <w:t>lead to high</w:t>
      </w:r>
      <w:r w:rsidR="006815DC">
        <w:rPr>
          <w:rFonts w:ascii="Times New Roman" w:hAnsi="Times New Roman"/>
          <w:sz w:val="24"/>
          <w:szCs w:val="24"/>
        </w:rPr>
        <w:t>er</w:t>
      </w:r>
      <w:r w:rsidR="006815DC" w:rsidRPr="005F7A0D">
        <w:rPr>
          <w:rFonts w:ascii="Times New Roman" w:hAnsi="Times New Roman"/>
          <w:sz w:val="24"/>
          <w:szCs w:val="24"/>
        </w:rPr>
        <w:t xml:space="preserve"> education </w:t>
      </w:r>
      <w:proofErr w:type="spellStart"/>
      <w:r w:rsidR="006815DC" w:rsidRPr="005F7A0D">
        <w:rPr>
          <w:rFonts w:ascii="Times New Roman" w:hAnsi="Times New Roman"/>
          <w:sz w:val="24"/>
          <w:szCs w:val="24"/>
        </w:rPr>
        <w:t>takaful</w:t>
      </w:r>
      <w:proofErr w:type="spellEnd"/>
      <w:r w:rsidR="006815DC" w:rsidRPr="005F7A0D">
        <w:rPr>
          <w:rFonts w:ascii="Times New Roman" w:hAnsi="Times New Roman"/>
          <w:sz w:val="24"/>
          <w:szCs w:val="24"/>
        </w:rPr>
        <w:t xml:space="preserve"> ownership</w:t>
      </w:r>
      <w:r w:rsidR="006815DC">
        <w:rPr>
          <w:rFonts w:ascii="Times New Roman" w:hAnsi="Times New Roman"/>
          <w:sz w:val="24"/>
          <w:szCs w:val="24"/>
        </w:rPr>
        <w:t xml:space="preserve"> and subsequently </w:t>
      </w:r>
      <w:r w:rsidR="006815DC">
        <w:rPr>
          <w:rFonts w:ascii="Times New Roman" w:hAnsi="Times New Roman"/>
          <w:sz w:val="24"/>
          <w:szCs w:val="24"/>
          <w:lang w:val="en"/>
        </w:rPr>
        <w:t>sustain their c</w:t>
      </w:r>
      <w:r w:rsidR="00AA0FCA">
        <w:rPr>
          <w:rFonts w:ascii="Times New Roman" w:hAnsi="Times New Roman"/>
          <w:sz w:val="24"/>
          <w:szCs w:val="24"/>
          <w:lang w:val="en"/>
        </w:rPr>
        <w:t>hildren</w:t>
      </w:r>
      <w:r w:rsidRPr="005F7A0D">
        <w:rPr>
          <w:rFonts w:ascii="Times New Roman" w:hAnsi="Times New Roman"/>
          <w:sz w:val="24"/>
          <w:szCs w:val="24"/>
          <w:lang w:val="en"/>
        </w:rPr>
        <w:t xml:space="preserve"> </w:t>
      </w:r>
      <w:r w:rsidR="006815DC">
        <w:rPr>
          <w:rFonts w:ascii="Times New Roman" w:hAnsi="Times New Roman"/>
          <w:sz w:val="24"/>
          <w:szCs w:val="24"/>
          <w:lang w:val="en"/>
        </w:rPr>
        <w:t xml:space="preserve">future </w:t>
      </w:r>
      <w:r w:rsidRPr="005F7A0D">
        <w:rPr>
          <w:rFonts w:ascii="Times New Roman" w:hAnsi="Times New Roman"/>
          <w:sz w:val="24"/>
          <w:szCs w:val="24"/>
          <w:lang w:val="en"/>
        </w:rPr>
        <w:t>education</w:t>
      </w:r>
      <w:r w:rsidR="00321249">
        <w:rPr>
          <w:rFonts w:ascii="Times New Roman" w:hAnsi="Times New Roman"/>
          <w:sz w:val="24"/>
          <w:szCs w:val="24"/>
          <w:lang w:val="en"/>
        </w:rPr>
        <w:t xml:space="preserve"> fund</w:t>
      </w:r>
      <w:r w:rsidR="006815DC">
        <w:rPr>
          <w:rFonts w:ascii="Times New Roman" w:hAnsi="Times New Roman"/>
          <w:sz w:val="24"/>
          <w:szCs w:val="24"/>
          <w:lang w:val="en"/>
        </w:rPr>
        <w:t xml:space="preserve">. </w:t>
      </w:r>
    </w:p>
    <w:p w:rsidR="005F7A0D" w:rsidRPr="005F7A0D" w:rsidRDefault="005F7A0D" w:rsidP="005F7A0D">
      <w:pPr>
        <w:spacing w:after="0" w:line="240" w:lineRule="auto"/>
        <w:ind w:firstLine="360"/>
        <w:jc w:val="both"/>
        <w:rPr>
          <w:rFonts w:ascii="Times New Roman" w:hAnsi="Times New Roman"/>
          <w:sz w:val="24"/>
          <w:szCs w:val="24"/>
        </w:rPr>
      </w:pPr>
      <w:r w:rsidRPr="005F7A0D">
        <w:rPr>
          <w:rFonts w:ascii="Times New Roman" w:hAnsi="Times New Roman"/>
          <w:sz w:val="24"/>
          <w:szCs w:val="24"/>
        </w:rPr>
        <w:t xml:space="preserve"> </w:t>
      </w:r>
      <w:r w:rsidRPr="005F7A0D">
        <w:rPr>
          <w:rFonts w:ascii="Times New Roman" w:hAnsi="Times New Roman"/>
          <w:sz w:val="24"/>
          <w:szCs w:val="24"/>
          <w:lang w:val="en"/>
        </w:rPr>
        <w:t xml:space="preserve">Furthermore, </w:t>
      </w:r>
      <w:r w:rsidR="005312AF">
        <w:rPr>
          <w:rFonts w:ascii="Times New Roman" w:hAnsi="Times New Roman"/>
          <w:sz w:val="24"/>
          <w:szCs w:val="24"/>
          <w:lang w:val="en"/>
        </w:rPr>
        <w:t xml:space="preserve">those </w:t>
      </w:r>
      <w:r w:rsidR="005312AF" w:rsidRPr="005F7A0D">
        <w:rPr>
          <w:rFonts w:ascii="Times New Roman" w:hAnsi="Times New Roman"/>
          <w:sz w:val="24"/>
          <w:szCs w:val="24"/>
          <w:lang w:val="en"/>
        </w:rPr>
        <w:t>who work in the government or private sector</w:t>
      </w:r>
      <w:r w:rsidR="005312AF">
        <w:rPr>
          <w:rFonts w:ascii="Times New Roman" w:hAnsi="Times New Roman"/>
          <w:sz w:val="24"/>
          <w:szCs w:val="24"/>
          <w:lang w:val="en"/>
        </w:rPr>
        <w:t xml:space="preserve"> tend to have higher exposure</w:t>
      </w:r>
      <w:r w:rsidR="00AB276E">
        <w:rPr>
          <w:rFonts w:ascii="Times New Roman" w:hAnsi="Times New Roman"/>
          <w:sz w:val="24"/>
          <w:szCs w:val="24"/>
          <w:lang w:val="en"/>
        </w:rPr>
        <w:t xml:space="preserve"> on</w:t>
      </w:r>
      <w:r w:rsidR="005312AF">
        <w:rPr>
          <w:rFonts w:ascii="Times New Roman" w:hAnsi="Times New Roman"/>
          <w:sz w:val="24"/>
          <w:szCs w:val="24"/>
          <w:lang w:val="en"/>
        </w:rPr>
        <w:t xml:space="preserve"> </w:t>
      </w:r>
      <w:proofErr w:type="spellStart"/>
      <w:r w:rsidR="005312AF">
        <w:rPr>
          <w:rFonts w:ascii="Times New Roman" w:hAnsi="Times New Roman"/>
          <w:sz w:val="24"/>
          <w:szCs w:val="24"/>
          <w:lang w:val="en"/>
        </w:rPr>
        <w:t>ta</w:t>
      </w:r>
      <w:r w:rsidR="00AB276E">
        <w:rPr>
          <w:rFonts w:ascii="Times New Roman" w:hAnsi="Times New Roman"/>
          <w:sz w:val="24"/>
          <w:szCs w:val="24"/>
          <w:lang w:val="en"/>
        </w:rPr>
        <w:t>kaful</w:t>
      </w:r>
      <w:proofErr w:type="spellEnd"/>
      <w:r w:rsidR="00AB276E">
        <w:rPr>
          <w:rFonts w:ascii="Times New Roman" w:hAnsi="Times New Roman"/>
          <w:sz w:val="24"/>
          <w:szCs w:val="24"/>
          <w:lang w:val="en"/>
        </w:rPr>
        <w:t xml:space="preserve"> protection. In fact, their </w:t>
      </w:r>
      <w:r w:rsidR="005312AF" w:rsidRPr="005F7A0D">
        <w:rPr>
          <w:rFonts w:ascii="Times New Roman" w:hAnsi="Times New Roman"/>
          <w:sz w:val="24"/>
          <w:szCs w:val="24"/>
          <w:lang w:val="en"/>
        </w:rPr>
        <w:t xml:space="preserve">organizations </w:t>
      </w:r>
      <w:r w:rsidR="00AB276E">
        <w:rPr>
          <w:rFonts w:ascii="Times New Roman" w:hAnsi="Times New Roman"/>
          <w:sz w:val="24"/>
          <w:szCs w:val="24"/>
          <w:lang w:val="en"/>
        </w:rPr>
        <w:t xml:space="preserve">might offer </w:t>
      </w:r>
      <w:proofErr w:type="spellStart"/>
      <w:r w:rsidR="00AB276E">
        <w:rPr>
          <w:rFonts w:ascii="Times New Roman" w:hAnsi="Times New Roman"/>
          <w:sz w:val="24"/>
          <w:szCs w:val="24"/>
          <w:lang w:val="en"/>
        </w:rPr>
        <w:t>takaful</w:t>
      </w:r>
      <w:proofErr w:type="spellEnd"/>
      <w:r w:rsidR="00AB276E">
        <w:rPr>
          <w:rFonts w:ascii="Times New Roman" w:hAnsi="Times New Roman"/>
          <w:sz w:val="24"/>
          <w:szCs w:val="24"/>
          <w:lang w:val="en"/>
        </w:rPr>
        <w:t xml:space="preserve"> protection </w:t>
      </w:r>
      <w:r w:rsidR="005312AF" w:rsidRPr="005F7A0D">
        <w:rPr>
          <w:rFonts w:ascii="Times New Roman" w:hAnsi="Times New Roman"/>
          <w:sz w:val="24"/>
          <w:szCs w:val="24"/>
          <w:lang w:val="en"/>
        </w:rPr>
        <w:t xml:space="preserve">such as group </w:t>
      </w:r>
      <w:proofErr w:type="spellStart"/>
      <w:r w:rsidR="005312AF" w:rsidRPr="005F7A0D">
        <w:rPr>
          <w:rFonts w:ascii="Times New Roman" w:hAnsi="Times New Roman"/>
          <w:sz w:val="24"/>
          <w:szCs w:val="24"/>
          <w:lang w:val="en"/>
        </w:rPr>
        <w:t>takaful</w:t>
      </w:r>
      <w:proofErr w:type="spellEnd"/>
      <w:r w:rsidR="005312AF">
        <w:rPr>
          <w:rFonts w:ascii="Times New Roman" w:hAnsi="Times New Roman"/>
          <w:sz w:val="24"/>
          <w:szCs w:val="24"/>
          <w:lang w:val="en"/>
        </w:rPr>
        <w:t xml:space="preserve">. However, </w:t>
      </w:r>
      <w:r w:rsidR="00AA0FCA">
        <w:rPr>
          <w:rFonts w:ascii="Times New Roman" w:hAnsi="Times New Roman"/>
          <w:sz w:val="24"/>
          <w:szCs w:val="24"/>
          <w:lang w:val="en"/>
        </w:rPr>
        <w:t xml:space="preserve">low ownership of insurance and </w:t>
      </w:r>
      <w:proofErr w:type="spellStart"/>
      <w:r w:rsidR="00AA0FCA">
        <w:rPr>
          <w:rFonts w:ascii="Times New Roman" w:hAnsi="Times New Roman"/>
          <w:sz w:val="24"/>
          <w:szCs w:val="24"/>
          <w:lang w:val="en"/>
        </w:rPr>
        <w:t>takaful</w:t>
      </w:r>
      <w:proofErr w:type="spellEnd"/>
      <w:r w:rsidR="00AA0FCA">
        <w:rPr>
          <w:rFonts w:ascii="Times New Roman" w:hAnsi="Times New Roman"/>
          <w:sz w:val="24"/>
          <w:szCs w:val="24"/>
          <w:lang w:val="en"/>
        </w:rPr>
        <w:t xml:space="preserve"> among </w:t>
      </w:r>
      <w:r w:rsidR="00AA0FCA" w:rsidRPr="005F7A0D">
        <w:rPr>
          <w:rFonts w:ascii="Times New Roman" w:hAnsi="Times New Roman"/>
          <w:sz w:val="24"/>
          <w:szCs w:val="24"/>
          <w:lang w:val="en"/>
        </w:rPr>
        <w:t>self-employed individuals</w:t>
      </w:r>
      <w:r w:rsidR="00AA0FCA">
        <w:rPr>
          <w:rFonts w:ascii="Times New Roman" w:hAnsi="Times New Roman"/>
          <w:sz w:val="24"/>
          <w:szCs w:val="24"/>
          <w:lang w:val="en"/>
        </w:rPr>
        <w:t xml:space="preserve"> </w:t>
      </w:r>
      <w:r w:rsidR="00AB276E">
        <w:rPr>
          <w:rFonts w:ascii="Times New Roman" w:hAnsi="Times New Roman"/>
          <w:sz w:val="24"/>
          <w:szCs w:val="24"/>
          <w:lang w:val="en"/>
        </w:rPr>
        <w:t xml:space="preserve">and students </w:t>
      </w:r>
      <w:r w:rsidRPr="005F7A0D">
        <w:rPr>
          <w:rFonts w:ascii="Times New Roman" w:hAnsi="Times New Roman"/>
          <w:sz w:val="24"/>
          <w:szCs w:val="24"/>
          <w:lang w:val="en"/>
        </w:rPr>
        <w:t xml:space="preserve">may be </w:t>
      </w:r>
      <w:r w:rsidR="007C6767">
        <w:rPr>
          <w:rFonts w:ascii="Times New Roman" w:hAnsi="Times New Roman"/>
          <w:sz w:val="24"/>
          <w:szCs w:val="24"/>
          <w:lang w:val="en"/>
        </w:rPr>
        <w:t xml:space="preserve">associated </w:t>
      </w:r>
      <w:r w:rsidRPr="005F7A0D">
        <w:rPr>
          <w:rFonts w:ascii="Times New Roman" w:hAnsi="Times New Roman"/>
          <w:sz w:val="24"/>
          <w:szCs w:val="24"/>
          <w:lang w:val="en"/>
        </w:rPr>
        <w:t>to</w:t>
      </w:r>
      <w:r w:rsidR="00AA0FCA">
        <w:rPr>
          <w:rFonts w:ascii="Times New Roman" w:hAnsi="Times New Roman"/>
          <w:sz w:val="24"/>
          <w:szCs w:val="24"/>
          <w:lang w:val="en"/>
        </w:rPr>
        <w:t xml:space="preserve"> the lack of exposure</w:t>
      </w:r>
      <w:r w:rsidR="00AB276E">
        <w:rPr>
          <w:rFonts w:ascii="Times New Roman" w:hAnsi="Times New Roman"/>
          <w:sz w:val="24"/>
          <w:szCs w:val="24"/>
          <w:lang w:val="en"/>
        </w:rPr>
        <w:t xml:space="preserve">. For students, </w:t>
      </w:r>
      <w:r w:rsidR="003F0A39">
        <w:rPr>
          <w:rFonts w:ascii="Times New Roman" w:hAnsi="Times New Roman"/>
          <w:sz w:val="24"/>
          <w:szCs w:val="24"/>
          <w:lang w:val="en"/>
        </w:rPr>
        <w:t xml:space="preserve">the necessity to own </w:t>
      </w:r>
      <w:r w:rsidR="000E664C">
        <w:rPr>
          <w:rFonts w:ascii="Times New Roman" w:hAnsi="Times New Roman"/>
          <w:sz w:val="24"/>
          <w:szCs w:val="24"/>
          <w:lang w:val="en"/>
        </w:rPr>
        <w:t xml:space="preserve">an </w:t>
      </w:r>
      <w:r w:rsidR="003F0A39">
        <w:rPr>
          <w:rFonts w:ascii="Times New Roman" w:hAnsi="Times New Roman"/>
          <w:sz w:val="24"/>
          <w:szCs w:val="24"/>
          <w:lang w:val="en"/>
        </w:rPr>
        <w:t xml:space="preserve">education </w:t>
      </w:r>
      <w:proofErr w:type="spellStart"/>
      <w:r w:rsidR="003F0A39">
        <w:rPr>
          <w:rFonts w:ascii="Times New Roman" w:hAnsi="Times New Roman"/>
          <w:sz w:val="24"/>
          <w:szCs w:val="24"/>
          <w:lang w:val="en"/>
        </w:rPr>
        <w:t>takaful</w:t>
      </w:r>
      <w:proofErr w:type="spellEnd"/>
      <w:r w:rsidR="003F0A39">
        <w:rPr>
          <w:rFonts w:ascii="Times New Roman" w:hAnsi="Times New Roman"/>
          <w:sz w:val="24"/>
          <w:szCs w:val="24"/>
          <w:lang w:val="en"/>
        </w:rPr>
        <w:t xml:space="preserve"> at this stage might be </w:t>
      </w:r>
      <w:r w:rsidRPr="005F7A0D">
        <w:rPr>
          <w:rFonts w:ascii="Times New Roman" w:hAnsi="Times New Roman"/>
          <w:sz w:val="24"/>
          <w:szCs w:val="24"/>
          <w:lang w:val="en"/>
        </w:rPr>
        <w:t>perceive</w:t>
      </w:r>
      <w:r w:rsidR="003F0A39">
        <w:rPr>
          <w:rFonts w:ascii="Times New Roman" w:hAnsi="Times New Roman"/>
          <w:sz w:val="24"/>
          <w:szCs w:val="24"/>
          <w:lang w:val="en"/>
        </w:rPr>
        <w:t>d</w:t>
      </w:r>
      <w:r w:rsidRPr="005F7A0D">
        <w:rPr>
          <w:rFonts w:ascii="Times New Roman" w:hAnsi="Times New Roman"/>
          <w:sz w:val="24"/>
          <w:szCs w:val="24"/>
          <w:lang w:val="en"/>
        </w:rPr>
        <w:t xml:space="preserve"> </w:t>
      </w:r>
      <w:r w:rsidR="003F0A39">
        <w:rPr>
          <w:rFonts w:ascii="Times New Roman" w:hAnsi="Times New Roman"/>
          <w:sz w:val="24"/>
          <w:szCs w:val="24"/>
          <w:lang w:val="en"/>
        </w:rPr>
        <w:t xml:space="preserve">as </w:t>
      </w:r>
      <w:r w:rsidR="003F0A39" w:rsidRPr="005F7A0D">
        <w:rPr>
          <w:rFonts w:ascii="Times New Roman" w:hAnsi="Times New Roman"/>
          <w:sz w:val="24"/>
          <w:szCs w:val="24"/>
          <w:lang w:val="en"/>
        </w:rPr>
        <w:t>unimportant</w:t>
      </w:r>
      <w:r w:rsidR="003F0A39">
        <w:rPr>
          <w:rFonts w:ascii="Times New Roman" w:hAnsi="Times New Roman"/>
          <w:sz w:val="24"/>
          <w:szCs w:val="24"/>
          <w:lang w:val="en"/>
        </w:rPr>
        <w:t>. However, the</w:t>
      </w:r>
      <w:r w:rsidRPr="005F7A0D">
        <w:rPr>
          <w:rFonts w:ascii="Times New Roman" w:hAnsi="Times New Roman"/>
          <w:sz w:val="24"/>
          <w:szCs w:val="24"/>
          <w:lang w:val="en"/>
        </w:rPr>
        <w:t xml:space="preserve"> understanding</w:t>
      </w:r>
      <w:r w:rsidR="003F0A39">
        <w:rPr>
          <w:rFonts w:ascii="Times New Roman" w:hAnsi="Times New Roman"/>
          <w:sz w:val="24"/>
          <w:szCs w:val="24"/>
          <w:lang w:val="en"/>
        </w:rPr>
        <w:t xml:space="preserve"> on</w:t>
      </w:r>
      <w:r w:rsidRPr="005F7A0D">
        <w:rPr>
          <w:rFonts w:ascii="Times New Roman" w:hAnsi="Times New Roman"/>
          <w:sz w:val="24"/>
          <w:szCs w:val="24"/>
          <w:lang w:val="en"/>
        </w:rPr>
        <w:t xml:space="preserve"> </w:t>
      </w:r>
      <w:proofErr w:type="spellStart"/>
      <w:r w:rsidRPr="005F7A0D">
        <w:rPr>
          <w:rFonts w:ascii="Times New Roman" w:hAnsi="Times New Roman"/>
          <w:sz w:val="24"/>
          <w:szCs w:val="24"/>
          <w:lang w:val="en"/>
        </w:rPr>
        <w:t>takaful</w:t>
      </w:r>
      <w:proofErr w:type="spellEnd"/>
      <w:r w:rsidRPr="005F7A0D">
        <w:rPr>
          <w:rFonts w:ascii="Times New Roman" w:hAnsi="Times New Roman"/>
          <w:sz w:val="24"/>
          <w:szCs w:val="24"/>
          <w:lang w:val="en"/>
        </w:rPr>
        <w:t xml:space="preserve"> edu</w:t>
      </w:r>
      <w:r w:rsidR="003F0A39">
        <w:rPr>
          <w:rFonts w:ascii="Times New Roman" w:hAnsi="Times New Roman"/>
          <w:sz w:val="24"/>
          <w:szCs w:val="24"/>
          <w:lang w:val="en"/>
        </w:rPr>
        <w:t>cation</w:t>
      </w:r>
      <w:r w:rsidR="00366658">
        <w:rPr>
          <w:rFonts w:ascii="Times New Roman" w:hAnsi="Times New Roman"/>
          <w:sz w:val="24"/>
          <w:szCs w:val="24"/>
          <w:lang w:val="en"/>
        </w:rPr>
        <w:t xml:space="preserve"> is crucial</w:t>
      </w:r>
      <w:r w:rsidR="003F0A39">
        <w:rPr>
          <w:rFonts w:ascii="Times New Roman" w:hAnsi="Times New Roman"/>
          <w:sz w:val="24"/>
          <w:szCs w:val="24"/>
          <w:lang w:val="en"/>
        </w:rPr>
        <w:t xml:space="preserve"> at the</w:t>
      </w:r>
      <w:r w:rsidR="00366658">
        <w:rPr>
          <w:rFonts w:ascii="Times New Roman" w:hAnsi="Times New Roman"/>
          <w:sz w:val="24"/>
          <w:szCs w:val="24"/>
          <w:lang w:val="en"/>
        </w:rPr>
        <w:t xml:space="preserve"> early </w:t>
      </w:r>
      <w:r w:rsidRPr="005F7A0D">
        <w:rPr>
          <w:rFonts w:ascii="Times New Roman" w:hAnsi="Times New Roman"/>
          <w:sz w:val="24"/>
          <w:szCs w:val="24"/>
          <w:lang w:val="en"/>
        </w:rPr>
        <w:t>stage (</w:t>
      </w:r>
      <w:r w:rsidR="00BD7B34">
        <w:rPr>
          <w:rFonts w:ascii="Times New Roman" w:hAnsi="Times New Roman"/>
          <w:sz w:val="24"/>
          <w:szCs w:val="24"/>
          <w:lang w:val="en"/>
        </w:rPr>
        <w:t xml:space="preserve">e.g. </w:t>
      </w:r>
      <w:r w:rsidRPr="005F7A0D">
        <w:rPr>
          <w:rFonts w:ascii="Times New Roman" w:hAnsi="Times New Roman"/>
          <w:sz w:val="24"/>
          <w:szCs w:val="24"/>
          <w:lang w:val="en"/>
        </w:rPr>
        <w:t>university</w:t>
      </w:r>
      <w:r w:rsidR="003F0A39">
        <w:rPr>
          <w:rFonts w:ascii="Times New Roman" w:hAnsi="Times New Roman"/>
          <w:sz w:val="24"/>
          <w:szCs w:val="24"/>
          <w:lang w:val="en"/>
        </w:rPr>
        <w:t>’s students</w:t>
      </w:r>
      <w:r w:rsidRPr="005F7A0D">
        <w:rPr>
          <w:rFonts w:ascii="Times New Roman" w:hAnsi="Times New Roman"/>
          <w:sz w:val="24"/>
          <w:szCs w:val="24"/>
          <w:lang w:val="en"/>
        </w:rPr>
        <w:t xml:space="preserve">) </w:t>
      </w:r>
      <w:r w:rsidR="00366658">
        <w:rPr>
          <w:rFonts w:ascii="Times New Roman" w:hAnsi="Times New Roman"/>
          <w:sz w:val="24"/>
          <w:szCs w:val="24"/>
          <w:lang w:val="en"/>
        </w:rPr>
        <w:t>to ensure they are able manage</w:t>
      </w:r>
      <w:r w:rsidR="003F0A39">
        <w:rPr>
          <w:rFonts w:ascii="Times New Roman" w:hAnsi="Times New Roman"/>
          <w:sz w:val="24"/>
          <w:szCs w:val="24"/>
          <w:lang w:val="en"/>
        </w:rPr>
        <w:t xml:space="preserve"> </w:t>
      </w:r>
      <w:r w:rsidR="00366658">
        <w:rPr>
          <w:rFonts w:ascii="Times New Roman" w:hAnsi="Times New Roman"/>
          <w:sz w:val="24"/>
          <w:szCs w:val="24"/>
          <w:lang w:val="en"/>
        </w:rPr>
        <w:t xml:space="preserve">any </w:t>
      </w:r>
      <w:r w:rsidR="003F0A39">
        <w:rPr>
          <w:rFonts w:ascii="Times New Roman" w:hAnsi="Times New Roman"/>
          <w:sz w:val="24"/>
          <w:szCs w:val="24"/>
          <w:lang w:val="en"/>
        </w:rPr>
        <w:t xml:space="preserve">financial impact </w:t>
      </w:r>
      <w:r w:rsidR="00EF269B">
        <w:rPr>
          <w:rFonts w:ascii="Times New Roman" w:hAnsi="Times New Roman"/>
          <w:sz w:val="24"/>
          <w:szCs w:val="24"/>
          <w:lang w:val="en"/>
        </w:rPr>
        <w:t xml:space="preserve">due to </w:t>
      </w:r>
      <w:r w:rsidR="003F0A39">
        <w:rPr>
          <w:rFonts w:ascii="Times New Roman" w:hAnsi="Times New Roman"/>
          <w:sz w:val="24"/>
          <w:szCs w:val="24"/>
          <w:lang w:val="en"/>
        </w:rPr>
        <w:t>unforeseen event</w:t>
      </w:r>
      <w:r w:rsidR="00EF269B">
        <w:rPr>
          <w:rFonts w:ascii="Times New Roman" w:hAnsi="Times New Roman"/>
          <w:sz w:val="24"/>
          <w:szCs w:val="24"/>
          <w:lang w:val="en"/>
        </w:rPr>
        <w:t>s</w:t>
      </w:r>
      <w:r w:rsidR="003F0A39">
        <w:rPr>
          <w:rFonts w:ascii="Times New Roman" w:hAnsi="Times New Roman"/>
          <w:sz w:val="24"/>
          <w:szCs w:val="24"/>
          <w:lang w:val="en"/>
        </w:rPr>
        <w:t xml:space="preserve">. </w:t>
      </w:r>
      <w:r w:rsidR="00BD7B34">
        <w:rPr>
          <w:rFonts w:ascii="Times New Roman" w:hAnsi="Times New Roman"/>
          <w:sz w:val="24"/>
          <w:szCs w:val="24"/>
          <w:lang w:val="en"/>
        </w:rPr>
        <w:t>This study also suggests that the</w:t>
      </w:r>
      <w:r w:rsidRPr="005F7A0D">
        <w:rPr>
          <w:rFonts w:ascii="Times New Roman" w:hAnsi="Times New Roman"/>
          <w:sz w:val="24"/>
          <w:szCs w:val="24"/>
          <w:lang w:val="en"/>
        </w:rPr>
        <w:t xml:space="preserve"> understanding of education </w:t>
      </w:r>
      <w:proofErr w:type="spellStart"/>
      <w:r w:rsidRPr="005F7A0D">
        <w:rPr>
          <w:rFonts w:ascii="Times New Roman" w:hAnsi="Times New Roman"/>
          <w:sz w:val="24"/>
          <w:szCs w:val="24"/>
          <w:lang w:val="en"/>
        </w:rPr>
        <w:t>takaful</w:t>
      </w:r>
      <w:proofErr w:type="spellEnd"/>
      <w:r w:rsidRPr="005F7A0D">
        <w:rPr>
          <w:rFonts w:ascii="Times New Roman" w:hAnsi="Times New Roman"/>
          <w:sz w:val="24"/>
          <w:szCs w:val="24"/>
          <w:lang w:val="en"/>
        </w:rPr>
        <w:t xml:space="preserve"> among individuals with many children also needs to be improved. </w:t>
      </w:r>
      <w:r w:rsidRPr="005F7A0D">
        <w:rPr>
          <w:rFonts w:ascii="Times New Roman" w:hAnsi="Times New Roman"/>
          <w:sz w:val="24"/>
          <w:szCs w:val="24"/>
        </w:rPr>
        <w:t xml:space="preserve">Generally, education </w:t>
      </w:r>
      <w:proofErr w:type="spellStart"/>
      <w:r w:rsidRPr="005F7A0D">
        <w:rPr>
          <w:rFonts w:ascii="Times New Roman" w:hAnsi="Times New Roman"/>
          <w:sz w:val="24"/>
          <w:szCs w:val="24"/>
        </w:rPr>
        <w:t>takaful</w:t>
      </w:r>
      <w:proofErr w:type="spellEnd"/>
      <w:r w:rsidRPr="005F7A0D">
        <w:rPr>
          <w:rFonts w:ascii="Times New Roman" w:hAnsi="Times New Roman"/>
          <w:sz w:val="24"/>
          <w:szCs w:val="24"/>
        </w:rPr>
        <w:t xml:space="preserve"> is </w:t>
      </w:r>
      <w:r w:rsidR="00BD7B34">
        <w:rPr>
          <w:rFonts w:ascii="Times New Roman" w:hAnsi="Times New Roman"/>
          <w:sz w:val="24"/>
          <w:szCs w:val="24"/>
        </w:rPr>
        <w:t>essentially needed</w:t>
      </w:r>
      <w:r w:rsidRPr="005F7A0D">
        <w:rPr>
          <w:rFonts w:ascii="Times New Roman" w:hAnsi="Times New Roman"/>
          <w:sz w:val="24"/>
          <w:szCs w:val="24"/>
        </w:rPr>
        <w:t xml:space="preserve"> by individuals with more children</w:t>
      </w:r>
      <w:r w:rsidR="00BD7B34">
        <w:rPr>
          <w:rFonts w:ascii="Times New Roman" w:hAnsi="Times New Roman"/>
          <w:sz w:val="24"/>
          <w:szCs w:val="24"/>
        </w:rPr>
        <w:t xml:space="preserve"> as its guarantee education funding for children </w:t>
      </w:r>
      <w:r w:rsidRPr="005F7A0D">
        <w:rPr>
          <w:rFonts w:ascii="Times New Roman" w:hAnsi="Times New Roman"/>
          <w:sz w:val="24"/>
          <w:szCs w:val="24"/>
          <w:lang w:val="en"/>
        </w:rPr>
        <w:t xml:space="preserve">in the event </w:t>
      </w:r>
      <w:r w:rsidR="00BD7B34">
        <w:rPr>
          <w:rFonts w:ascii="Times New Roman" w:hAnsi="Times New Roman"/>
          <w:sz w:val="24"/>
          <w:szCs w:val="24"/>
          <w:lang w:val="en"/>
        </w:rPr>
        <w:t xml:space="preserve">of </w:t>
      </w:r>
      <w:r w:rsidRPr="005F7A0D">
        <w:rPr>
          <w:rFonts w:ascii="Times New Roman" w:hAnsi="Times New Roman"/>
          <w:sz w:val="24"/>
          <w:szCs w:val="24"/>
          <w:lang w:val="en"/>
        </w:rPr>
        <w:t>an undesired mishap befalls the head of the family.</w:t>
      </w:r>
    </w:p>
    <w:p w:rsidR="005F7A0D" w:rsidRPr="005F7A0D" w:rsidRDefault="005F7A0D" w:rsidP="005F7A0D">
      <w:pPr>
        <w:spacing w:after="0" w:line="240" w:lineRule="auto"/>
        <w:ind w:firstLine="360"/>
        <w:jc w:val="both"/>
        <w:rPr>
          <w:rFonts w:ascii="Times New Roman" w:hAnsi="Times New Roman"/>
          <w:sz w:val="24"/>
          <w:szCs w:val="24"/>
        </w:rPr>
      </w:pPr>
      <w:r w:rsidRPr="005F7A0D">
        <w:rPr>
          <w:rFonts w:ascii="Times New Roman" w:hAnsi="Times New Roman"/>
          <w:sz w:val="24"/>
          <w:szCs w:val="24"/>
          <w:lang w:val="en"/>
        </w:rPr>
        <w:t xml:space="preserve">Hence, the industry and authorities should </w:t>
      </w:r>
      <w:r w:rsidR="00D41EF4">
        <w:rPr>
          <w:rFonts w:ascii="Times New Roman" w:hAnsi="Times New Roman"/>
          <w:sz w:val="24"/>
          <w:szCs w:val="24"/>
          <w:lang w:val="en"/>
        </w:rPr>
        <w:t>work together</w:t>
      </w:r>
      <w:r w:rsidRPr="005F7A0D">
        <w:rPr>
          <w:rFonts w:ascii="Times New Roman" w:hAnsi="Times New Roman"/>
          <w:sz w:val="24"/>
          <w:szCs w:val="24"/>
          <w:lang w:val="en"/>
        </w:rPr>
        <w:t xml:space="preserve"> to enhance the </w:t>
      </w:r>
      <w:r w:rsidR="00D41EF4">
        <w:rPr>
          <w:rFonts w:ascii="Times New Roman" w:hAnsi="Times New Roman"/>
          <w:sz w:val="24"/>
          <w:szCs w:val="24"/>
          <w:lang w:val="en"/>
        </w:rPr>
        <w:t xml:space="preserve">public </w:t>
      </w:r>
      <w:r w:rsidRPr="005F7A0D">
        <w:rPr>
          <w:rFonts w:ascii="Times New Roman" w:hAnsi="Times New Roman"/>
          <w:sz w:val="24"/>
          <w:szCs w:val="24"/>
          <w:lang w:val="en"/>
        </w:rPr>
        <w:t xml:space="preserve">understanding </w:t>
      </w:r>
      <w:r w:rsidR="00D41EF4">
        <w:rPr>
          <w:rFonts w:ascii="Times New Roman" w:hAnsi="Times New Roman"/>
          <w:sz w:val="24"/>
          <w:szCs w:val="24"/>
          <w:lang w:val="en"/>
        </w:rPr>
        <w:t xml:space="preserve">towards education </w:t>
      </w:r>
      <w:proofErr w:type="spellStart"/>
      <w:r w:rsidR="00D41EF4">
        <w:rPr>
          <w:rFonts w:ascii="Times New Roman" w:hAnsi="Times New Roman"/>
          <w:sz w:val="24"/>
          <w:szCs w:val="24"/>
          <w:lang w:val="en"/>
        </w:rPr>
        <w:t>takaful</w:t>
      </w:r>
      <w:proofErr w:type="spellEnd"/>
      <w:r w:rsidR="00D41EF4">
        <w:rPr>
          <w:rFonts w:ascii="Times New Roman" w:hAnsi="Times New Roman"/>
          <w:sz w:val="24"/>
          <w:szCs w:val="24"/>
          <w:lang w:val="en"/>
        </w:rPr>
        <w:t xml:space="preserve"> </w:t>
      </w:r>
      <w:r w:rsidRPr="005F7A0D">
        <w:rPr>
          <w:rFonts w:ascii="Times New Roman" w:hAnsi="Times New Roman"/>
          <w:sz w:val="24"/>
          <w:szCs w:val="24"/>
          <w:lang w:val="en"/>
        </w:rPr>
        <w:t xml:space="preserve">by </w:t>
      </w:r>
      <w:r w:rsidR="00D41EF4">
        <w:rPr>
          <w:rFonts w:ascii="Times New Roman" w:hAnsi="Times New Roman"/>
          <w:sz w:val="24"/>
          <w:szCs w:val="24"/>
          <w:lang w:val="en"/>
        </w:rPr>
        <w:t>considering</w:t>
      </w:r>
      <w:r w:rsidRPr="005F7A0D">
        <w:rPr>
          <w:rFonts w:ascii="Times New Roman" w:hAnsi="Times New Roman"/>
          <w:sz w:val="24"/>
          <w:szCs w:val="24"/>
          <w:lang w:val="en"/>
        </w:rPr>
        <w:t xml:space="preserve"> the demographic characteristics that have been identified in this study.</w:t>
      </w:r>
      <w:r w:rsidR="00D41EF4">
        <w:rPr>
          <w:rFonts w:ascii="Times New Roman" w:hAnsi="Times New Roman"/>
          <w:sz w:val="24"/>
          <w:szCs w:val="24"/>
          <w:lang w:val="en"/>
        </w:rPr>
        <w:t xml:space="preserve"> </w:t>
      </w:r>
      <w:r w:rsidR="00360C57">
        <w:rPr>
          <w:rFonts w:ascii="Times New Roman" w:hAnsi="Times New Roman"/>
          <w:sz w:val="24"/>
          <w:szCs w:val="24"/>
          <w:lang w:val="en"/>
        </w:rPr>
        <w:t xml:space="preserve">Indeed, it </w:t>
      </w:r>
      <w:r w:rsidR="00D41EF4">
        <w:rPr>
          <w:rFonts w:ascii="Times New Roman" w:hAnsi="Times New Roman"/>
          <w:sz w:val="24"/>
          <w:szCs w:val="24"/>
          <w:lang w:val="en"/>
        </w:rPr>
        <w:t xml:space="preserve">could assist </w:t>
      </w:r>
      <w:r w:rsidR="00360C57">
        <w:rPr>
          <w:rFonts w:ascii="Times New Roman" w:hAnsi="Times New Roman"/>
          <w:sz w:val="24"/>
          <w:szCs w:val="24"/>
          <w:lang w:val="en"/>
        </w:rPr>
        <w:t>to formulate marketing s</w:t>
      </w:r>
      <w:r w:rsidR="00D41EF4">
        <w:rPr>
          <w:rFonts w:ascii="Times New Roman" w:hAnsi="Times New Roman"/>
          <w:sz w:val="24"/>
          <w:szCs w:val="24"/>
          <w:lang w:val="en"/>
        </w:rPr>
        <w:t xml:space="preserve">trategies </w:t>
      </w:r>
      <w:r w:rsidR="00360C57">
        <w:rPr>
          <w:rFonts w:ascii="Times New Roman" w:hAnsi="Times New Roman"/>
          <w:sz w:val="24"/>
          <w:szCs w:val="24"/>
          <w:lang w:val="en"/>
        </w:rPr>
        <w:t xml:space="preserve">to </w:t>
      </w:r>
      <w:r w:rsidR="00D41EF4">
        <w:rPr>
          <w:rFonts w:ascii="Times New Roman" w:hAnsi="Times New Roman"/>
          <w:sz w:val="24"/>
          <w:szCs w:val="24"/>
          <w:lang w:val="en"/>
        </w:rPr>
        <w:t xml:space="preserve">reach </w:t>
      </w:r>
      <w:r w:rsidR="004611B2">
        <w:rPr>
          <w:rFonts w:ascii="Times New Roman" w:hAnsi="Times New Roman"/>
          <w:sz w:val="24"/>
          <w:szCs w:val="24"/>
          <w:lang w:val="en"/>
        </w:rPr>
        <w:t xml:space="preserve">the </w:t>
      </w:r>
      <w:r w:rsidR="004611B2" w:rsidRPr="005F7A0D">
        <w:rPr>
          <w:rFonts w:ascii="Times New Roman" w:hAnsi="Times New Roman"/>
          <w:sz w:val="24"/>
          <w:szCs w:val="24"/>
          <w:lang w:val="en"/>
        </w:rPr>
        <w:t>right</w:t>
      </w:r>
      <w:r w:rsidRPr="005F7A0D">
        <w:rPr>
          <w:rFonts w:ascii="Times New Roman" w:hAnsi="Times New Roman"/>
          <w:sz w:val="24"/>
          <w:szCs w:val="24"/>
          <w:lang w:val="en"/>
        </w:rPr>
        <w:t xml:space="preserve"> target</w:t>
      </w:r>
      <w:r w:rsidR="00D41EF4">
        <w:rPr>
          <w:rFonts w:ascii="Times New Roman" w:hAnsi="Times New Roman"/>
          <w:sz w:val="24"/>
          <w:szCs w:val="24"/>
          <w:lang w:val="en"/>
        </w:rPr>
        <w:t xml:space="preserve"> market</w:t>
      </w:r>
      <w:r w:rsidRPr="005F7A0D">
        <w:rPr>
          <w:rFonts w:ascii="Times New Roman" w:hAnsi="Times New Roman"/>
          <w:sz w:val="24"/>
          <w:szCs w:val="24"/>
          <w:lang w:val="en"/>
        </w:rPr>
        <w:t>. Most importantly, ever</w:t>
      </w:r>
      <w:r w:rsidR="00A57924">
        <w:rPr>
          <w:rFonts w:ascii="Times New Roman" w:hAnsi="Times New Roman"/>
          <w:sz w:val="24"/>
          <w:szCs w:val="24"/>
          <w:lang w:val="en"/>
        </w:rPr>
        <w:t>y</w:t>
      </w:r>
      <w:r w:rsidRPr="005F7A0D">
        <w:rPr>
          <w:rFonts w:ascii="Times New Roman" w:hAnsi="Times New Roman"/>
          <w:sz w:val="24"/>
          <w:szCs w:val="24"/>
          <w:lang w:val="en"/>
        </w:rPr>
        <w:t xml:space="preserve"> family in Malaysia</w:t>
      </w:r>
      <w:r w:rsidR="004611B2">
        <w:rPr>
          <w:rFonts w:ascii="Times New Roman" w:hAnsi="Times New Roman"/>
          <w:sz w:val="24"/>
          <w:szCs w:val="24"/>
          <w:lang w:val="en"/>
        </w:rPr>
        <w:t xml:space="preserve"> </w:t>
      </w:r>
      <w:r w:rsidRPr="005F7A0D">
        <w:rPr>
          <w:rFonts w:ascii="Times New Roman" w:hAnsi="Times New Roman"/>
          <w:sz w:val="24"/>
          <w:szCs w:val="24"/>
          <w:lang w:val="en"/>
        </w:rPr>
        <w:t xml:space="preserve">should </w:t>
      </w:r>
      <w:r w:rsidR="004611B2">
        <w:rPr>
          <w:rFonts w:ascii="Times New Roman" w:hAnsi="Times New Roman"/>
          <w:sz w:val="24"/>
          <w:szCs w:val="24"/>
          <w:lang w:val="en"/>
        </w:rPr>
        <w:t xml:space="preserve">consider an </w:t>
      </w:r>
      <w:r w:rsidRPr="005F7A0D">
        <w:rPr>
          <w:rFonts w:ascii="Times New Roman" w:hAnsi="Times New Roman"/>
          <w:sz w:val="24"/>
          <w:szCs w:val="24"/>
          <w:lang w:val="en"/>
        </w:rPr>
        <w:t xml:space="preserve">education </w:t>
      </w:r>
      <w:proofErr w:type="spellStart"/>
      <w:r w:rsidRPr="005F7A0D">
        <w:rPr>
          <w:rFonts w:ascii="Times New Roman" w:hAnsi="Times New Roman"/>
          <w:sz w:val="24"/>
          <w:szCs w:val="24"/>
          <w:lang w:val="en"/>
        </w:rPr>
        <w:t>takaful</w:t>
      </w:r>
      <w:proofErr w:type="spellEnd"/>
      <w:r w:rsidRPr="005F7A0D">
        <w:rPr>
          <w:rFonts w:ascii="Times New Roman" w:hAnsi="Times New Roman"/>
          <w:sz w:val="24"/>
          <w:szCs w:val="24"/>
          <w:lang w:val="en"/>
        </w:rPr>
        <w:t xml:space="preserve"> </w:t>
      </w:r>
      <w:r w:rsidR="004611B2">
        <w:rPr>
          <w:rFonts w:ascii="Times New Roman" w:hAnsi="Times New Roman"/>
          <w:sz w:val="24"/>
          <w:szCs w:val="24"/>
          <w:lang w:val="en"/>
        </w:rPr>
        <w:t>as integral part of t</w:t>
      </w:r>
      <w:r w:rsidR="00A57924">
        <w:rPr>
          <w:rFonts w:ascii="Times New Roman" w:hAnsi="Times New Roman"/>
          <w:sz w:val="24"/>
          <w:szCs w:val="24"/>
          <w:lang w:val="en"/>
        </w:rPr>
        <w:t>heir</w:t>
      </w:r>
      <w:r w:rsidRPr="005F7A0D">
        <w:rPr>
          <w:rFonts w:ascii="Times New Roman" w:hAnsi="Times New Roman"/>
          <w:sz w:val="24"/>
          <w:szCs w:val="24"/>
          <w:lang w:val="en"/>
        </w:rPr>
        <w:t xml:space="preserve"> financial planning to sustain</w:t>
      </w:r>
      <w:r w:rsidR="004611B2">
        <w:rPr>
          <w:rFonts w:ascii="Times New Roman" w:hAnsi="Times New Roman"/>
          <w:sz w:val="24"/>
          <w:szCs w:val="24"/>
          <w:lang w:val="en"/>
        </w:rPr>
        <w:t xml:space="preserve"> </w:t>
      </w:r>
      <w:r w:rsidRPr="005F7A0D">
        <w:rPr>
          <w:rFonts w:ascii="Times New Roman" w:hAnsi="Times New Roman"/>
          <w:sz w:val="24"/>
          <w:szCs w:val="24"/>
          <w:lang w:val="en"/>
        </w:rPr>
        <w:t xml:space="preserve">their children's </w:t>
      </w:r>
      <w:r w:rsidR="00D41EF4">
        <w:rPr>
          <w:rFonts w:ascii="Times New Roman" w:hAnsi="Times New Roman"/>
          <w:sz w:val="24"/>
          <w:szCs w:val="24"/>
          <w:lang w:val="en"/>
        </w:rPr>
        <w:t xml:space="preserve">future </w:t>
      </w:r>
      <w:r w:rsidRPr="005F7A0D">
        <w:rPr>
          <w:rFonts w:ascii="Times New Roman" w:hAnsi="Times New Roman"/>
          <w:sz w:val="24"/>
          <w:szCs w:val="24"/>
          <w:lang w:val="en"/>
        </w:rPr>
        <w:t>education</w:t>
      </w:r>
      <w:r w:rsidR="004611B2">
        <w:rPr>
          <w:rFonts w:ascii="Times New Roman" w:hAnsi="Times New Roman"/>
          <w:sz w:val="24"/>
          <w:szCs w:val="24"/>
          <w:lang w:val="en"/>
        </w:rPr>
        <w:t xml:space="preserve"> fund</w:t>
      </w:r>
      <w:r w:rsidRPr="005F7A0D">
        <w:rPr>
          <w:rFonts w:ascii="Times New Roman" w:hAnsi="Times New Roman"/>
          <w:sz w:val="24"/>
          <w:szCs w:val="24"/>
          <w:lang w:val="en"/>
        </w:rPr>
        <w:t xml:space="preserve">. </w:t>
      </w:r>
      <w:r w:rsidR="004611B2">
        <w:rPr>
          <w:rFonts w:ascii="Times New Roman" w:hAnsi="Times New Roman"/>
          <w:sz w:val="24"/>
          <w:szCs w:val="24"/>
          <w:lang w:val="en"/>
        </w:rPr>
        <w:t>It</w:t>
      </w:r>
      <w:r w:rsidRPr="005F7A0D">
        <w:rPr>
          <w:rFonts w:ascii="Times New Roman" w:hAnsi="Times New Roman"/>
          <w:sz w:val="24"/>
          <w:szCs w:val="24"/>
          <w:lang w:val="en"/>
        </w:rPr>
        <w:t xml:space="preserve"> </w:t>
      </w:r>
      <w:r w:rsidR="00CD223F">
        <w:rPr>
          <w:rFonts w:ascii="Times New Roman" w:hAnsi="Times New Roman"/>
          <w:sz w:val="24"/>
          <w:szCs w:val="24"/>
          <w:lang w:val="en"/>
        </w:rPr>
        <w:t>subsequently</w:t>
      </w:r>
      <w:r w:rsidRPr="005F7A0D">
        <w:rPr>
          <w:rFonts w:ascii="Times New Roman" w:hAnsi="Times New Roman"/>
          <w:sz w:val="24"/>
          <w:szCs w:val="24"/>
          <w:lang w:val="en"/>
        </w:rPr>
        <w:t xml:space="preserve"> help</w:t>
      </w:r>
      <w:r w:rsidR="004611B2">
        <w:rPr>
          <w:rFonts w:ascii="Times New Roman" w:hAnsi="Times New Roman"/>
          <w:sz w:val="24"/>
          <w:szCs w:val="24"/>
          <w:lang w:val="en"/>
        </w:rPr>
        <w:t>s</w:t>
      </w:r>
      <w:r w:rsidRPr="005F7A0D">
        <w:rPr>
          <w:rFonts w:ascii="Times New Roman" w:hAnsi="Times New Roman"/>
          <w:sz w:val="24"/>
          <w:szCs w:val="24"/>
          <w:lang w:val="en"/>
        </w:rPr>
        <w:t xml:space="preserve"> towards achieving the target population penetration rate of 25% </w:t>
      </w:r>
      <w:proofErr w:type="spellStart"/>
      <w:r w:rsidRPr="005F7A0D">
        <w:rPr>
          <w:rFonts w:ascii="Times New Roman" w:hAnsi="Times New Roman"/>
          <w:sz w:val="24"/>
          <w:szCs w:val="24"/>
          <w:lang w:val="en"/>
        </w:rPr>
        <w:t>takaful</w:t>
      </w:r>
      <w:proofErr w:type="spellEnd"/>
      <w:r w:rsidRPr="005F7A0D">
        <w:rPr>
          <w:rFonts w:ascii="Times New Roman" w:hAnsi="Times New Roman"/>
          <w:sz w:val="24"/>
          <w:szCs w:val="24"/>
          <w:lang w:val="en"/>
        </w:rPr>
        <w:t xml:space="preserve"> ownership by 2020.</w:t>
      </w:r>
    </w:p>
    <w:p w:rsidR="00D9735B" w:rsidRPr="005F7A0D" w:rsidRDefault="00D9735B" w:rsidP="005F7A0D">
      <w:pPr>
        <w:spacing w:after="0" w:line="240" w:lineRule="auto"/>
        <w:rPr>
          <w:rFonts w:ascii="Times New Roman" w:hAnsi="Times New Roman"/>
          <w:b/>
          <w:bCs/>
          <w:sz w:val="24"/>
          <w:szCs w:val="24"/>
        </w:rPr>
      </w:pPr>
    </w:p>
    <w:p w:rsidR="00B747A6" w:rsidRPr="00F43E83" w:rsidRDefault="00B747A6" w:rsidP="00D9735B">
      <w:pPr>
        <w:spacing w:after="0" w:line="240" w:lineRule="auto"/>
        <w:rPr>
          <w:rFonts w:ascii="Times New Roman" w:hAnsi="Times New Roman"/>
          <w:b/>
          <w:bCs/>
          <w:sz w:val="24"/>
          <w:szCs w:val="24"/>
        </w:rPr>
      </w:pPr>
    </w:p>
    <w:p w:rsidR="00D9735B" w:rsidRPr="00F43E83" w:rsidRDefault="00D9735B" w:rsidP="00D9735B">
      <w:pPr>
        <w:spacing w:after="0" w:line="240" w:lineRule="auto"/>
        <w:rPr>
          <w:rFonts w:ascii="Times New Roman" w:hAnsi="Times New Roman"/>
          <w:b/>
          <w:bCs/>
          <w:sz w:val="24"/>
          <w:szCs w:val="24"/>
        </w:rPr>
      </w:pPr>
      <w:r w:rsidRPr="00F43E83">
        <w:rPr>
          <w:rFonts w:ascii="Times New Roman" w:hAnsi="Times New Roman"/>
          <w:b/>
          <w:bCs/>
          <w:sz w:val="24"/>
          <w:szCs w:val="24"/>
        </w:rPr>
        <w:t>A</w:t>
      </w:r>
      <w:r w:rsidR="005F7A0D">
        <w:rPr>
          <w:rFonts w:ascii="Times New Roman" w:hAnsi="Times New Roman"/>
          <w:b/>
          <w:bCs/>
          <w:sz w:val="24"/>
          <w:szCs w:val="24"/>
        </w:rPr>
        <w:t xml:space="preserve">cknowledgement and </w:t>
      </w:r>
      <w:r w:rsidR="00E069C7">
        <w:rPr>
          <w:rFonts w:ascii="Times New Roman" w:hAnsi="Times New Roman"/>
          <w:b/>
          <w:bCs/>
          <w:sz w:val="24"/>
          <w:szCs w:val="24"/>
        </w:rPr>
        <w:t>a</w:t>
      </w:r>
      <w:r w:rsidR="005F7A0D">
        <w:rPr>
          <w:rFonts w:ascii="Times New Roman" w:hAnsi="Times New Roman"/>
          <w:b/>
          <w:bCs/>
          <w:sz w:val="24"/>
          <w:szCs w:val="24"/>
        </w:rPr>
        <w:t>ppreciation</w:t>
      </w:r>
    </w:p>
    <w:p w:rsidR="00D9735B" w:rsidRPr="00F43E83" w:rsidRDefault="00D9735B" w:rsidP="00D9735B">
      <w:pPr>
        <w:spacing w:after="0" w:line="240" w:lineRule="auto"/>
        <w:rPr>
          <w:rFonts w:ascii="Times New Roman" w:hAnsi="Times New Roman"/>
          <w:sz w:val="24"/>
          <w:szCs w:val="24"/>
        </w:rPr>
      </w:pPr>
      <w:r w:rsidRPr="00F43E83">
        <w:rPr>
          <w:rFonts w:ascii="Times New Roman" w:hAnsi="Times New Roman"/>
          <w:sz w:val="24"/>
          <w:szCs w:val="24"/>
        </w:rPr>
        <w:t xml:space="preserve"> </w:t>
      </w:r>
    </w:p>
    <w:p w:rsidR="005F7A0D" w:rsidRDefault="005F7A0D" w:rsidP="00743909">
      <w:pPr>
        <w:spacing w:after="0" w:line="240" w:lineRule="auto"/>
        <w:jc w:val="both"/>
        <w:rPr>
          <w:rFonts w:ascii="Times New Roman" w:hAnsi="Times New Roman"/>
          <w:sz w:val="24"/>
          <w:szCs w:val="24"/>
        </w:rPr>
      </w:pPr>
      <w:r w:rsidRPr="005F7A0D">
        <w:rPr>
          <w:rFonts w:ascii="Times New Roman" w:hAnsi="Times New Roman"/>
          <w:sz w:val="24"/>
          <w:szCs w:val="24"/>
        </w:rPr>
        <w:t xml:space="preserve">This study is funded by </w:t>
      </w:r>
      <w:r w:rsidR="00C73894">
        <w:rPr>
          <w:rFonts w:ascii="Times New Roman" w:hAnsi="Times New Roman"/>
          <w:sz w:val="24"/>
          <w:szCs w:val="24"/>
        </w:rPr>
        <w:t>Initiative</w:t>
      </w:r>
      <w:r w:rsidRPr="005F7A0D">
        <w:rPr>
          <w:rFonts w:ascii="Times New Roman" w:hAnsi="Times New Roman"/>
          <w:sz w:val="24"/>
          <w:szCs w:val="24"/>
        </w:rPr>
        <w:t xml:space="preserve"> Grant, Faculty of Economics and Management, </w:t>
      </w:r>
      <w:proofErr w:type="spellStart"/>
      <w:r w:rsidRPr="005F7A0D">
        <w:rPr>
          <w:rFonts w:ascii="Times New Roman" w:hAnsi="Times New Roman"/>
          <w:sz w:val="24"/>
          <w:szCs w:val="24"/>
        </w:rPr>
        <w:t>Universiti</w:t>
      </w:r>
      <w:proofErr w:type="spellEnd"/>
      <w:r w:rsidRPr="005F7A0D">
        <w:rPr>
          <w:rFonts w:ascii="Times New Roman" w:hAnsi="Times New Roman"/>
          <w:sz w:val="24"/>
          <w:szCs w:val="24"/>
        </w:rPr>
        <w:t xml:space="preserve"> </w:t>
      </w:r>
      <w:proofErr w:type="spellStart"/>
      <w:r w:rsidRPr="005F7A0D">
        <w:rPr>
          <w:rFonts w:ascii="Times New Roman" w:hAnsi="Times New Roman"/>
          <w:sz w:val="24"/>
          <w:szCs w:val="24"/>
        </w:rPr>
        <w:t>Kebangsaan</w:t>
      </w:r>
      <w:proofErr w:type="spellEnd"/>
      <w:r w:rsidRPr="005F7A0D">
        <w:rPr>
          <w:rFonts w:ascii="Times New Roman" w:hAnsi="Times New Roman"/>
          <w:sz w:val="24"/>
          <w:szCs w:val="24"/>
        </w:rPr>
        <w:t xml:space="preserve"> Malaysia (EP-2017-043).</w:t>
      </w:r>
    </w:p>
    <w:p w:rsidR="00D9735B" w:rsidRDefault="00D9735B" w:rsidP="00D9735B">
      <w:pPr>
        <w:spacing w:after="0" w:line="240" w:lineRule="auto"/>
        <w:rPr>
          <w:rFonts w:ascii="Times New Roman" w:hAnsi="Times New Roman"/>
          <w:b/>
          <w:bCs/>
          <w:sz w:val="24"/>
          <w:szCs w:val="24"/>
        </w:rPr>
      </w:pPr>
    </w:p>
    <w:p w:rsidR="00F84F28" w:rsidRDefault="00F84F28" w:rsidP="00D9735B">
      <w:pPr>
        <w:spacing w:after="0" w:line="240" w:lineRule="auto"/>
        <w:rPr>
          <w:rFonts w:ascii="Times New Roman" w:hAnsi="Times New Roman"/>
          <w:b/>
          <w:bCs/>
          <w:sz w:val="24"/>
          <w:szCs w:val="24"/>
        </w:rPr>
      </w:pPr>
    </w:p>
    <w:p w:rsidR="00F84F28" w:rsidRPr="00F43E83" w:rsidRDefault="00F84F28" w:rsidP="00D9735B">
      <w:pPr>
        <w:spacing w:after="0" w:line="240" w:lineRule="auto"/>
        <w:rPr>
          <w:rFonts w:ascii="Times New Roman" w:hAnsi="Times New Roman"/>
          <w:b/>
          <w:bCs/>
          <w:sz w:val="24"/>
          <w:szCs w:val="24"/>
        </w:rPr>
      </w:pPr>
    </w:p>
    <w:p w:rsidR="00D9735B" w:rsidRPr="00F43E83" w:rsidRDefault="00B328AF" w:rsidP="00D9735B">
      <w:pPr>
        <w:spacing w:after="0" w:line="240" w:lineRule="auto"/>
        <w:rPr>
          <w:rFonts w:ascii="Times New Roman" w:hAnsi="Times New Roman"/>
          <w:b/>
          <w:bCs/>
          <w:sz w:val="24"/>
          <w:szCs w:val="24"/>
        </w:rPr>
      </w:pPr>
      <w:r>
        <w:rPr>
          <w:rFonts w:ascii="Times New Roman" w:hAnsi="Times New Roman"/>
          <w:b/>
          <w:bCs/>
          <w:sz w:val="24"/>
          <w:szCs w:val="24"/>
        </w:rPr>
        <w:lastRenderedPageBreak/>
        <w:t xml:space="preserve">References </w:t>
      </w:r>
    </w:p>
    <w:p w:rsidR="00D9735B" w:rsidRPr="00B328AF" w:rsidRDefault="00D9735B" w:rsidP="00D9735B">
      <w:pPr>
        <w:spacing w:after="0" w:line="240" w:lineRule="auto"/>
        <w:rPr>
          <w:rFonts w:ascii="Times New Roman" w:hAnsi="Times New Roman"/>
          <w:b/>
          <w:bCs/>
          <w:sz w:val="24"/>
          <w:szCs w:val="24"/>
        </w:rPr>
      </w:pPr>
      <w:r w:rsidRPr="00B328AF">
        <w:rPr>
          <w:rFonts w:ascii="Times New Roman" w:hAnsi="Times New Roman"/>
          <w:b/>
          <w:bCs/>
          <w:sz w:val="24"/>
          <w:szCs w:val="24"/>
        </w:rPr>
        <w:t xml:space="preserve"> </w:t>
      </w:r>
    </w:p>
    <w:p w:rsidR="00BE5E20" w:rsidRPr="002436E9" w:rsidRDefault="00B328AF" w:rsidP="00BE5E20">
      <w:pPr>
        <w:spacing w:after="0" w:line="240" w:lineRule="auto"/>
        <w:ind w:left="360" w:hanging="360"/>
        <w:jc w:val="both"/>
        <w:rPr>
          <w:rFonts w:ascii="Times New Roman" w:hAnsi="Times New Roman"/>
          <w:sz w:val="24"/>
          <w:szCs w:val="24"/>
          <w:shd w:val="clear" w:color="auto" w:fill="FFFFFF"/>
        </w:rPr>
      </w:pPr>
      <w:proofErr w:type="spellStart"/>
      <w:r w:rsidRPr="002436E9">
        <w:rPr>
          <w:rFonts w:ascii="Times New Roman" w:hAnsi="Times New Roman"/>
          <w:sz w:val="24"/>
          <w:szCs w:val="24"/>
          <w:shd w:val="clear" w:color="auto" w:fill="FFFFFF"/>
        </w:rPr>
        <w:t>AlNemer</w:t>
      </w:r>
      <w:proofErr w:type="spellEnd"/>
      <w:r w:rsidRPr="002436E9">
        <w:rPr>
          <w:rFonts w:ascii="Times New Roman" w:hAnsi="Times New Roman"/>
          <w:sz w:val="24"/>
          <w:szCs w:val="24"/>
          <w:shd w:val="clear" w:color="auto" w:fill="FFFFFF"/>
        </w:rPr>
        <w:t xml:space="preserve">, H. (2015). </w:t>
      </w:r>
      <w:proofErr w:type="gramStart"/>
      <w:r w:rsidRPr="002436E9">
        <w:rPr>
          <w:rFonts w:ascii="Times New Roman" w:hAnsi="Times New Roman"/>
          <w:sz w:val="24"/>
          <w:szCs w:val="24"/>
          <w:shd w:val="clear" w:color="auto" w:fill="FFFFFF"/>
        </w:rPr>
        <w:t>Participants’ knowledge and Educational Background about Takaful Products &amp; Services.</w:t>
      </w:r>
      <w:proofErr w:type="gramEnd"/>
      <w:r w:rsidRPr="002436E9">
        <w:rPr>
          <w:rFonts w:ascii="Times New Roman" w:hAnsi="Times New Roman"/>
          <w:sz w:val="24"/>
          <w:szCs w:val="24"/>
          <w:shd w:val="clear" w:color="auto" w:fill="FFFFFF"/>
        </w:rPr>
        <w:t xml:space="preserve"> </w:t>
      </w:r>
      <w:proofErr w:type="gramStart"/>
      <w:r w:rsidRPr="002436E9">
        <w:rPr>
          <w:rFonts w:ascii="Times New Roman" w:hAnsi="Times New Roman"/>
          <w:sz w:val="24"/>
          <w:szCs w:val="24"/>
          <w:shd w:val="clear" w:color="auto" w:fill="FFFFFF"/>
        </w:rPr>
        <w:t>An Empirical Study on Saudi Arabia.</w:t>
      </w:r>
      <w:proofErr w:type="gramEnd"/>
      <w:r w:rsidRPr="002436E9">
        <w:rPr>
          <w:rFonts w:ascii="Times New Roman" w:hAnsi="Times New Roman"/>
          <w:sz w:val="24"/>
          <w:szCs w:val="24"/>
          <w:shd w:val="clear" w:color="auto" w:fill="FFFFFF"/>
        </w:rPr>
        <w:t xml:space="preserve"> </w:t>
      </w:r>
      <w:r w:rsidRPr="002436E9">
        <w:rPr>
          <w:rFonts w:ascii="Times New Roman" w:hAnsi="Times New Roman"/>
          <w:i/>
          <w:iCs/>
          <w:sz w:val="24"/>
          <w:szCs w:val="24"/>
          <w:shd w:val="clear" w:color="auto" w:fill="FFFFFF"/>
        </w:rPr>
        <w:t>International Journal of Business, Economics and Law</w:t>
      </w:r>
      <w:r w:rsidR="00173AB2" w:rsidRPr="002436E9">
        <w:rPr>
          <w:rFonts w:ascii="Times New Roman" w:hAnsi="Times New Roman"/>
          <w:i/>
          <w:iCs/>
          <w:sz w:val="24"/>
          <w:szCs w:val="24"/>
          <w:shd w:val="clear" w:color="auto" w:fill="FFFFFF"/>
        </w:rPr>
        <w:t>,</w:t>
      </w:r>
      <w:r w:rsidRPr="002436E9">
        <w:rPr>
          <w:rFonts w:ascii="Times New Roman" w:hAnsi="Times New Roman"/>
          <w:sz w:val="24"/>
          <w:szCs w:val="24"/>
          <w:shd w:val="clear" w:color="auto" w:fill="FFFFFF"/>
        </w:rPr>
        <w:t xml:space="preserve"> </w:t>
      </w:r>
      <w:r w:rsidRPr="002436E9">
        <w:rPr>
          <w:rFonts w:ascii="Times New Roman" w:hAnsi="Times New Roman"/>
          <w:i/>
          <w:iCs/>
          <w:sz w:val="24"/>
          <w:szCs w:val="24"/>
          <w:shd w:val="clear" w:color="auto" w:fill="FFFFFF"/>
        </w:rPr>
        <w:t>7</w:t>
      </w:r>
      <w:r w:rsidRPr="002436E9">
        <w:rPr>
          <w:rFonts w:ascii="Times New Roman" w:hAnsi="Times New Roman"/>
          <w:sz w:val="24"/>
          <w:szCs w:val="24"/>
          <w:shd w:val="clear" w:color="auto" w:fill="FFFFFF"/>
        </w:rPr>
        <w:t>(1)</w:t>
      </w:r>
      <w:r w:rsidR="00173AB2" w:rsidRPr="002436E9">
        <w:rPr>
          <w:rFonts w:ascii="Times New Roman" w:hAnsi="Times New Roman"/>
          <w:sz w:val="24"/>
          <w:szCs w:val="24"/>
          <w:shd w:val="clear" w:color="auto" w:fill="FFFFFF"/>
        </w:rPr>
        <w:t>,</w:t>
      </w:r>
      <w:r w:rsidRPr="002436E9">
        <w:rPr>
          <w:rFonts w:ascii="Times New Roman" w:hAnsi="Times New Roman"/>
          <w:sz w:val="24"/>
          <w:szCs w:val="24"/>
          <w:shd w:val="clear" w:color="auto" w:fill="FFFFFF"/>
        </w:rPr>
        <w:t xml:space="preserve"> 43-53</w:t>
      </w:r>
    </w:p>
    <w:p w:rsidR="00BE5E20" w:rsidRPr="002436E9" w:rsidRDefault="00173AB2" w:rsidP="00BE5E20">
      <w:pPr>
        <w:spacing w:after="0" w:line="240" w:lineRule="auto"/>
        <w:ind w:left="360" w:hanging="360"/>
        <w:jc w:val="both"/>
        <w:rPr>
          <w:rFonts w:ascii="Times New Roman" w:hAnsi="Times New Roman"/>
          <w:sz w:val="24"/>
          <w:szCs w:val="24"/>
          <w:shd w:val="clear" w:color="auto" w:fill="FFFFFF"/>
        </w:rPr>
      </w:pPr>
      <w:r w:rsidRPr="002436E9">
        <w:rPr>
          <w:rFonts w:ascii="Times New Roman" w:hAnsi="Times New Roman"/>
          <w:noProof/>
          <w:sz w:val="24"/>
          <w:szCs w:val="24"/>
          <w:lang w:val="en-MY"/>
        </w:rPr>
        <w:t>Asmak</w:t>
      </w:r>
      <w:r w:rsidR="00E7065E" w:rsidRPr="002436E9">
        <w:rPr>
          <w:rFonts w:ascii="Times New Roman" w:hAnsi="Times New Roman"/>
          <w:noProof/>
          <w:sz w:val="24"/>
          <w:szCs w:val="24"/>
          <w:lang w:val="en-MY"/>
        </w:rPr>
        <w:t>,</w:t>
      </w:r>
      <w:r w:rsidRPr="002436E9">
        <w:rPr>
          <w:rFonts w:ascii="Times New Roman" w:hAnsi="Times New Roman"/>
          <w:noProof/>
          <w:sz w:val="24"/>
          <w:szCs w:val="24"/>
          <w:lang w:val="en-MY"/>
        </w:rPr>
        <w:t xml:space="preserve"> A.R., Azizi, C.S., &amp;</w:t>
      </w:r>
      <w:r w:rsidR="00D14303">
        <w:rPr>
          <w:rFonts w:ascii="Times New Roman" w:hAnsi="Times New Roman"/>
          <w:noProof/>
          <w:sz w:val="24"/>
          <w:szCs w:val="24"/>
          <w:lang w:val="en-MY"/>
        </w:rPr>
        <w:t xml:space="preserve"> Wan Marhaini, W.</w:t>
      </w:r>
      <w:r w:rsidR="00B328AF" w:rsidRPr="002436E9">
        <w:rPr>
          <w:rFonts w:ascii="Times New Roman" w:hAnsi="Times New Roman"/>
          <w:noProof/>
          <w:sz w:val="24"/>
          <w:szCs w:val="24"/>
          <w:lang w:val="en-MY"/>
        </w:rPr>
        <w:t xml:space="preserve">A. (2008). Comparative Study Between Auto Takaful and Auto Insurance Purchasing Behaviour among Malaysian Undergraduates, </w:t>
      </w:r>
      <w:r w:rsidRPr="002436E9">
        <w:rPr>
          <w:rFonts w:ascii="Times New Roman" w:hAnsi="Times New Roman"/>
          <w:i/>
          <w:iCs/>
          <w:noProof/>
          <w:sz w:val="24"/>
          <w:szCs w:val="24"/>
          <w:lang w:val="en-MY"/>
        </w:rPr>
        <w:t>Shariah Journa</w:t>
      </w:r>
      <w:r w:rsidR="00B328AF" w:rsidRPr="002436E9">
        <w:rPr>
          <w:rFonts w:ascii="Times New Roman" w:hAnsi="Times New Roman"/>
          <w:i/>
          <w:iCs/>
          <w:noProof/>
          <w:sz w:val="24"/>
          <w:szCs w:val="24"/>
          <w:lang w:val="en-MY"/>
        </w:rPr>
        <w:t>l</w:t>
      </w:r>
      <w:r w:rsidRPr="002436E9">
        <w:rPr>
          <w:rFonts w:ascii="Times New Roman" w:hAnsi="Times New Roman"/>
          <w:i/>
          <w:iCs/>
          <w:noProof/>
          <w:sz w:val="24"/>
          <w:szCs w:val="24"/>
          <w:lang w:val="en-MY"/>
        </w:rPr>
        <w:t>,</w:t>
      </w:r>
      <w:r w:rsidR="00B328AF" w:rsidRPr="002436E9">
        <w:rPr>
          <w:rFonts w:ascii="Times New Roman" w:hAnsi="Times New Roman"/>
          <w:i/>
          <w:iCs/>
          <w:noProof/>
          <w:sz w:val="24"/>
          <w:szCs w:val="24"/>
          <w:lang w:val="en-MY"/>
        </w:rPr>
        <w:t xml:space="preserve"> </w:t>
      </w:r>
      <w:r w:rsidR="00B328AF" w:rsidRPr="002436E9">
        <w:rPr>
          <w:rFonts w:ascii="Times New Roman" w:hAnsi="Times New Roman"/>
          <w:i/>
          <w:noProof/>
          <w:sz w:val="24"/>
          <w:szCs w:val="24"/>
          <w:lang w:val="en-MY"/>
        </w:rPr>
        <w:t>6</w:t>
      </w:r>
      <w:r w:rsidR="00B328AF" w:rsidRPr="002436E9">
        <w:rPr>
          <w:rFonts w:ascii="Times New Roman" w:hAnsi="Times New Roman"/>
          <w:noProof/>
          <w:sz w:val="24"/>
          <w:szCs w:val="24"/>
          <w:lang w:val="en-MY"/>
        </w:rPr>
        <w:t>(1)</w:t>
      </w:r>
      <w:r w:rsidRPr="002436E9">
        <w:rPr>
          <w:rFonts w:ascii="Times New Roman" w:hAnsi="Times New Roman"/>
          <w:noProof/>
          <w:sz w:val="24"/>
          <w:szCs w:val="24"/>
          <w:lang w:val="en-MY"/>
        </w:rPr>
        <w:t>,</w:t>
      </w:r>
      <w:r w:rsidR="00B328AF" w:rsidRPr="002436E9">
        <w:rPr>
          <w:rFonts w:ascii="Times New Roman" w:hAnsi="Times New Roman"/>
          <w:noProof/>
          <w:sz w:val="24"/>
          <w:szCs w:val="24"/>
          <w:lang w:val="en-MY"/>
        </w:rPr>
        <w:t xml:space="preserve"> 75-88</w:t>
      </w:r>
    </w:p>
    <w:p w:rsidR="00BE5E20" w:rsidRPr="002436E9" w:rsidRDefault="00173AB2" w:rsidP="00BE5E20">
      <w:pPr>
        <w:spacing w:after="0" w:line="240" w:lineRule="auto"/>
        <w:ind w:left="360" w:hanging="360"/>
        <w:jc w:val="both"/>
        <w:rPr>
          <w:rFonts w:ascii="Times New Roman" w:hAnsi="Times New Roman"/>
          <w:sz w:val="24"/>
          <w:szCs w:val="24"/>
          <w:shd w:val="clear" w:color="auto" w:fill="FFFFFF"/>
        </w:rPr>
      </w:pPr>
      <w:proofErr w:type="spellStart"/>
      <w:r w:rsidRPr="002436E9">
        <w:rPr>
          <w:rFonts w:ascii="Times New Roman" w:hAnsi="Times New Roman"/>
          <w:sz w:val="24"/>
          <w:szCs w:val="24"/>
          <w:lang w:val="en-MY"/>
        </w:rPr>
        <w:t>Ćurak</w:t>
      </w:r>
      <w:proofErr w:type="spellEnd"/>
      <w:r w:rsidRPr="002436E9">
        <w:rPr>
          <w:rFonts w:ascii="Times New Roman" w:hAnsi="Times New Roman"/>
          <w:sz w:val="24"/>
          <w:szCs w:val="24"/>
          <w:lang w:val="en-MY"/>
        </w:rPr>
        <w:t xml:space="preserve">, M., </w:t>
      </w:r>
      <w:proofErr w:type="spellStart"/>
      <w:r w:rsidRPr="002436E9">
        <w:rPr>
          <w:rFonts w:ascii="Times New Roman" w:hAnsi="Times New Roman"/>
          <w:sz w:val="24"/>
          <w:szCs w:val="24"/>
          <w:lang w:val="en-MY"/>
        </w:rPr>
        <w:t>Dźaja</w:t>
      </w:r>
      <w:proofErr w:type="spellEnd"/>
      <w:r w:rsidRPr="002436E9">
        <w:rPr>
          <w:rFonts w:ascii="Times New Roman" w:hAnsi="Times New Roman"/>
          <w:sz w:val="24"/>
          <w:szCs w:val="24"/>
          <w:lang w:val="en-MY"/>
        </w:rPr>
        <w:t>, I.</w:t>
      </w:r>
      <w:r w:rsidR="00E7065E" w:rsidRPr="002436E9">
        <w:rPr>
          <w:rFonts w:ascii="Times New Roman" w:hAnsi="Times New Roman"/>
          <w:sz w:val="24"/>
          <w:szCs w:val="24"/>
          <w:lang w:val="en-MY"/>
        </w:rPr>
        <w:t>,</w:t>
      </w:r>
      <w:r w:rsidRPr="002436E9">
        <w:rPr>
          <w:rFonts w:ascii="Times New Roman" w:hAnsi="Times New Roman"/>
          <w:sz w:val="24"/>
          <w:szCs w:val="24"/>
          <w:lang w:val="en-MY"/>
        </w:rPr>
        <w:t xml:space="preserve"> &amp;</w:t>
      </w:r>
      <w:r w:rsidR="00B328AF" w:rsidRPr="002436E9">
        <w:rPr>
          <w:rFonts w:ascii="Times New Roman" w:hAnsi="Times New Roman"/>
          <w:sz w:val="24"/>
          <w:szCs w:val="24"/>
          <w:lang w:val="en-MY"/>
        </w:rPr>
        <w:t xml:space="preserve"> </w:t>
      </w:r>
      <w:proofErr w:type="spellStart"/>
      <w:r w:rsidR="00B328AF" w:rsidRPr="002436E9">
        <w:rPr>
          <w:rFonts w:ascii="Times New Roman" w:hAnsi="Times New Roman"/>
          <w:sz w:val="24"/>
          <w:szCs w:val="24"/>
          <w:lang w:val="en-MY"/>
        </w:rPr>
        <w:t>Pepur</w:t>
      </w:r>
      <w:proofErr w:type="spellEnd"/>
      <w:r w:rsidR="00B328AF" w:rsidRPr="002436E9">
        <w:rPr>
          <w:rFonts w:ascii="Times New Roman" w:hAnsi="Times New Roman"/>
          <w:sz w:val="24"/>
          <w:szCs w:val="24"/>
          <w:lang w:val="en-MY"/>
        </w:rPr>
        <w:t xml:space="preserve">, S. (2013).  The Effect of Social and Demographic Factors on Life Insurance Demand in Croatia </w:t>
      </w:r>
      <w:r w:rsidR="00B328AF" w:rsidRPr="002436E9">
        <w:rPr>
          <w:rFonts w:ascii="Times New Roman" w:hAnsi="Times New Roman"/>
          <w:i/>
          <w:sz w:val="24"/>
          <w:szCs w:val="24"/>
          <w:lang w:val="en-MY"/>
        </w:rPr>
        <w:t>International Journal of Business and Social Science</w:t>
      </w:r>
      <w:r w:rsidRPr="002436E9">
        <w:rPr>
          <w:rFonts w:ascii="Times New Roman" w:hAnsi="Times New Roman"/>
          <w:i/>
          <w:sz w:val="24"/>
          <w:szCs w:val="24"/>
          <w:lang w:val="en-MY"/>
        </w:rPr>
        <w:t>,</w:t>
      </w:r>
      <w:r w:rsidR="00B328AF" w:rsidRPr="002436E9">
        <w:rPr>
          <w:rFonts w:ascii="Times New Roman" w:hAnsi="Times New Roman"/>
          <w:sz w:val="24"/>
          <w:szCs w:val="24"/>
          <w:lang w:val="en-MY"/>
        </w:rPr>
        <w:t xml:space="preserve"> </w:t>
      </w:r>
      <w:r w:rsidR="00B328AF" w:rsidRPr="002436E9">
        <w:rPr>
          <w:rFonts w:ascii="Times New Roman" w:hAnsi="Times New Roman"/>
          <w:i/>
          <w:sz w:val="24"/>
          <w:szCs w:val="24"/>
          <w:lang w:val="en-MY"/>
        </w:rPr>
        <w:t>4</w:t>
      </w:r>
      <w:r w:rsidR="00B328AF" w:rsidRPr="002436E9">
        <w:rPr>
          <w:rFonts w:ascii="Times New Roman" w:hAnsi="Times New Roman"/>
          <w:sz w:val="24"/>
          <w:szCs w:val="24"/>
          <w:lang w:val="en-MY"/>
        </w:rPr>
        <w:t>(9)</w:t>
      </w:r>
      <w:r w:rsidRPr="002436E9">
        <w:rPr>
          <w:rFonts w:ascii="Times New Roman" w:hAnsi="Times New Roman"/>
          <w:sz w:val="24"/>
          <w:szCs w:val="24"/>
          <w:lang w:val="en-MY"/>
        </w:rPr>
        <w:t>,</w:t>
      </w:r>
      <w:r w:rsidR="00B328AF" w:rsidRPr="002436E9">
        <w:rPr>
          <w:rFonts w:ascii="Times New Roman" w:hAnsi="Times New Roman"/>
          <w:sz w:val="24"/>
          <w:szCs w:val="24"/>
          <w:lang w:val="en-MY"/>
        </w:rPr>
        <w:t xml:space="preserve"> 65-72</w:t>
      </w:r>
      <w:r w:rsidR="00F711AE" w:rsidRPr="002436E9">
        <w:rPr>
          <w:rFonts w:ascii="Times New Roman" w:hAnsi="Times New Roman"/>
          <w:sz w:val="24"/>
          <w:szCs w:val="24"/>
          <w:lang w:val="en-MY"/>
        </w:rPr>
        <w:t>.</w:t>
      </w:r>
    </w:p>
    <w:p w:rsidR="00BE5E20" w:rsidRPr="002436E9" w:rsidRDefault="00173AB2" w:rsidP="00BE5E20">
      <w:pPr>
        <w:spacing w:after="0" w:line="240" w:lineRule="auto"/>
        <w:ind w:left="360" w:hanging="360"/>
        <w:jc w:val="both"/>
        <w:rPr>
          <w:rFonts w:ascii="Times New Roman" w:hAnsi="Times New Roman"/>
          <w:sz w:val="24"/>
          <w:szCs w:val="24"/>
          <w:shd w:val="clear" w:color="auto" w:fill="FFFFFF"/>
        </w:rPr>
      </w:pPr>
      <w:r w:rsidRPr="002436E9">
        <w:rPr>
          <w:rFonts w:ascii="Times New Roman" w:hAnsi="Times New Roman"/>
          <w:noProof/>
          <w:sz w:val="24"/>
          <w:szCs w:val="24"/>
          <w:lang w:val="en-MY"/>
        </w:rPr>
        <w:t>Gustina &amp;</w:t>
      </w:r>
      <w:r w:rsidR="00B328AF" w:rsidRPr="002436E9">
        <w:rPr>
          <w:rFonts w:ascii="Times New Roman" w:hAnsi="Times New Roman"/>
          <w:noProof/>
          <w:sz w:val="24"/>
          <w:szCs w:val="24"/>
          <w:lang w:val="en-MY"/>
        </w:rPr>
        <w:t xml:space="preserve"> Nurdianawati, A. (2012). Analysis of Demand for Family Takaful and Life Insurance: A Comparative Study in Malaysia. </w:t>
      </w:r>
      <w:r w:rsidR="00B328AF" w:rsidRPr="002436E9">
        <w:rPr>
          <w:rFonts w:ascii="Times New Roman" w:hAnsi="Times New Roman"/>
          <w:i/>
          <w:iCs/>
          <w:noProof/>
          <w:sz w:val="24"/>
          <w:szCs w:val="24"/>
          <w:lang w:val="en-MY"/>
        </w:rPr>
        <w:t>Journal of Islamic Economics, Banking and Finance</w:t>
      </w:r>
      <w:r w:rsidRPr="002436E9">
        <w:rPr>
          <w:rFonts w:ascii="Times New Roman" w:hAnsi="Times New Roman"/>
          <w:i/>
          <w:iCs/>
          <w:noProof/>
          <w:sz w:val="24"/>
          <w:szCs w:val="24"/>
          <w:lang w:val="en-MY"/>
        </w:rPr>
        <w:t>,</w:t>
      </w:r>
      <w:r w:rsidR="00B328AF" w:rsidRPr="002436E9">
        <w:rPr>
          <w:rFonts w:ascii="Times New Roman" w:hAnsi="Times New Roman"/>
          <w:noProof/>
          <w:sz w:val="24"/>
          <w:szCs w:val="24"/>
          <w:lang w:val="en-MY"/>
        </w:rPr>
        <w:t xml:space="preserve"> </w:t>
      </w:r>
      <w:r w:rsidR="00B328AF" w:rsidRPr="002436E9">
        <w:rPr>
          <w:rFonts w:ascii="Times New Roman" w:hAnsi="Times New Roman"/>
          <w:i/>
          <w:noProof/>
          <w:sz w:val="24"/>
          <w:szCs w:val="24"/>
          <w:lang w:val="en-MY"/>
        </w:rPr>
        <w:t>8</w:t>
      </w:r>
      <w:r w:rsidR="00B328AF" w:rsidRPr="002436E9">
        <w:rPr>
          <w:rFonts w:ascii="Times New Roman" w:hAnsi="Times New Roman"/>
          <w:noProof/>
          <w:sz w:val="24"/>
          <w:szCs w:val="24"/>
          <w:lang w:val="en-MY"/>
        </w:rPr>
        <w:t>(4)</w:t>
      </w:r>
      <w:r w:rsidR="00F711AE" w:rsidRPr="002436E9">
        <w:rPr>
          <w:rFonts w:ascii="Times New Roman" w:hAnsi="Times New Roman"/>
          <w:noProof/>
          <w:sz w:val="24"/>
          <w:szCs w:val="24"/>
          <w:lang w:val="en-MY"/>
        </w:rPr>
        <w:t>.</w:t>
      </w:r>
    </w:p>
    <w:p w:rsidR="00BE5E20" w:rsidRPr="002436E9" w:rsidRDefault="00B328AF" w:rsidP="00BE5E20">
      <w:pPr>
        <w:spacing w:after="0" w:line="240" w:lineRule="auto"/>
        <w:ind w:left="360" w:hanging="360"/>
        <w:jc w:val="both"/>
        <w:rPr>
          <w:rFonts w:ascii="Times New Roman" w:hAnsi="Times New Roman"/>
          <w:sz w:val="24"/>
          <w:szCs w:val="24"/>
          <w:shd w:val="clear" w:color="auto" w:fill="FFFFFF"/>
        </w:rPr>
      </w:pPr>
      <w:r w:rsidRPr="002436E9">
        <w:rPr>
          <w:rFonts w:ascii="Times New Roman" w:hAnsi="Times New Roman"/>
          <w:noProof/>
          <w:sz w:val="24"/>
          <w:szCs w:val="24"/>
          <w:lang w:val="en-MY"/>
        </w:rPr>
        <w:t xml:space="preserve">Hendon, R. (2014). Analysis Of The Demand For Life Insurance and Family Takaful. </w:t>
      </w:r>
      <w:r w:rsidRPr="002436E9">
        <w:rPr>
          <w:rFonts w:ascii="Times New Roman" w:hAnsi="Times New Roman"/>
          <w:i/>
          <w:iCs/>
          <w:noProof/>
          <w:sz w:val="24"/>
          <w:szCs w:val="24"/>
          <w:lang w:val="en-MY"/>
        </w:rPr>
        <w:t>Proceedings of the Australian Academy of Business and Social Sciences Conference</w:t>
      </w:r>
      <w:r w:rsidR="00173AB2" w:rsidRPr="002436E9">
        <w:rPr>
          <w:rFonts w:ascii="Times New Roman" w:hAnsi="Times New Roman"/>
          <w:i/>
          <w:iCs/>
          <w:noProof/>
          <w:sz w:val="24"/>
          <w:szCs w:val="24"/>
          <w:lang w:val="en-MY"/>
        </w:rPr>
        <w:t>,</w:t>
      </w:r>
      <w:r w:rsidRPr="002436E9">
        <w:rPr>
          <w:rFonts w:ascii="Times New Roman" w:hAnsi="Times New Roman"/>
          <w:noProof/>
          <w:sz w:val="24"/>
          <w:szCs w:val="24"/>
          <w:lang w:val="en-MY"/>
        </w:rPr>
        <w:t xml:space="preserve"> 1-16</w:t>
      </w:r>
      <w:r w:rsidR="00F711AE" w:rsidRPr="002436E9">
        <w:rPr>
          <w:rFonts w:ascii="Times New Roman" w:hAnsi="Times New Roman"/>
          <w:noProof/>
          <w:sz w:val="24"/>
          <w:szCs w:val="24"/>
          <w:lang w:val="en-MY"/>
        </w:rPr>
        <w:t>.</w:t>
      </w:r>
    </w:p>
    <w:p w:rsidR="00BE5E20" w:rsidRPr="002436E9" w:rsidRDefault="00B328AF" w:rsidP="00BE5E20">
      <w:pPr>
        <w:spacing w:after="0" w:line="240" w:lineRule="auto"/>
        <w:ind w:left="360" w:hanging="360"/>
        <w:jc w:val="both"/>
        <w:rPr>
          <w:rFonts w:ascii="Times New Roman" w:hAnsi="Times New Roman"/>
          <w:sz w:val="24"/>
          <w:szCs w:val="24"/>
          <w:shd w:val="clear" w:color="auto" w:fill="FFFFFF"/>
        </w:rPr>
      </w:pPr>
      <w:proofErr w:type="gramStart"/>
      <w:r w:rsidRPr="002436E9">
        <w:rPr>
          <w:rFonts w:ascii="Times New Roman" w:hAnsi="Times New Roman"/>
          <w:sz w:val="24"/>
          <w:szCs w:val="24"/>
          <w:lang w:val="en-MY"/>
        </w:rPr>
        <w:t>Hen</w:t>
      </w:r>
      <w:r w:rsidR="00173AB2" w:rsidRPr="002436E9">
        <w:rPr>
          <w:rFonts w:ascii="Times New Roman" w:hAnsi="Times New Roman"/>
          <w:sz w:val="24"/>
          <w:szCs w:val="24"/>
          <w:lang w:val="en-MY"/>
        </w:rPr>
        <w:t xml:space="preserve">don, R., </w:t>
      </w:r>
      <w:proofErr w:type="spellStart"/>
      <w:r w:rsidR="00173AB2" w:rsidRPr="002436E9">
        <w:rPr>
          <w:rFonts w:ascii="Times New Roman" w:hAnsi="Times New Roman"/>
          <w:sz w:val="24"/>
          <w:szCs w:val="24"/>
          <w:lang w:val="en-MY"/>
        </w:rPr>
        <w:t>Rubayah</w:t>
      </w:r>
      <w:proofErr w:type="spellEnd"/>
      <w:r w:rsidR="00173AB2" w:rsidRPr="002436E9">
        <w:rPr>
          <w:rFonts w:ascii="Times New Roman" w:hAnsi="Times New Roman"/>
          <w:sz w:val="24"/>
          <w:szCs w:val="24"/>
          <w:lang w:val="en-MY"/>
        </w:rPr>
        <w:t>, Y.</w:t>
      </w:r>
      <w:r w:rsidR="00E7065E" w:rsidRPr="002436E9">
        <w:rPr>
          <w:rFonts w:ascii="Times New Roman" w:hAnsi="Times New Roman"/>
          <w:sz w:val="24"/>
          <w:szCs w:val="24"/>
          <w:lang w:val="en-MY"/>
        </w:rPr>
        <w:t>,</w:t>
      </w:r>
      <w:r w:rsidR="00173AB2" w:rsidRPr="002436E9">
        <w:rPr>
          <w:rFonts w:ascii="Times New Roman" w:hAnsi="Times New Roman"/>
          <w:sz w:val="24"/>
          <w:szCs w:val="24"/>
          <w:lang w:val="en-MY"/>
        </w:rPr>
        <w:t xml:space="preserve"> &amp;</w:t>
      </w:r>
      <w:r w:rsidRPr="002436E9">
        <w:rPr>
          <w:rFonts w:ascii="Times New Roman" w:hAnsi="Times New Roman"/>
          <w:sz w:val="24"/>
          <w:szCs w:val="24"/>
          <w:lang w:val="en-MY"/>
        </w:rPr>
        <w:t xml:space="preserve"> Zaidi, I. (2016).</w:t>
      </w:r>
      <w:proofErr w:type="gramEnd"/>
      <w:r w:rsidRPr="002436E9">
        <w:rPr>
          <w:rFonts w:ascii="Times New Roman" w:hAnsi="Times New Roman"/>
          <w:sz w:val="24"/>
          <w:szCs w:val="24"/>
          <w:lang w:val="en-MY"/>
        </w:rPr>
        <w:t xml:space="preserve"> Underinsurance in Malaysia: The application of the Monte Carlo simulation. </w:t>
      </w:r>
      <w:proofErr w:type="spellStart"/>
      <w:r w:rsidRPr="002436E9">
        <w:rPr>
          <w:rFonts w:ascii="Times New Roman" w:hAnsi="Times New Roman"/>
          <w:i/>
          <w:sz w:val="24"/>
          <w:szCs w:val="24"/>
          <w:lang w:val="en-MY"/>
        </w:rPr>
        <w:t>Jurnal</w:t>
      </w:r>
      <w:proofErr w:type="spellEnd"/>
      <w:r w:rsidRPr="002436E9">
        <w:rPr>
          <w:rFonts w:ascii="Times New Roman" w:hAnsi="Times New Roman"/>
          <w:i/>
          <w:sz w:val="24"/>
          <w:szCs w:val="24"/>
          <w:lang w:val="en-MY"/>
        </w:rPr>
        <w:t xml:space="preserve"> </w:t>
      </w:r>
      <w:proofErr w:type="spellStart"/>
      <w:r w:rsidRPr="002436E9">
        <w:rPr>
          <w:rFonts w:ascii="Times New Roman" w:hAnsi="Times New Roman"/>
          <w:i/>
          <w:sz w:val="24"/>
          <w:szCs w:val="24"/>
          <w:lang w:val="en-MY"/>
        </w:rPr>
        <w:t>Pengurusan</w:t>
      </w:r>
      <w:proofErr w:type="spellEnd"/>
      <w:r w:rsidR="00173AB2" w:rsidRPr="002436E9">
        <w:rPr>
          <w:rFonts w:ascii="Times New Roman" w:hAnsi="Times New Roman"/>
          <w:i/>
          <w:sz w:val="24"/>
          <w:szCs w:val="24"/>
          <w:lang w:val="en-MY"/>
        </w:rPr>
        <w:t>,</w:t>
      </w:r>
      <w:r w:rsidRPr="002436E9">
        <w:rPr>
          <w:rFonts w:ascii="Times New Roman" w:hAnsi="Times New Roman"/>
          <w:sz w:val="24"/>
          <w:szCs w:val="24"/>
          <w:lang w:val="en-MY"/>
        </w:rPr>
        <w:t xml:space="preserve"> </w:t>
      </w:r>
      <w:r w:rsidRPr="002436E9">
        <w:rPr>
          <w:rFonts w:ascii="Times New Roman" w:hAnsi="Times New Roman"/>
          <w:i/>
          <w:sz w:val="24"/>
          <w:szCs w:val="24"/>
          <w:lang w:val="en-MY"/>
        </w:rPr>
        <w:t>47</w:t>
      </w:r>
      <w:r w:rsidR="00173AB2" w:rsidRPr="002436E9">
        <w:rPr>
          <w:rFonts w:ascii="Times New Roman" w:hAnsi="Times New Roman"/>
          <w:i/>
          <w:sz w:val="24"/>
          <w:szCs w:val="24"/>
          <w:lang w:val="en-MY"/>
        </w:rPr>
        <w:t>,</w:t>
      </w:r>
      <w:r w:rsidRPr="002436E9">
        <w:rPr>
          <w:rFonts w:ascii="Times New Roman" w:hAnsi="Times New Roman"/>
          <w:sz w:val="24"/>
          <w:szCs w:val="24"/>
          <w:lang w:val="en-MY"/>
        </w:rPr>
        <w:t xml:space="preserve"> 131-141</w:t>
      </w:r>
      <w:r w:rsidR="00F711AE" w:rsidRPr="002436E9">
        <w:rPr>
          <w:rFonts w:ascii="Times New Roman" w:hAnsi="Times New Roman"/>
          <w:sz w:val="24"/>
          <w:szCs w:val="24"/>
          <w:lang w:val="en-MY"/>
        </w:rPr>
        <w:t>.</w:t>
      </w:r>
    </w:p>
    <w:p w:rsidR="00BE5E20" w:rsidRPr="002436E9" w:rsidRDefault="00173AB2" w:rsidP="00BE5E20">
      <w:pPr>
        <w:spacing w:after="0" w:line="240" w:lineRule="auto"/>
        <w:ind w:left="360" w:hanging="360"/>
        <w:jc w:val="both"/>
        <w:rPr>
          <w:rFonts w:ascii="Times New Roman" w:hAnsi="Times New Roman"/>
          <w:sz w:val="24"/>
          <w:szCs w:val="24"/>
          <w:shd w:val="clear" w:color="auto" w:fill="FFFFFF"/>
        </w:rPr>
      </w:pPr>
      <w:r w:rsidRPr="002436E9">
        <w:rPr>
          <w:rFonts w:ascii="Times New Roman" w:hAnsi="Times New Roman"/>
          <w:noProof/>
          <w:sz w:val="24"/>
          <w:szCs w:val="24"/>
          <w:lang w:val="en-MY"/>
        </w:rPr>
        <w:t>Hussein</w:t>
      </w:r>
      <w:r w:rsidR="00E7065E" w:rsidRPr="002436E9">
        <w:rPr>
          <w:rFonts w:ascii="Times New Roman" w:hAnsi="Times New Roman"/>
          <w:noProof/>
          <w:sz w:val="24"/>
          <w:szCs w:val="24"/>
          <w:lang w:val="en-MY"/>
        </w:rPr>
        <w:t>,</w:t>
      </w:r>
      <w:r w:rsidRPr="002436E9">
        <w:rPr>
          <w:rFonts w:ascii="Times New Roman" w:hAnsi="Times New Roman"/>
          <w:noProof/>
          <w:sz w:val="24"/>
          <w:szCs w:val="24"/>
          <w:lang w:val="en-MY"/>
        </w:rPr>
        <w:t xml:space="preserve"> A.A. &amp;</w:t>
      </w:r>
      <w:r w:rsidR="00B328AF" w:rsidRPr="002436E9">
        <w:rPr>
          <w:rFonts w:ascii="Times New Roman" w:hAnsi="Times New Roman"/>
          <w:noProof/>
          <w:sz w:val="24"/>
          <w:szCs w:val="24"/>
          <w:lang w:val="en-MY"/>
        </w:rPr>
        <w:t xml:space="preserve"> Al Anood, K. (2009). Financial Literacy and investment decisions of UAE investors. </w:t>
      </w:r>
      <w:r w:rsidR="00B328AF" w:rsidRPr="002436E9">
        <w:rPr>
          <w:rFonts w:ascii="Times New Roman" w:hAnsi="Times New Roman"/>
          <w:i/>
          <w:noProof/>
          <w:sz w:val="24"/>
          <w:szCs w:val="24"/>
          <w:lang w:val="en-MY"/>
        </w:rPr>
        <w:t>Journal of Risk Finance</w:t>
      </w:r>
      <w:r w:rsidRPr="002436E9">
        <w:rPr>
          <w:rFonts w:ascii="Times New Roman" w:hAnsi="Times New Roman"/>
          <w:i/>
          <w:noProof/>
          <w:sz w:val="24"/>
          <w:szCs w:val="24"/>
          <w:lang w:val="en-MY"/>
        </w:rPr>
        <w:t>,</w:t>
      </w:r>
      <w:r w:rsidR="00B328AF" w:rsidRPr="002436E9">
        <w:rPr>
          <w:rFonts w:ascii="Times New Roman" w:hAnsi="Times New Roman"/>
          <w:noProof/>
          <w:sz w:val="24"/>
          <w:szCs w:val="24"/>
          <w:lang w:val="en-MY"/>
        </w:rPr>
        <w:t xml:space="preserve"> </w:t>
      </w:r>
      <w:r w:rsidR="00B328AF" w:rsidRPr="002436E9">
        <w:rPr>
          <w:rFonts w:ascii="Times New Roman" w:hAnsi="Times New Roman"/>
          <w:i/>
          <w:noProof/>
          <w:sz w:val="24"/>
          <w:szCs w:val="24"/>
          <w:lang w:val="en-MY"/>
        </w:rPr>
        <w:t>10</w:t>
      </w:r>
      <w:r w:rsidR="00B328AF" w:rsidRPr="002436E9">
        <w:rPr>
          <w:rFonts w:ascii="Times New Roman" w:hAnsi="Times New Roman"/>
          <w:noProof/>
          <w:sz w:val="24"/>
          <w:szCs w:val="24"/>
          <w:lang w:val="en-MY"/>
        </w:rPr>
        <w:t>(5)</w:t>
      </w:r>
      <w:r w:rsidRPr="002436E9">
        <w:rPr>
          <w:rFonts w:ascii="Times New Roman" w:hAnsi="Times New Roman"/>
          <w:noProof/>
          <w:sz w:val="24"/>
          <w:szCs w:val="24"/>
          <w:lang w:val="en-MY"/>
        </w:rPr>
        <w:t>,</w:t>
      </w:r>
      <w:r w:rsidR="00B328AF" w:rsidRPr="002436E9">
        <w:rPr>
          <w:rFonts w:ascii="Times New Roman" w:hAnsi="Times New Roman"/>
          <w:noProof/>
          <w:sz w:val="24"/>
          <w:szCs w:val="24"/>
          <w:lang w:val="en-MY"/>
        </w:rPr>
        <w:t xml:space="preserve"> 500-516</w:t>
      </w:r>
      <w:r w:rsidR="00BE5E20" w:rsidRPr="002436E9">
        <w:rPr>
          <w:rFonts w:ascii="Times New Roman" w:hAnsi="Times New Roman"/>
          <w:noProof/>
          <w:sz w:val="24"/>
          <w:szCs w:val="24"/>
          <w:lang w:val="en-MY"/>
        </w:rPr>
        <w:t>.</w:t>
      </w:r>
    </w:p>
    <w:p w:rsidR="00BE5E20" w:rsidRPr="002436E9" w:rsidRDefault="00084BD9" w:rsidP="00BE5E20">
      <w:pPr>
        <w:spacing w:after="0" w:line="240" w:lineRule="auto"/>
        <w:ind w:left="360" w:hanging="360"/>
        <w:jc w:val="both"/>
        <w:rPr>
          <w:rFonts w:ascii="Times New Roman" w:hAnsi="Times New Roman"/>
          <w:sz w:val="24"/>
          <w:szCs w:val="24"/>
          <w:shd w:val="clear" w:color="auto" w:fill="FFFFFF"/>
        </w:rPr>
      </w:pPr>
      <w:r w:rsidRPr="002436E9">
        <w:rPr>
          <w:rFonts w:ascii="Times New Roman" w:hAnsi="Times New Roman"/>
          <w:noProof/>
          <w:sz w:val="24"/>
          <w:szCs w:val="24"/>
          <w:lang w:val="en-MY"/>
        </w:rPr>
        <w:t xml:space="preserve">International Shariah Research Academic for Islamic Finance (ISRA). (2011). </w:t>
      </w:r>
      <w:r w:rsidRPr="002436E9">
        <w:rPr>
          <w:rFonts w:ascii="Times New Roman" w:hAnsi="Times New Roman"/>
          <w:i/>
          <w:iCs/>
          <w:noProof/>
          <w:sz w:val="24"/>
          <w:szCs w:val="24"/>
          <w:lang w:val="en-MY"/>
        </w:rPr>
        <w:t>Islamic financial system: principles and operations.</w:t>
      </w:r>
      <w:r w:rsidRPr="002436E9">
        <w:rPr>
          <w:rFonts w:ascii="Times New Roman" w:hAnsi="Times New Roman"/>
          <w:noProof/>
          <w:sz w:val="24"/>
          <w:szCs w:val="24"/>
          <w:lang w:val="en-MY"/>
        </w:rPr>
        <w:t xml:space="preserve"> Kuala Lumpur</w:t>
      </w:r>
      <w:r w:rsidR="009177DB" w:rsidRPr="002436E9">
        <w:rPr>
          <w:rFonts w:ascii="Times New Roman" w:hAnsi="Times New Roman"/>
          <w:noProof/>
          <w:sz w:val="24"/>
          <w:szCs w:val="24"/>
          <w:lang w:val="en-MY"/>
        </w:rPr>
        <w:t xml:space="preserve">, </w:t>
      </w:r>
      <w:r w:rsidRPr="002436E9">
        <w:rPr>
          <w:rFonts w:ascii="Times New Roman" w:hAnsi="Times New Roman"/>
          <w:noProof/>
          <w:sz w:val="24"/>
          <w:szCs w:val="24"/>
          <w:lang w:val="en-MY"/>
        </w:rPr>
        <w:t>International Shariah Research Academic for Islamic Finance.</w:t>
      </w:r>
    </w:p>
    <w:p w:rsidR="00BE5E20" w:rsidRPr="002436E9" w:rsidRDefault="00173AB2" w:rsidP="00BE5E20">
      <w:pPr>
        <w:spacing w:after="0" w:line="240" w:lineRule="auto"/>
        <w:ind w:left="360" w:hanging="360"/>
        <w:jc w:val="both"/>
        <w:rPr>
          <w:rFonts w:ascii="Times New Roman" w:hAnsi="Times New Roman"/>
          <w:sz w:val="24"/>
          <w:szCs w:val="24"/>
          <w:shd w:val="clear" w:color="auto" w:fill="FFFFFF"/>
        </w:rPr>
      </w:pPr>
      <w:r w:rsidRPr="002436E9">
        <w:rPr>
          <w:rFonts w:ascii="Times New Roman" w:hAnsi="Times New Roman"/>
          <w:noProof/>
          <w:sz w:val="24"/>
          <w:szCs w:val="24"/>
          <w:lang w:val="en-MY"/>
        </w:rPr>
        <w:t>Izzati Liyana, A., &amp;</w:t>
      </w:r>
      <w:r w:rsidR="00B328AF" w:rsidRPr="002436E9">
        <w:rPr>
          <w:rFonts w:ascii="Times New Roman" w:hAnsi="Times New Roman"/>
          <w:noProof/>
          <w:sz w:val="24"/>
          <w:szCs w:val="24"/>
          <w:lang w:val="en-MY"/>
        </w:rPr>
        <w:t xml:space="preserve"> Hendon, R. (2015). Persepsi Pelajar Bukan Islam Terhadap Takaful</w:t>
      </w:r>
      <w:r w:rsidR="003503FB" w:rsidRPr="002436E9">
        <w:rPr>
          <w:rFonts w:ascii="Times New Roman" w:hAnsi="Times New Roman"/>
          <w:noProof/>
          <w:sz w:val="24"/>
          <w:szCs w:val="24"/>
          <w:lang w:val="en-MY"/>
        </w:rPr>
        <w:t xml:space="preserve">. </w:t>
      </w:r>
      <w:r w:rsidR="00B328AF" w:rsidRPr="002436E9">
        <w:rPr>
          <w:rFonts w:ascii="Times New Roman" w:hAnsi="Times New Roman"/>
          <w:i/>
          <w:iCs/>
          <w:noProof/>
          <w:sz w:val="24"/>
          <w:szCs w:val="24"/>
          <w:lang w:val="en-MY"/>
        </w:rPr>
        <w:t>Jurnal Personalia Pelajar</w:t>
      </w:r>
      <w:r w:rsidRPr="002436E9">
        <w:rPr>
          <w:rFonts w:ascii="Times New Roman" w:hAnsi="Times New Roman"/>
          <w:i/>
          <w:iCs/>
          <w:noProof/>
          <w:sz w:val="24"/>
          <w:szCs w:val="24"/>
          <w:lang w:val="en-MY"/>
        </w:rPr>
        <w:t>,</w:t>
      </w:r>
      <w:r w:rsidR="00B328AF" w:rsidRPr="002436E9">
        <w:rPr>
          <w:rFonts w:ascii="Times New Roman" w:hAnsi="Times New Roman"/>
          <w:noProof/>
          <w:sz w:val="24"/>
          <w:szCs w:val="24"/>
          <w:lang w:val="en-MY"/>
        </w:rPr>
        <w:t xml:space="preserve"> 1-13</w:t>
      </w:r>
      <w:r w:rsidR="003503FB" w:rsidRPr="002436E9">
        <w:rPr>
          <w:rFonts w:ascii="Times New Roman" w:hAnsi="Times New Roman"/>
          <w:noProof/>
          <w:sz w:val="24"/>
          <w:szCs w:val="24"/>
          <w:lang w:val="en-MY"/>
        </w:rPr>
        <w:t>.</w:t>
      </w:r>
    </w:p>
    <w:p w:rsidR="00BE5E20" w:rsidRPr="002436E9" w:rsidRDefault="00B328AF" w:rsidP="00BE5E20">
      <w:pPr>
        <w:spacing w:after="0" w:line="240" w:lineRule="auto"/>
        <w:ind w:left="360" w:hanging="360"/>
        <w:jc w:val="both"/>
        <w:rPr>
          <w:rFonts w:ascii="Times New Roman" w:hAnsi="Times New Roman"/>
          <w:sz w:val="24"/>
          <w:szCs w:val="24"/>
          <w:shd w:val="clear" w:color="auto" w:fill="FFFFFF"/>
        </w:rPr>
      </w:pPr>
      <w:r w:rsidRPr="002436E9">
        <w:rPr>
          <w:rFonts w:ascii="Times New Roman" w:hAnsi="Times New Roman"/>
          <w:noProof/>
          <w:sz w:val="24"/>
          <w:szCs w:val="24"/>
          <w:lang w:val="en-MY"/>
        </w:rPr>
        <w:t xml:space="preserve">Jamaldeen, F. (2012). </w:t>
      </w:r>
      <w:r w:rsidRPr="002436E9">
        <w:rPr>
          <w:rFonts w:ascii="Times New Roman" w:hAnsi="Times New Roman"/>
          <w:i/>
          <w:iCs/>
          <w:noProof/>
          <w:sz w:val="24"/>
          <w:szCs w:val="24"/>
          <w:lang w:val="en-MY"/>
        </w:rPr>
        <w:t>Islamic Finance For Dummies.</w:t>
      </w:r>
      <w:r w:rsidRPr="002436E9">
        <w:rPr>
          <w:rFonts w:ascii="Times New Roman" w:hAnsi="Times New Roman"/>
          <w:noProof/>
          <w:sz w:val="24"/>
          <w:szCs w:val="24"/>
          <w:lang w:val="en-MY"/>
        </w:rPr>
        <w:t xml:space="preserve"> </w:t>
      </w:r>
      <w:r w:rsidR="00897650" w:rsidRPr="002436E9">
        <w:rPr>
          <w:rFonts w:ascii="Times New Roman" w:hAnsi="Times New Roman"/>
          <w:noProof/>
          <w:sz w:val="24"/>
          <w:szCs w:val="24"/>
          <w:lang w:val="en-MY"/>
        </w:rPr>
        <w:t xml:space="preserve">New Jersey, </w:t>
      </w:r>
      <w:r w:rsidRPr="002436E9">
        <w:rPr>
          <w:rFonts w:ascii="Times New Roman" w:hAnsi="Times New Roman"/>
          <w:noProof/>
          <w:sz w:val="24"/>
          <w:szCs w:val="24"/>
          <w:lang w:val="en-MY"/>
        </w:rPr>
        <w:t xml:space="preserve">John Wiley &amp; Sons, Inc. </w:t>
      </w:r>
    </w:p>
    <w:p w:rsidR="00B328AF" w:rsidRPr="002436E9" w:rsidRDefault="00D14303" w:rsidP="00BE5E20">
      <w:pPr>
        <w:spacing w:after="0" w:line="240" w:lineRule="auto"/>
        <w:ind w:left="360" w:hanging="360"/>
        <w:jc w:val="both"/>
        <w:rPr>
          <w:rFonts w:ascii="Times New Roman" w:hAnsi="Times New Roman"/>
          <w:sz w:val="24"/>
          <w:szCs w:val="24"/>
          <w:shd w:val="clear" w:color="auto" w:fill="FFFFFF"/>
        </w:rPr>
      </w:pPr>
      <w:proofErr w:type="spellStart"/>
      <w:proofErr w:type="gramStart"/>
      <w:r>
        <w:rPr>
          <w:rFonts w:ascii="Times New Roman" w:hAnsi="Times New Roman"/>
          <w:sz w:val="24"/>
          <w:szCs w:val="24"/>
          <w:shd w:val="clear" w:color="auto" w:fill="FFFFFF"/>
        </w:rPr>
        <w:t>Kamarul</w:t>
      </w:r>
      <w:proofErr w:type="spellEnd"/>
      <w:r>
        <w:rPr>
          <w:rFonts w:ascii="Times New Roman" w:hAnsi="Times New Roman"/>
          <w:sz w:val="24"/>
          <w:szCs w:val="24"/>
          <w:shd w:val="clear" w:color="auto" w:fill="FFFFFF"/>
        </w:rPr>
        <w:t>, A.</w:t>
      </w:r>
      <w:r w:rsidR="00B328AF" w:rsidRPr="002436E9">
        <w:rPr>
          <w:rFonts w:ascii="Times New Roman" w:hAnsi="Times New Roman"/>
          <w:sz w:val="24"/>
          <w:szCs w:val="24"/>
          <w:shd w:val="clear" w:color="auto" w:fill="FFFFFF"/>
        </w:rPr>
        <w:t xml:space="preserve">M., </w:t>
      </w:r>
      <w:proofErr w:type="spellStart"/>
      <w:r w:rsidR="00B328AF" w:rsidRPr="002436E9">
        <w:rPr>
          <w:rFonts w:ascii="Times New Roman" w:hAnsi="Times New Roman"/>
          <w:sz w:val="24"/>
          <w:szCs w:val="24"/>
          <w:shd w:val="clear" w:color="auto" w:fill="FFFFFF"/>
        </w:rPr>
        <w:t>R</w:t>
      </w:r>
      <w:r w:rsidR="00173AB2" w:rsidRPr="002436E9">
        <w:rPr>
          <w:rFonts w:ascii="Times New Roman" w:hAnsi="Times New Roman"/>
          <w:sz w:val="24"/>
          <w:szCs w:val="24"/>
          <w:shd w:val="clear" w:color="auto" w:fill="FFFFFF"/>
        </w:rPr>
        <w:t>aden</w:t>
      </w:r>
      <w:proofErr w:type="spellEnd"/>
      <w:r w:rsidR="00897650" w:rsidRPr="002436E9">
        <w:rPr>
          <w:rFonts w:ascii="Times New Roman" w:hAnsi="Times New Roman"/>
          <w:sz w:val="24"/>
          <w:szCs w:val="24"/>
          <w:shd w:val="clear" w:color="auto" w:fill="FFFFFF"/>
        </w:rPr>
        <w:t>,</w:t>
      </w:r>
      <w:r w:rsidR="003503FB" w:rsidRPr="002436E9">
        <w:rPr>
          <w:rFonts w:ascii="Times New Roman" w:hAnsi="Times New Roman"/>
          <w:sz w:val="24"/>
          <w:szCs w:val="24"/>
          <w:shd w:val="clear" w:color="auto" w:fill="FFFFFF"/>
        </w:rPr>
        <w:t xml:space="preserve"> </w:t>
      </w:r>
      <w:r w:rsidR="00173AB2" w:rsidRPr="002436E9">
        <w:rPr>
          <w:rFonts w:ascii="Times New Roman" w:hAnsi="Times New Roman"/>
          <w:sz w:val="24"/>
          <w:szCs w:val="24"/>
          <w:shd w:val="clear" w:color="auto" w:fill="FFFFFF"/>
        </w:rPr>
        <w:t xml:space="preserve">M.N.M., </w:t>
      </w:r>
      <w:proofErr w:type="spellStart"/>
      <w:r w:rsidR="00173AB2" w:rsidRPr="002436E9">
        <w:rPr>
          <w:rFonts w:ascii="Times New Roman" w:hAnsi="Times New Roman"/>
          <w:sz w:val="24"/>
          <w:szCs w:val="24"/>
          <w:shd w:val="clear" w:color="auto" w:fill="FFFFFF"/>
        </w:rPr>
        <w:t>Masilah</w:t>
      </w:r>
      <w:proofErr w:type="spellEnd"/>
      <w:r w:rsidR="00173AB2" w:rsidRPr="002436E9">
        <w:rPr>
          <w:rFonts w:ascii="Times New Roman" w:hAnsi="Times New Roman"/>
          <w:sz w:val="24"/>
          <w:szCs w:val="24"/>
          <w:shd w:val="clear" w:color="auto" w:fill="FFFFFF"/>
        </w:rPr>
        <w:t>, M.</w:t>
      </w:r>
      <w:r w:rsidR="00E7065E" w:rsidRPr="002436E9">
        <w:rPr>
          <w:rFonts w:ascii="Times New Roman" w:hAnsi="Times New Roman"/>
          <w:sz w:val="24"/>
          <w:szCs w:val="24"/>
          <w:shd w:val="clear" w:color="auto" w:fill="FFFFFF"/>
        </w:rPr>
        <w:t>,</w:t>
      </w:r>
      <w:r w:rsidR="00173AB2" w:rsidRPr="002436E9">
        <w:rPr>
          <w:rFonts w:ascii="Times New Roman" w:hAnsi="Times New Roman"/>
          <w:sz w:val="24"/>
          <w:szCs w:val="24"/>
          <w:shd w:val="clear" w:color="auto" w:fill="FFFFFF"/>
        </w:rPr>
        <w:t xml:space="preserve"> &amp;</w:t>
      </w:r>
      <w:r w:rsidR="00B328AF" w:rsidRPr="002436E9">
        <w:rPr>
          <w:rFonts w:ascii="Times New Roman" w:hAnsi="Times New Roman"/>
          <w:sz w:val="24"/>
          <w:szCs w:val="24"/>
          <w:shd w:val="clear" w:color="auto" w:fill="FFFFFF"/>
        </w:rPr>
        <w:t xml:space="preserve"> </w:t>
      </w:r>
      <w:proofErr w:type="spellStart"/>
      <w:r w:rsidR="00B328AF" w:rsidRPr="002436E9">
        <w:rPr>
          <w:rFonts w:ascii="Times New Roman" w:hAnsi="Times New Roman"/>
          <w:sz w:val="24"/>
          <w:szCs w:val="24"/>
          <w:shd w:val="clear" w:color="auto" w:fill="FFFFFF"/>
        </w:rPr>
        <w:t>Nursidrah</w:t>
      </w:r>
      <w:proofErr w:type="spellEnd"/>
      <w:r w:rsidR="00B328AF" w:rsidRPr="002436E9">
        <w:rPr>
          <w:rFonts w:ascii="Times New Roman" w:hAnsi="Times New Roman"/>
          <w:sz w:val="24"/>
          <w:szCs w:val="24"/>
          <w:shd w:val="clear" w:color="auto" w:fill="FFFFFF"/>
        </w:rPr>
        <w:t>, Z. (2015).</w:t>
      </w:r>
      <w:proofErr w:type="gramEnd"/>
      <w:r w:rsidR="00B328AF" w:rsidRPr="002436E9">
        <w:rPr>
          <w:rFonts w:ascii="Times New Roman" w:hAnsi="Times New Roman"/>
          <w:sz w:val="24"/>
          <w:szCs w:val="24"/>
          <w:shd w:val="clear" w:color="auto" w:fill="FFFFFF"/>
        </w:rPr>
        <w:t xml:space="preserve"> A study on factor</w:t>
      </w:r>
      <w:r w:rsidR="00BE5E20" w:rsidRPr="002436E9">
        <w:rPr>
          <w:rFonts w:ascii="Times New Roman" w:hAnsi="Times New Roman"/>
          <w:sz w:val="24"/>
          <w:szCs w:val="24"/>
          <w:shd w:val="clear" w:color="auto" w:fill="FFFFFF"/>
        </w:rPr>
        <w:t xml:space="preserve"> </w:t>
      </w:r>
      <w:r w:rsidR="00B328AF" w:rsidRPr="002436E9">
        <w:rPr>
          <w:rFonts w:ascii="Times New Roman" w:hAnsi="Times New Roman"/>
          <w:sz w:val="24"/>
          <w:szCs w:val="24"/>
          <w:shd w:val="clear" w:color="auto" w:fill="FFFFFF"/>
        </w:rPr>
        <w:t xml:space="preserve">influencing Muslim’s </w:t>
      </w:r>
      <w:proofErr w:type="gramStart"/>
      <w:r w:rsidR="00B328AF" w:rsidRPr="002436E9">
        <w:rPr>
          <w:rFonts w:ascii="Times New Roman" w:hAnsi="Times New Roman"/>
          <w:sz w:val="24"/>
          <w:szCs w:val="24"/>
          <w:shd w:val="clear" w:color="auto" w:fill="FFFFFF"/>
        </w:rPr>
        <w:t>consumers</w:t>
      </w:r>
      <w:proofErr w:type="gramEnd"/>
      <w:r w:rsidR="00B328AF" w:rsidRPr="002436E9">
        <w:rPr>
          <w:rFonts w:ascii="Times New Roman" w:hAnsi="Times New Roman"/>
          <w:sz w:val="24"/>
          <w:szCs w:val="24"/>
          <w:shd w:val="clear" w:color="auto" w:fill="FFFFFF"/>
        </w:rPr>
        <w:t xml:space="preserve"> preferences towards </w:t>
      </w:r>
      <w:proofErr w:type="spellStart"/>
      <w:r w:rsidR="00B328AF" w:rsidRPr="002436E9">
        <w:rPr>
          <w:rFonts w:ascii="Times New Roman" w:hAnsi="Times New Roman"/>
          <w:sz w:val="24"/>
          <w:szCs w:val="24"/>
          <w:shd w:val="clear" w:color="auto" w:fill="FFFFFF"/>
        </w:rPr>
        <w:t>takaful</w:t>
      </w:r>
      <w:proofErr w:type="spellEnd"/>
      <w:r w:rsidR="00B328AF" w:rsidRPr="002436E9">
        <w:rPr>
          <w:rFonts w:ascii="Times New Roman" w:hAnsi="Times New Roman"/>
          <w:sz w:val="24"/>
          <w:szCs w:val="24"/>
          <w:shd w:val="clear" w:color="auto" w:fill="FFFFFF"/>
        </w:rPr>
        <w:t xml:space="preserve"> products in Malaysia. </w:t>
      </w:r>
      <w:r w:rsidR="00B328AF" w:rsidRPr="002436E9">
        <w:rPr>
          <w:rFonts w:ascii="Times New Roman" w:hAnsi="Times New Roman"/>
          <w:i/>
          <w:iCs/>
          <w:sz w:val="24"/>
          <w:szCs w:val="24"/>
          <w:shd w:val="clear" w:color="auto" w:fill="FFFFFF"/>
        </w:rPr>
        <w:t>Romanian Statistical Review</w:t>
      </w:r>
      <w:r w:rsidR="00173AB2" w:rsidRPr="002436E9">
        <w:rPr>
          <w:rFonts w:ascii="Times New Roman" w:hAnsi="Times New Roman"/>
          <w:i/>
          <w:iCs/>
          <w:sz w:val="24"/>
          <w:szCs w:val="24"/>
          <w:shd w:val="clear" w:color="auto" w:fill="FFFFFF"/>
        </w:rPr>
        <w:t>,</w:t>
      </w:r>
      <w:r w:rsidR="00B328AF" w:rsidRPr="002436E9">
        <w:rPr>
          <w:rFonts w:ascii="Times New Roman" w:hAnsi="Times New Roman"/>
          <w:sz w:val="24"/>
          <w:szCs w:val="24"/>
          <w:shd w:val="clear" w:color="auto" w:fill="FFFFFF"/>
        </w:rPr>
        <w:t xml:space="preserve"> </w:t>
      </w:r>
      <w:r w:rsidR="00B328AF" w:rsidRPr="002436E9">
        <w:rPr>
          <w:rFonts w:ascii="Times New Roman" w:hAnsi="Times New Roman"/>
          <w:i/>
          <w:iCs/>
          <w:sz w:val="24"/>
          <w:szCs w:val="24"/>
          <w:shd w:val="clear" w:color="auto" w:fill="FFFFFF"/>
        </w:rPr>
        <w:t>63</w:t>
      </w:r>
      <w:r w:rsidR="00B328AF" w:rsidRPr="002436E9">
        <w:rPr>
          <w:rFonts w:ascii="Times New Roman" w:hAnsi="Times New Roman"/>
          <w:sz w:val="24"/>
          <w:szCs w:val="24"/>
          <w:shd w:val="clear" w:color="auto" w:fill="FFFFFF"/>
        </w:rPr>
        <w:t>(2)</w:t>
      </w:r>
      <w:r w:rsidR="00173AB2" w:rsidRPr="002436E9">
        <w:rPr>
          <w:rFonts w:ascii="Times New Roman" w:hAnsi="Times New Roman"/>
          <w:sz w:val="24"/>
          <w:szCs w:val="24"/>
          <w:shd w:val="clear" w:color="auto" w:fill="FFFFFF"/>
        </w:rPr>
        <w:t xml:space="preserve">, </w:t>
      </w:r>
      <w:r w:rsidR="00B328AF" w:rsidRPr="002436E9">
        <w:rPr>
          <w:rFonts w:ascii="Times New Roman" w:hAnsi="Times New Roman"/>
          <w:sz w:val="24"/>
          <w:szCs w:val="24"/>
          <w:shd w:val="clear" w:color="auto" w:fill="FFFFFF"/>
        </w:rPr>
        <w:t>78-89</w:t>
      </w:r>
      <w:r w:rsidR="00E7065E" w:rsidRPr="002436E9">
        <w:rPr>
          <w:rFonts w:ascii="Times New Roman" w:hAnsi="Times New Roman"/>
          <w:sz w:val="24"/>
          <w:szCs w:val="24"/>
          <w:lang w:val="en-MY"/>
        </w:rPr>
        <w:t>.</w:t>
      </w:r>
    </w:p>
    <w:p w:rsidR="00E14B18" w:rsidRPr="002436E9" w:rsidRDefault="00E14B18" w:rsidP="00BE5E20">
      <w:pPr>
        <w:spacing w:after="0" w:line="240" w:lineRule="auto"/>
        <w:ind w:left="360" w:hanging="360"/>
        <w:jc w:val="both"/>
        <w:rPr>
          <w:rFonts w:ascii="Times New Roman" w:hAnsi="Times New Roman"/>
          <w:sz w:val="24"/>
          <w:szCs w:val="24"/>
          <w:lang w:val="en-MY"/>
        </w:rPr>
      </w:pPr>
      <w:proofErr w:type="gramStart"/>
      <w:r w:rsidRPr="002436E9">
        <w:rPr>
          <w:rFonts w:ascii="Times New Roman" w:hAnsi="Times New Roman"/>
          <w:sz w:val="24"/>
          <w:szCs w:val="24"/>
          <w:lang w:val="en-MY"/>
        </w:rPr>
        <w:t>Malaysian Takaful Association.</w:t>
      </w:r>
      <w:proofErr w:type="gramEnd"/>
      <w:r w:rsidRPr="002436E9">
        <w:rPr>
          <w:rFonts w:ascii="Times New Roman" w:hAnsi="Times New Roman"/>
          <w:sz w:val="24"/>
          <w:szCs w:val="24"/>
          <w:lang w:val="en-MY"/>
        </w:rPr>
        <w:t xml:space="preserve"> </w:t>
      </w:r>
      <w:proofErr w:type="gramStart"/>
      <w:r w:rsidRPr="002436E9">
        <w:rPr>
          <w:rFonts w:ascii="Times New Roman" w:hAnsi="Times New Roman"/>
          <w:sz w:val="24"/>
          <w:szCs w:val="24"/>
          <w:lang w:val="en-MY"/>
        </w:rPr>
        <w:t xml:space="preserve">(2017). </w:t>
      </w:r>
      <w:proofErr w:type="spellStart"/>
      <w:r w:rsidRPr="002436E9">
        <w:rPr>
          <w:rFonts w:ascii="Times New Roman" w:hAnsi="Times New Roman"/>
          <w:sz w:val="24"/>
          <w:szCs w:val="24"/>
          <w:lang w:val="en-MY"/>
        </w:rPr>
        <w:t>Laporan</w:t>
      </w:r>
      <w:proofErr w:type="spellEnd"/>
      <w:r w:rsidRPr="002436E9">
        <w:rPr>
          <w:rFonts w:ascii="Times New Roman" w:hAnsi="Times New Roman"/>
          <w:sz w:val="24"/>
          <w:szCs w:val="24"/>
          <w:lang w:val="en-MY"/>
        </w:rPr>
        <w:t xml:space="preserve"> </w:t>
      </w:r>
      <w:proofErr w:type="spellStart"/>
      <w:r w:rsidRPr="002436E9">
        <w:rPr>
          <w:rFonts w:ascii="Times New Roman" w:hAnsi="Times New Roman"/>
          <w:sz w:val="24"/>
          <w:szCs w:val="24"/>
          <w:lang w:val="en-MY"/>
        </w:rPr>
        <w:t>Tahunan</w:t>
      </w:r>
      <w:proofErr w:type="spellEnd"/>
      <w:r w:rsidRPr="002436E9">
        <w:rPr>
          <w:rFonts w:ascii="Times New Roman" w:hAnsi="Times New Roman"/>
          <w:sz w:val="24"/>
          <w:szCs w:val="24"/>
          <w:lang w:val="en-MY"/>
        </w:rPr>
        <w:t xml:space="preserve"> 2017.</w:t>
      </w:r>
      <w:proofErr w:type="gramEnd"/>
      <w:r w:rsidRPr="002436E9">
        <w:rPr>
          <w:rFonts w:ascii="Times New Roman" w:hAnsi="Times New Roman"/>
          <w:sz w:val="24"/>
          <w:szCs w:val="24"/>
          <w:lang w:val="en-MY"/>
        </w:rPr>
        <w:t xml:space="preserve"> Retrieved from </w:t>
      </w:r>
      <w:hyperlink r:id="rId11" w:history="1">
        <w:r w:rsidRPr="002436E9">
          <w:rPr>
            <w:rStyle w:val="Hyperlink"/>
            <w:rFonts w:ascii="Times New Roman" w:hAnsi="Times New Roman"/>
            <w:color w:val="auto"/>
            <w:sz w:val="24"/>
            <w:szCs w:val="24"/>
            <w:u w:val="none"/>
            <w:lang w:val="en-MY"/>
          </w:rPr>
          <w:t>http://www.malaysiantakaful.com.my/ConsumerZone/Library/AnnualReport/News/Annual-Report-2017.aspx</w:t>
        </w:r>
      </w:hyperlink>
    </w:p>
    <w:p w:rsidR="00B328AF" w:rsidRPr="002436E9" w:rsidRDefault="00B328AF" w:rsidP="00BE5E20">
      <w:pPr>
        <w:spacing w:after="0" w:line="240" w:lineRule="auto"/>
        <w:ind w:left="360" w:hanging="360"/>
        <w:jc w:val="both"/>
        <w:rPr>
          <w:rFonts w:ascii="Times New Roman" w:hAnsi="Times New Roman"/>
          <w:noProof/>
          <w:sz w:val="24"/>
          <w:szCs w:val="24"/>
          <w:lang w:val="en-MY"/>
        </w:rPr>
      </w:pPr>
      <w:r w:rsidRPr="002436E9">
        <w:rPr>
          <w:rFonts w:ascii="Times New Roman" w:hAnsi="Times New Roman"/>
          <w:noProof/>
          <w:sz w:val="24"/>
          <w:szCs w:val="24"/>
          <w:lang w:val="en-MY"/>
        </w:rPr>
        <w:t>Malik, M.I.,</w:t>
      </w:r>
      <w:r w:rsidR="00173AB2" w:rsidRPr="002436E9">
        <w:rPr>
          <w:rFonts w:ascii="Times New Roman" w:hAnsi="Times New Roman"/>
          <w:noProof/>
          <w:sz w:val="24"/>
          <w:szCs w:val="24"/>
          <w:lang w:val="en-MY"/>
        </w:rPr>
        <w:t xml:space="preserve"> Majeed, U.K., Shaukat, A.</w:t>
      </w:r>
      <w:r w:rsidR="00E7065E" w:rsidRPr="002436E9">
        <w:rPr>
          <w:rFonts w:ascii="Times New Roman" w:hAnsi="Times New Roman"/>
          <w:noProof/>
          <w:sz w:val="24"/>
          <w:szCs w:val="24"/>
          <w:lang w:val="en-MY"/>
        </w:rPr>
        <w:t>,</w:t>
      </w:r>
      <w:r w:rsidR="00173AB2" w:rsidRPr="002436E9">
        <w:rPr>
          <w:rFonts w:ascii="Times New Roman" w:hAnsi="Times New Roman"/>
          <w:noProof/>
          <w:sz w:val="24"/>
          <w:szCs w:val="24"/>
          <w:lang w:val="en-MY"/>
        </w:rPr>
        <w:t xml:space="preserve"> &amp;</w:t>
      </w:r>
      <w:r w:rsidRPr="002436E9">
        <w:rPr>
          <w:rFonts w:ascii="Times New Roman" w:hAnsi="Times New Roman"/>
          <w:noProof/>
          <w:sz w:val="24"/>
          <w:szCs w:val="24"/>
          <w:lang w:val="en-MY"/>
        </w:rPr>
        <w:t xml:space="preserve"> Shughla, Q. (2012). Customers’ Preferences and Awareness Towards Takaful Coverage In Pakistan.</w:t>
      </w:r>
      <w:r w:rsidR="00141AA7" w:rsidRPr="002436E9">
        <w:rPr>
          <w:rFonts w:ascii="Times New Roman" w:hAnsi="Times New Roman"/>
          <w:sz w:val="24"/>
          <w:szCs w:val="24"/>
          <w:lang w:val="en-MY"/>
        </w:rPr>
        <w:t xml:space="preserve"> </w:t>
      </w:r>
      <w:proofErr w:type="gramStart"/>
      <w:r w:rsidR="00141AA7" w:rsidRPr="002436E9">
        <w:rPr>
          <w:rFonts w:ascii="Times New Roman" w:hAnsi="Times New Roman"/>
          <w:i/>
          <w:iCs/>
          <w:sz w:val="24"/>
          <w:szCs w:val="24"/>
          <w:lang w:val="en-MY"/>
        </w:rPr>
        <w:t>SSRN Electronic Journal</w:t>
      </w:r>
      <w:r w:rsidR="00141AA7" w:rsidRPr="002436E9">
        <w:rPr>
          <w:rFonts w:ascii="Times New Roman" w:hAnsi="Times New Roman"/>
          <w:sz w:val="24"/>
          <w:szCs w:val="24"/>
          <w:lang w:val="en-MY"/>
        </w:rPr>
        <w:t>.</w:t>
      </w:r>
      <w:proofErr w:type="gramEnd"/>
      <w:r w:rsidR="00141AA7" w:rsidRPr="002436E9">
        <w:rPr>
          <w:rFonts w:ascii="Times New Roman" w:hAnsi="Times New Roman"/>
          <w:sz w:val="24"/>
          <w:szCs w:val="24"/>
          <w:lang w:val="en-MY"/>
        </w:rPr>
        <w:t xml:space="preserve"> </w:t>
      </w:r>
    </w:p>
    <w:p w:rsidR="00176849" w:rsidRPr="002436E9" w:rsidRDefault="00176849" w:rsidP="00BE5E20">
      <w:pPr>
        <w:spacing w:after="0" w:line="240" w:lineRule="auto"/>
        <w:ind w:left="360" w:hanging="360"/>
        <w:jc w:val="both"/>
        <w:rPr>
          <w:rFonts w:ascii="Times New Roman" w:hAnsi="Times New Roman"/>
          <w:sz w:val="24"/>
          <w:szCs w:val="24"/>
          <w:lang w:val="en-MY"/>
        </w:rPr>
      </w:pPr>
      <w:proofErr w:type="spellStart"/>
      <w:proofErr w:type="gramStart"/>
      <w:r w:rsidRPr="002436E9">
        <w:rPr>
          <w:rFonts w:ascii="Times New Roman" w:hAnsi="Times New Roman"/>
          <w:sz w:val="24"/>
          <w:szCs w:val="24"/>
          <w:lang w:val="en-MY"/>
        </w:rPr>
        <w:t>Manik</w:t>
      </w:r>
      <w:proofErr w:type="spellEnd"/>
      <w:r w:rsidRPr="002436E9">
        <w:rPr>
          <w:rFonts w:ascii="Times New Roman" w:hAnsi="Times New Roman"/>
          <w:sz w:val="24"/>
          <w:szCs w:val="24"/>
          <w:lang w:val="en-MY"/>
        </w:rPr>
        <w:t xml:space="preserve">, E.A. </w:t>
      </w:r>
      <w:r w:rsidR="00E7065E" w:rsidRPr="002436E9">
        <w:rPr>
          <w:rFonts w:ascii="Times New Roman" w:hAnsi="Times New Roman"/>
          <w:sz w:val="24"/>
          <w:szCs w:val="24"/>
          <w:lang w:val="en-MY"/>
        </w:rPr>
        <w:t>&amp;</w:t>
      </w:r>
      <w:r w:rsidRPr="002436E9">
        <w:rPr>
          <w:rFonts w:ascii="Times New Roman" w:hAnsi="Times New Roman"/>
          <w:sz w:val="24"/>
          <w:szCs w:val="24"/>
          <w:lang w:val="en-MY"/>
        </w:rPr>
        <w:t xml:space="preserve"> Abdul </w:t>
      </w:r>
      <w:proofErr w:type="spellStart"/>
      <w:r w:rsidRPr="002436E9">
        <w:rPr>
          <w:rFonts w:ascii="Times New Roman" w:hAnsi="Times New Roman"/>
          <w:sz w:val="24"/>
          <w:szCs w:val="24"/>
          <w:lang w:val="en-MY"/>
        </w:rPr>
        <w:t>Mannan</w:t>
      </w:r>
      <w:proofErr w:type="spellEnd"/>
      <w:r w:rsidRPr="002436E9">
        <w:rPr>
          <w:rFonts w:ascii="Times New Roman" w:hAnsi="Times New Roman"/>
          <w:sz w:val="24"/>
          <w:szCs w:val="24"/>
          <w:lang w:val="en-MY"/>
        </w:rPr>
        <w:t>.</w:t>
      </w:r>
      <w:proofErr w:type="gramEnd"/>
      <w:r w:rsidRPr="002436E9">
        <w:rPr>
          <w:rFonts w:ascii="Times New Roman" w:hAnsi="Times New Roman"/>
          <w:sz w:val="24"/>
          <w:szCs w:val="24"/>
          <w:lang w:val="en-MY"/>
        </w:rPr>
        <w:t xml:space="preserve"> (2017). </w:t>
      </w:r>
      <w:proofErr w:type="gramStart"/>
      <w:r w:rsidRPr="002436E9">
        <w:rPr>
          <w:rFonts w:ascii="Times New Roman" w:hAnsi="Times New Roman"/>
          <w:sz w:val="24"/>
          <w:szCs w:val="24"/>
          <w:lang w:val="en-MY"/>
        </w:rPr>
        <w:t>An</w:t>
      </w:r>
      <w:proofErr w:type="gramEnd"/>
      <w:r w:rsidRPr="002436E9">
        <w:rPr>
          <w:rFonts w:ascii="Times New Roman" w:hAnsi="Times New Roman"/>
          <w:sz w:val="24"/>
          <w:szCs w:val="24"/>
          <w:lang w:val="en-MY"/>
        </w:rPr>
        <w:t xml:space="preserve"> Investigation of the Awareness of the Life Insurance Among the Hawkers in Dhaka City: The Prospects of </w:t>
      </w:r>
      <w:proofErr w:type="spellStart"/>
      <w:r w:rsidRPr="002436E9">
        <w:rPr>
          <w:rFonts w:ascii="Times New Roman" w:hAnsi="Times New Roman"/>
          <w:sz w:val="24"/>
          <w:szCs w:val="24"/>
          <w:lang w:val="en-MY"/>
        </w:rPr>
        <w:t>Microinsurance</w:t>
      </w:r>
      <w:proofErr w:type="spellEnd"/>
      <w:r w:rsidRPr="002436E9">
        <w:rPr>
          <w:rFonts w:ascii="Times New Roman" w:hAnsi="Times New Roman"/>
          <w:sz w:val="24"/>
          <w:szCs w:val="24"/>
          <w:lang w:val="en-MY"/>
        </w:rPr>
        <w:t xml:space="preserve">. </w:t>
      </w:r>
      <w:r w:rsidRPr="002436E9">
        <w:rPr>
          <w:rFonts w:ascii="Times New Roman" w:hAnsi="Times New Roman"/>
          <w:i/>
          <w:iCs/>
          <w:sz w:val="24"/>
          <w:szCs w:val="24"/>
          <w:lang w:val="en-MY"/>
        </w:rPr>
        <w:t>European Journal of Business and Management,</w:t>
      </w:r>
      <w:r w:rsidRPr="002436E9">
        <w:rPr>
          <w:rFonts w:ascii="Times New Roman" w:hAnsi="Times New Roman"/>
          <w:sz w:val="24"/>
          <w:szCs w:val="24"/>
          <w:lang w:val="en-MY"/>
        </w:rPr>
        <w:t xml:space="preserve"> </w:t>
      </w:r>
      <w:r w:rsidRPr="002436E9">
        <w:rPr>
          <w:rFonts w:ascii="Times New Roman" w:hAnsi="Times New Roman"/>
          <w:i/>
          <w:iCs/>
          <w:sz w:val="24"/>
          <w:szCs w:val="24"/>
          <w:lang w:val="en-MY"/>
        </w:rPr>
        <w:t>9</w:t>
      </w:r>
      <w:r w:rsidRPr="002436E9">
        <w:rPr>
          <w:rFonts w:ascii="Times New Roman" w:hAnsi="Times New Roman"/>
          <w:sz w:val="24"/>
          <w:szCs w:val="24"/>
          <w:lang w:val="en-MY"/>
        </w:rPr>
        <w:t>(2): 82-95</w:t>
      </w:r>
      <w:r w:rsidR="00E7065E" w:rsidRPr="002436E9">
        <w:rPr>
          <w:rFonts w:ascii="Times New Roman" w:hAnsi="Times New Roman"/>
          <w:sz w:val="24"/>
          <w:szCs w:val="24"/>
          <w:lang w:val="en-MY"/>
        </w:rPr>
        <w:t>.</w:t>
      </w:r>
    </w:p>
    <w:p w:rsidR="00B328AF" w:rsidRPr="002436E9" w:rsidRDefault="00B328AF" w:rsidP="00BE5E20">
      <w:pPr>
        <w:tabs>
          <w:tab w:val="left" w:pos="810"/>
        </w:tabs>
        <w:spacing w:after="0" w:line="240" w:lineRule="auto"/>
        <w:ind w:left="360" w:hanging="360"/>
        <w:jc w:val="both"/>
        <w:rPr>
          <w:rFonts w:ascii="Times New Roman" w:hAnsi="Times New Roman"/>
          <w:noProof/>
          <w:sz w:val="24"/>
          <w:szCs w:val="24"/>
          <w:lang w:val="en-MY"/>
        </w:rPr>
      </w:pPr>
      <w:r w:rsidRPr="002436E9">
        <w:rPr>
          <w:rFonts w:ascii="Times New Roman" w:hAnsi="Times New Roman"/>
          <w:sz w:val="24"/>
          <w:szCs w:val="24"/>
          <w:lang w:val="en-MY"/>
        </w:rPr>
        <w:t xml:space="preserve">Mohamad </w:t>
      </w:r>
      <w:proofErr w:type="spellStart"/>
      <w:r w:rsidRPr="002436E9">
        <w:rPr>
          <w:rFonts w:ascii="Times New Roman" w:hAnsi="Times New Roman"/>
          <w:sz w:val="24"/>
          <w:szCs w:val="24"/>
          <w:lang w:val="en-MY"/>
        </w:rPr>
        <w:t>Idham</w:t>
      </w:r>
      <w:proofErr w:type="spellEnd"/>
      <w:r w:rsidRPr="002436E9">
        <w:rPr>
          <w:rFonts w:ascii="Times New Roman" w:hAnsi="Times New Roman"/>
          <w:sz w:val="24"/>
          <w:szCs w:val="24"/>
          <w:lang w:val="en-MY"/>
        </w:rPr>
        <w:t>,</w:t>
      </w:r>
      <w:r w:rsidR="00E7065E" w:rsidRPr="002436E9">
        <w:rPr>
          <w:rFonts w:ascii="Times New Roman" w:hAnsi="Times New Roman"/>
          <w:sz w:val="24"/>
          <w:szCs w:val="24"/>
          <w:lang w:val="en-MY"/>
        </w:rPr>
        <w:t xml:space="preserve"> </w:t>
      </w:r>
      <w:r w:rsidR="00D14303">
        <w:rPr>
          <w:rFonts w:ascii="Times New Roman" w:hAnsi="Times New Roman"/>
          <w:sz w:val="24"/>
          <w:szCs w:val="24"/>
          <w:lang w:val="en-MY"/>
        </w:rPr>
        <w:t>M.</w:t>
      </w:r>
      <w:r w:rsidRPr="002436E9">
        <w:rPr>
          <w:rFonts w:ascii="Times New Roman" w:hAnsi="Times New Roman"/>
          <w:sz w:val="24"/>
          <w:szCs w:val="24"/>
          <w:lang w:val="en-MY"/>
        </w:rPr>
        <w:t xml:space="preserve">R., </w:t>
      </w:r>
      <w:proofErr w:type="spellStart"/>
      <w:r w:rsidRPr="002436E9">
        <w:rPr>
          <w:rFonts w:ascii="Times New Roman" w:hAnsi="Times New Roman"/>
          <w:sz w:val="24"/>
          <w:szCs w:val="24"/>
          <w:lang w:val="en-MY"/>
        </w:rPr>
        <w:t>Siti</w:t>
      </w:r>
      <w:proofErr w:type="spellEnd"/>
      <w:r w:rsidRPr="002436E9">
        <w:rPr>
          <w:rFonts w:ascii="Times New Roman" w:hAnsi="Times New Roman"/>
          <w:sz w:val="24"/>
          <w:szCs w:val="24"/>
          <w:lang w:val="en-MY"/>
        </w:rPr>
        <w:t xml:space="preserve"> </w:t>
      </w:r>
      <w:proofErr w:type="spellStart"/>
      <w:r w:rsidRPr="002436E9">
        <w:rPr>
          <w:rFonts w:ascii="Times New Roman" w:hAnsi="Times New Roman"/>
          <w:sz w:val="24"/>
          <w:szCs w:val="24"/>
          <w:lang w:val="en-MY"/>
        </w:rPr>
        <w:t>Hawa</w:t>
      </w:r>
      <w:proofErr w:type="spellEnd"/>
      <w:r w:rsidRPr="002436E9">
        <w:rPr>
          <w:rFonts w:ascii="Times New Roman" w:hAnsi="Times New Roman"/>
          <w:sz w:val="24"/>
          <w:szCs w:val="24"/>
          <w:lang w:val="en-MY"/>
        </w:rPr>
        <w:t xml:space="preserve">, K., </w:t>
      </w:r>
      <w:proofErr w:type="spellStart"/>
      <w:r w:rsidRPr="002436E9">
        <w:rPr>
          <w:rFonts w:ascii="Times New Roman" w:hAnsi="Times New Roman"/>
          <w:sz w:val="24"/>
          <w:szCs w:val="24"/>
          <w:lang w:val="en-MY"/>
        </w:rPr>
        <w:t>Ra</w:t>
      </w:r>
      <w:r w:rsidR="00D14303">
        <w:rPr>
          <w:rFonts w:ascii="Times New Roman" w:hAnsi="Times New Roman"/>
          <w:sz w:val="24"/>
          <w:szCs w:val="24"/>
          <w:lang w:val="en-MY"/>
        </w:rPr>
        <w:t>ihan</w:t>
      </w:r>
      <w:proofErr w:type="spellEnd"/>
      <w:r w:rsidR="00D14303">
        <w:rPr>
          <w:rFonts w:ascii="Times New Roman" w:hAnsi="Times New Roman"/>
          <w:sz w:val="24"/>
          <w:szCs w:val="24"/>
          <w:lang w:val="en-MY"/>
        </w:rPr>
        <w:t>, M.</w:t>
      </w:r>
      <w:r w:rsidR="00173AB2" w:rsidRPr="002436E9">
        <w:rPr>
          <w:rFonts w:ascii="Times New Roman" w:hAnsi="Times New Roman"/>
          <w:sz w:val="24"/>
          <w:szCs w:val="24"/>
          <w:lang w:val="en-MY"/>
        </w:rPr>
        <w:t xml:space="preserve">G., </w:t>
      </w:r>
      <w:proofErr w:type="spellStart"/>
      <w:r w:rsidR="00173AB2" w:rsidRPr="002436E9">
        <w:rPr>
          <w:rFonts w:ascii="Times New Roman" w:hAnsi="Times New Roman"/>
          <w:sz w:val="24"/>
          <w:szCs w:val="24"/>
          <w:lang w:val="en-MY"/>
        </w:rPr>
        <w:t>Paramasivan</w:t>
      </w:r>
      <w:proofErr w:type="spellEnd"/>
      <w:r w:rsidR="00173AB2" w:rsidRPr="002436E9">
        <w:rPr>
          <w:rFonts w:ascii="Times New Roman" w:hAnsi="Times New Roman"/>
          <w:sz w:val="24"/>
          <w:szCs w:val="24"/>
          <w:lang w:val="en-MY"/>
        </w:rPr>
        <w:t xml:space="preserve"> S.</w:t>
      </w:r>
      <w:r w:rsidR="00E7065E" w:rsidRPr="002436E9">
        <w:rPr>
          <w:rFonts w:ascii="Times New Roman" w:hAnsi="Times New Roman"/>
          <w:sz w:val="24"/>
          <w:szCs w:val="24"/>
          <w:lang w:val="en-MY"/>
        </w:rPr>
        <w:t>,</w:t>
      </w:r>
      <w:r w:rsidR="00173AB2" w:rsidRPr="002436E9">
        <w:rPr>
          <w:rFonts w:ascii="Times New Roman" w:hAnsi="Times New Roman"/>
          <w:sz w:val="24"/>
          <w:szCs w:val="24"/>
          <w:lang w:val="en-MY"/>
        </w:rPr>
        <w:t xml:space="preserve"> &amp;</w:t>
      </w:r>
      <w:r w:rsidRPr="002436E9">
        <w:rPr>
          <w:rFonts w:ascii="Times New Roman" w:hAnsi="Times New Roman"/>
          <w:sz w:val="24"/>
          <w:szCs w:val="24"/>
          <w:lang w:val="en-MY"/>
        </w:rPr>
        <w:t xml:space="preserve"> De Mello, G.J.P. (2014). </w:t>
      </w:r>
      <w:proofErr w:type="gramStart"/>
      <w:r w:rsidRPr="002436E9">
        <w:rPr>
          <w:rFonts w:ascii="Times New Roman" w:hAnsi="Times New Roman"/>
          <w:sz w:val="24"/>
          <w:szCs w:val="24"/>
          <w:lang w:val="en-MY"/>
        </w:rPr>
        <w:t>An overview of demand of life insurance in Malaysia.</w:t>
      </w:r>
      <w:proofErr w:type="gramEnd"/>
      <w:r w:rsidRPr="002436E9">
        <w:rPr>
          <w:rFonts w:ascii="Times New Roman" w:hAnsi="Times New Roman"/>
          <w:sz w:val="24"/>
          <w:szCs w:val="24"/>
          <w:lang w:val="en-MY"/>
        </w:rPr>
        <w:t xml:space="preserve"> </w:t>
      </w:r>
      <w:r w:rsidRPr="002436E9">
        <w:rPr>
          <w:rFonts w:ascii="Times New Roman" w:hAnsi="Times New Roman"/>
          <w:i/>
          <w:sz w:val="24"/>
          <w:szCs w:val="24"/>
          <w:lang w:val="en-MY"/>
        </w:rPr>
        <w:t>International Journal of Humanities and Social Science</w:t>
      </w:r>
      <w:r w:rsidR="00173AB2" w:rsidRPr="002436E9">
        <w:rPr>
          <w:rFonts w:ascii="Times New Roman" w:hAnsi="Times New Roman"/>
          <w:i/>
          <w:sz w:val="24"/>
          <w:szCs w:val="24"/>
          <w:lang w:val="en-MY"/>
        </w:rPr>
        <w:t>,</w:t>
      </w:r>
      <w:r w:rsidR="00E7065E" w:rsidRPr="002436E9">
        <w:rPr>
          <w:rFonts w:ascii="Times New Roman" w:hAnsi="Times New Roman"/>
          <w:i/>
          <w:sz w:val="24"/>
          <w:szCs w:val="24"/>
          <w:lang w:val="en-MY"/>
        </w:rPr>
        <w:t xml:space="preserve"> </w:t>
      </w:r>
      <w:r w:rsidRPr="002436E9">
        <w:rPr>
          <w:rFonts w:ascii="Times New Roman" w:hAnsi="Times New Roman"/>
          <w:i/>
          <w:sz w:val="24"/>
          <w:szCs w:val="24"/>
          <w:lang w:val="en-MY"/>
        </w:rPr>
        <w:t>4</w:t>
      </w:r>
      <w:r w:rsidRPr="002436E9">
        <w:rPr>
          <w:rFonts w:ascii="Times New Roman" w:hAnsi="Times New Roman"/>
          <w:sz w:val="24"/>
          <w:szCs w:val="24"/>
          <w:lang w:val="en-MY"/>
        </w:rPr>
        <w:t>(4)</w:t>
      </w:r>
      <w:r w:rsidR="00173AB2" w:rsidRPr="002436E9">
        <w:rPr>
          <w:rFonts w:ascii="Times New Roman" w:hAnsi="Times New Roman"/>
          <w:sz w:val="24"/>
          <w:szCs w:val="24"/>
          <w:lang w:val="en-MY"/>
        </w:rPr>
        <w:t>,</w:t>
      </w:r>
      <w:r w:rsidRPr="002436E9">
        <w:rPr>
          <w:rFonts w:ascii="Times New Roman" w:hAnsi="Times New Roman"/>
          <w:sz w:val="24"/>
          <w:szCs w:val="24"/>
          <w:lang w:val="en-MY"/>
        </w:rPr>
        <w:t xml:space="preserve"> 244-250</w:t>
      </w:r>
      <w:r w:rsidR="00E7065E" w:rsidRPr="002436E9">
        <w:rPr>
          <w:rFonts w:ascii="Times New Roman" w:hAnsi="Times New Roman"/>
          <w:sz w:val="24"/>
          <w:szCs w:val="24"/>
          <w:lang w:val="en-MY"/>
        </w:rPr>
        <w:t>.</w:t>
      </w:r>
    </w:p>
    <w:p w:rsidR="00B328AF" w:rsidRPr="002436E9" w:rsidRDefault="00D14303" w:rsidP="00BE5E20">
      <w:pPr>
        <w:spacing w:after="0" w:line="240" w:lineRule="auto"/>
        <w:ind w:left="360" w:hanging="360"/>
        <w:jc w:val="both"/>
        <w:rPr>
          <w:rFonts w:ascii="Times New Roman" w:hAnsi="Times New Roman"/>
          <w:noProof/>
          <w:sz w:val="24"/>
          <w:szCs w:val="24"/>
          <w:lang w:val="en-MY"/>
        </w:rPr>
      </w:pPr>
      <w:proofErr w:type="gramStart"/>
      <w:r>
        <w:rPr>
          <w:rFonts w:ascii="Times New Roman" w:hAnsi="Times New Roman"/>
          <w:sz w:val="24"/>
          <w:szCs w:val="24"/>
          <w:shd w:val="clear" w:color="auto" w:fill="FFFFFF"/>
        </w:rPr>
        <w:t>Mohamad, A.</w:t>
      </w:r>
      <w:r w:rsidR="00173AB2" w:rsidRPr="002436E9">
        <w:rPr>
          <w:rFonts w:ascii="Times New Roman" w:hAnsi="Times New Roman"/>
          <w:sz w:val="24"/>
          <w:szCs w:val="24"/>
          <w:shd w:val="clear" w:color="auto" w:fill="FFFFFF"/>
        </w:rPr>
        <w:t>H.</w:t>
      </w:r>
      <w:r w:rsidR="00897650" w:rsidRPr="002436E9">
        <w:rPr>
          <w:rFonts w:ascii="Times New Roman" w:hAnsi="Times New Roman"/>
          <w:sz w:val="24"/>
          <w:szCs w:val="24"/>
          <w:shd w:val="clear" w:color="auto" w:fill="FFFFFF"/>
        </w:rPr>
        <w:t>,</w:t>
      </w:r>
      <w:r w:rsidR="00173AB2" w:rsidRPr="002436E9">
        <w:rPr>
          <w:rFonts w:ascii="Times New Roman" w:hAnsi="Times New Roman"/>
          <w:sz w:val="24"/>
          <w:szCs w:val="24"/>
          <w:shd w:val="clear" w:color="auto" w:fill="FFFFFF"/>
        </w:rPr>
        <w:t xml:space="preserve"> &amp;</w:t>
      </w:r>
      <w:r w:rsidR="00B328AF" w:rsidRPr="002436E9">
        <w:rPr>
          <w:rFonts w:ascii="Times New Roman" w:hAnsi="Times New Roman"/>
          <w:sz w:val="24"/>
          <w:szCs w:val="24"/>
          <w:shd w:val="clear" w:color="auto" w:fill="FFFFFF"/>
        </w:rPr>
        <w:t xml:space="preserve"> </w:t>
      </w:r>
      <w:proofErr w:type="spellStart"/>
      <w:r w:rsidR="00B328AF" w:rsidRPr="002436E9">
        <w:rPr>
          <w:rFonts w:ascii="Times New Roman" w:hAnsi="Times New Roman"/>
          <w:sz w:val="24"/>
          <w:szCs w:val="24"/>
          <w:shd w:val="clear" w:color="auto" w:fill="FFFFFF"/>
        </w:rPr>
        <w:t>Mohd</w:t>
      </w:r>
      <w:proofErr w:type="spellEnd"/>
      <w:r w:rsidR="00B328AF" w:rsidRPr="002436E9">
        <w:rPr>
          <w:rFonts w:ascii="Times New Roman" w:hAnsi="Times New Roman"/>
          <w:sz w:val="24"/>
          <w:szCs w:val="24"/>
          <w:shd w:val="clear" w:color="auto" w:fill="FFFFFF"/>
        </w:rPr>
        <w:t xml:space="preserve"> </w:t>
      </w:r>
      <w:proofErr w:type="spellStart"/>
      <w:r w:rsidR="00B328AF" w:rsidRPr="002436E9">
        <w:rPr>
          <w:rFonts w:ascii="Times New Roman" w:hAnsi="Times New Roman"/>
          <w:sz w:val="24"/>
          <w:szCs w:val="24"/>
          <w:shd w:val="clear" w:color="auto" w:fill="FFFFFF"/>
        </w:rPr>
        <w:t>Sukki</w:t>
      </w:r>
      <w:proofErr w:type="spellEnd"/>
      <w:r w:rsidR="00B328AF" w:rsidRPr="002436E9">
        <w:rPr>
          <w:rFonts w:ascii="Times New Roman" w:hAnsi="Times New Roman"/>
          <w:sz w:val="24"/>
          <w:szCs w:val="24"/>
          <w:shd w:val="clear" w:color="auto" w:fill="FFFFFF"/>
        </w:rPr>
        <w:t>, O. (2009).</w:t>
      </w:r>
      <w:proofErr w:type="gramEnd"/>
      <w:r w:rsidR="00B328AF" w:rsidRPr="002436E9">
        <w:rPr>
          <w:rFonts w:ascii="Times New Roman" w:hAnsi="Times New Roman"/>
          <w:sz w:val="24"/>
          <w:szCs w:val="24"/>
          <w:shd w:val="clear" w:color="auto" w:fill="FFFFFF"/>
        </w:rPr>
        <w:t xml:space="preserve"> </w:t>
      </w:r>
      <w:proofErr w:type="gramStart"/>
      <w:r w:rsidR="00B328AF" w:rsidRPr="002436E9">
        <w:rPr>
          <w:rFonts w:ascii="Times New Roman" w:hAnsi="Times New Roman"/>
          <w:sz w:val="24"/>
          <w:szCs w:val="24"/>
          <w:shd w:val="clear" w:color="auto" w:fill="FFFFFF"/>
        </w:rPr>
        <w:t xml:space="preserve">A study on the level of knowledge and understanding among Muslims towards the concepts, Arabic and </w:t>
      </w:r>
      <w:proofErr w:type="spellStart"/>
      <w:r w:rsidR="00B328AF" w:rsidRPr="002436E9">
        <w:rPr>
          <w:rFonts w:ascii="Times New Roman" w:hAnsi="Times New Roman"/>
          <w:sz w:val="24"/>
          <w:szCs w:val="24"/>
          <w:shd w:val="clear" w:color="auto" w:fill="FFFFFF"/>
        </w:rPr>
        <w:t>Shariah</w:t>
      </w:r>
      <w:proofErr w:type="spellEnd"/>
      <w:r w:rsidR="00B328AF" w:rsidRPr="002436E9">
        <w:rPr>
          <w:rFonts w:ascii="Times New Roman" w:hAnsi="Times New Roman"/>
          <w:sz w:val="24"/>
          <w:szCs w:val="24"/>
          <w:shd w:val="clear" w:color="auto" w:fill="FFFFFF"/>
        </w:rPr>
        <w:t xml:space="preserve"> terms in Islamic Insurance (</w:t>
      </w:r>
      <w:proofErr w:type="spellStart"/>
      <w:r w:rsidR="00B328AF" w:rsidRPr="002436E9">
        <w:rPr>
          <w:rFonts w:ascii="Times New Roman" w:hAnsi="Times New Roman"/>
          <w:sz w:val="24"/>
          <w:szCs w:val="24"/>
          <w:shd w:val="clear" w:color="auto" w:fill="FFFFFF"/>
        </w:rPr>
        <w:t>takaful</w:t>
      </w:r>
      <w:proofErr w:type="spellEnd"/>
      <w:r w:rsidR="00B328AF" w:rsidRPr="002436E9">
        <w:rPr>
          <w:rFonts w:ascii="Times New Roman" w:hAnsi="Times New Roman"/>
          <w:sz w:val="24"/>
          <w:szCs w:val="24"/>
          <w:shd w:val="clear" w:color="auto" w:fill="FFFFFF"/>
        </w:rPr>
        <w:t>).</w:t>
      </w:r>
      <w:proofErr w:type="gramEnd"/>
      <w:r w:rsidR="00B328AF" w:rsidRPr="002436E9">
        <w:rPr>
          <w:rFonts w:ascii="Times New Roman" w:hAnsi="Times New Roman"/>
          <w:sz w:val="24"/>
          <w:szCs w:val="24"/>
          <w:shd w:val="clear" w:color="auto" w:fill="FFFFFF"/>
        </w:rPr>
        <w:t> </w:t>
      </w:r>
      <w:r w:rsidR="00B328AF" w:rsidRPr="002436E9">
        <w:rPr>
          <w:rFonts w:ascii="Times New Roman" w:hAnsi="Times New Roman"/>
          <w:i/>
          <w:iCs/>
          <w:sz w:val="24"/>
          <w:szCs w:val="24"/>
          <w:shd w:val="clear" w:color="auto" w:fill="FFFFFF"/>
        </w:rPr>
        <w:t>European Journal of social sciences</w:t>
      </w:r>
      <w:r w:rsidR="00173AB2" w:rsidRPr="002436E9">
        <w:rPr>
          <w:rFonts w:ascii="Times New Roman" w:hAnsi="Times New Roman"/>
          <w:i/>
          <w:iCs/>
          <w:sz w:val="24"/>
          <w:szCs w:val="24"/>
          <w:shd w:val="clear" w:color="auto" w:fill="FFFFFF"/>
        </w:rPr>
        <w:t>,</w:t>
      </w:r>
      <w:r w:rsidR="00B328AF" w:rsidRPr="002436E9">
        <w:rPr>
          <w:rFonts w:ascii="Times New Roman" w:hAnsi="Times New Roman"/>
          <w:sz w:val="24"/>
          <w:szCs w:val="24"/>
          <w:shd w:val="clear" w:color="auto" w:fill="FFFFFF"/>
        </w:rPr>
        <w:t xml:space="preserve"> </w:t>
      </w:r>
      <w:r w:rsidR="00B328AF" w:rsidRPr="002436E9">
        <w:rPr>
          <w:rFonts w:ascii="Times New Roman" w:hAnsi="Times New Roman"/>
          <w:i/>
          <w:iCs/>
          <w:sz w:val="24"/>
          <w:szCs w:val="24"/>
          <w:shd w:val="clear" w:color="auto" w:fill="FFFFFF"/>
        </w:rPr>
        <w:t>10</w:t>
      </w:r>
      <w:r w:rsidR="00B328AF" w:rsidRPr="002436E9">
        <w:rPr>
          <w:rFonts w:ascii="Times New Roman" w:hAnsi="Times New Roman"/>
          <w:sz w:val="24"/>
          <w:szCs w:val="24"/>
          <w:shd w:val="clear" w:color="auto" w:fill="FFFFFF"/>
        </w:rPr>
        <w:t>(3)</w:t>
      </w:r>
      <w:r w:rsidR="00173AB2" w:rsidRPr="002436E9">
        <w:rPr>
          <w:rFonts w:ascii="Times New Roman" w:hAnsi="Times New Roman"/>
          <w:sz w:val="24"/>
          <w:szCs w:val="24"/>
          <w:shd w:val="clear" w:color="auto" w:fill="FFFFFF"/>
        </w:rPr>
        <w:t>,</w:t>
      </w:r>
      <w:r w:rsidR="00B328AF" w:rsidRPr="002436E9">
        <w:rPr>
          <w:rFonts w:ascii="Times New Roman" w:hAnsi="Times New Roman"/>
          <w:sz w:val="24"/>
          <w:szCs w:val="24"/>
          <w:shd w:val="clear" w:color="auto" w:fill="FFFFFF"/>
        </w:rPr>
        <w:t xml:space="preserve"> 468-478</w:t>
      </w:r>
      <w:r w:rsidR="00E7065E" w:rsidRPr="002436E9">
        <w:rPr>
          <w:rFonts w:ascii="Times New Roman" w:hAnsi="Times New Roman"/>
          <w:sz w:val="24"/>
          <w:szCs w:val="24"/>
          <w:shd w:val="clear" w:color="auto" w:fill="FFFFFF"/>
        </w:rPr>
        <w:t>.</w:t>
      </w:r>
      <w:r w:rsidR="00B328AF" w:rsidRPr="002436E9">
        <w:rPr>
          <w:rFonts w:ascii="Times New Roman" w:hAnsi="Times New Roman"/>
          <w:noProof/>
          <w:sz w:val="24"/>
          <w:szCs w:val="24"/>
          <w:lang w:val="en-MY"/>
        </w:rPr>
        <w:t xml:space="preserve"> </w:t>
      </w:r>
    </w:p>
    <w:p w:rsidR="00084BD9" w:rsidRPr="002436E9" w:rsidRDefault="00084BD9" w:rsidP="00BE5E20">
      <w:pPr>
        <w:spacing w:after="0" w:line="240" w:lineRule="auto"/>
        <w:ind w:left="360" w:hanging="360"/>
        <w:jc w:val="both"/>
        <w:rPr>
          <w:rFonts w:ascii="Times New Roman" w:hAnsi="Times New Roman"/>
          <w:sz w:val="24"/>
          <w:szCs w:val="24"/>
          <w:lang w:val="en-MY"/>
        </w:rPr>
      </w:pPr>
      <w:proofErr w:type="spellStart"/>
      <w:r w:rsidRPr="002436E9">
        <w:rPr>
          <w:rFonts w:ascii="Times New Roman" w:hAnsi="Times New Roman"/>
          <w:sz w:val="24"/>
          <w:szCs w:val="24"/>
          <w:lang w:val="en-MY"/>
        </w:rPr>
        <w:t>Mohd</w:t>
      </w:r>
      <w:proofErr w:type="spellEnd"/>
      <w:r w:rsidRPr="002436E9">
        <w:rPr>
          <w:rFonts w:ascii="Times New Roman" w:hAnsi="Times New Roman"/>
          <w:sz w:val="24"/>
          <w:szCs w:val="24"/>
          <w:lang w:val="en-MY"/>
        </w:rPr>
        <w:t xml:space="preserve"> </w:t>
      </w:r>
      <w:proofErr w:type="spellStart"/>
      <w:r w:rsidRPr="002436E9">
        <w:rPr>
          <w:rFonts w:ascii="Times New Roman" w:hAnsi="Times New Roman"/>
          <w:sz w:val="24"/>
          <w:szCs w:val="24"/>
          <w:lang w:val="en-MY"/>
        </w:rPr>
        <w:t>Daud</w:t>
      </w:r>
      <w:proofErr w:type="spellEnd"/>
      <w:r w:rsidRPr="002436E9">
        <w:rPr>
          <w:rFonts w:ascii="Times New Roman" w:hAnsi="Times New Roman"/>
          <w:sz w:val="24"/>
          <w:szCs w:val="24"/>
          <w:lang w:val="en-MY"/>
        </w:rPr>
        <w:t xml:space="preserve">, B. (2009). </w:t>
      </w:r>
      <w:proofErr w:type="spellStart"/>
      <w:proofErr w:type="gramStart"/>
      <w:r w:rsidRPr="002436E9">
        <w:rPr>
          <w:rFonts w:ascii="Times New Roman" w:hAnsi="Times New Roman"/>
          <w:i/>
          <w:iCs/>
          <w:sz w:val="24"/>
          <w:szCs w:val="24"/>
          <w:lang w:val="en-MY"/>
        </w:rPr>
        <w:t>Shari'ah</w:t>
      </w:r>
      <w:proofErr w:type="spellEnd"/>
      <w:r w:rsidRPr="002436E9">
        <w:rPr>
          <w:rFonts w:ascii="Times New Roman" w:hAnsi="Times New Roman"/>
          <w:i/>
          <w:iCs/>
          <w:sz w:val="24"/>
          <w:szCs w:val="24"/>
          <w:lang w:val="en-MY"/>
        </w:rPr>
        <w:t xml:space="preserve"> Principles Governing Takaful Models.</w:t>
      </w:r>
      <w:proofErr w:type="gramEnd"/>
      <w:r w:rsidRPr="002436E9">
        <w:rPr>
          <w:rFonts w:ascii="Times New Roman" w:hAnsi="Times New Roman"/>
          <w:i/>
          <w:iCs/>
          <w:sz w:val="24"/>
          <w:szCs w:val="24"/>
          <w:lang w:val="en-MY"/>
        </w:rPr>
        <w:t xml:space="preserve"> Takaful Islamic Insurance: Concepts and Regulatory Issues</w:t>
      </w:r>
      <w:r w:rsidR="00897650" w:rsidRPr="002436E9">
        <w:rPr>
          <w:rFonts w:ascii="Times New Roman" w:hAnsi="Times New Roman"/>
          <w:sz w:val="24"/>
          <w:szCs w:val="24"/>
          <w:lang w:val="en-MY"/>
        </w:rPr>
        <w:t xml:space="preserve"> (pp. 31-46). </w:t>
      </w:r>
      <w:proofErr w:type="gramStart"/>
      <w:r w:rsidRPr="002436E9">
        <w:rPr>
          <w:rFonts w:ascii="Times New Roman" w:hAnsi="Times New Roman"/>
          <w:sz w:val="24"/>
          <w:szCs w:val="24"/>
          <w:lang w:val="en-MY"/>
        </w:rPr>
        <w:t>Singapore</w:t>
      </w:r>
      <w:r w:rsidR="00897650" w:rsidRPr="002436E9">
        <w:rPr>
          <w:rFonts w:ascii="Times New Roman" w:hAnsi="Times New Roman"/>
          <w:sz w:val="24"/>
          <w:szCs w:val="24"/>
          <w:lang w:val="en-MY"/>
        </w:rPr>
        <w:t xml:space="preserve">, </w:t>
      </w:r>
      <w:r w:rsidRPr="002436E9">
        <w:rPr>
          <w:rFonts w:ascii="Times New Roman" w:hAnsi="Times New Roman"/>
          <w:sz w:val="24"/>
          <w:szCs w:val="24"/>
          <w:lang w:val="en-MY"/>
        </w:rPr>
        <w:t>John Wiley &amp; Sons</w:t>
      </w:r>
      <w:r w:rsidR="00897650" w:rsidRPr="002436E9">
        <w:rPr>
          <w:rFonts w:ascii="Times New Roman" w:hAnsi="Times New Roman"/>
          <w:sz w:val="24"/>
          <w:szCs w:val="24"/>
          <w:lang w:val="en-MY"/>
        </w:rPr>
        <w:t>.</w:t>
      </w:r>
      <w:proofErr w:type="gramEnd"/>
      <w:r w:rsidRPr="002436E9">
        <w:rPr>
          <w:rFonts w:ascii="Times New Roman" w:hAnsi="Times New Roman"/>
          <w:sz w:val="24"/>
          <w:szCs w:val="24"/>
          <w:lang w:val="en-MY"/>
        </w:rPr>
        <w:t xml:space="preserve"> </w:t>
      </w:r>
    </w:p>
    <w:p w:rsidR="00ED3764" w:rsidRPr="002436E9" w:rsidRDefault="00B328AF" w:rsidP="00BE5E20">
      <w:pPr>
        <w:spacing w:after="0" w:line="240" w:lineRule="auto"/>
        <w:ind w:left="360" w:hanging="360"/>
        <w:jc w:val="both"/>
        <w:rPr>
          <w:rFonts w:ascii="Times New Roman" w:hAnsi="Times New Roman"/>
          <w:sz w:val="24"/>
          <w:szCs w:val="24"/>
          <w:lang w:val="en-MY"/>
        </w:rPr>
      </w:pPr>
      <w:proofErr w:type="spellStart"/>
      <w:r w:rsidRPr="002436E9">
        <w:rPr>
          <w:rFonts w:ascii="Times New Roman" w:hAnsi="Times New Roman"/>
          <w:sz w:val="24"/>
          <w:szCs w:val="24"/>
          <w:lang w:val="en-MY"/>
        </w:rPr>
        <w:lastRenderedPageBreak/>
        <w:t>Morshidi</w:t>
      </w:r>
      <w:proofErr w:type="spellEnd"/>
      <w:r w:rsidRPr="002436E9">
        <w:rPr>
          <w:rFonts w:ascii="Times New Roman" w:hAnsi="Times New Roman"/>
          <w:sz w:val="24"/>
          <w:szCs w:val="24"/>
          <w:lang w:val="en-MY"/>
        </w:rPr>
        <w:t xml:space="preserve"> </w:t>
      </w:r>
      <w:proofErr w:type="spellStart"/>
      <w:r w:rsidRPr="002436E9">
        <w:rPr>
          <w:rFonts w:ascii="Times New Roman" w:hAnsi="Times New Roman"/>
          <w:sz w:val="24"/>
          <w:szCs w:val="24"/>
          <w:lang w:val="en-MY"/>
        </w:rPr>
        <w:t>Sirat</w:t>
      </w:r>
      <w:proofErr w:type="spellEnd"/>
      <w:r w:rsidRPr="002436E9">
        <w:rPr>
          <w:rFonts w:ascii="Times New Roman" w:hAnsi="Times New Roman"/>
          <w:sz w:val="24"/>
          <w:szCs w:val="24"/>
          <w:lang w:val="en-MY"/>
        </w:rPr>
        <w:t xml:space="preserve">. </w:t>
      </w:r>
      <w:proofErr w:type="gramStart"/>
      <w:r w:rsidRPr="002436E9">
        <w:rPr>
          <w:rFonts w:ascii="Times New Roman" w:hAnsi="Times New Roman"/>
          <w:sz w:val="24"/>
          <w:szCs w:val="24"/>
          <w:lang w:val="en-MY"/>
        </w:rPr>
        <w:t>(2018). Education costs rising.</w:t>
      </w:r>
      <w:proofErr w:type="gramEnd"/>
      <w:r w:rsidR="00ED3764" w:rsidRPr="002436E9">
        <w:rPr>
          <w:rFonts w:ascii="Times New Roman" w:hAnsi="Times New Roman"/>
          <w:sz w:val="24"/>
          <w:szCs w:val="24"/>
          <w:lang w:val="en-MY"/>
        </w:rPr>
        <w:t xml:space="preserve"> Retrieved from </w:t>
      </w:r>
      <w:hyperlink r:id="rId12" w:history="1">
        <w:r w:rsidR="00ED3764" w:rsidRPr="002436E9">
          <w:rPr>
            <w:rStyle w:val="Hyperlink"/>
            <w:rFonts w:ascii="Times New Roman" w:hAnsi="Times New Roman"/>
            <w:color w:val="auto"/>
            <w:sz w:val="24"/>
            <w:szCs w:val="24"/>
            <w:u w:val="none"/>
            <w:lang w:val="en-MY"/>
          </w:rPr>
          <w:t>https://www.nst.com.my/opinion/letters/2018/07/391507/education-costs-rising</w:t>
        </w:r>
      </w:hyperlink>
    </w:p>
    <w:p w:rsidR="00F711AE" w:rsidRPr="002436E9" w:rsidRDefault="00F711AE" w:rsidP="00BE5E20">
      <w:pPr>
        <w:spacing w:after="0" w:line="240" w:lineRule="auto"/>
        <w:ind w:left="360" w:hanging="360"/>
        <w:jc w:val="both"/>
        <w:rPr>
          <w:rFonts w:ascii="Times New Roman" w:hAnsi="Times New Roman"/>
          <w:sz w:val="24"/>
          <w:szCs w:val="24"/>
          <w:lang w:val="en-MY"/>
        </w:rPr>
      </w:pPr>
      <w:r w:rsidRPr="002436E9">
        <w:rPr>
          <w:rFonts w:ascii="Times New Roman" w:hAnsi="Times New Roman"/>
          <w:noProof/>
          <w:sz w:val="24"/>
          <w:szCs w:val="24"/>
          <w:lang w:val="en-MY"/>
        </w:rPr>
        <w:t xml:space="preserve">MStar. (2014). </w:t>
      </w:r>
      <w:r w:rsidRPr="002436E9">
        <w:rPr>
          <w:rFonts w:ascii="Times New Roman" w:hAnsi="Times New Roman"/>
          <w:iCs/>
          <w:noProof/>
          <w:sz w:val="24"/>
          <w:szCs w:val="24"/>
          <w:lang w:val="en-MY"/>
        </w:rPr>
        <w:t xml:space="preserve">Industri Insurans Malaysia Dijangka Kukuh Tahun Depan. Retrieved from </w:t>
      </w:r>
      <w:hyperlink r:id="rId13" w:history="1">
        <w:r w:rsidR="00ED3764" w:rsidRPr="002436E9">
          <w:rPr>
            <w:rStyle w:val="Hyperlink"/>
            <w:rFonts w:ascii="Times New Roman" w:hAnsi="Times New Roman"/>
            <w:iCs/>
            <w:noProof/>
            <w:color w:val="auto"/>
            <w:sz w:val="24"/>
            <w:szCs w:val="24"/>
            <w:u w:val="none"/>
            <w:lang w:val="en-MY"/>
          </w:rPr>
          <w:t>https://www.mstar.com.my/niaga/2014/12/26/industri-insurans</w:t>
        </w:r>
      </w:hyperlink>
    </w:p>
    <w:p w:rsidR="00E14B18" w:rsidRPr="002436E9" w:rsidRDefault="00E14B18" w:rsidP="00BE5E20">
      <w:pPr>
        <w:spacing w:after="0" w:line="240" w:lineRule="auto"/>
        <w:ind w:left="360" w:hanging="360"/>
        <w:jc w:val="both"/>
        <w:rPr>
          <w:rFonts w:ascii="Times New Roman" w:hAnsi="Times New Roman"/>
          <w:noProof/>
          <w:sz w:val="24"/>
          <w:szCs w:val="24"/>
          <w:lang w:val="en-MY"/>
        </w:rPr>
      </w:pPr>
      <w:r w:rsidRPr="002436E9">
        <w:rPr>
          <w:rFonts w:ascii="Times New Roman" w:hAnsi="Times New Roman"/>
          <w:noProof/>
          <w:sz w:val="24"/>
          <w:szCs w:val="24"/>
          <w:lang w:val="en-MY"/>
        </w:rPr>
        <w:t xml:space="preserve">Norashikin, I., Alhabshi, </w:t>
      </w:r>
      <w:r w:rsidR="000D7272">
        <w:rPr>
          <w:rFonts w:ascii="Times New Roman" w:hAnsi="Times New Roman"/>
          <w:noProof/>
          <w:sz w:val="24"/>
          <w:szCs w:val="24"/>
          <w:lang w:val="en-MY"/>
        </w:rPr>
        <w:t>S.O., &amp; Bacha, O.</w:t>
      </w:r>
      <w:r w:rsidRPr="002436E9">
        <w:rPr>
          <w:rFonts w:ascii="Times New Roman" w:hAnsi="Times New Roman"/>
          <w:noProof/>
          <w:sz w:val="24"/>
          <w:szCs w:val="24"/>
          <w:lang w:val="en-MY"/>
        </w:rPr>
        <w:t>I. (2012). An analysis of cost efficiency in the Malaysian takaful industry.</w:t>
      </w:r>
      <w:r w:rsidR="000D7272">
        <w:rPr>
          <w:rFonts w:ascii="Times New Roman" w:hAnsi="Times New Roman"/>
          <w:noProof/>
          <w:sz w:val="24"/>
          <w:szCs w:val="24"/>
          <w:lang w:val="en-MY"/>
        </w:rPr>
        <w:t xml:space="preserve"> </w:t>
      </w:r>
      <w:r w:rsidR="000D7272" w:rsidRPr="000D7272">
        <w:rPr>
          <w:rFonts w:ascii="Times New Roman" w:hAnsi="Times New Roman"/>
          <w:i/>
          <w:noProof/>
          <w:sz w:val="24"/>
          <w:szCs w:val="24"/>
          <w:lang w:val="en-MY"/>
        </w:rPr>
        <w:t>Insurance and Takaful Journal</w:t>
      </w:r>
      <w:r w:rsidR="000D7272">
        <w:rPr>
          <w:rFonts w:ascii="Times New Roman" w:hAnsi="Times New Roman"/>
          <w:i/>
          <w:noProof/>
          <w:sz w:val="24"/>
          <w:szCs w:val="24"/>
          <w:lang w:val="en-MY"/>
        </w:rPr>
        <w:t>,2,</w:t>
      </w:r>
      <w:r w:rsidR="00736499">
        <w:rPr>
          <w:rFonts w:ascii="Times New Roman" w:hAnsi="Times New Roman"/>
          <w:i/>
          <w:noProof/>
          <w:sz w:val="24"/>
          <w:szCs w:val="24"/>
          <w:lang w:val="en-MY"/>
        </w:rPr>
        <w:t xml:space="preserve"> </w:t>
      </w:r>
      <w:r w:rsidR="00736499" w:rsidRPr="00736499">
        <w:rPr>
          <w:rFonts w:ascii="Times New Roman" w:hAnsi="Times New Roman"/>
          <w:noProof/>
          <w:sz w:val="24"/>
          <w:szCs w:val="24"/>
          <w:lang w:val="en-MY"/>
        </w:rPr>
        <w:t>5-13</w:t>
      </w:r>
      <w:r w:rsidR="00736499">
        <w:rPr>
          <w:rFonts w:ascii="Times New Roman" w:hAnsi="Times New Roman"/>
          <w:noProof/>
          <w:sz w:val="24"/>
          <w:szCs w:val="24"/>
          <w:lang w:val="en-MY"/>
        </w:rPr>
        <w:t>.</w:t>
      </w:r>
    </w:p>
    <w:p w:rsidR="00B328AF" w:rsidRPr="002436E9" w:rsidRDefault="00D14303" w:rsidP="00BE5E20">
      <w:pPr>
        <w:spacing w:after="0" w:line="240" w:lineRule="auto"/>
        <w:ind w:left="360" w:hanging="360"/>
        <w:jc w:val="both"/>
        <w:rPr>
          <w:rFonts w:ascii="Times New Roman" w:hAnsi="Times New Roman"/>
          <w:noProof/>
          <w:sz w:val="24"/>
          <w:szCs w:val="24"/>
          <w:lang w:val="en-MY"/>
        </w:rPr>
      </w:pPr>
      <w:r>
        <w:rPr>
          <w:rFonts w:ascii="Times New Roman" w:hAnsi="Times New Roman"/>
          <w:noProof/>
          <w:sz w:val="24"/>
          <w:szCs w:val="24"/>
          <w:lang w:val="en-MY"/>
        </w:rPr>
        <w:t>Noor Ashikin, M.</w:t>
      </w:r>
      <w:r w:rsidR="00173AB2" w:rsidRPr="002436E9">
        <w:rPr>
          <w:rFonts w:ascii="Times New Roman" w:hAnsi="Times New Roman"/>
          <w:noProof/>
          <w:sz w:val="24"/>
          <w:szCs w:val="24"/>
          <w:lang w:val="en-MY"/>
        </w:rPr>
        <w:t>R., &amp;</w:t>
      </w:r>
      <w:r>
        <w:rPr>
          <w:rFonts w:ascii="Times New Roman" w:hAnsi="Times New Roman"/>
          <w:noProof/>
          <w:sz w:val="24"/>
          <w:szCs w:val="24"/>
          <w:lang w:val="en-MY"/>
        </w:rPr>
        <w:t xml:space="preserve"> Zuriah, A.</w:t>
      </w:r>
      <w:r w:rsidR="00B328AF" w:rsidRPr="002436E9">
        <w:rPr>
          <w:rFonts w:ascii="Times New Roman" w:hAnsi="Times New Roman"/>
          <w:noProof/>
          <w:sz w:val="24"/>
          <w:szCs w:val="24"/>
          <w:lang w:val="en-MY"/>
        </w:rPr>
        <w:t xml:space="preserve">R. (2012). Financial Protection for the Poor in Malaysia: Role of Zakah and Micro-takaful. </w:t>
      </w:r>
      <w:r w:rsidR="00B328AF" w:rsidRPr="002436E9">
        <w:rPr>
          <w:rFonts w:ascii="Times New Roman" w:hAnsi="Times New Roman"/>
          <w:i/>
          <w:iCs/>
          <w:noProof/>
          <w:sz w:val="24"/>
          <w:szCs w:val="24"/>
          <w:lang w:val="en-MY"/>
        </w:rPr>
        <w:t>JKAU: Islamic Econ</w:t>
      </w:r>
      <w:r w:rsidR="00173AB2" w:rsidRPr="002436E9">
        <w:rPr>
          <w:rFonts w:ascii="Times New Roman" w:hAnsi="Times New Roman"/>
          <w:i/>
          <w:iCs/>
          <w:noProof/>
          <w:sz w:val="24"/>
          <w:szCs w:val="24"/>
          <w:lang w:val="en-MY"/>
        </w:rPr>
        <w:t>,</w:t>
      </w:r>
      <w:r w:rsidR="00B328AF" w:rsidRPr="002436E9">
        <w:rPr>
          <w:rFonts w:ascii="Times New Roman" w:hAnsi="Times New Roman"/>
          <w:i/>
          <w:iCs/>
          <w:noProof/>
          <w:sz w:val="24"/>
          <w:szCs w:val="24"/>
          <w:lang w:val="en-MY"/>
        </w:rPr>
        <w:t xml:space="preserve"> 25</w:t>
      </w:r>
      <w:r w:rsidR="00B328AF" w:rsidRPr="002436E9">
        <w:rPr>
          <w:rFonts w:ascii="Times New Roman" w:hAnsi="Times New Roman"/>
          <w:iCs/>
          <w:noProof/>
          <w:sz w:val="24"/>
          <w:szCs w:val="24"/>
          <w:lang w:val="en-MY"/>
        </w:rPr>
        <w:t>(1)</w:t>
      </w:r>
      <w:r w:rsidR="00173AB2" w:rsidRPr="002436E9">
        <w:rPr>
          <w:rFonts w:ascii="Times New Roman" w:hAnsi="Times New Roman"/>
          <w:iCs/>
          <w:noProof/>
          <w:sz w:val="24"/>
          <w:szCs w:val="24"/>
          <w:lang w:val="en-MY"/>
        </w:rPr>
        <w:t>,</w:t>
      </w:r>
      <w:r w:rsidR="00B328AF" w:rsidRPr="002436E9">
        <w:rPr>
          <w:rFonts w:ascii="Times New Roman" w:hAnsi="Times New Roman"/>
          <w:noProof/>
          <w:sz w:val="24"/>
          <w:szCs w:val="24"/>
          <w:lang w:val="en-MY"/>
        </w:rPr>
        <w:t xml:space="preserve"> 119-140</w:t>
      </w:r>
      <w:r w:rsidR="00F33C62" w:rsidRPr="002436E9">
        <w:rPr>
          <w:rFonts w:ascii="Times New Roman" w:hAnsi="Times New Roman"/>
          <w:noProof/>
          <w:sz w:val="24"/>
          <w:szCs w:val="24"/>
          <w:lang w:val="en-MY"/>
        </w:rPr>
        <w:t>.</w:t>
      </w:r>
    </w:p>
    <w:p w:rsidR="00B328AF" w:rsidRPr="002436E9" w:rsidRDefault="00173AB2" w:rsidP="00BE5E20">
      <w:pPr>
        <w:spacing w:after="0" w:line="240" w:lineRule="auto"/>
        <w:ind w:left="360" w:hanging="360"/>
        <w:jc w:val="both"/>
        <w:rPr>
          <w:rFonts w:ascii="Times New Roman" w:hAnsi="Times New Roman"/>
          <w:sz w:val="24"/>
          <w:szCs w:val="24"/>
          <w:lang w:val="en-MY"/>
        </w:rPr>
      </w:pPr>
      <w:proofErr w:type="spellStart"/>
      <w:proofErr w:type="gramStart"/>
      <w:r w:rsidRPr="002436E9">
        <w:rPr>
          <w:rFonts w:ascii="Times New Roman" w:hAnsi="Times New Roman"/>
          <w:sz w:val="24"/>
          <w:szCs w:val="24"/>
          <w:lang w:val="en-MY"/>
        </w:rPr>
        <w:t>Nurul</w:t>
      </w:r>
      <w:proofErr w:type="spellEnd"/>
      <w:r w:rsidRPr="002436E9">
        <w:rPr>
          <w:rFonts w:ascii="Times New Roman" w:hAnsi="Times New Roman"/>
          <w:sz w:val="24"/>
          <w:szCs w:val="24"/>
          <w:lang w:val="en-MY"/>
        </w:rPr>
        <w:t>,</w:t>
      </w:r>
      <w:r w:rsidR="00F33C62" w:rsidRPr="002436E9">
        <w:rPr>
          <w:rFonts w:ascii="Times New Roman" w:hAnsi="Times New Roman"/>
          <w:sz w:val="24"/>
          <w:szCs w:val="24"/>
          <w:lang w:val="en-MY"/>
        </w:rPr>
        <w:t xml:space="preserve"> </w:t>
      </w:r>
      <w:r w:rsidRPr="002436E9">
        <w:rPr>
          <w:rFonts w:ascii="Times New Roman" w:hAnsi="Times New Roman"/>
          <w:sz w:val="24"/>
          <w:szCs w:val="24"/>
          <w:lang w:val="en-MY"/>
        </w:rPr>
        <w:t>S.M.</w:t>
      </w:r>
      <w:r w:rsidR="00ED3764" w:rsidRPr="002436E9">
        <w:rPr>
          <w:rFonts w:ascii="Times New Roman" w:hAnsi="Times New Roman"/>
          <w:sz w:val="24"/>
          <w:szCs w:val="24"/>
          <w:lang w:val="en-MY"/>
        </w:rPr>
        <w:t>,</w:t>
      </w:r>
      <w:r w:rsidRPr="002436E9">
        <w:rPr>
          <w:rFonts w:ascii="Times New Roman" w:hAnsi="Times New Roman"/>
          <w:sz w:val="24"/>
          <w:szCs w:val="24"/>
          <w:lang w:val="en-MY"/>
        </w:rPr>
        <w:t xml:space="preserve"> &amp;</w:t>
      </w:r>
      <w:r w:rsidR="00D14303">
        <w:rPr>
          <w:rFonts w:ascii="Times New Roman" w:hAnsi="Times New Roman"/>
          <w:sz w:val="24"/>
          <w:szCs w:val="24"/>
          <w:lang w:val="en-MY"/>
        </w:rPr>
        <w:t xml:space="preserve"> Sarah, M.P.</w:t>
      </w:r>
      <w:r w:rsidR="00B328AF" w:rsidRPr="002436E9">
        <w:rPr>
          <w:rFonts w:ascii="Times New Roman" w:hAnsi="Times New Roman"/>
          <w:sz w:val="24"/>
          <w:szCs w:val="24"/>
          <w:lang w:val="en-MY"/>
        </w:rPr>
        <w:t>V. (2013).</w:t>
      </w:r>
      <w:proofErr w:type="gramEnd"/>
      <w:r w:rsidR="00B328AF" w:rsidRPr="002436E9">
        <w:rPr>
          <w:rFonts w:ascii="Times New Roman" w:hAnsi="Times New Roman"/>
          <w:sz w:val="24"/>
          <w:szCs w:val="24"/>
          <w:lang w:val="en-MY"/>
        </w:rPr>
        <w:t xml:space="preserve"> The determinants of life insurance demand: A focus on saving motives and financial literacy. </w:t>
      </w:r>
      <w:r w:rsidR="00B328AF" w:rsidRPr="002436E9">
        <w:rPr>
          <w:rFonts w:ascii="Times New Roman" w:hAnsi="Times New Roman"/>
          <w:i/>
          <w:sz w:val="24"/>
          <w:szCs w:val="24"/>
          <w:lang w:val="en-MY"/>
        </w:rPr>
        <w:t>Asian Social Science</w:t>
      </w:r>
      <w:r w:rsidRPr="002436E9">
        <w:rPr>
          <w:rFonts w:ascii="Times New Roman" w:hAnsi="Times New Roman"/>
          <w:i/>
          <w:sz w:val="24"/>
          <w:szCs w:val="24"/>
          <w:lang w:val="en-MY"/>
        </w:rPr>
        <w:t>,</w:t>
      </w:r>
      <w:r w:rsidR="00B328AF" w:rsidRPr="002436E9">
        <w:rPr>
          <w:rFonts w:ascii="Times New Roman" w:hAnsi="Times New Roman"/>
          <w:sz w:val="24"/>
          <w:szCs w:val="24"/>
          <w:lang w:val="en-MY"/>
        </w:rPr>
        <w:t xml:space="preserve"> </w:t>
      </w:r>
      <w:r w:rsidR="00B328AF" w:rsidRPr="002436E9">
        <w:rPr>
          <w:rFonts w:ascii="Times New Roman" w:hAnsi="Times New Roman"/>
          <w:i/>
          <w:sz w:val="24"/>
          <w:szCs w:val="24"/>
          <w:lang w:val="en-MY"/>
        </w:rPr>
        <w:t>9</w:t>
      </w:r>
      <w:r w:rsidR="00B328AF" w:rsidRPr="002436E9">
        <w:rPr>
          <w:rFonts w:ascii="Times New Roman" w:hAnsi="Times New Roman"/>
          <w:sz w:val="24"/>
          <w:szCs w:val="24"/>
          <w:lang w:val="en-MY"/>
        </w:rPr>
        <w:t>(5)</w:t>
      </w:r>
      <w:r w:rsidRPr="002436E9">
        <w:rPr>
          <w:rFonts w:ascii="Times New Roman" w:hAnsi="Times New Roman"/>
          <w:sz w:val="24"/>
          <w:szCs w:val="24"/>
          <w:lang w:val="en-MY"/>
        </w:rPr>
        <w:t>,</w:t>
      </w:r>
      <w:r w:rsidR="00B328AF" w:rsidRPr="002436E9">
        <w:rPr>
          <w:rFonts w:ascii="Times New Roman" w:hAnsi="Times New Roman"/>
          <w:sz w:val="24"/>
          <w:szCs w:val="24"/>
          <w:lang w:val="en-MY"/>
        </w:rPr>
        <w:t xml:space="preserve"> 274-284</w:t>
      </w:r>
      <w:r w:rsidR="00F33C62" w:rsidRPr="002436E9">
        <w:rPr>
          <w:rFonts w:ascii="Times New Roman" w:hAnsi="Times New Roman"/>
          <w:sz w:val="24"/>
          <w:szCs w:val="24"/>
          <w:lang w:val="en-MY"/>
        </w:rPr>
        <w:t>.</w:t>
      </w:r>
    </w:p>
    <w:p w:rsidR="00B328AF" w:rsidRPr="002436E9" w:rsidRDefault="00B328AF" w:rsidP="00BE5E20">
      <w:pPr>
        <w:spacing w:after="0" w:line="240" w:lineRule="auto"/>
        <w:ind w:left="360" w:hanging="360"/>
        <w:jc w:val="both"/>
        <w:rPr>
          <w:rFonts w:ascii="Times New Roman" w:hAnsi="Times New Roman"/>
          <w:noProof/>
          <w:sz w:val="24"/>
          <w:szCs w:val="24"/>
          <w:lang w:val="en-MY"/>
        </w:rPr>
      </w:pPr>
      <w:r w:rsidRPr="002436E9">
        <w:rPr>
          <w:rFonts w:ascii="Times New Roman" w:hAnsi="Times New Roman"/>
          <w:noProof/>
          <w:sz w:val="24"/>
          <w:szCs w:val="24"/>
          <w:lang w:val="en-MY"/>
        </w:rPr>
        <w:t>Puspa Liza,</w:t>
      </w:r>
      <w:r w:rsidR="00173AB2" w:rsidRPr="002436E9">
        <w:rPr>
          <w:rFonts w:ascii="Times New Roman" w:hAnsi="Times New Roman"/>
          <w:noProof/>
          <w:sz w:val="24"/>
          <w:szCs w:val="24"/>
          <w:lang w:val="en-MY"/>
        </w:rPr>
        <w:t xml:space="preserve"> G., Ismail, M., Mustafa, M.</w:t>
      </w:r>
      <w:r w:rsidR="009566A7" w:rsidRPr="002436E9">
        <w:rPr>
          <w:rFonts w:ascii="Times New Roman" w:hAnsi="Times New Roman"/>
          <w:noProof/>
          <w:sz w:val="24"/>
          <w:szCs w:val="24"/>
          <w:lang w:val="en-MY"/>
        </w:rPr>
        <w:t>,</w:t>
      </w:r>
      <w:r w:rsidR="00173AB2" w:rsidRPr="002436E9">
        <w:rPr>
          <w:rFonts w:ascii="Times New Roman" w:hAnsi="Times New Roman"/>
          <w:noProof/>
          <w:sz w:val="24"/>
          <w:szCs w:val="24"/>
          <w:lang w:val="en-MY"/>
        </w:rPr>
        <w:t xml:space="preserve"> &amp;</w:t>
      </w:r>
      <w:r w:rsidRPr="002436E9">
        <w:rPr>
          <w:rFonts w:ascii="Times New Roman" w:hAnsi="Times New Roman"/>
          <w:noProof/>
          <w:sz w:val="24"/>
          <w:szCs w:val="24"/>
          <w:lang w:val="en-MY"/>
        </w:rPr>
        <w:t xml:space="preserve"> Wan Muhamad, A.A. (2012). Integration Model of Education Plan Takaful: A Case Study for Terengganu, Kelantan and Perlis, States in Malaysia. Far East. </w:t>
      </w:r>
      <w:r w:rsidRPr="002436E9">
        <w:rPr>
          <w:rFonts w:ascii="Times New Roman" w:hAnsi="Times New Roman"/>
          <w:i/>
          <w:noProof/>
          <w:sz w:val="24"/>
          <w:szCs w:val="24"/>
          <w:lang w:val="en-MY"/>
        </w:rPr>
        <w:t>Journal of Mathematical Sciences (FJMS)</w:t>
      </w:r>
      <w:r w:rsidR="00173AB2" w:rsidRPr="002436E9">
        <w:rPr>
          <w:rFonts w:ascii="Times New Roman" w:hAnsi="Times New Roman"/>
          <w:i/>
          <w:noProof/>
          <w:sz w:val="24"/>
          <w:szCs w:val="24"/>
          <w:lang w:val="en-MY"/>
        </w:rPr>
        <w:t>,</w:t>
      </w:r>
      <w:r w:rsidRPr="002436E9">
        <w:rPr>
          <w:rFonts w:ascii="Times New Roman" w:hAnsi="Times New Roman"/>
          <w:noProof/>
          <w:sz w:val="24"/>
          <w:szCs w:val="24"/>
          <w:lang w:val="en-MY"/>
        </w:rPr>
        <w:t xml:space="preserve"> </w:t>
      </w:r>
      <w:r w:rsidRPr="002436E9">
        <w:rPr>
          <w:rFonts w:ascii="Times New Roman" w:hAnsi="Times New Roman"/>
          <w:i/>
          <w:noProof/>
          <w:sz w:val="24"/>
          <w:szCs w:val="24"/>
          <w:lang w:val="en-MY"/>
        </w:rPr>
        <w:t>65</w:t>
      </w:r>
      <w:r w:rsidRPr="002436E9">
        <w:rPr>
          <w:rFonts w:ascii="Times New Roman" w:hAnsi="Times New Roman"/>
          <w:noProof/>
          <w:sz w:val="24"/>
          <w:szCs w:val="24"/>
          <w:lang w:val="en-MY"/>
        </w:rPr>
        <w:t>(1)</w:t>
      </w:r>
      <w:r w:rsidR="00173AB2" w:rsidRPr="002436E9">
        <w:rPr>
          <w:rFonts w:ascii="Times New Roman" w:hAnsi="Times New Roman"/>
          <w:noProof/>
          <w:sz w:val="24"/>
          <w:szCs w:val="24"/>
          <w:lang w:val="en-MY"/>
        </w:rPr>
        <w:t>,</w:t>
      </w:r>
      <w:r w:rsidRPr="002436E9">
        <w:rPr>
          <w:rFonts w:ascii="Times New Roman" w:hAnsi="Times New Roman"/>
          <w:noProof/>
          <w:sz w:val="24"/>
          <w:szCs w:val="24"/>
          <w:lang w:val="en-MY"/>
        </w:rPr>
        <w:t xml:space="preserve"> 97-117</w:t>
      </w:r>
      <w:r w:rsidR="007F474D" w:rsidRPr="002436E9">
        <w:rPr>
          <w:rFonts w:ascii="Times New Roman" w:hAnsi="Times New Roman"/>
          <w:noProof/>
          <w:sz w:val="24"/>
          <w:szCs w:val="24"/>
          <w:lang w:val="en-MY"/>
        </w:rPr>
        <w:t>.</w:t>
      </w:r>
    </w:p>
    <w:p w:rsidR="00B328AF" w:rsidRPr="002436E9" w:rsidRDefault="00173AB2" w:rsidP="00BE5E20">
      <w:pPr>
        <w:spacing w:after="0" w:line="240" w:lineRule="auto"/>
        <w:ind w:left="360" w:hanging="360"/>
        <w:jc w:val="both"/>
        <w:rPr>
          <w:rFonts w:ascii="Times New Roman" w:hAnsi="Times New Roman"/>
          <w:sz w:val="24"/>
          <w:szCs w:val="24"/>
          <w:lang w:val="en-MY"/>
        </w:rPr>
      </w:pPr>
      <w:proofErr w:type="spellStart"/>
      <w:r w:rsidRPr="002436E9">
        <w:rPr>
          <w:rFonts w:ascii="Times New Roman" w:hAnsi="Times New Roman"/>
          <w:sz w:val="24"/>
          <w:szCs w:val="24"/>
          <w:lang w:val="en-MY"/>
        </w:rPr>
        <w:t>Rubayah</w:t>
      </w:r>
      <w:proofErr w:type="spellEnd"/>
      <w:r w:rsidRPr="002436E9">
        <w:rPr>
          <w:rFonts w:ascii="Times New Roman" w:hAnsi="Times New Roman"/>
          <w:sz w:val="24"/>
          <w:szCs w:val="24"/>
          <w:lang w:val="en-MY"/>
        </w:rPr>
        <w:t>, Y.</w:t>
      </w:r>
      <w:r w:rsidR="009566A7" w:rsidRPr="002436E9">
        <w:rPr>
          <w:rFonts w:ascii="Times New Roman" w:hAnsi="Times New Roman"/>
          <w:sz w:val="24"/>
          <w:szCs w:val="24"/>
          <w:lang w:val="en-MY"/>
        </w:rPr>
        <w:t>,</w:t>
      </w:r>
      <w:r w:rsidRPr="002436E9">
        <w:rPr>
          <w:rFonts w:ascii="Times New Roman" w:hAnsi="Times New Roman"/>
          <w:sz w:val="24"/>
          <w:szCs w:val="24"/>
          <w:lang w:val="en-MY"/>
        </w:rPr>
        <w:t xml:space="preserve"> &amp;</w:t>
      </w:r>
      <w:r w:rsidR="00D14303">
        <w:rPr>
          <w:rFonts w:ascii="Times New Roman" w:hAnsi="Times New Roman"/>
          <w:sz w:val="24"/>
          <w:szCs w:val="24"/>
          <w:lang w:val="en-MY"/>
        </w:rPr>
        <w:t xml:space="preserve"> </w:t>
      </w:r>
      <w:proofErr w:type="gramStart"/>
      <w:r w:rsidR="00D14303">
        <w:rPr>
          <w:rFonts w:ascii="Times New Roman" w:hAnsi="Times New Roman"/>
          <w:sz w:val="24"/>
          <w:szCs w:val="24"/>
          <w:lang w:val="en-MY"/>
        </w:rPr>
        <w:t>Nor</w:t>
      </w:r>
      <w:proofErr w:type="gramEnd"/>
      <w:r w:rsidR="00D14303">
        <w:rPr>
          <w:rFonts w:ascii="Times New Roman" w:hAnsi="Times New Roman"/>
          <w:sz w:val="24"/>
          <w:szCs w:val="24"/>
          <w:lang w:val="en-MY"/>
        </w:rPr>
        <w:t xml:space="preserve"> </w:t>
      </w:r>
      <w:proofErr w:type="spellStart"/>
      <w:r w:rsidR="00D14303">
        <w:rPr>
          <w:rFonts w:ascii="Times New Roman" w:hAnsi="Times New Roman"/>
          <w:sz w:val="24"/>
          <w:szCs w:val="24"/>
          <w:lang w:val="en-MY"/>
        </w:rPr>
        <w:t>Hamizah</w:t>
      </w:r>
      <w:proofErr w:type="spellEnd"/>
      <w:r w:rsidR="00D14303">
        <w:rPr>
          <w:rFonts w:ascii="Times New Roman" w:hAnsi="Times New Roman"/>
          <w:sz w:val="24"/>
          <w:szCs w:val="24"/>
          <w:lang w:val="en-MY"/>
        </w:rPr>
        <w:t>, A.</w:t>
      </w:r>
      <w:r w:rsidR="00B328AF" w:rsidRPr="002436E9">
        <w:rPr>
          <w:rFonts w:ascii="Times New Roman" w:hAnsi="Times New Roman"/>
          <w:sz w:val="24"/>
          <w:szCs w:val="24"/>
          <w:lang w:val="en-MY"/>
        </w:rPr>
        <w:t xml:space="preserve">R. (2017). </w:t>
      </w:r>
      <w:proofErr w:type="spellStart"/>
      <w:proofErr w:type="gramStart"/>
      <w:r w:rsidR="00B328AF" w:rsidRPr="002436E9">
        <w:rPr>
          <w:rFonts w:ascii="Times New Roman" w:hAnsi="Times New Roman"/>
          <w:sz w:val="24"/>
          <w:szCs w:val="24"/>
          <w:lang w:val="en-MY"/>
        </w:rPr>
        <w:t>Analisis</w:t>
      </w:r>
      <w:proofErr w:type="spellEnd"/>
      <w:r w:rsidR="00B328AF" w:rsidRPr="002436E9">
        <w:rPr>
          <w:rFonts w:ascii="Times New Roman" w:hAnsi="Times New Roman"/>
          <w:sz w:val="24"/>
          <w:szCs w:val="24"/>
          <w:lang w:val="en-MY"/>
        </w:rPr>
        <w:t xml:space="preserve"> </w:t>
      </w:r>
      <w:proofErr w:type="spellStart"/>
      <w:r w:rsidR="00B328AF" w:rsidRPr="002436E9">
        <w:rPr>
          <w:rFonts w:ascii="Times New Roman" w:hAnsi="Times New Roman"/>
          <w:sz w:val="24"/>
          <w:szCs w:val="24"/>
          <w:lang w:val="en-MY"/>
        </w:rPr>
        <w:t>Pemilikan</w:t>
      </w:r>
      <w:proofErr w:type="spellEnd"/>
      <w:r w:rsidR="00B328AF" w:rsidRPr="002436E9">
        <w:rPr>
          <w:rFonts w:ascii="Times New Roman" w:hAnsi="Times New Roman"/>
          <w:sz w:val="24"/>
          <w:szCs w:val="24"/>
          <w:lang w:val="en-MY"/>
        </w:rPr>
        <w:t xml:space="preserve"> Takaful </w:t>
      </w:r>
      <w:proofErr w:type="spellStart"/>
      <w:r w:rsidR="00B328AF" w:rsidRPr="002436E9">
        <w:rPr>
          <w:rFonts w:ascii="Times New Roman" w:hAnsi="Times New Roman"/>
          <w:sz w:val="24"/>
          <w:szCs w:val="24"/>
          <w:lang w:val="en-MY"/>
        </w:rPr>
        <w:t>Keluarga</w:t>
      </w:r>
      <w:proofErr w:type="spellEnd"/>
      <w:r w:rsidR="00B328AF" w:rsidRPr="002436E9">
        <w:rPr>
          <w:rFonts w:ascii="Times New Roman" w:hAnsi="Times New Roman"/>
          <w:sz w:val="24"/>
          <w:szCs w:val="24"/>
          <w:lang w:val="en-MY"/>
        </w:rPr>
        <w:t xml:space="preserve"> </w:t>
      </w:r>
      <w:proofErr w:type="spellStart"/>
      <w:r w:rsidR="00B328AF" w:rsidRPr="002436E9">
        <w:rPr>
          <w:rFonts w:ascii="Times New Roman" w:hAnsi="Times New Roman"/>
          <w:sz w:val="24"/>
          <w:szCs w:val="24"/>
          <w:lang w:val="en-MY"/>
        </w:rPr>
        <w:t>atau</w:t>
      </w:r>
      <w:proofErr w:type="spellEnd"/>
      <w:r w:rsidR="00B328AF" w:rsidRPr="002436E9">
        <w:rPr>
          <w:rFonts w:ascii="Times New Roman" w:hAnsi="Times New Roman"/>
          <w:sz w:val="24"/>
          <w:szCs w:val="24"/>
          <w:lang w:val="en-MY"/>
        </w:rPr>
        <w:t xml:space="preserve"> </w:t>
      </w:r>
      <w:proofErr w:type="spellStart"/>
      <w:r w:rsidR="00B328AF" w:rsidRPr="002436E9">
        <w:rPr>
          <w:rFonts w:ascii="Times New Roman" w:hAnsi="Times New Roman"/>
          <w:sz w:val="24"/>
          <w:szCs w:val="24"/>
          <w:lang w:val="en-MY"/>
        </w:rPr>
        <w:t>Insurans</w:t>
      </w:r>
      <w:proofErr w:type="spellEnd"/>
      <w:r w:rsidR="00B328AF" w:rsidRPr="002436E9">
        <w:rPr>
          <w:rFonts w:ascii="Times New Roman" w:hAnsi="Times New Roman"/>
          <w:sz w:val="24"/>
          <w:szCs w:val="24"/>
          <w:lang w:val="en-MY"/>
        </w:rPr>
        <w:t xml:space="preserve"> Hayat </w:t>
      </w:r>
      <w:proofErr w:type="spellStart"/>
      <w:r w:rsidR="00B328AF" w:rsidRPr="002436E9">
        <w:rPr>
          <w:rFonts w:ascii="Times New Roman" w:hAnsi="Times New Roman"/>
          <w:sz w:val="24"/>
          <w:szCs w:val="24"/>
          <w:lang w:val="en-MY"/>
        </w:rPr>
        <w:t>Dalam</w:t>
      </w:r>
      <w:proofErr w:type="spellEnd"/>
      <w:r w:rsidR="00B328AF" w:rsidRPr="002436E9">
        <w:rPr>
          <w:rFonts w:ascii="Times New Roman" w:hAnsi="Times New Roman"/>
          <w:sz w:val="24"/>
          <w:szCs w:val="24"/>
          <w:lang w:val="en-MY"/>
        </w:rPr>
        <w:t xml:space="preserve"> </w:t>
      </w:r>
      <w:proofErr w:type="spellStart"/>
      <w:r w:rsidR="00B328AF" w:rsidRPr="002436E9">
        <w:rPr>
          <w:rFonts w:ascii="Times New Roman" w:hAnsi="Times New Roman"/>
          <w:sz w:val="24"/>
          <w:szCs w:val="24"/>
          <w:lang w:val="en-MY"/>
        </w:rPr>
        <w:t>Kalangan</w:t>
      </w:r>
      <w:proofErr w:type="spellEnd"/>
      <w:r w:rsidR="00B328AF" w:rsidRPr="002436E9">
        <w:rPr>
          <w:rFonts w:ascii="Times New Roman" w:hAnsi="Times New Roman"/>
          <w:sz w:val="24"/>
          <w:szCs w:val="24"/>
          <w:lang w:val="en-MY"/>
        </w:rPr>
        <w:t xml:space="preserve"> B40.</w:t>
      </w:r>
      <w:proofErr w:type="gramEnd"/>
      <w:r w:rsidR="00B328AF" w:rsidRPr="002436E9">
        <w:rPr>
          <w:rFonts w:ascii="Times New Roman" w:hAnsi="Times New Roman"/>
          <w:sz w:val="24"/>
          <w:szCs w:val="24"/>
          <w:lang w:val="en-MY"/>
        </w:rPr>
        <w:t xml:space="preserve"> </w:t>
      </w:r>
      <w:r w:rsidR="00B328AF" w:rsidRPr="002436E9">
        <w:rPr>
          <w:rFonts w:ascii="Times New Roman" w:hAnsi="Times New Roman"/>
          <w:i/>
          <w:sz w:val="24"/>
          <w:szCs w:val="24"/>
          <w:lang w:val="en-MY"/>
        </w:rPr>
        <w:t>Journal of Quality Measurement and Analysis,</w:t>
      </w:r>
      <w:r w:rsidR="00B328AF" w:rsidRPr="002436E9">
        <w:rPr>
          <w:rFonts w:ascii="Times New Roman" w:hAnsi="Times New Roman"/>
          <w:sz w:val="24"/>
          <w:szCs w:val="24"/>
          <w:lang w:val="en-MY"/>
        </w:rPr>
        <w:t xml:space="preserve"> </w:t>
      </w:r>
      <w:r w:rsidR="00B328AF" w:rsidRPr="002436E9">
        <w:rPr>
          <w:rFonts w:ascii="Times New Roman" w:hAnsi="Times New Roman"/>
          <w:i/>
          <w:sz w:val="24"/>
          <w:szCs w:val="24"/>
          <w:lang w:val="en-MY"/>
        </w:rPr>
        <w:t>13</w:t>
      </w:r>
      <w:r w:rsidR="00B328AF" w:rsidRPr="002436E9">
        <w:rPr>
          <w:rFonts w:ascii="Times New Roman" w:hAnsi="Times New Roman"/>
          <w:sz w:val="24"/>
          <w:szCs w:val="24"/>
          <w:lang w:val="en-MY"/>
        </w:rPr>
        <w:t>(2)</w:t>
      </w:r>
      <w:r w:rsidRPr="002436E9">
        <w:rPr>
          <w:rFonts w:ascii="Times New Roman" w:hAnsi="Times New Roman"/>
          <w:sz w:val="24"/>
          <w:szCs w:val="24"/>
          <w:lang w:val="en-MY"/>
        </w:rPr>
        <w:t>,</w:t>
      </w:r>
      <w:r w:rsidR="00B328AF" w:rsidRPr="002436E9">
        <w:rPr>
          <w:rFonts w:ascii="Times New Roman" w:hAnsi="Times New Roman"/>
          <w:sz w:val="24"/>
          <w:szCs w:val="24"/>
          <w:lang w:val="en-MY"/>
        </w:rPr>
        <w:t xml:space="preserve"> 29-38</w:t>
      </w:r>
      <w:r w:rsidR="007F474D" w:rsidRPr="002436E9">
        <w:rPr>
          <w:rFonts w:ascii="Times New Roman" w:hAnsi="Times New Roman"/>
          <w:sz w:val="24"/>
          <w:szCs w:val="24"/>
          <w:lang w:val="en-MY"/>
        </w:rPr>
        <w:t>.</w:t>
      </w:r>
    </w:p>
    <w:p w:rsidR="00B328AF" w:rsidRPr="002436E9" w:rsidRDefault="00173AB2" w:rsidP="00BE5E20">
      <w:pPr>
        <w:spacing w:after="0" w:line="240" w:lineRule="auto"/>
        <w:ind w:left="360" w:hanging="360"/>
        <w:jc w:val="both"/>
        <w:rPr>
          <w:rFonts w:ascii="Times New Roman" w:hAnsi="Times New Roman"/>
          <w:noProof/>
          <w:sz w:val="24"/>
          <w:szCs w:val="24"/>
        </w:rPr>
      </w:pPr>
      <w:proofErr w:type="spellStart"/>
      <w:proofErr w:type="gramStart"/>
      <w:r w:rsidRPr="002436E9">
        <w:rPr>
          <w:rFonts w:ascii="Times New Roman" w:hAnsi="Times New Roman"/>
          <w:sz w:val="24"/>
          <w:szCs w:val="24"/>
          <w:lang w:val="en-MY"/>
        </w:rPr>
        <w:t>Sekaran</w:t>
      </w:r>
      <w:proofErr w:type="spellEnd"/>
      <w:r w:rsidRPr="002436E9">
        <w:rPr>
          <w:rFonts w:ascii="Times New Roman" w:hAnsi="Times New Roman"/>
          <w:sz w:val="24"/>
          <w:szCs w:val="24"/>
          <w:lang w:val="en-MY"/>
        </w:rPr>
        <w:t>, U.</w:t>
      </w:r>
      <w:r w:rsidR="009566A7" w:rsidRPr="002436E9">
        <w:rPr>
          <w:rFonts w:ascii="Times New Roman" w:hAnsi="Times New Roman"/>
          <w:sz w:val="24"/>
          <w:szCs w:val="24"/>
          <w:lang w:val="en-MY"/>
        </w:rPr>
        <w:t>,</w:t>
      </w:r>
      <w:r w:rsidRPr="002436E9">
        <w:rPr>
          <w:rFonts w:ascii="Times New Roman" w:hAnsi="Times New Roman"/>
          <w:sz w:val="24"/>
          <w:szCs w:val="24"/>
          <w:lang w:val="en-MY"/>
        </w:rPr>
        <w:t xml:space="preserve"> &amp; </w:t>
      </w:r>
      <w:proofErr w:type="spellStart"/>
      <w:r w:rsidR="00B328AF" w:rsidRPr="002436E9">
        <w:rPr>
          <w:rFonts w:ascii="Times New Roman" w:hAnsi="Times New Roman"/>
          <w:sz w:val="24"/>
          <w:szCs w:val="24"/>
          <w:lang w:val="en-MY"/>
        </w:rPr>
        <w:t>Bougie</w:t>
      </w:r>
      <w:proofErr w:type="spellEnd"/>
      <w:r w:rsidR="00B328AF" w:rsidRPr="002436E9">
        <w:rPr>
          <w:rFonts w:ascii="Times New Roman" w:hAnsi="Times New Roman"/>
          <w:sz w:val="24"/>
          <w:szCs w:val="24"/>
          <w:lang w:val="en-MY"/>
        </w:rPr>
        <w:t>, R. (2016)</w:t>
      </w:r>
      <w:r w:rsidR="00B328AF" w:rsidRPr="002436E9">
        <w:rPr>
          <w:rFonts w:ascii="Times New Roman" w:hAnsi="Times New Roman"/>
          <w:i/>
          <w:sz w:val="24"/>
          <w:szCs w:val="24"/>
          <w:lang w:val="en-MY"/>
        </w:rPr>
        <w:t>.</w:t>
      </w:r>
      <w:proofErr w:type="gramEnd"/>
      <w:r w:rsidR="00B328AF" w:rsidRPr="002436E9">
        <w:rPr>
          <w:rFonts w:ascii="Times New Roman" w:hAnsi="Times New Roman"/>
          <w:i/>
          <w:sz w:val="24"/>
          <w:szCs w:val="24"/>
          <w:lang w:val="en-MY"/>
        </w:rPr>
        <w:t xml:space="preserve"> </w:t>
      </w:r>
      <w:r w:rsidR="00B328AF" w:rsidRPr="002436E9">
        <w:rPr>
          <w:rFonts w:ascii="Times New Roman" w:eastAsia="Times New Roman" w:hAnsi="Times New Roman"/>
          <w:i/>
          <w:sz w:val="24"/>
          <w:szCs w:val="24"/>
          <w:lang w:val="en-MY"/>
        </w:rPr>
        <w:t>Research Methods for Business: A Skill Building Approach</w:t>
      </w:r>
      <w:r w:rsidR="00B328AF" w:rsidRPr="002436E9">
        <w:rPr>
          <w:rFonts w:ascii="Times New Roman" w:eastAsia="Times New Roman" w:hAnsi="Times New Roman"/>
          <w:sz w:val="24"/>
          <w:szCs w:val="24"/>
          <w:lang w:val="en-MY"/>
        </w:rPr>
        <w:t xml:space="preserve">. </w:t>
      </w:r>
      <w:r w:rsidR="007F474D" w:rsidRPr="002436E9">
        <w:rPr>
          <w:rFonts w:ascii="Times New Roman" w:eastAsia="Times New Roman" w:hAnsi="Times New Roman"/>
          <w:sz w:val="24"/>
          <w:szCs w:val="24"/>
          <w:lang w:val="en-MY"/>
        </w:rPr>
        <w:t>(</w:t>
      </w:r>
      <w:r w:rsidR="00B328AF" w:rsidRPr="002436E9">
        <w:rPr>
          <w:rFonts w:ascii="Times New Roman" w:eastAsia="Times New Roman" w:hAnsi="Times New Roman"/>
          <w:sz w:val="24"/>
          <w:szCs w:val="24"/>
          <w:lang w:val="en-MY"/>
        </w:rPr>
        <w:t>7</w:t>
      </w:r>
      <w:r w:rsidR="00B328AF" w:rsidRPr="002436E9">
        <w:rPr>
          <w:rFonts w:ascii="Times New Roman" w:eastAsia="Times New Roman" w:hAnsi="Times New Roman"/>
          <w:sz w:val="24"/>
          <w:szCs w:val="24"/>
          <w:vertAlign w:val="superscript"/>
          <w:lang w:val="en-MY"/>
        </w:rPr>
        <w:t>th</w:t>
      </w:r>
      <w:r w:rsidR="00B328AF" w:rsidRPr="002436E9">
        <w:rPr>
          <w:rFonts w:ascii="Times New Roman" w:eastAsia="Times New Roman" w:hAnsi="Times New Roman"/>
          <w:sz w:val="24"/>
          <w:szCs w:val="24"/>
          <w:lang w:val="en-MY"/>
        </w:rPr>
        <w:t xml:space="preserve"> </w:t>
      </w:r>
      <w:proofErr w:type="gramStart"/>
      <w:r w:rsidR="00B328AF" w:rsidRPr="002436E9">
        <w:rPr>
          <w:rFonts w:ascii="Times New Roman" w:eastAsia="Times New Roman" w:hAnsi="Times New Roman"/>
          <w:sz w:val="24"/>
          <w:szCs w:val="24"/>
          <w:lang w:val="en-MY"/>
        </w:rPr>
        <w:t>ed</w:t>
      </w:r>
      <w:proofErr w:type="gramEnd"/>
      <w:r w:rsidR="00B328AF" w:rsidRPr="002436E9">
        <w:rPr>
          <w:rFonts w:ascii="Times New Roman" w:eastAsia="Times New Roman" w:hAnsi="Times New Roman"/>
          <w:sz w:val="24"/>
          <w:szCs w:val="24"/>
          <w:lang w:val="en-MY"/>
        </w:rPr>
        <w:t>.</w:t>
      </w:r>
      <w:r w:rsidR="007F474D" w:rsidRPr="002436E9">
        <w:rPr>
          <w:rFonts w:ascii="Times New Roman" w:eastAsia="Times New Roman" w:hAnsi="Times New Roman"/>
          <w:sz w:val="24"/>
          <w:szCs w:val="24"/>
          <w:lang w:val="en-MY"/>
        </w:rPr>
        <w:t>)</w:t>
      </w:r>
      <w:r w:rsidR="009566A7" w:rsidRPr="002436E9">
        <w:rPr>
          <w:rFonts w:ascii="Times New Roman" w:eastAsia="Times New Roman" w:hAnsi="Times New Roman"/>
          <w:sz w:val="24"/>
          <w:szCs w:val="24"/>
          <w:lang w:val="en-MY"/>
        </w:rPr>
        <w:t xml:space="preserve">. </w:t>
      </w:r>
      <w:proofErr w:type="gramStart"/>
      <w:r w:rsidR="00B328AF" w:rsidRPr="002436E9">
        <w:rPr>
          <w:rFonts w:ascii="Times New Roman" w:eastAsia="Times New Roman" w:hAnsi="Times New Roman"/>
          <w:sz w:val="24"/>
          <w:szCs w:val="24"/>
          <w:lang w:val="en-MY"/>
        </w:rPr>
        <w:t>U</w:t>
      </w:r>
      <w:r w:rsidR="009566A7" w:rsidRPr="002436E9">
        <w:rPr>
          <w:rFonts w:ascii="Times New Roman" w:eastAsia="Times New Roman" w:hAnsi="Times New Roman"/>
          <w:sz w:val="24"/>
          <w:szCs w:val="24"/>
          <w:lang w:val="en-MY"/>
        </w:rPr>
        <w:t>nited Kingdom,</w:t>
      </w:r>
      <w:r w:rsidR="00B328AF" w:rsidRPr="002436E9">
        <w:rPr>
          <w:rFonts w:ascii="Times New Roman" w:eastAsia="Times New Roman" w:hAnsi="Times New Roman"/>
          <w:sz w:val="24"/>
          <w:szCs w:val="24"/>
          <w:lang w:val="en-MY"/>
        </w:rPr>
        <w:t xml:space="preserve"> </w:t>
      </w:r>
      <w:r w:rsidR="00B328AF" w:rsidRPr="002436E9">
        <w:rPr>
          <w:rFonts w:ascii="Times New Roman" w:hAnsi="Times New Roman"/>
          <w:noProof/>
          <w:sz w:val="24"/>
          <w:szCs w:val="24"/>
        </w:rPr>
        <w:t>John Wiley &amp; Sons, Inc.</w:t>
      </w:r>
      <w:proofErr w:type="gramEnd"/>
    </w:p>
    <w:p w:rsidR="00B328AF" w:rsidRPr="002436E9" w:rsidRDefault="00173AB2" w:rsidP="00BE5E20">
      <w:pPr>
        <w:spacing w:after="0" w:line="240" w:lineRule="auto"/>
        <w:ind w:left="450" w:hanging="450"/>
        <w:jc w:val="both"/>
        <w:rPr>
          <w:rFonts w:ascii="Times New Roman" w:hAnsi="Times New Roman"/>
          <w:sz w:val="24"/>
          <w:szCs w:val="24"/>
          <w:lang w:val="en-MY"/>
        </w:rPr>
      </w:pPr>
      <w:proofErr w:type="spellStart"/>
      <w:r w:rsidRPr="002436E9">
        <w:rPr>
          <w:rFonts w:ascii="Times New Roman" w:hAnsi="Times New Roman"/>
          <w:sz w:val="24"/>
          <w:szCs w:val="24"/>
          <w:lang w:val="en-MY"/>
        </w:rPr>
        <w:t>Sherif</w:t>
      </w:r>
      <w:proofErr w:type="spellEnd"/>
      <w:r w:rsidR="000D7272">
        <w:rPr>
          <w:rFonts w:ascii="Times New Roman" w:hAnsi="Times New Roman"/>
          <w:sz w:val="24"/>
          <w:szCs w:val="24"/>
          <w:lang w:val="en-MY"/>
        </w:rPr>
        <w:t>, M.</w:t>
      </w:r>
      <w:r w:rsidRPr="002436E9">
        <w:rPr>
          <w:rFonts w:ascii="Times New Roman" w:hAnsi="Times New Roman"/>
          <w:sz w:val="24"/>
          <w:szCs w:val="24"/>
          <w:lang w:val="en-MY"/>
        </w:rPr>
        <w:t xml:space="preserve"> &amp;</w:t>
      </w:r>
      <w:r w:rsidR="00B328AF" w:rsidRPr="002436E9">
        <w:rPr>
          <w:rFonts w:ascii="Times New Roman" w:hAnsi="Times New Roman"/>
          <w:sz w:val="24"/>
          <w:szCs w:val="24"/>
          <w:lang w:val="en-MY"/>
        </w:rPr>
        <w:t xml:space="preserve"> Nor </w:t>
      </w:r>
      <w:proofErr w:type="spellStart"/>
      <w:r w:rsidR="00B328AF" w:rsidRPr="002436E9">
        <w:rPr>
          <w:rFonts w:ascii="Times New Roman" w:hAnsi="Times New Roman"/>
          <w:sz w:val="24"/>
          <w:szCs w:val="24"/>
          <w:lang w:val="en-MY"/>
        </w:rPr>
        <w:t>Azlina</w:t>
      </w:r>
      <w:proofErr w:type="spellEnd"/>
      <w:r w:rsidR="00B328AF" w:rsidRPr="002436E9">
        <w:rPr>
          <w:rFonts w:ascii="Times New Roman" w:hAnsi="Times New Roman"/>
          <w:sz w:val="24"/>
          <w:szCs w:val="24"/>
          <w:lang w:val="en-MY"/>
        </w:rPr>
        <w:t xml:space="preserve">, S. (2013). </w:t>
      </w:r>
      <w:proofErr w:type="gramStart"/>
      <w:r w:rsidR="00B328AF" w:rsidRPr="002436E9">
        <w:rPr>
          <w:rFonts w:ascii="Times New Roman" w:hAnsi="Times New Roman"/>
          <w:sz w:val="24"/>
          <w:szCs w:val="24"/>
          <w:lang w:val="en-MY"/>
        </w:rPr>
        <w:t>Determinants of demand on family Takaful in Malaysia.</w:t>
      </w:r>
      <w:proofErr w:type="gramEnd"/>
      <w:r w:rsidR="00B328AF" w:rsidRPr="002436E9">
        <w:rPr>
          <w:rFonts w:ascii="Times New Roman" w:hAnsi="Times New Roman"/>
          <w:i/>
          <w:sz w:val="24"/>
          <w:szCs w:val="24"/>
          <w:lang w:val="en-MY"/>
        </w:rPr>
        <w:t xml:space="preserve"> Journal of Islamic Accounting and Business Research</w:t>
      </w:r>
      <w:r w:rsidRPr="002436E9">
        <w:rPr>
          <w:rFonts w:ascii="Times New Roman" w:hAnsi="Times New Roman"/>
          <w:i/>
          <w:sz w:val="24"/>
          <w:szCs w:val="24"/>
          <w:lang w:val="en-MY"/>
        </w:rPr>
        <w:t>,</w:t>
      </w:r>
      <w:r w:rsidR="00B328AF" w:rsidRPr="002436E9">
        <w:rPr>
          <w:rFonts w:ascii="Times New Roman" w:hAnsi="Times New Roman"/>
          <w:i/>
          <w:sz w:val="24"/>
          <w:szCs w:val="24"/>
          <w:lang w:val="en-MY"/>
        </w:rPr>
        <w:t xml:space="preserve"> 4</w:t>
      </w:r>
      <w:r w:rsidR="00B328AF" w:rsidRPr="002436E9">
        <w:rPr>
          <w:rFonts w:ascii="Times New Roman" w:hAnsi="Times New Roman"/>
          <w:sz w:val="24"/>
          <w:szCs w:val="24"/>
          <w:lang w:val="en-MY"/>
        </w:rPr>
        <w:t>(1)</w:t>
      </w:r>
      <w:r w:rsidRPr="002436E9">
        <w:rPr>
          <w:rFonts w:ascii="Times New Roman" w:hAnsi="Times New Roman"/>
          <w:sz w:val="24"/>
          <w:szCs w:val="24"/>
          <w:lang w:val="en-MY"/>
        </w:rPr>
        <w:t>,</w:t>
      </w:r>
      <w:r w:rsidR="00B328AF" w:rsidRPr="002436E9">
        <w:rPr>
          <w:rFonts w:ascii="Times New Roman" w:hAnsi="Times New Roman"/>
          <w:sz w:val="24"/>
          <w:szCs w:val="24"/>
          <w:lang w:val="en-MY"/>
        </w:rPr>
        <w:t xml:space="preserve"> 26-50</w:t>
      </w:r>
      <w:r w:rsidR="009566A7" w:rsidRPr="002436E9">
        <w:rPr>
          <w:rFonts w:ascii="Times New Roman" w:hAnsi="Times New Roman"/>
          <w:sz w:val="24"/>
          <w:szCs w:val="24"/>
          <w:lang w:val="en-MY"/>
        </w:rPr>
        <w:t>.</w:t>
      </w:r>
    </w:p>
    <w:p w:rsidR="00BE5E20" w:rsidRPr="002436E9" w:rsidRDefault="00D14303" w:rsidP="00BE5E20">
      <w:pPr>
        <w:tabs>
          <w:tab w:val="left" w:pos="810"/>
        </w:tabs>
        <w:spacing w:after="0" w:line="240" w:lineRule="auto"/>
        <w:ind w:left="360" w:hanging="360"/>
        <w:jc w:val="both"/>
        <w:rPr>
          <w:rFonts w:ascii="Times New Roman" w:hAnsi="Times New Roman"/>
          <w:noProof/>
          <w:sz w:val="24"/>
          <w:szCs w:val="24"/>
          <w:lang w:val="en-MY"/>
        </w:rPr>
      </w:pPr>
      <w:r>
        <w:rPr>
          <w:rFonts w:ascii="Times New Roman" w:hAnsi="Times New Roman"/>
          <w:noProof/>
          <w:sz w:val="24"/>
          <w:szCs w:val="24"/>
          <w:lang w:val="en-MY"/>
        </w:rPr>
        <w:t>Sinha, A., Jaiswal, R., Pal, B.</w:t>
      </w:r>
      <w:r w:rsidR="00F33C62" w:rsidRPr="002436E9">
        <w:rPr>
          <w:rFonts w:ascii="Times New Roman" w:hAnsi="Times New Roman"/>
          <w:noProof/>
          <w:sz w:val="24"/>
          <w:szCs w:val="24"/>
          <w:lang w:val="en-MY"/>
        </w:rPr>
        <w:t xml:space="preserve">D., &amp; Shuk, K. (2011). </w:t>
      </w:r>
      <w:r w:rsidR="00F33C62" w:rsidRPr="002436E9">
        <w:rPr>
          <w:rFonts w:ascii="Times New Roman" w:hAnsi="Times New Roman"/>
          <w:i/>
          <w:iCs/>
          <w:noProof/>
          <w:sz w:val="24"/>
          <w:szCs w:val="24"/>
          <w:lang w:val="en-MY"/>
        </w:rPr>
        <w:t>Pre-launch Survey Report of Insurance Awareness Campaign.</w:t>
      </w:r>
      <w:r w:rsidR="00F33C62" w:rsidRPr="002436E9">
        <w:rPr>
          <w:rFonts w:ascii="Times New Roman" w:hAnsi="Times New Roman"/>
          <w:noProof/>
          <w:sz w:val="24"/>
          <w:szCs w:val="24"/>
          <w:lang w:val="en-MY"/>
        </w:rPr>
        <w:t xml:space="preserve"> India, National Council of Applied Economic Research.</w:t>
      </w:r>
    </w:p>
    <w:p w:rsidR="00BE5E20" w:rsidRPr="002436E9" w:rsidRDefault="00173AB2" w:rsidP="00BE5E20">
      <w:pPr>
        <w:tabs>
          <w:tab w:val="left" w:pos="810"/>
        </w:tabs>
        <w:spacing w:after="0" w:line="240" w:lineRule="auto"/>
        <w:ind w:left="360" w:hanging="360"/>
        <w:jc w:val="both"/>
        <w:rPr>
          <w:rFonts w:ascii="Times New Roman" w:hAnsi="Times New Roman"/>
          <w:noProof/>
          <w:sz w:val="24"/>
          <w:szCs w:val="24"/>
          <w:lang w:val="en-MY"/>
        </w:rPr>
      </w:pPr>
      <w:r w:rsidRPr="002436E9">
        <w:rPr>
          <w:rFonts w:ascii="Times New Roman" w:hAnsi="Times New Roman"/>
          <w:noProof/>
          <w:sz w:val="24"/>
          <w:szCs w:val="24"/>
          <w:lang w:val="en-MY"/>
        </w:rPr>
        <w:t>Soualhi, Y., &amp;</w:t>
      </w:r>
      <w:r w:rsidR="00D14303">
        <w:rPr>
          <w:rFonts w:ascii="Times New Roman" w:hAnsi="Times New Roman"/>
          <w:noProof/>
          <w:sz w:val="24"/>
          <w:szCs w:val="24"/>
          <w:lang w:val="en-MY"/>
        </w:rPr>
        <w:t xml:space="preserve"> Al Shammari, A.</w:t>
      </w:r>
      <w:r w:rsidR="00B328AF" w:rsidRPr="002436E9">
        <w:rPr>
          <w:rFonts w:ascii="Times New Roman" w:hAnsi="Times New Roman"/>
          <w:noProof/>
          <w:sz w:val="24"/>
          <w:szCs w:val="24"/>
          <w:lang w:val="en-MY"/>
        </w:rPr>
        <w:t xml:space="preserve">A.R. (2015). Indicators of Takaful Awareness among Kuwaitis. </w:t>
      </w:r>
      <w:r w:rsidR="00B328AF" w:rsidRPr="002436E9">
        <w:rPr>
          <w:rFonts w:ascii="Times New Roman" w:hAnsi="Times New Roman"/>
          <w:i/>
          <w:iCs/>
          <w:noProof/>
          <w:sz w:val="24"/>
          <w:szCs w:val="24"/>
          <w:lang w:val="en-MY"/>
        </w:rPr>
        <w:t>Journal of Islamic Banking and Finance</w:t>
      </w:r>
      <w:r w:rsidRPr="002436E9">
        <w:rPr>
          <w:rFonts w:ascii="Times New Roman" w:hAnsi="Times New Roman"/>
          <w:i/>
          <w:iCs/>
          <w:noProof/>
          <w:sz w:val="24"/>
          <w:szCs w:val="24"/>
          <w:lang w:val="en-MY"/>
        </w:rPr>
        <w:t>,</w:t>
      </w:r>
      <w:r w:rsidR="00B328AF" w:rsidRPr="002436E9">
        <w:rPr>
          <w:rFonts w:ascii="Times New Roman" w:hAnsi="Times New Roman"/>
          <w:noProof/>
          <w:sz w:val="24"/>
          <w:szCs w:val="24"/>
          <w:lang w:val="en-MY"/>
        </w:rPr>
        <w:t xml:space="preserve"> </w:t>
      </w:r>
      <w:r w:rsidR="00B328AF" w:rsidRPr="002436E9">
        <w:rPr>
          <w:rFonts w:ascii="Times New Roman" w:hAnsi="Times New Roman"/>
          <w:i/>
          <w:sz w:val="24"/>
          <w:szCs w:val="24"/>
          <w:lang w:val="en-MY"/>
        </w:rPr>
        <w:t>3</w:t>
      </w:r>
      <w:r w:rsidR="00B328AF" w:rsidRPr="002436E9">
        <w:rPr>
          <w:rFonts w:ascii="Times New Roman" w:hAnsi="Times New Roman"/>
          <w:sz w:val="24"/>
          <w:szCs w:val="24"/>
          <w:lang w:val="en-MY"/>
        </w:rPr>
        <w:t>(2)</w:t>
      </w:r>
      <w:r w:rsidRPr="002436E9">
        <w:rPr>
          <w:rFonts w:ascii="Times New Roman" w:hAnsi="Times New Roman"/>
          <w:sz w:val="24"/>
          <w:szCs w:val="24"/>
          <w:lang w:val="en-MY"/>
        </w:rPr>
        <w:t>,</w:t>
      </w:r>
      <w:r w:rsidR="00B328AF" w:rsidRPr="002436E9">
        <w:rPr>
          <w:rFonts w:ascii="Times New Roman" w:hAnsi="Times New Roman"/>
          <w:sz w:val="24"/>
          <w:szCs w:val="24"/>
          <w:lang w:val="en-MY"/>
        </w:rPr>
        <w:t xml:space="preserve"> </w:t>
      </w:r>
      <w:r w:rsidR="00B328AF" w:rsidRPr="002436E9">
        <w:rPr>
          <w:rFonts w:ascii="Times New Roman" w:hAnsi="Times New Roman"/>
          <w:noProof/>
          <w:sz w:val="24"/>
          <w:szCs w:val="24"/>
          <w:lang w:val="en-MY"/>
        </w:rPr>
        <w:t>75-89</w:t>
      </w:r>
      <w:r w:rsidR="009566A7" w:rsidRPr="002436E9">
        <w:rPr>
          <w:rFonts w:ascii="Times New Roman" w:hAnsi="Times New Roman"/>
          <w:noProof/>
          <w:sz w:val="24"/>
          <w:szCs w:val="24"/>
          <w:lang w:val="en-MY"/>
        </w:rPr>
        <w:t>.</w:t>
      </w:r>
    </w:p>
    <w:p w:rsidR="00BE5E20" w:rsidRPr="002436E9" w:rsidRDefault="00B328AF" w:rsidP="00BE5E20">
      <w:pPr>
        <w:tabs>
          <w:tab w:val="left" w:pos="810"/>
        </w:tabs>
        <w:spacing w:after="0" w:line="240" w:lineRule="auto"/>
        <w:ind w:left="360" w:hanging="360"/>
        <w:jc w:val="both"/>
        <w:rPr>
          <w:rFonts w:ascii="Times New Roman" w:hAnsi="Times New Roman"/>
          <w:noProof/>
          <w:sz w:val="24"/>
          <w:szCs w:val="24"/>
          <w:lang w:val="en-MY"/>
        </w:rPr>
      </w:pPr>
      <w:r w:rsidRPr="002436E9">
        <w:rPr>
          <w:rFonts w:ascii="Times New Roman" w:hAnsi="Times New Roman"/>
          <w:noProof/>
          <w:sz w:val="24"/>
          <w:szCs w:val="24"/>
          <w:lang w:val="en-MY"/>
        </w:rPr>
        <w:t xml:space="preserve">Sri Hermawati. (2011). Kesadaran Masyarakat Indonesia Akan Asuransi Jiwa. </w:t>
      </w:r>
      <w:r w:rsidRPr="002436E9">
        <w:rPr>
          <w:rFonts w:ascii="Times New Roman" w:hAnsi="Times New Roman"/>
          <w:i/>
          <w:noProof/>
          <w:sz w:val="24"/>
          <w:szCs w:val="24"/>
          <w:lang w:val="en-MY"/>
        </w:rPr>
        <w:t>Skripsi Program Studi Akuntansi</w:t>
      </w:r>
      <w:r w:rsidR="00ED3764" w:rsidRPr="002436E9">
        <w:rPr>
          <w:rFonts w:ascii="Times New Roman" w:hAnsi="Times New Roman"/>
          <w:i/>
          <w:noProof/>
          <w:sz w:val="24"/>
          <w:szCs w:val="24"/>
          <w:lang w:val="en-MY"/>
        </w:rPr>
        <w:t>.</w:t>
      </w:r>
    </w:p>
    <w:p w:rsidR="00BE5E20" w:rsidRPr="002436E9" w:rsidRDefault="00D14303" w:rsidP="00BE5E20">
      <w:pPr>
        <w:tabs>
          <w:tab w:val="left" w:pos="810"/>
        </w:tabs>
        <w:spacing w:after="0" w:line="240" w:lineRule="auto"/>
        <w:ind w:left="360" w:hanging="360"/>
        <w:jc w:val="both"/>
        <w:rPr>
          <w:rFonts w:ascii="Times New Roman" w:hAnsi="Times New Roman"/>
          <w:noProof/>
          <w:sz w:val="24"/>
          <w:szCs w:val="24"/>
          <w:lang w:val="en-MY"/>
        </w:rPr>
      </w:pPr>
      <w:r>
        <w:rPr>
          <w:rFonts w:ascii="Times New Roman" w:hAnsi="Times New Roman"/>
          <w:noProof/>
          <w:sz w:val="24"/>
          <w:szCs w:val="24"/>
          <w:lang w:val="en-MY"/>
        </w:rPr>
        <w:t>Sutan, E.</w:t>
      </w:r>
      <w:r w:rsidR="00173AB2" w:rsidRPr="002436E9">
        <w:rPr>
          <w:rFonts w:ascii="Times New Roman" w:hAnsi="Times New Roman"/>
          <w:noProof/>
          <w:sz w:val="24"/>
          <w:szCs w:val="24"/>
          <w:lang w:val="en-MY"/>
        </w:rPr>
        <w:t>H.</w:t>
      </w:r>
      <w:r w:rsidR="009566A7" w:rsidRPr="002436E9">
        <w:rPr>
          <w:rFonts w:ascii="Times New Roman" w:hAnsi="Times New Roman"/>
          <w:noProof/>
          <w:sz w:val="24"/>
          <w:szCs w:val="24"/>
          <w:lang w:val="en-MY"/>
        </w:rPr>
        <w:t>,</w:t>
      </w:r>
      <w:r w:rsidR="00173AB2" w:rsidRPr="002436E9">
        <w:rPr>
          <w:rFonts w:ascii="Times New Roman" w:hAnsi="Times New Roman"/>
          <w:noProof/>
          <w:sz w:val="24"/>
          <w:szCs w:val="24"/>
          <w:lang w:val="en-MY"/>
        </w:rPr>
        <w:t xml:space="preserve"> &amp;</w:t>
      </w:r>
      <w:r>
        <w:rPr>
          <w:rFonts w:ascii="Times New Roman" w:hAnsi="Times New Roman"/>
          <w:noProof/>
          <w:sz w:val="24"/>
          <w:szCs w:val="24"/>
          <w:lang w:val="en-MY"/>
        </w:rPr>
        <w:t xml:space="preserve"> Ameena, M.</w:t>
      </w:r>
      <w:r w:rsidR="00B328AF" w:rsidRPr="002436E9">
        <w:rPr>
          <w:rFonts w:ascii="Times New Roman" w:hAnsi="Times New Roman"/>
          <w:noProof/>
          <w:sz w:val="24"/>
          <w:szCs w:val="24"/>
          <w:lang w:val="en-MY"/>
        </w:rPr>
        <w:t xml:space="preserve">R. (2014). Public Awareness towards Takaful Concept and Principles: A Survey in Bahrai. </w:t>
      </w:r>
      <w:r w:rsidR="00B328AF" w:rsidRPr="002436E9">
        <w:rPr>
          <w:rFonts w:ascii="Times New Roman" w:hAnsi="Times New Roman"/>
          <w:i/>
          <w:noProof/>
          <w:sz w:val="24"/>
          <w:szCs w:val="24"/>
          <w:lang w:val="en-MY"/>
        </w:rPr>
        <w:t>International Journal of Excellence in Islamic Banking and Finance</w:t>
      </w:r>
      <w:r w:rsidR="00173AB2" w:rsidRPr="002436E9">
        <w:rPr>
          <w:rFonts w:ascii="Times New Roman" w:hAnsi="Times New Roman"/>
          <w:i/>
          <w:noProof/>
          <w:sz w:val="24"/>
          <w:szCs w:val="24"/>
          <w:lang w:val="en-MY"/>
        </w:rPr>
        <w:t>,</w:t>
      </w:r>
      <w:r w:rsidR="00B328AF" w:rsidRPr="002436E9">
        <w:rPr>
          <w:rFonts w:ascii="Times New Roman" w:hAnsi="Times New Roman"/>
          <w:noProof/>
          <w:sz w:val="24"/>
          <w:szCs w:val="24"/>
          <w:lang w:val="en-MY"/>
        </w:rPr>
        <w:t xml:space="preserve"> </w:t>
      </w:r>
      <w:r w:rsidR="00B328AF" w:rsidRPr="002436E9">
        <w:rPr>
          <w:rFonts w:ascii="Times New Roman" w:hAnsi="Times New Roman"/>
          <w:i/>
          <w:noProof/>
          <w:sz w:val="24"/>
          <w:szCs w:val="24"/>
          <w:lang w:val="en-MY"/>
        </w:rPr>
        <w:t>4</w:t>
      </w:r>
      <w:r w:rsidR="00B328AF" w:rsidRPr="002436E9">
        <w:rPr>
          <w:rFonts w:ascii="Times New Roman" w:hAnsi="Times New Roman"/>
          <w:noProof/>
          <w:sz w:val="24"/>
          <w:szCs w:val="24"/>
          <w:lang w:val="en-MY"/>
        </w:rPr>
        <w:t>(2), 1-16</w:t>
      </w:r>
      <w:r w:rsidR="009566A7" w:rsidRPr="002436E9">
        <w:rPr>
          <w:rFonts w:ascii="Times New Roman" w:hAnsi="Times New Roman"/>
          <w:noProof/>
          <w:sz w:val="24"/>
          <w:szCs w:val="24"/>
          <w:lang w:val="en-MY"/>
        </w:rPr>
        <w:t>.</w:t>
      </w:r>
    </w:p>
    <w:p w:rsidR="00BE5E20" w:rsidRPr="002436E9" w:rsidRDefault="00CC68F0" w:rsidP="00BE5E20">
      <w:pPr>
        <w:tabs>
          <w:tab w:val="left" w:pos="810"/>
        </w:tabs>
        <w:spacing w:after="0" w:line="240" w:lineRule="auto"/>
        <w:ind w:left="360" w:hanging="360"/>
        <w:jc w:val="both"/>
        <w:rPr>
          <w:rFonts w:ascii="Times New Roman" w:hAnsi="Times New Roman"/>
          <w:noProof/>
          <w:sz w:val="24"/>
          <w:szCs w:val="24"/>
          <w:lang w:val="en-MY"/>
        </w:rPr>
      </w:pPr>
      <w:r w:rsidRPr="002436E9">
        <w:rPr>
          <w:rFonts w:ascii="Times New Roman" w:hAnsi="Times New Roman"/>
          <w:noProof/>
          <w:sz w:val="24"/>
          <w:szCs w:val="24"/>
          <w:lang w:val="en-MY"/>
        </w:rPr>
        <w:t xml:space="preserve">Yellaiah, J. (2012), Awareness of Health Insurance in Andhra Pradesh. </w:t>
      </w:r>
      <w:r w:rsidRPr="002436E9">
        <w:rPr>
          <w:rFonts w:ascii="Times New Roman" w:hAnsi="Times New Roman"/>
          <w:i/>
          <w:iCs/>
          <w:noProof/>
          <w:sz w:val="24"/>
          <w:szCs w:val="24"/>
          <w:lang w:val="en-MY"/>
        </w:rPr>
        <w:t>International Journal of Scientific and Research Publications</w:t>
      </w:r>
      <w:r w:rsidRPr="002436E9">
        <w:rPr>
          <w:rFonts w:ascii="Times New Roman" w:hAnsi="Times New Roman"/>
          <w:noProof/>
          <w:sz w:val="24"/>
          <w:szCs w:val="24"/>
          <w:lang w:val="en-MY"/>
        </w:rPr>
        <w:t xml:space="preserve">, </w:t>
      </w:r>
      <w:r w:rsidR="00876CE9" w:rsidRPr="002436E9">
        <w:rPr>
          <w:rFonts w:ascii="Times New Roman" w:hAnsi="Times New Roman"/>
          <w:i/>
          <w:iCs/>
          <w:noProof/>
          <w:sz w:val="24"/>
          <w:szCs w:val="24"/>
          <w:lang w:val="en-MY"/>
        </w:rPr>
        <w:t>6</w:t>
      </w:r>
      <w:r w:rsidR="00876CE9" w:rsidRPr="002436E9">
        <w:rPr>
          <w:rFonts w:ascii="Times New Roman" w:hAnsi="Times New Roman"/>
          <w:noProof/>
          <w:sz w:val="24"/>
          <w:szCs w:val="24"/>
          <w:lang w:val="en-MY"/>
        </w:rPr>
        <w:t>(</w:t>
      </w:r>
      <w:r w:rsidRPr="002436E9">
        <w:rPr>
          <w:rFonts w:ascii="Times New Roman" w:hAnsi="Times New Roman"/>
          <w:noProof/>
          <w:sz w:val="24"/>
          <w:szCs w:val="24"/>
          <w:lang w:val="en-MY"/>
        </w:rPr>
        <w:t>2</w:t>
      </w:r>
      <w:r w:rsidR="00876CE9" w:rsidRPr="002436E9">
        <w:rPr>
          <w:rFonts w:ascii="Times New Roman" w:hAnsi="Times New Roman"/>
          <w:noProof/>
          <w:sz w:val="24"/>
          <w:szCs w:val="24"/>
          <w:lang w:val="en-MY"/>
        </w:rPr>
        <w:t>)</w:t>
      </w:r>
      <w:r w:rsidRPr="002436E9">
        <w:rPr>
          <w:rFonts w:ascii="Times New Roman" w:hAnsi="Times New Roman"/>
          <w:noProof/>
          <w:sz w:val="24"/>
          <w:szCs w:val="24"/>
          <w:lang w:val="en-MY"/>
        </w:rPr>
        <w:t>, 1-6</w:t>
      </w:r>
      <w:r w:rsidR="009566A7" w:rsidRPr="002436E9">
        <w:rPr>
          <w:rFonts w:ascii="Times New Roman" w:hAnsi="Times New Roman"/>
          <w:noProof/>
          <w:sz w:val="24"/>
          <w:szCs w:val="24"/>
          <w:lang w:val="en-MY"/>
        </w:rPr>
        <w:t>.</w:t>
      </w:r>
    </w:p>
    <w:p w:rsidR="00BE5E20" w:rsidRPr="002436E9" w:rsidRDefault="00B328AF" w:rsidP="00BE5E20">
      <w:pPr>
        <w:tabs>
          <w:tab w:val="left" w:pos="810"/>
        </w:tabs>
        <w:spacing w:after="0" w:line="240" w:lineRule="auto"/>
        <w:ind w:left="360" w:hanging="360"/>
        <w:jc w:val="both"/>
        <w:rPr>
          <w:rFonts w:ascii="Times New Roman" w:hAnsi="Times New Roman"/>
          <w:noProof/>
          <w:sz w:val="24"/>
          <w:szCs w:val="24"/>
          <w:lang w:val="en-MY"/>
        </w:rPr>
      </w:pPr>
      <w:r w:rsidRPr="002436E9">
        <w:rPr>
          <w:rFonts w:ascii="Times New Roman" w:hAnsi="Times New Roman"/>
          <w:noProof/>
          <w:sz w:val="24"/>
          <w:szCs w:val="24"/>
          <w:lang w:val="en-MY"/>
        </w:rPr>
        <w:t xml:space="preserve">Yon </w:t>
      </w:r>
      <w:r w:rsidR="00D14303">
        <w:rPr>
          <w:rFonts w:ascii="Times New Roman" w:hAnsi="Times New Roman"/>
          <w:noProof/>
          <w:sz w:val="24"/>
          <w:szCs w:val="24"/>
          <w:lang w:val="en-MY"/>
        </w:rPr>
        <w:t>Bahiyah, W.</w:t>
      </w:r>
      <w:r w:rsidR="00173AB2" w:rsidRPr="002436E9">
        <w:rPr>
          <w:rFonts w:ascii="Times New Roman" w:hAnsi="Times New Roman"/>
          <w:noProof/>
          <w:sz w:val="24"/>
          <w:szCs w:val="24"/>
          <w:lang w:val="en-MY"/>
        </w:rPr>
        <w:t>A., Siti Zaleha &amp;</w:t>
      </w:r>
      <w:r w:rsidRPr="002436E9">
        <w:rPr>
          <w:rFonts w:ascii="Times New Roman" w:hAnsi="Times New Roman"/>
          <w:noProof/>
          <w:sz w:val="24"/>
          <w:szCs w:val="24"/>
          <w:lang w:val="en-MY"/>
        </w:rPr>
        <w:t xml:space="preserve"> Norshahida, S. (2009). A Relook into Awareness, Perceptions, Barriers and Future Insurance needs: A Case Study of Takaful and the Malays. </w:t>
      </w:r>
      <w:r w:rsidRPr="002436E9">
        <w:rPr>
          <w:rFonts w:ascii="Times New Roman" w:hAnsi="Times New Roman"/>
          <w:i/>
          <w:iCs/>
          <w:noProof/>
          <w:sz w:val="24"/>
          <w:szCs w:val="24"/>
          <w:lang w:val="en-MY"/>
        </w:rPr>
        <w:t>Conference of the International Journal of Arts and Sciences</w:t>
      </w:r>
      <w:r w:rsidR="00173AB2" w:rsidRPr="002436E9">
        <w:rPr>
          <w:rFonts w:ascii="Times New Roman" w:hAnsi="Times New Roman"/>
          <w:i/>
          <w:iCs/>
          <w:noProof/>
          <w:sz w:val="24"/>
          <w:szCs w:val="24"/>
          <w:lang w:val="en-MY"/>
        </w:rPr>
        <w:t>,</w:t>
      </w:r>
      <w:r w:rsidRPr="002436E9">
        <w:rPr>
          <w:rFonts w:ascii="Times New Roman" w:hAnsi="Times New Roman"/>
          <w:noProof/>
          <w:sz w:val="24"/>
          <w:szCs w:val="24"/>
          <w:lang w:val="en-MY"/>
        </w:rPr>
        <w:t xml:space="preserve"> </w:t>
      </w:r>
      <w:r w:rsidRPr="002436E9">
        <w:rPr>
          <w:rFonts w:ascii="Times New Roman" w:hAnsi="Times New Roman"/>
          <w:i/>
          <w:noProof/>
          <w:sz w:val="24"/>
          <w:szCs w:val="24"/>
          <w:lang w:val="en-MY"/>
        </w:rPr>
        <w:t>1</w:t>
      </w:r>
      <w:r w:rsidRPr="002436E9">
        <w:rPr>
          <w:rFonts w:ascii="Times New Roman" w:hAnsi="Times New Roman"/>
          <w:noProof/>
          <w:sz w:val="24"/>
          <w:szCs w:val="24"/>
          <w:lang w:val="en-MY"/>
        </w:rPr>
        <w:t>(19), 10</w:t>
      </w:r>
      <w:r w:rsidR="00BE5E20" w:rsidRPr="002436E9">
        <w:rPr>
          <w:rFonts w:ascii="Times New Roman" w:hAnsi="Times New Roman"/>
          <w:noProof/>
          <w:sz w:val="24"/>
          <w:szCs w:val="24"/>
          <w:lang w:val="en-MY"/>
        </w:rPr>
        <w:t>-</w:t>
      </w:r>
      <w:r w:rsidRPr="002436E9">
        <w:rPr>
          <w:rFonts w:ascii="Times New Roman" w:hAnsi="Times New Roman"/>
          <w:noProof/>
          <w:sz w:val="24"/>
          <w:szCs w:val="24"/>
          <w:lang w:val="en-MY"/>
        </w:rPr>
        <w:t>21</w:t>
      </w:r>
      <w:r w:rsidR="009566A7" w:rsidRPr="002436E9">
        <w:rPr>
          <w:rFonts w:ascii="Times New Roman" w:hAnsi="Times New Roman"/>
          <w:noProof/>
          <w:sz w:val="24"/>
          <w:szCs w:val="24"/>
          <w:lang w:val="en-MY"/>
        </w:rPr>
        <w:t>.</w:t>
      </w:r>
    </w:p>
    <w:p w:rsidR="00BE5E20" w:rsidRPr="002436E9" w:rsidRDefault="00B328AF" w:rsidP="00BE5E20">
      <w:pPr>
        <w:tabs>
          <w:tab w:val="left" w:pos="810"/>
        </w:tabs>
        <w:spacing w:after="0" w:line="240" w:lineRule="auto"/>
        <w:ind w:left="360" w:hanging="360"/>
        <w:jc w:val="both"/>
        <w:rPr>
          <w:rFonts w:ascii="Times New Roman" w:hAnsi="Times New Roman"/>
          <w:noProof/>
          <w:sz w:val="24"/>
          <w:szCs w:val="24"/>
          <w:lang w:val="en-MY"/>
        </w:rPr>
      </w:pPr>
      <w:r w:rsidRPr="002436E9">
        <w:rPr>
          <w:rFonts w:ascii="Times New Roman" w:hAnsi="Times New Roman"/>
          <w:noProof/>
          <w:sz w:val="24"/>
          <w:szCs w:val="24"/>
          <w:lang w:val="en-MY"/>
        </w:rPr>
        <w:t>Zainudin, Z., Nurul Marina, Nik Fakrul, Wan Anisabanum, S., Mo</w:t>
      </w:r>
      <w:r w:rsidR="00173AB2" w:rsidRPr="002436E9">
        <w:rPr>
          <w:rFonts w:ascii="Times New Roman" w:hAnsi="Times New Roman"/>
          <w:noProof/>
          <w:sz w:val="24"/>
          <w:szCs w:val="24"/>
          <w:lang w:val="en-MY"/>
        </w:rPr>
        <w:t>hd Tajul, Nur Raihana,</w:t>
      </w:r>
      <w:r w:rsidR="00FE1320" w:rsidRPr="002436E9">
        <w:rPr>
          <w:rFonts w:ascii="Times New Roman" w:hAnsi="Times New Roman"/>
          <w:noProof/>
          <w:sz w:val="24"/>
          <w:szCs w:val="24"/>
          <w:lang w:val="en-MY"/>
        </w:rPr>
        <w:t xml:space="preserve"> </w:t>
      </w:r>
      <w:r w:rsidR="00D14303">
        <w:rPr>
          <w:rFonts w:ascii="Times New Roman" w:hAnsi="Times New Roman"/>
          <w:noProof/>
          <w:sz w:val="24"/>
          <w:szCs w:val="24"/>
          <w:lang w:val="en-MY"/>
        </w:rPr>
        <w:t>M.</w:t>
      </w:r>
      <w:r w:rsidR="00173AB2" w:rsidRPr="002436E9">
        <w:rPr>
          <w:rFonts w:ascii="Times New Roman" w:hAnsi="Times New Roman"/>
          <w:noProof/>
          <w:sz w:val="24"/>
          <w:szCs w:val="24"/>
          <w:lang w:val="en-MY"/>
        </w:rPr>
        <w:t>S. &amp;</w:t>
      </w:r>
      <w:r w:rsidRPr="002436E9">
        <w:rPr>
          <w:rFonts w:ascii="Times New Roman" w:hAnsi="Times New Roman"/>
          <w:noProof/>
          <w:sz w:val="24"/>
          <w:szCs w:val="24"/>
          <w:lang w:val="en-MY"/>
        </w:rPr>
        <w:t xml:space="preserve"> Jannah Munirah,</w:t>
      </w:r>
      <w:r w:rsidR="00FE1320" w:rsidRPr="002436E9">
        <w:rPr>
          <w:rFonts w:ascii="Times New Roman" w:hAnsi="Times New Roman"/>
          <w:noProof/>
          <w:sz w:val="24"/>
          <w:szCs w:val="24"/>
          <w:lang w:val="en-MY"/>
        </w:rPr>
        <w:t xml:space="preserve"> </w:t>
      </w:r>
      <w:r w:rsidRPr="002436E9">
        <w:rPr>
          <w:rFonts w:ascii="Times New Roman" w:hAnsi="Times New Roman"/>
          <w:noProof/>
          <w:sz w:val="24"/>
          <w:szCs w:val="24"/>
          <w:lang w:val="en-MY"/>
        </w:rPr>
        <w:t xml:space="preserve">M. N. (2016). The Intention to Purchase Life Insurance: A Case Study of Staff in Public Universities. </w:t>
      </w:r>
      <w:r w:rsidRPr="002436E9">
        <w:rPr>
          <w:rFonts w:ascii="Times New Roman" w:hAnsi="Times New Roman"/>
          <w:i/>
          <w:iCs/>
          <w:noProof/>
          <w:sz w:val="24"/>
          <w:szCs w:val="24"/>
          <w:lang w:val="en-MY"/>
        </w:rPr>
        <w:t>Procedia Economics and Finance</w:t>
      </w:r>
      <w:r w:rsidR="00173AB2" w:rsidRPr="002436E9">
        <w:rPr>
          <w:rFonts w:ascii="Times New Roman" w:hAnsi="Times New Roman"/>
          <w:i/>
          <w:iCs/>
          <w:noProof/>
          <w:sz w:val="24"/>
          <w:szCs w:val="24"/>
          <w:lang w:val="en-MY"/>
        </w:rPr>
        <w:t>,</w:t>
      </w:r>
      <w:r w:rsidRPr="002436E9">
        <w:rPr>
          <w:rFonts w:ascii="Times New Roman" w:hAnsi="Times New Roman"/>
          <w:i/>
          <w:iCs/>
          <w:noProof/>
          <w:sz w:val="24"/>
          <w:szCs w:val="24"/>
          <w:lang w:val="en-MY"/>
        </w:rPr>
        <w:t xml:space="preserve"> </w:t>
      </w:r>
      <w:r w:rsidRPr="002436E9">
        <w:rPr>
          <w:rFonts w:ascii="Times New Roman" w:hAnsi="Times New Roman"/>
          <w:iCs/>
          <w:noProof/>
          <w:sz w:val="24"/>
          <w:szCs w:val="24"/>
          <w:lang w:val="en-MY"/>
        </w:rPr>
        <w:t>37</w:t>
      </w:r>
      <w:r w:rsidR="00173AB2" w:rsidRPr="002436E9">
        <w:rPr>
          <w:rFonts w:ascii="Times New Roman" w:hAnsi="Times New Roman"/>
          <w:iCs/>
          <w:noProof/>
          <w:sz w:val="24"/>
          <w:szCs w:val="24"/>
          <w:lang w:val="en-MY"/>
        </w:rPr>
        <w:t>,</w:t>
      </w:r>
      <w:r w:rsidRPr="002436E9">
        <w:rPr>
          <w:rFonts w:ascii="Times New Roman" w:hAnsi="Times New Roman"/>
          <w:noProof/>
          <w:sz w:val="24"/>
          <w:szCs w:val="24"/>
          <w:lang w:val="en-MY"/>
        </w:rPr>
        <w:t xml:space="preserve"> 358 – 365</w:t>
      </w:r>
    </w:p>
    <w:p w:rsidR="00BE5E20" w:rsidRPr="002436E9" w:rsidRDefault="00B328AF" w:rsidP="00BE5E20">
      <w:pPr>
        <w:tabs>
          <w:tab w:val="left" w:pos="810"/>
        </w:tabs>
        <w:spacing w:after="0" w:line="240" w:lineRule="auto"/>
        <w:ind w:left="360" w:hanging="360"/>
        <w:jc w:val="both"/>
        <w:rPr>
          <w:rFonts w:ascii="Times New Roman" w:hAnsi="Times New Roman"/>
          <w:noProof/>
          <w:sz w:val="24"/>
          <w:szCs w:val="24"/>
          <w:lang w:val="en-MY"/>
        </w:rPr>
      </w:pPr>
      <w:proofErr w:type="spellStart"/>
      <w:r w:rsidRPr="002436E9">
        <w:rPr>
          <w:rFonts w:ascii="Times New Roman" w:hAnsi="Times New Roman"/>
          <w:sz w:val="24"/>
          <w:szCs w:val="24"/>
          <w:lang w:val="en-MY"/>
        </w:rPr>
        <w:t>Zulita</w:t>
      </w:r>
      <w:proofErr w:type="spellEnd"/>
      <w:r w:rsidRPr="002436E9">
        <w:rPr>
          <w:rFonts w:ascii="Times New Roman" w:hAnsi="Times New Roman"/>
          <w:sz w:val="24"/>
          <w:szCs w:val="24"/>
          <w:lang w:val="en-MY"/>
        </w:rPr>
        <w:t xml:space="preserve"> Mustafa. (2017). How much would it cost to pursue higher education in Malaysia? </w:t>
      </w:r>
      <w:r w:rsidR="00ED3764" w:rsidRPr="002436E9">
        <w:rPr>
          <w:rFonts w:ascii="Times New Roman" w:hAnsi="Times New Roman"/>
          <w:sz w:val="24"/>
          <w:szCs w:val="24"/>
          <w:lang w:val="en-MY"/>
        </w:rPr>
        <w:t xml:space="preserve">Retrieved from </w:t>
      </w:r>
      <w:hyperlink r:id="rId14" w:history="1">
        <w:r w:rsidR="00ED3764" w:rsidRPr="002436E9">
          <w:rPr>
            <w:rStyle w:val="Hyperlink"/>
            <w:rFonts w:ascii="Times New Roman" w:hAnsi="Times New Roman"/>
            <w:color w:val="auto"/>
            <w:sz w:val="24"/>
            <w:szCs w:val="24"/>
            <w:u w:val="none"/>
            <w:lang w:val="en-MY"/>
          </w:rPr>
          <w:t>https://www.nst.com.my/news/2017/03/223461/how-much-would-it-cost-pursue-higher-education-malaysia</w:t>
        </w:r>
      </w:hyperlink>
    </w:p>
    <w:p w:rsidR="00B328AF" w:rsidRPr="002436E9" w:rsidRDefault="00D14303" w:rsidP="00BE5E20">
      <w:pPr>
        <w:tabs>
          <w:tab w:val="left" w:pos="810"/>
        </w:tabs>
        <w:spacing w:after="0" w:line="240" w:lineRule="auto"/>
        <w:ind w:left="360" w:hanging="360"/>
        <w:jc w:val="both"/>
        <w:rPr>
          <w:rFonts w:ascii="Times New Roman" w:hAnsi="Times New Roman"/>
          <w:noProof/>
          <w:sz w:val="24"/>
          <w:szCs w:val="24"/>
          <w:lang w:val="en-MY"/>
        </w:rPr>
      </w:pPr>
      <w:r>
        <w:rPr>
          <w:rFonts w:ascii="Times New Roman" w:hAnsi="Times New Roman"/>
          <w:noProof/>
          <w:sz w:val="24"/>
          <w:szCs w:val="24"/>
          <w:lang w:val="en-MY"/>
        </w:rPr>
        <w:t>Zuriah, A.</w:t>
      </w:r>
      <w:r w:rsidR="00B328AF" w:rsidRPr="002436E9">
        <w:rPr>
          <w:rFonts w:ascii="Times New Roman" w:hAnsi="Times New Roman"/>
          <w:noProof/>
          <w:sz w:val="24"/>
          <w:szCs w:val="24"/>
          <w:lang w:val="en-MY"/>
        </w:rPr>
        <w:t>R., Rosylin,</w:t>
      </w:r>
      <w:r w:rsidR="00ED3764" w:rsidRPr="002436E9">
        <w:rPr>
          <w:rFonts w:ascii="Times New Roman" w:hAnsi="Times New Roman"/>
          <w:noProof/>
          <w:sz w:val="24"/>
          <w:szCs w:val="24"/>
          <w:lang w:val="en-MY"/>
        </w:rPr>
        <w:t xml:space="preserve"> </w:t>
      </w:r>
      <w:r>
        <w:rPr>
          <w:rFonts w:ascii="Times New Roman" w:hAnsi="Times New Roman"/>
          <w:noProof/>
          <w:sz w:val="24"/>
          <w:szCs w:val="24"/>
          <w:lang w:val="en-MY"/>
        </w:rPr>
        <w:t>M.</w:t>
      </w:r>
      <w:r w:rsidR="00B328AF" w:rsidRPr="002436E9">
        <w:rPr>
          <w:rFonts w:ascii="Times New Roman" w:hAnsi="Times New Roman"/>
          <w:noProof/>
          <w:sz w:val="24"/>
          <w:szCs w:val="24"/>
          <w:lang w:val="en-MY"/>
        </w:rPr>
        <w:t xml:space="preserve">Y., &amp; Faizah, A. (2008). Family Takaful: It’s Role In Social Economic Development and as a Savings And Investment Instrument In Malaysia. </w:t>
      </w:r>
      <w:r w:rsidR="00B328AF" w:rsidRPr="002436E9">
        <w:rPr>
          <w:rFonts w:ascii="Times New Roman" w:hAnsi="Times New Roman"/>
          <w:i/>
          <w:iCs/>
          <w:noProof/>
          <w:sz w:val="24"/>
          <w:szCs w:val="24"/>
          <w:lang w:val="en-MY"/>
        </w:rPr>
        <w:t>Jurnal Syariah,</w:t>
      </w:r>
      <w:r w:rsidR="00B328AF" w:rsidRPr="002436E9">
        <w:rPr>
          <w:rFonts w:ascii="Times New Roman" w:hAnsi="Times New Roman"/>
          <w:noProof/>
          <w:sz w:val="24"/>
          <w:szCs w:val="24"/>
          <w:lang w:val="en-MY"/>
        </w:rPr>
        <w:t xml:space="preserve"> </w:t>
      </w:r>
      <w:r w:rsidR="00B328AF" w:rsidRPr="002436E9">
        <w:rPr>
          <w:rFonts w:ascii="Times New Roman" w:hAnsi="Times New Roman"/>
          <w:i/>
          <w:noProof/>
          <w:sz w:val="24"/>
          <w:szCs w:val="24"/>
          <w:lang w:val="en-MY"/>
        </w:rPr>
        <w:t>16</w:t>
      </w:r>
      <w:r w:rsidR="00B328AF" w:rsidRPr="002436E9">
        <w:rPr>
          <w:rFonts w:ascii="Times New Roman" w:hAnsi="Times New Roman"/>
          <w:noProof/>
          <w:sz w:val="24"/>
          <w:szCs w:val="24"/>
          <w:lang w:val="en-MY"/>
        </w:rPr>
        <w:t>(1), 89-105</w:t>
      </w:r>
      <w:r w:rsidR="00ED3764" w:rsidRPr="002436E9">
        <w:rPr>
          <w:rFonts w:ascii="Times New Roman" w:hAnsi="Times New Roman"/>
          <w:noProof/>
          <w:sz w:val="24"/>
          <w:szCs w:val="24"/>
          <w:lang w:val="en-MY"/>
        </w:rPr>
        <w:t>.</w:t>
      </w:r>
    </w:p>
    <w:p w:rsidR="00B328AF" w:rsidRDefault="00B328AF" w:rsidP="00D9735B">
      <w:pPr>
        <w:spacing w:after="0" w:line="240" w:lineRule="auto"/>
        <w:rPr>
          <w:rFonts w:ascii="Times New Roman" w:hAnsi="Times New Roman"/>
          <w:sz w:val="24"/>
          <w:szCs w:val="24"/>
        </w:rPr>
      </w:pPr>
    </w:p>
    <w:p w:rsidR="00F6382B" w:rsidRPr="00F6382B" w:rsidRDefault="00F6382B" w:rsidP="00F6382B">
      <w:pPr>
        <w:spacing w:after="0" w:line="360" w:lineRule="auto"/>
        <w:jc w:val="both"/>
        <w:rPr>
          <w:rFonts w:ascii="Times New Roman" w:hAnsi="Times New Roman"/>
          <w:sz w:val="20"/>
          <w:szCs w:val="24"/>
        </w:rPr>
      </w:pPr>
    </w:p>
    <w:p w:rsidR="00F6382B" w:rsidRPr="00F6382B" w:rsidRDefault="00F6382B" w:rsidP="00F6382B">
      <w:pPr>
        <w:spacing w:after="0" w:line="240" w:lineRule="auto"/>
        <w:jc w:val="both"/>
        <w:rPr>
          <w:rFonts w:ascii="Times New Roman" w:hAnsi="Times New Roman"/>
          <w:iCs/>
          <w:sz w:val="20"/>
          <w:szCs w:val="20"/>
        </w:rPr>
      </w:pPr>
    </w:p>
    <w:p w:rsidR="00F6382B" w:rsidRPr="00F6382B" w:rsidRDefault="00F6382B" w:rsidP="00F6382B">
      <w:pPr>
        <w:spacing w:after="0" w:line="240" w:lineRule="auto"/>
        <w:jc w:val="both"/>
        <w:rPr>
          <w:rFonts w:ascii="Times New Roman" w:hAnsi="Times New Roman"/>
          <w:iCs/>
          <w:sz w:val="20"/>
          <w:szCs w:val="20"/>
          <w:lang w:val="en"/>
        </w:rPr>
      </w:pPr>
    </w:p>
    <w:sectPr w:rsidR="00F6382B" w:rsidRPr="00F6382B" w:rsidSect="00E97F43">
      <w:headerReference w:type="default" r:id="rId15"/>
      <w:pgSz w:w="12240" w:h="15840"/>
      <w:pgMar w:top="1440" w:right="1440" w:bottom="1440" w:left="1440" w:header="720" w:footer="720" w:gutter="0"/>
      <w:pgNumType w:start="9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32" w:rsidRDefault="00F64232">
      <w:pPr>
        <w:spacing w:after="0" w:line="240" w:lineRule="auto"/>
      </w:pPr>
      <w:r>
        <w:separator/>
      </w:r>
    </w:p>
  </w:endnote>
  <w:endnote w:type="continuationSeparator" w:id="0">
    <w:p w:rsidR="00F64232" w:rsidRDefault="00F6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32" w:rsidRDefault="00F64232">
      <w:pPr>
        <w:spacing w:after="0" w:line="240" w:lineRule="auto"/>
      </w:pPr>
      <w:r>
        <w:separator/>
      </w:r>
    </w:p>
  </w:footnote>
  <w:footnote w:type="continuationSeparator" w:id="0">
    <w:p w:rsidR="00F64232" w:rsidRDefault="00F64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B08" w:rsidRPr="004E3B08" w:rsidRDefault="004E3B08" w:rsidP="004E3B08">
    <w:pPr>
      <w:tabs>
        <w:tab w:val="left" w:pos="720"/>
        <w:tab w:val="center" w:pos="4680"/>
        <w:tab w:val="right" w:pos="9360"/>
      </w:tabs>
      <w:spacing w:after="0" w:line="240" w:lineRule="auto"/>
      <w:jc w:val="both"/>
      <w:rPr>
        <w:rFonts w:ascii="Times New Roman" w:hAnsi="Times New Roman"/>
        <w:sz w:val="18"/>
        <w:szCs w:val="18"/>
      </w:rPr>
    </w:pPr>
    <w:r w:rsidRPr="004E3B08">
      <w:rPr>
        <w:rFonts w:ascii="Times New Roman" w:hAnsi="Times New Roman"/>
        <w:sz w:val="18"/>
        <w:szCs w:val="18"/>
      </w:rPr>
      <w:t xml:space="preserve">GEOGRAFIA </w:t>
    </w:r>
    <w:proofErr w:type="spellStart"/>
    <w:r w:rsidRPr="004E3B08">
      <w:rPr>
        <w:rFonts w:ascii="Times New Roman" w:hAnsi="Times New Roman"/>
        <w:sz w:val="18"/>
        <w:szCs w:val="18"/>
      </w:rPr>
      <w:t>Online</w:t>
    </w:r>
    <w:r w:rsidRPr="004E3B08">
      <w:rPr>
        <w:rFonts w:ascii="Times New Roman" w:hAnsi="Times New Roman"/>
        <w:sz w:val="18"/>
        <w:szCs w:val="18"/>
        <w:vertAlign w:val="superscript"/>
      </w:rPr>
      <w:t>TM</w:t>
    </w:r>
    <w:proofErr w:type="spellEnd"/>
    <w:r w:rsidRPr="004E3B08">
      <w:rPr>
        <w:rFonts w:ascii="Times New Roman" w:hAnsi="Times New Roman"/>
        <w:sz w:val="18"/>
        <w:szCs w:val="18"/>
      </w:rPr>
      <w:t xml:space="preserve"> Malaysian Journal of Society and Space</w:t>
    </w:r>
    <w:r w:rsidRPr="004E3B08">
      <w:rPr>
        <w:rFonts w:ascii="Times New Roman" w:hAnsi="Times New Roman"/>
        <w:b/>
        <w:sz w:val="18"/>
        <w:szCs w:val="18"/>
      </w:rPr>
      <w:t xml:space="preserve"> </w:t>
    </w:r>
    <w:r w:rsidRPr="004E3B08">
      <w:rPr>
        <w:rFonts w:ascii="Times New Roman" w:hAnsi="Times New Roman"/>
        <w:sz w:val="18"/>
        <w:szCs w:val="18"/>
      </w:rPr>
      <w:t>15 issue</w:t>
    </w:r>
    <w:r w:rsidRPr="004E3B08">
      <w:rPr>
        <w:rFonts w:ascii="Times New Roman" w:hAnsi="Times New Roman"/>
        <w:b/>
        <w:sz w:val="18"/>
        <w:szCs w:val="18"/>
      </w:rPr>
      <w:t xml:space="preserve"> </w:t>
    </w:r>
    <w:r w:rsidRPr="004E3B08">
      <w:rPr>
        <w:rFonts w:ascii="Times New Roman" w:hAnsi="Times New Roman"/>
        <w:sz w:val="18"/>
        <w:szCs w:val="18"/>
      </w:rPr>
      <w:t>4</w:t>
    </w:r>
    <w:r w:rsidRPr="004E3B08">
      <w:rPr>
        <w:rFonts w:ascii="Times New Roman" w:hAnsi="Times New Roman"/>
        <w:b/>
        <w:sz w:val="18"/>
        <w:szCs w:val="18"/>
      </w:rPr>
      <w:t xml:space="preserve"> </w:t>
    </w:r>
    <w:r w:rsidRPr="004E3B08">
      <w:rPr>
        <w:rFonts w:ascii="Times New Roman" w:hAnsi="Times New Roman"/>
        <w:sz w:val="18"/>
        <w:szCs w:val="18"/>
      </w:rPr>
      <w:t>(</w:t>
    </w:r>
    <w:r>
      <w:rPr>
        <w:rFonts w:ascii="Times New Roman" w:hAnsi="Times New Roman"/>
        <w:sz w:val="18"/>
        <w:szCs w:val="18"/>
      </w:rPr>
      <w:t>9</w:t>
    </w:r>
    <w:r w:rsidR="00E97F43">
      <w:rPr>
        <w:rFonts w:ascii="Times New Roman" w:hAnsi="Times New Roman"/>
        <w:sz w:val="18"/>
        <w:szCs w:val="18"/>
      </w:rPr>
      <w:t>2</w:t>
    </w:r>
    <w:r w:rsidRPr="004E3B08">
      <w:rPr>
        <w:rFonts w:ascii="Times New Roman" w:hAnsi="Times New Roman"/>
        <w:sz w:val="18"/>
        <w:szCs w:val="18"/>
      </w:rPr>
      <w:t>-</w:t>
    </w:r>
    <w:r>
      <w:rPr>
        <w:rFonts w:ascii="Times New Roman" w:hAnsi="Times New Roman"/>
        <w:sz w:val="18"/>
        <w:szCs w:val="18"/>
      </w:rPr>
      <w:t>10</w:t>
    </w:r>
    <w:r w:rsidR="00E97F43">
      <w:rPr>
        <w:rFonts w:ascii="Times New Roman" w:hAnsi="Times New Roman"/>
        <w:sz w:val="18"/>
        <w:szCs w:val="18"/>
      </w:rPr>
      <w:t>5</w:t>
    </w:r>
    <w:r w:rsidRPr="004E3B08">
      <w:rPr>
        <w:rFonts w:ascii="Times New Roman" w:hAnsi="Times New Roman"/>
        <w:sz w:val="18"/>
        <w:szCs w:val="18"/>
      </w:rPr>
      <w:t>)</w:t>
    </w:r>
    <w:r w:rsidRPr="004E3B08">
      <w:rPr>
        <w:rFonts w:ascii="Times New Roman" w:hAnsi="Times New Roman"/>
        <w:sz w:val="18"/>
        <w:szCs w:val="18"/>
      </w:rPr>
      <w:tab/>
    </w:r>
  </w:p>
  <w:p w:rsidR="00C80832" w:rsidRPr="00DD489A" w:rsidRDefault="004E3B08" w:rsidP="004E3B08">
    <w:pPr>
      <w:pStyle w:val="Header"/>
      <w:tabs>
        <w:tab w:val="clear" w:pos="9026"/>
        <w:tab w:val="right" w:pos="9360"/>
      </w:tabs>
      <w:rPr>
        <w:rFonts w:eastAsia="Times New Roman"/>
      </w:rPr>
    </w:pPr>
    <w:r w:rsidRPr="004E3B08">
      <w:rPr>
        <w:rFonts w:ascii="Times New Roman" w:hAnsi="Times New Roman"/>
        <w:sz w:val="18"/>
        <w:szCs w:val="18"/>
      </w:rPr>
      <w:t>© 2019, e-ISSN 2682-</w:t>
    </w:r>
    <w:r w:rsidRPr="004E3B08">
      <w:rPr>
        <w:rFonts w:ascii="Times New Roman" w:hAnsi="Times New Roman"/>
        <w:color w:val="000000"/>
        <w:sz w:val="18"/>
        <w:szCs w:val="18"/>
      </w:rPr>
      <w:t xml:space="preserve">7727    </w:t>
    </w:r>
    <w:hyperlink r:id="rId1" w:history="1">
      <w:r w:rsidRPr="00A85B79">
        <w:rPr>
          <w:rStyle w:val="Hyperlink"/>
          <w:rFonts w:ascii="Times New Roman" w:hAnsi="Times New Roman"/>
          <w:color w:val="auto"/>
          <w:sz w:val="18"/>
          <w:szCs w:val="18"/>
          <w:u w:val="none"/>
        </w:rPr>
        <w:t>https://doi.org/10.17576/geo-2019-1504-07</w:t>
      </w:r>
    </w:hyperlink>
    <w:r>
      <w:rPr>
        <w:rFonts w:ascii="Times New Roman" w:hAnsi="Times New Roman"/>
        <w:color w:val="000000"/>
        <w:sz w:val="18"/>
        <w:szCs w:val="18"/>
        <w:lang w:val="en-US"/>
      </w:rPr>
      <w:tab/>
    </w:r>
    <w:r w:rsidRPr="004E3B08">
      <w:rPr>
        <w:rFonts w:ascii="Times New Roman" w:hAnsi="Times New Roman"/>
        <w:sz w:val="18"/>
        <w:szCs w:val="18"/>
      </w:rPr>
      <w:fldChar w:fldCharType="begin"/>
    </w:r>
    <w:r w:rsidRPr="004E3B08">
      <w:rPr>
        <w:rFonts w:ascii="Times New Roman" w:hAnsi="Times New Roman"/>
        <w:sz w:val="18"/>
        <w:szCs w:val="18"/>
      </w:rPr>
      <w:instrText xml:space="preserve"> PAGE   \* MERGEFORMAT </w:instrText>
    </w:r>
    <w:r w:rsidRPr="004E3B08">
      <w:rPr>
        <w:rFonts w:ascii="Times New Roman" w:hAnsi="Times New Roman"/>
        <w:sz w:val="18"/>
        <w:szCs w:val="18"/>
      </w:rPr>
      <w:fldChar w:fldCharType="separate"/>
    </w:r>
    <w:r w:rsidR="00A85B79">
      <w:rPr>
        <w:rFonts w:ascii="Times New Roman" w:hAnsi="Times New Roman"/>
        <w:noProof/>
        <w:sz w:val="18"/>
        <w:szCs w:val="18"/>
      </w:rPr>
      <w:t>92</w:t>
    </w:r>
    <w:r w:rsidRPr="004E3B08">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3">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2"/>
  </w:num>
  <w:num w:numId="3">
    <w:abstractNumId w:val="26"/>
  </w:num>
  <w:num w:numId="4">
    <w:abstractNumId w:val="29"/>
  </w:num>
  <w:num w:numId="5">
    <w:abstractNumId w:val="3"/>
  </w:num>
  <w:num w:numId="6">
    <w:abstractNumId w:val="11"/>
  </w:num>
  <w:num w:numId="7">
    <w:abstractNumId w:val="31"/>
  </w:num>
  <w:num w:numId="8">
    <w:abstractNumId w:val="16"/>
  </w:num>
  <w:num w:numId="9">
    <w:abstractNumId w:val="27"/>
  </w:num>
  <w:num w:numId="10">
    <w:abstractNumId w:val="1"/>
  </w:num>
  <w:num w:numId="11">
    <w:abstractNumId w:val="33"/>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5"/>
  </w:num>
  <w:num w:numId="21">
    <w:abstractNumId w:val="12"/>
  </w:num>
  <w:num w:numId="22">
    <w:abstractNumId w:val="4"/>
  </w:num>
  <w:num w:numId="23">
    <w:abstractNumId w:val="8"/>
  </w:num>
  <w:num w:numId="24">
    <w:abstractNumId w:val="7"/>
  </w:num>
  <w:num w:numId="25">
    <w:abstractNumId w:val="23"/>
  </w:num>
  <w:num w:numId="26">
    <w:abstractNumId w:val="10"/>
  </w:num>
  <w:num w:numId="27">
    <w:abstractNumId w:val="30"/>
  </w:num>
  <w:num w:numId="28">
    <w:abstractNumId w:val="24"/>
  </w:num>
  <w:num w:numId="29">
    <w:abstractNumId w:val="28"/>
  </w:num>
  <w:num w:numId="30">
    <w:abstractNumId w:val="17"/>
  </w:num>
  <w:num w:numId="31">
    <w:abstractNumId w:val="34"/>
  </w:num>
  <w:num w:numId="32">
    <w:abstractNumId w:val="0"/>
  </w:num>
  <w:num w:numId="33">
    <w:abstractNumId w:val="1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45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yNzUzMzQ3MDczN7VQ0lEKTi0uzszPAykwqgUAYguJrCwAAAA="/>
  </w:docVars>
  <w:rsids>
    <w:rsidRoot w:val="0074147E"/>
    <w:rsid w:val="00002CF9"/>
    <w:rsid w:val="0000408B"/>
    <w:rsid w:val="00010016"/>
    <w:rsid w:val="000316ED"/>
    <w:rsid w:val="00045280"/>
    <w:rsid w:val="0004531B"/>
    <w:rsid w:val="00047206"/>
    <w:rsid w:val="00050F22"/>
    <w:rsid w:val="0005405C"/>
    <w:rsid w:val="00064518"/>
    <w:rsid w:val="00064D91"/>
    <w:rsid w:val="00072AF9"/>
    <w:rsid w:val="00074EDF"/>
    <w:rsid w:val="00080D84"/>
    <w:rsid w:val="00084BD9"/>
    <w:rsid w:val="0008710B"/>
    <w:rsid w:val="0008718A"/>
    <w:rsid w:val="00091447"/>
    <w:rsid w:val="00096EC5"/>
    <w:rsid w:val="00097C39"/>
    <w:rsid w:val="000A0C0A"/>
    <w:rsid w:val="000A26C0"/>
    <w:rsid w:val="000A5992"/>
    <w:rsid w:val="000B6E26"/>
    <w:rsid w:val="000C19B7"/>
    <w:rsid w:val="000C59A5"/>
    <w:rsid w:val="000C781D"/>
    <w:rsid w:val="000D1639"/>
    <w:rsid w:val="000D5C62"/>
    <w:rsid w:val="000D7272"/>
    <w:rsid w:val="000D7D3E"/>
    <w:rsid w:val="000E664C"/>
    <w:rsid w:val="000E6BD0"/>
    <w:rsid w:val="000F1434"/>
    <w:rsid w:val="000F282B"/>
    <w:rsid w:val="00100046"/>
    <w:rsid w:val="00102CAF"/>
    <w:rsid w:val="00103E39"/>
    <w:rsid w:val="00104E0F"/>
    <w:rsid w:val="001063AE"/>
    <w:rsid w:val="00111D03"/>
    <w:rsid w:val="00115DDC"/>
    <w:rsid w:val="00116E9D"/>
    <w:rsid w:val="00121F04"/>
    <w:rsid w:val="00131F91"/>
    <w:rsid w:val="00134E5E"/>
    <w:rsid w:val="00135E5F"/>
    <w:rsid w:val="001409B5"/>
    <w:rsid w:val="00141AA7"/>
    <w:rsid w:val="001429C2"/>
    <w:rsid w:val="0014319B"/>
    <w:rsid w:val="001455FB"/>
    <w:rsid w:val="00150E14"/>
    <w:rsid w:val="0015739C"/>
    <w:rsid w:val="00160C06"/>
    <w:rsid w:val="00165124"/>
    <w:rsid w:val="0017312A"/>
    <w:rsid w:val="00173AB2"/>
    <w:rsid w:val="00176849"/>
    <w:rsid w:val="00180A2F"/>
    <w:rsid w:val="001814B3"/>
    <w:rsid w:val="001868FD"/>
    <w:rsid w:val="00190F0A"/>
    <w:rsid w:val="0019726B"/>
    <w:rsid w:val="001A510D"/>
    <w:rsid w:val="001B1DAC"/>
    <w:rsid w:val="001B7148"/>
    <w:rsid w:val="001C5A6E"/>
    <w:rsid w:val="001D0045"/>
    <w:rsid w:val="001D1962"/>
    <w:rsid w:val="001D7F8F"/>
    <w:rsid w:val="001E2410"/>
    <w:rsid w:val="001E410E"/>
    <w:rsid w:val="001E58B3"/>
    <w:rsid w:val="001F2B97"/>
    <w:rsid w:val="001F3D58"/>
    <w:rsid w:val="001F53C9"/>
    <w:rsid w:val="001F6127"/>
    <w:rsid w:val="002018AC"/>
    <w:rsid w:val="002049FB"/>
    <w:rsid w:val="00211E15"/>
    <w:rsid w:val="002138FA"/>
    <w:rsid w:val="00213D93"/>
    <w:rsid w:val="00223C79"/>
    <w:rsid w:val="00223EE3"/>
    <w:rsid w:val="0022549F"/>
    <w:rsid w:val="0022579A"/>
    <w:rsid w:val="00226842"/>
    <w:rsid w:val="00226C20"/>
    <w:rsid w:val="002326D5"/>
    <w:rsid w:val="00237435"/>
    <w:rsid w:val="00242670"/>
    <w:rsid w:val="00242958"/>
    <w:rsid w:val="002436E9"/>
    <w:rsid w:val="00243BE8"/>
    <w:rsid w:val="00246AAC"/>
    <w:rsid w:val="00250D14"/>
    <w:rsid w:val="00250DE6"/>
    <w:rsid w:val="00252B50"/>
    <w:rsid w:val="002574E6"/>
    <w:rsid w:val="002616CA"/>
    <w:rsid w:val="00262CD8"/>
    <w:rsid w:val="00265C24"/>
    <w:rsid w:val="0027045E"/>
    <w:rsid w:val="00272C62"/>
    <w:rsid w:val="00276419"/>
    <w:rsid w:val="002771E5"/>
    <w:rsid w:val="002801A8"/>
    <w:rsid w:val="00286E62"/>
    <w:rsid w:val="00294B7D"/>
    <w:rsid w:val="00294BF3"/>
    <w:rsid w:val="002A3ACA"/>
    <w:rsid w:val="002A5304"/>
    <w:rsid w:val="002A6DB5"/>
    <w:rsid w:val="002A7FDB"/>
    <w:rsid w:val="002B41E7"/>
    <w:rsid w:val="002C2BD5"/>
    <w:rsid w:val="002C5F38"/>
    <w:rsid w:val="002C6652"/>
    <w:rsid w:val="002D5BD1"/>
    <w:rsid w:val="002D6494"/>
    <w:rsid w:val="002D6B89"/>
    <w:rsid w:val="002E5AE3"/>
    <w:rsid w:val="00302B00"/>
    <w:rsid w:val="00303E01"/>
    <w:rsid w:val="00305465"/>
    <w:rsid w:val="00312AD7"/>
    <w:rsid w:val="00321148"/>
    <w:rsid w:val="00321249"/>
    <w:rsid w:val="0032406D"/>
    <w:rsid w:val="003242E3"/>
    <w:rsid w:val="00327979"/>
    <w:rsid w:val="00327FE1"/>
    <w:rsid w:val="0033310D"/>
    <w:rsid w:val="00336C61"/>
    <w:rsid w:val="00343362"/>
    <w:rsid w:val="003503FB"/>
    <w:rsid w:val="00351207"/>
    <w:rsid w:val="00352410"/>
    <w:rsid w:val="00356880"/>
    <w:rsid w:val="00357CC4"/>
    <w:rsid w:val="00360C57"/>
    <w:rsid w:val="00364E15"/>
    <w:rsid w:val="00366658"/>
    <w:rsid w:val="003719AE"/>
    <w:rsid w:val="003817B8"/>
    <w:rsid w:val="003849B2"/>
    <w:rsid w:val="00386506"/>
    <w:rsid w:val="003865B9"/>
    <w:rsid w:val="00394D33"/>
    <w:rsid w:val="003A07FD"/>
    <w:rsid w:val="003A0D8A"/>
    <w:rsid w:val="003A0E33"/>
    <w:rsid w:val="003A2B1F"/>
    <w:rsid w:val="003A2CB6"/>
    <w:rsid w:val="003B32B6"/>
    <w:rsid w:val="003B77FC"/>
    <w:rsid w:val="003C2876"/>
    <w:rsid w:val="003C45C5"/>
    <w:rsid w:val="003C7240"/>
    <w:rsid w:val="003D054A"/>
    <w:rsid w:val="003D200C"/>
    <w:rsid w:val="003D41F4"/>
    <w:rsid w:val="003D73AD"/>
    <w:rsid w:val="003E07CE"/>
    <w:rsid w:val="003E21B6"/>
    <w:rsid w:val="003E35A5"/>
    <w:rsid w:val="003E5092"/>
    <w:rsid w:val="003F0A39"/>
    <w:rsid w:val="003F15AC"/>
    <w:rsid w:val="003F44AC"/>
    <w:rsid w:val="003F522D"/>
    <w:rsid w:val="003F54F0"/>
    <w:rsid w:val="00400BCD"/>
    <w:rsid w:val="00413925"/>
    <w:rsid w:val="00417B23"/>
    <w:rsid w:val="00420F49"/>
    <w:rsid w:val="004216B3"/>
    <w:rsid w:val="0042403C"/>
    <w:rsid w:val="004243A7"/>
    <w:rsid w:val="00424D2B"/>
    <w:rsid w:val="00425D18"/>
    <w:rsid w:val="004303B1"/>
    <w:rsid w:val="004522B2"/>
    <w:rsid w:val="00455D06"/>
    <w:rsid w:val="004611B2"/>
    <w:rsid w:val="00462287"/>
    <w:rsid w:val="004623B7"/>
    <w:rsid w:val="0046379D"/>
    <w:rsid w:val="00463A7F"/>
    <w:rsid w:val="00470490"/>
    <w:rsid w:val="00471564"/>
    <w:rsid w:val="004732DE"/>
    <w:rsid w:val="00482546"/>
    <w:rsid w:val="004840EC"/>
    <w:rsid w:val="00486E70"/>
    <w:rsid w:val="004907F8"/>
    <w:rsid w:val="00492336"/>
    <w:rsid w:val="00492551"/>
    <w:rsid w:val="00496E8B"/>
    <w:rsid w:val="004A1464"/>
    <w:rsid w:val="004A6113"/>
    <w:rsid w:val="004A6204"/>
    <w:rsid w:val="004C1B3E"/>
    <w:rsid w:val="004C3F7C"/>
    <w:rsid w:val="004C44DD"/>
    <w:rsid w:val="004D1C0A"/>
    <w:rsid w:val="004D4E69"/>
    <w:rsid w:val="004D6A1F"/>
    <w:rsid w:val="004D7F68"/>
    <w:rsid w:val="004E010C"/>
    <w:rsid w:val="004E1B1A"/>
    <w:rsid w:val="004E3B08"/>
    <w:rsid w:val="004F14C5"/>
    <w:rsid w:val="004F1A37"/>
    <w:rsid w:val="004F2C18"/>
    <w:rsid w:val="004F3B64"/>
    <w:rsid w:val="00516EFC"/>
    <w:rsid w:val="005236B5"/>
    <w:rsid w:val="005312AF"/>
    <w:rsid w:val="00531BC3"/>
    <w:rsid w:val="00532664"/>
    <w:rsid w:val="005379A1"/>
    <w:rsid w:val="00542932"/>
    <w:rsid w:val="0054501A"/>
    <w:rsid w:val="005518FD"/>
    <w:rsid w:val="00555D68"/>
    <w:rsid w:val="00556F15"/>
    <w:rsid w:val="0056207D"/>
    <w:rsid w:val="00565771"/>
    <w:rsid w:val="0057117A"/>
    <w:rsid w:val="00573791"/>
    <w:rsid w:val="0057509C"/>
    <w:rsid w:val="00577D62"/>
    <w:rsid w:val="00585660"/>
    <w:rsid w:val="00590DFB"/>
    <w:rsid w:val="0059559E"/>
    <w:rsid w:val="005A256B"/>
    <w:rsid w:val="005B5998"/>
    <w:rsid w:val="005B73E1"/>
    <w:rsid w:val="005C6252"/>
    <w:rsid w:val="005D2D2F"/>
    <w:rsid w:val="005E22FF"/>
    <w:rsid w:val="005E346E"/>
    <w:rsid w:val="005E3B2C"/>
    <w:rsid w:val="005E6785"/>
    <w:rsid w:val="005F0AF3"/>
    <w:rsid w:val="005F5101"/>
    <w:rsid w:val="005F7999"/>
    <w:rsid w:val="005F7A0D"/>
    <w:rsid w:val="00600CC4"/>
    <w:rsid w:val="00604E2A"/>
    <w:rsid w:val="0060550B"/>
    <w:rsid w:val="0061517A"/>
    <w:rsid w:val="00621D34"/>
    <w:rsid w:val="00623249"/>
    <w:rsid w:val="006245F2"/>
    <w:rsid w:val="006260AE"/>
    <w:rsid w:val="00630D8D"/>
    <w:rsid w:val="006343D5"/>
    <w:rsid w:val="00643B5E"/>
    <w:rsid w:val="006445ED"/>
    <w:rsid w:val="00651814"/>
    <w:rsid w:val="00652110"/>
    <w:rsid w:val="00654DAC"/>
    <w:rsid w:val="00655085"/>
    <w:rsid w:val="00663C6F"/>
    <w:rsid w:val="00663D4B"/>
    <w:rsid w:val="00665D83"/>
    <w:rsid w:val="0066752B"/>
    <w:rsid w:val="006815DC"/>
    <w:rsid w:val="00681F73"/>
    <w:rsid w:val="00682ACA"/>
    <w:rsid w:val="00683673"/>
    <w:rsid w:val="006902D1"/>
    <w:rsid w:val="00690B87"/>
    <w:rsid w:val="00691A0C"/>
    <w:rsid w:val="006926EE"/>
    <w:rsid w:val="006A2998"/>
    <w:rsid w:val="006A478D"/>
    <w:rsid w:val="006B0E21"/>
    <w:rsid w:val="006B1C2A"/>
    <w:rsid w:val="006B4E94"/>
    <w:rsid w:val="006B52AC"/>
    <w:rsid w:val="006B6B6E"/>
    <w:rsid w:val="006C5C76"/>
    <w:rsid w:val="006C629E"/>
    <w:rsid w:val="006D3409"/>
    <w:rsid w:val="006D5008"/>
    <w:rsid w:val="006E197E"/>
    <w:rsid w:val="006E3379"/>
    <w:rsid w:val="006E75DB"/>
    <w:rsid w:val="006F1187"/>
    <w:rsid w:val="006F1C62"/>
    <w:rsid w:val="006F432D"/>
    <w:rsid w:val="00700BAD"/>
    <w:rsid w:val="0071083C"/>
    <w:rsid w:val="007121D4"/>
    <w:rsid w:val="007144ED"/>
    <w:rsid w:val="007174C9"/>
    <w:rsid w:val="00736499"/>
    <w:rsid w:val="007370F7"/>
    <w:rsid w:val="007376DE"/>
    <w:rsid w:val="0074147E"/>
    <w:rsid w:val="00741A16"/>
    <w:rsid w:val="00743909"/>
    <w:rsid w:val="00745CCF"/>
    <w:rsid w:val="00757AC7"/>
    <w:rsid w:val="007616DD"/>
    <w:rsid w:val="00765A20"/>
    <w:rsid w:val="0077237D"/>
    <w:rsid w:val="00777709"/>
    <w:rsid w:val="00781600"/>
    <w:rsid w:val="007838A4"/>
    <w:rsid w:val="007844AB"/>
    <w:rsid w:val="007923C6"/>
    <w:rsid w:val="007950CF"/>
    <w:rsid w:val="00795492"/>
    <w:rsid w:val="007A3872"/>
    <w:rsid w:val="007A3AAE"/>
    <w:rsid w:val="007B0014"/>
    <w:rsid w:val="007B210A"/>
    <w:rsid w:val="007B294B"/>
    <w:rsid w:val="007B3852"/>
    <w:rsid w:val="007B4BF8"/>
    <w:rsid w:val="007C5467"/>
    <w:rsid w:val="007C6767"/>
    <w:rsid w:val="007D6747"/>
    <w:rsid w:val="007E2A27"/>
    <w:rsid w:val="007E3800"/>
    <w:rsid w:val="007E5E23"/>
    <w:rsid w:val="007E691B"/>
    <w:rsid w:val="007F0B08"/>
    <w:rsid w:val="007F474D"/>
    <w:rsid w:val="007F4B81"/>
    <w:rsid w:val="007F6A91"/>
    <w:rsid w:val="007F7B4C"/>
    <w:rsid w:val="00800EAA"/>
    <w:rsid w:val="00804F46"/>
    <w:rsid w:val="0080606F"/>
    <w:rsid w:val="00807407"/>
    <w:rsid w:val="008100E3"/>
    <w:rsid w:val="0081075F"/>
    <w:rsid w:val="00811448"/>
    <w:rsid w:val="00814D19"/>
    <w:rsid w:val="0082047E"/>
    <w:rsid w:val="0082304C"/>
    <w:rsid w:val="008307B5"/>
    <w:rsid w:val="00831822"/>
    <w:rsid w:val="008350E6"/>
    <w:rsid w:val="00836FEE"/>
    <w:rsid w:val="008433EE"/>
    <w:rsid w:val="00854369"/>
    <w:rsid w:val="0086005C"/>
    <w:rsid w:val="008622B4"/>
    <w:rsid w:val="00863F94"/>
    <w:rsid w:val="008721CD"/>
    <w:rsid w:val="00876CE9"/>
    <w:rsid w:val="0088264B"/>
    <w:rsid w:val="00885F26"/>
    <w:rsid w:val="00893A3C"/>
    <w:rsid w:val="00897650"/>
    <w:rsid w:val="008B12F1"/>
    <w:rsid w:val="008B7AD1"/>
    <w:rsid w:val="008C480C"/>
    <w:rsid w:val="008C6892"/>
    <w:rsid w:val="008D761B"/>
    <w:rsid w:val="008E01E9"/>
    <w:rsid w:val="008E764D"/>
    <w:rsid w:val="008F2CE2"/>
    <w:rsid w:val="008F68EE"/>
    <w:rsid w:val="009002DD"/>
    <w:rsid w:val="00900AAC"/>
    <w:rsid w:val="0090366D"/>
    <w:rsid w:val="00904832"/>
    <w:rsid w:val="0090489C"/>
    <w:rsid w:val="009052F1"/>
    <w:rsid w:val="00905C7A"/>
    <w:rsid w:val="009074DD"/>
    <w:rsid w:val="009075A8"/>
    <w:rsid w:val="00911213"/>
    <w:rsid w:val="00913B13"/>
    <w:rsid w:val="00914031"/>
    <w:rsid w:val="0091536D"/>
    <w:rsid w:val="009173D1"/>
    <w:rsid w:val="009177DB"/>
    <w:rsid w:val="00925483"/>
    <w:rsid w:val="0092626C"/>
    <w:rsid w:val="00927BDC"/>
    <w:rsid w:val="00932A4B"/>
    <w:rsid w:val="009357D1"/>
    <w:rsid w:val="00937741"/>
    <w:rsid w:val="00942762"/>
    <w:rsid w:val="009450F8"/>
    <w:rsid w:val="00945EA1"/>
    <w:rsid w:val="00951C2A"/>
    <w:rsid w:val="0095217A"/>
    <w:rsid w:val="00952415"/>
    <w:rsid w:val="009547F3"/>
    <w:rsid w:val="009566A7"/>
    <w:rsid w:val="00963363"/>
    <w:rsid w:val="0096630A"/>
    <w:rsid w:val="00966CD7"/>
    <w:rsid w:val="00971B2E"/>
    <w:rsid w:val="00971EDB"/>
    <w:rsid w:val="00973BFA"/>
    <w:rsid w:val="00983107"/>
    <w:rsid w:val="00991629"/>
    <w:rsid w:val="0099296A"/>
    <w:rsid w:val="009972E8"/>
    <w:rsid w:val="0099736D"/>
    <w:rsid w:val="009A025B"/>
    <w:rsid w:val="009A04C6"/>
    <w:rsid w:val="009A0C71"/>
    <w:rsid w:val="009A1094"/>
    <w:rsid w:val="009A1DA1"/>
    <w:rsid w:val="009B24A1"/>
    <w:rsid w:val="009B3723"/>
    <w:rsid w:val="009B72E4"/>
    <w:rsid w:val="009B79A6"/>
    <w:rsid w:val="009C1D74"/>
    <w:rsid w:val="009C2774"/>
    <w:rsid w:val="009C4B84"/>
    <w:rsid w:val="009C5559"/>
    <w:rsid w:val="009D36F0"/>
    <w:rsid w:val="009E0198"/>
    <w:rsid w:val="009E16B7"/>
    <w:rsid w:val="009E62D5"/>
    <w:rsid w:val="009F5860"/>
    <w:rsid w:val="009F6808"/>
    <w:rsid w:val="009F733C"/>
    <w:rsid w:val="00A06F10"/>
    <w:rsid w:val="00A17312"/>
    <w:rsid w:val="00A236E6"/>
    <w:rsid w:val="00A25066"/>
    <w:rsid w:val="00A2731C"/>
    <w:rsid w:val="00A30319"/>
    <w:rsid w:val="00A30460"/>
    <w:rsid w:val="00A31CA4"/>
    <w:rsid w:val="00A31FC8"/>
    <w:rsid w:val="00A32DAC"/>
    <w:rsid w:val="00A34C55"/>
    <w:rsid w:val="00A3637D"/>
    <w:rsid w:val="00A37DAD"/>
    <w:rsid w:val="00A400E4"/>
    <w:rsid w:val="00A4064D"/>
    <w:rsid w:val="00A42AEF"/>
    <w:rsid w:val="00A51771"/>
    <w:rsid w:val="00A51839"/>
    <w:rsid w:val="00A52883"/>
    <w:rsid w:val="00A5709D"/>
    <w:rsid w:val="00A57924"/>
    <w:rsid w:val="00A57B41"/>
    <w:rsid w:val="00A610B5"/>
    <w:rsid w:val="00A61455"/>
    <w:rsid w:val="00A61C11"/>
    <w:rsid w:val="00A650CE"/>
    <w:rsid w:val="00A71E82"/>
    <w:rsid w:val="00A727D7"/>
    <w:rsid w:val="00A7528E"/>
    <w:rsid w:val="00A8201F"/>
    <w:rsid w:val="00A84631"/>
    <w:rsid w:val="00A85B79"/>
    <w:rsid w:val="00A8639D"/>
    <w:rsid w:val="00A960AC"/>
    <w:rsid w:val="00A97500"/>
    <w:rsid w:val="00AA0FCA"/>
    <w:rsid w:val="00AA16AC"/>
    <w:rsid w:val="00AA5525"/>
    <w:rsid w:val="00AB0F04"/>
    <w:rsid w:val="00AB276E"/>
    <w:rsid w:val="00AB68D3"/>
    <w:rsid w:val="00AC38CE"/>
    <w:rsid w:val="00AC6E9F"/>
    <w:rsid w:val="00AC700F"/>
    <w:rsid w:val="00AD073D"/>
    <w:rsid w:val="00AD24ED"/>
    <w:rsid w:val="00AD4BCD"/>
    <w:rsid w:val="00AD5D98"/>
    <w:rsid w:val="00AE2130"/>
    <w:rsid w:val="00AE4668"/>
    <w:rsid w:val="00AE4EC7"/>
    <w:rsid w:val="00AE6B42"/>
    <w:rsid w:val="00AF0615"/>
    <w:rsid w:val="00AF4C8D"/>
    <w:rsid w:val="00AF6AF0"/>
    <w:rsid w:val="00B02D94"/>
    <w:rsid w:val="00B06D72"/>
    <w:rsid w:val="00B11877"/>
    <w:rsid w:val="00B12402"/>
    <w:rsid w:val="00B14726"/>
    <w:rsid w:val="00B15EB2"/>
    <w:rsid w:val="00B2261C"/>
    <w:rsid w:val="00B23D15"/>
    <w:rsid w:val="00B2782F"/>
    <w:rsid w:val="00B31F93"/>
    <w:rsid w:val="00B328AF"/>
    <w:rsid w:val="00B32C0A"/>
    <w:rsid w:val="00B34055"/>
    <w:rsid w:val="00B35839"/>
    <w:rsid w:val="00B35CF3"/>
    <w:rsid w:val="00B37A83"/>
    <w:rsid w:val="00B40439"/>
    <w:rsid w:val="00B47BB9"/>
    <w:rsid w:val="00B50EC6"/>
    <w:rsid w:val="00B544AF"/>
    <w:rsid w:val="00B60D2A"/>
    <w:rsid w:val="00B60ED1"/>
    <w:rsid w:val="00B6609F"/>
    <w:rsid w:val="00B70E47"/>
    <w:rsid w:val="00B71BC0"/>
    <w:rsid w:val="00B73ED3"/>
    <w:rsid w:val="00B747A6"/>
    <w:rsid w:val="00B74CEE"/>
    <w:rsid w:val="00B75DB5"/>
    <w:rsid w:val="00B80630"/>
    <w:rsid w:val="00B80D0D"/>
    <w:rsid w:val="00B8704E"/>
    <w:rsid w:val="00BA22AE"/>
    <w:rsid w:val="00BB55BA"/>
    <w:rsid w:val="00BC0C24"/>
    <w:rsid w:val="00BC27B3"/>
    <w:rsid w:val="00BC47AE"/>
    <w:rsid w:val="00BD30E2"/>
    <w:rsid w:val="00BD3951"/>
    <w:rsid w:val="00BD7B34"/>
    <w:rsid w:val="00BD7DB1"/>
    <w:rsid w:val="00BE29EC"/>
    <w:rsid w:val="00BE5E20"/>
    <w:rsid w:val="00BF1C8F"/>
    <w:rsid w:val="00BF265C"/>
    <w:rsid w:val="00BF2852"/>
    <w:rsid w:val="00BF4253"/>
    <w:rsid w:val="00C1228C"/>
    <w:rsid w:val="00C137B6"/>
    <w:rsid w:val="00C14691"/>
    <w:rsid w:val="00C20E09"/>
    <w:rsid w:val="00C23013"/>
    <w:rsid w:val="00C244D5"/>
    <w:rsid w:val="00C2653A"/>
    <w:rsid w:val="00C27245"/>
    <w:rsid w:val="00C27DD0"/>
    <w:rsid w:val="00C40200"/>
    <w:rsid w:val="00C41012"/>
    <w:rsid w:val="00C41FD1"/>
    <w:rsid w:val="00C44161"/>
    <w:rsid w:val="00C50623"/>
    <w:rsid w:val="00C536F5"/>
    <w:rsid w:val="00C561EB"/>
    <w:rsid w:val="00C64754"/>
    <w:rsid w:val="00C65F2E"/>
    <w:rsid w:val="00C730A3"/>
    <w:rsid w:val="00C73894"/>
    <w:rsid w:val="00C807DC"/>
    <w:rsid w:val="00C80832"/>
    <w:rsid w:val="00C86284"/>
    <w:rsid w:val="00C87F5D"/>
    <w:rsid w:val="00C94385"/>
    <w:rsid w:val="00C979CD"/>
    <w:rsid w:val="00CA5A00"/>
    <w:rsid w:val="00CB3B29"/>
    <w:rsid w:val="00CB3B72"/>
    <w:rsid w:val="00CC3138"/>
    <w:rsid w:val="00CC466C"/>
    <w:rsid w:val="00CC68F0"/>
    <w:rsid w:val="00CD0931"/>
    <w:rsid w:val="00CD160C"/>
    <w:rsid w:val="00CD223F"/>
    <w:rsid w:val="00CD4B50"/>
    <w:rsid w:val="00CD4DCD"/>
    <w:rsid w:val="00CD7C59"/>
    <w:rsid w:val="00CE7840"/>
    <w:rsid w:val="00CF2830"/>
    <w:rsid w:val="00CF7FF4"/>
    <w:rsid w:val="00D02482"/>
    <w:rsid w:val="00D06464"/>
    <w:rsid w:val="00D06BB4"/>
    <w:rsid w:val="00D06E22"/>
    <w:rsid w:val="00D10850"/>
    <w:rsid w:val="00D11CD5"/>
    <w:rsid w:val="00D12AB7"/>
    <w:rsid w:val="00D14303"/>
    <w:rsid w:val="00D17C2C"/>
    <w:rsid w:val="00D2197F"/>
    <w:rsid w:val="00D24E1B"/>
    <w:rsid w:val="00D364D4"/>
    <w:rsid w:val="00D41152"/>
    <w:rsid w:val="00D41EF4"/>
    <w:rsid w:val="00D435C9"/>
    <w:rsid w:val="00D459C8"/>
    <w:rsid w:val="00D4692C"/>
    <w:rsid w:val="00D47940"/>
    <w:rsid w:val="00D515C9"/>
    <w:rsid w:val="00D56C32"/>
    <w:rsid w:val="00D5792C"/>
    <w:rsid w:val="00D6367E"/>
    <w:rsid w:val="00D67C8B"/>
    <w:rsid w:val="00D706F2"/>
    <w:rsid w:val="00D71769"/>
    <w:rsid w:val="00D71FDD"/>
    <w:rsid w:val="00D74632"/>
    <w:rsid w:val="00D80350"/>
    <w:rsid w:val="00D80A34"/>
    <w:rsid w:val="00D878E7"/>
    <w:rsid w:val="00D90FE3"/>
    <w:rsid w:val="00D9301C"/>
    <w:rsid w:val="00D9735B"/>
    <w:rsid w:val="00DA6893"/>
    <w:rsid w:val="00DA6C14"/>
    <w:rsid w:val="00DB1D4E"/>
    <w:rsid w:val="00DB2C61"/>
    <w:rsid w:val="00DB318A"/>
    <w:rsid w:val="00DC0163"/>
    <w:rsid w:val="00DD1A52"/>
    <w:rsid w:val="00DD27F1"/>
    <w:rsid w:val="00DD489A"/>
    <w:rsid w:val="00DD54D0"/>
    <w:rsid w:val="00DE4E57"/>
    <w:rsid w:val="00DE672E"/>
    <w:rsid w:val="00DE6F21"/>
    <w:rsid w:val="00DF1D98"/>
    <w:rsid w:val="00DF4D49"/>
    <w:rsid w:val="00E044A6"/>
    <w:rsid w:val="00E05546"/>
    <w:rsid w:val="00E06290"/>
    <w:rsid w:val="00E069C7"/>
    <w:rsid w:val="00E112BB"/>
    <w:rsid w:val="00E1278D"/>
    <w:rsid w:val="00E13A09"/>
    <w:rsid w:val="00E13C20"/>
    <w:rsid w:val="00E149E8"/>
    <w:rsid w:val="00E14B18"/>
    <w:rsid w:val="00E20DF5"/>
    <w:rsid w:val="00E3088C"/>
    <w:rsid w:val="00E318D2"/>
    <w:rsid w:val="00E33ED8"/>
    <w:rsid w:val="00E43CA7"/>
    <w:rsid w:val="00E45550"/>
    <w:rsid w:val="00E522FC"/>
    <w:rsid w:val="00E557E3"/>
    <w:rsid w:val="00E6065B"/>
    <w:rsid w:val="00E63D94"/>
    <w:rsid w:val="00E645B3"/>
    <w:rsid w:val="00E7065E"/>
    <w:rsid w:val="00E70CF7"/>
    <w:rsid w:val="00E713CD"/>
    <w:rsid w:val="00E745C3"/>
    <w:rsid w:val="00E75292"/>
    <w:rsid w:val="00E83F8B"/>
    <w:rsid w:val="00E8584B"/>
    <w:rsid w:val="00E93BA3"/>
    <w:rsid w:val="00E94A1A"/>
    <w:rsid w:val="00E96B05"/>
    <w:rsid w:val="00E97F43"/>
    <w:rsid w:val="00EA276C"/>
    <w:rsid w:val="00EA52DA"/>
    <w:rsid w:val="00EA7987"/>
    <w:rsid w:val="00EB0E90"/>
    <w:rsid w:val="00EB5F17"/>
    <w:rsid w:val="00EB61B6"/>
    <w:rsid w:val="00ED3152"/>
    <w:rsid w:val="00ED3764"/>
    <w:rsid w:val="00EE0A66"/>
    <w:rsid w:val="00EE330A"/>
    <w:rsid w:val="00EE50A0"/>
    <w:rsid w:val="00EE67A6"/>
    <w:rsid w:val="00EE7449"/>
    <w:rsid w:val="00EF269B"/>
    <w:rsid w:val="00EF36B4"/>
    <w:rsid w:val="00EF65B8"/>
    <w:rsid w:val="00F020E6"/>
    <w:rsid w:val="00F042BB"/>
    <w:rsid w:val="00F10B7C"/>
    <w:rsid w:val="00F13CBC"/>
    <w:rsid w:val="00F16C82"/>
    <w:rsid w:val="00F2014E"/>
    <w:rsid w:val="00F207E6"/>
    <w:rsid w:val="00F22F53"/>
    <w:rsid w:val="00F252C3"/>
    <w:rsid w:val="00F263B7"/>
    <w:rsid w:val="00F315B4"/>
    <w:rsid w:val="00F33C62"/>
    <w:rsid w:val="00F43E83"/>
    <w:rsid w:val="00F44868"/>
    <w:rsid w:val="00F50C5B"/>
    <w:rsid w:val="00F53569"/>
    <w:rsid w:val="00F62836"/>
    <w:rsid w:val="00F6382B"/>
    <w:rsid w:val="00F64232"/>
    <w:rsid w:val="00F64C8A"/>
    <w:rsid w:val="00F672B3"/>
    <w:rsid w:val="00F711AE"/>
    <w:rsid w:val="00F7243C"/>
    <w:rsid w:val="00F74D93"/>
    <w:rsid w:val="00F805C9"/>
    <w:rsid w:val="00F8297B"/>
    <w:rsid w:val="00F848A0"/>
    <w:rsid w:val="00F84F28"/>
    <w:rsid w:val="00F91AFE"/>
    <w:rsid w:val="00F91FE8"/>
    <w:rsid w:val="00F94E9B"/>
    <w:rsid w:val="00F95FD7"/>
    <w:rsid w:val="00FA0435"/>
    <w:rsid w:val="00FA0517"/>
    <w:rsid w:val="00FA1C4A"/>
    <w:rsid w:val="00FA3587"/>
    <w:rsid w:val="00FA4E29"/>
    <w:rsid w:val="00FB4115"/>
    <w:rsid w:val="00FB4837"/>
    <w:rsid w:val="00FB7730"/>
    <w:rsid w:val="00FC6297"/>
    <w:rsid w:val="00FD039F"/>
    <w:rsid w:val="00FD0FEC"/>
    <w:rsid w:val="00FE1320"/>
    <w:rsid w:val="00FE14D9"/>
    <w:rsid w:val="00FE6A6C"/>
    <w:rsid w:val="00FF2901"/>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B4"/>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lang w:val="en-US" w:eastAsia="en-U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3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3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table" w:customStyle="1" w:styleId="PlainTable211">
    <w:name w:val="Plain Table 211"/>
    <w:basedOn w:val="TableNormal"/>
    <w:uiPriority w:val="42"/>
    <w:rsid w:val="00C27245"/>
    <w:rPr>
      <w:rFonts w:ascii="Calibri" w:eastAsia="Calibri" w:hAnsi="Calibri"/>
      <w:sz w:val="22"/>
      <w:szCs w:val="22"/>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
    <w:name w:val="Table Grid3"/>
    <w:basedOn w:val="TableNormal"/>
    <w:next w:val="TableGrid"/>
    <w:uiPriority w:val="39"/>
    <w:rsid w:val="00C272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56F15"/>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6382B"/>
    <w:rPr>
      <w:rFonts w:ascii="Calibri" w:eastAsia="Calibri" w:hAnsi="Calibri"/>
      <w:sz w:val="22"/>
      <w:szCs w:val="22"/>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9">
    <w:name w:val="Table Grid9"/>
    <w:basedOn w:val="TableNormal"/>
    <w:next w:val="TableGrid"/>
    <w:uiPriority w:val="39"/>
    <w:rsid w:val="0040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6B4"/>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lang w:val="en-US" w:eastAsia="en-U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3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3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table" w:customStyle="1" w:styleId="PlainTable211">
    <w:name w:val="Plain Table 211"/>
    <w:basedOn w:val="TableNormal"/>
    <w:uiPriority w:val="42"/>
    <w:rsid w:val="00C27245"/>
    <w:rPr>
      <w:rFonts w:ascii="Calibri" w:eastAsia="Calibri" w:hAnsi="Calibri"/>
      <w:sz w:val="22"/>
      <w:szCs w:val="22"/>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
    <w:name w:val="Table Grid3"/>
    <w:basedOn w:val="TableNormal"/>
    <w:next w:val="TableGrid"/>
    <w:uiPriority w:val="39"/>
    <w:rsid w:val="00C272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56F15"/>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6F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6382B"/>
    <w:rPr>
      <w:rFonts w:ascii="Calibri" w:eastAsia="Calibri" w:hAnsi="Calibri"/>
      <w:sz w:val="22"/>
      <w:szCs w:val="22"/>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9">
    <w:name w:val="Table Grid9"/>
    <w:basedOn w:val="TableNormal"/>
    <w:next w:val="TableGrid"/>
    <w:uiPriority w:val="39"/>
    <w:rsid w:val="0040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star.com.my/niaga/2014/12/26/industri-insuran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nst.com.my/opinion/letters/2018/07/391507/education-costs-ris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laysiantakaful.com.my/ConsumerZone/Library/AnnualReport/News/Annual-Report-2017.asp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nst.com.my/news/2017/03/223461/how-much-would-it-cost-pursue-higher-education-malaysia"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BCCDA-4821-4A4A-965D-046D1A48D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6170</Words>
  <Characters>35173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41261</CharactersWithSpaces>
  <SharedDoc>false</SharedDoc>
  <HLinks>
    <vt:vector size="30" baseType="variant">
      <vt:variant>
        <vt:i4>6815791</vt:i4>
      </vt:variant>
      <vt:variant>
        <vt:i4>9</vt:i4>
      </vt:variant>
      <vt:variant>
        <vt:i4>0</vt:i4>
      </vt:variant>
      <vt:variant>
        <vt:i4>5</vt:i4>
      </vt:variant>
      <vt:variant>
        <vt:lpwstr>https://www.nst.com.my/news/2017/03/223461/how-much-would-it-cost-pursue-higher-education-malaysia</vt:lpwstr>
      </vt:variant>
      <vt:variant>
        <vt:lpwstr/>
      </vt:variant>
      <vt:variant>
        <vt:i4>2162737</vt:i4>
      </vt:variant>
      <vt:variant>
        <vt:i4>6</vt:i4>
      </vt:variant>
      <vt:variant>
        <vt:i4>0</vt:i4>
      </vt:variant>
      <vt:variant>
        <vt:i4>5</vt:i4>
      </vt:variant>
      <vt:variant>
        <vt:lpwstr>https://www.mstar.com.my/niaga/2014/12/26/industri-insurans</vt:lpwstr>
      </vt:variant>
      <vt:variant>
        <vt:lpwstr/>
      </vt:variant>
      <vt:variant>
        <vt:i4>4456530</vt:i4>
      </vt:variant>
      <vt:variant>
        <vt:i4>3</vt:i4>
      </vt:variant>
      <vt:variant>
        <vt:i4>0</vt:i4>
      </vt:variant>
      <vt:variant>
        <vt:i4>5</vt:i4>
      </vt:variant>
      <vt:variant>
        <vt:lpwstr>https://www.nst.com.my/opinion/letters/2018/07/391507/education-costs-rising</vt:lpwstr>
      </vt:variant>
      <vt:variant>
        <vt:lpwstr/>
      </vt:variant>
      <vt:variant>
        <vt:i4>5505088</vt:i4>
      </vt:variant>
      <vt:variant>
        <vt:i4>0</vt:i4>
      </vt:variant>
      <vt:variant>
        <vt:i4>0</vt:i4>
      </vt:variant>
      <vt:variant>
        <vt:i4>5</vt:i4>
      </vt:variant>
      <vt:variant>
        <vt:lpwstr>http://www.malaysiantakaful.com.my/ConsumerZone/Library/AnnualReport/News/Annual-Report-2017.aspx</vt:lpwstr>
      </vt:variant>
      <vt:variant>
        <vt:lpwstr/>
      </vt:variant>
      <vt:variant>
        <vt:i4>1572888</vt:i4>
      </vt:variant>
      <vt:variant>
        <vt:i4>0</vt:i4>
      </vt:variant>
      <vt:variant>
        <vt:i4>0</vt:i4>
      </vt:variant>
      <vt:variant>
        <vt:i4>5</vt:i4>
      </vt:variant>
      <vt:variant>
        <vt:lpwstr>https://doi.org/10.17576/geo-2019-1504-07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3</cp:revision>
  <cp:lastPrinted>2019-11-25T02:12:00Z</cp:lastPrinted>
  <dcterms:created xsi:type="dcterms:W3CDTF">2019-11-25T02:13:00Z</dcterms:created>
  <dcterms:modified xsi:type="dcterms:W3CDTF">2019-11-25T04:01:00Z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