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D61FE6" w:rsidP="00D9735B">
      <w:pPr>
        <w:pStyle w:val="NoSpacing"/>
        <w:jc w:val="both"/>
        <w:rPr>
          <w:rFonts w:ascii="Times New Roman" w:hAnsi="Times New Roman"/>
          <w:b/>
        </w:rPr>
      </w:pPr>
      <w:r>
        <w:rPr>
          <w:rFonts w:ascii="Times New Roman" w:hAnsi="Times New Roman"/>
          <w:b/>
          <w:noProof/>
          <w:lang w:val="en-MY" w:eastAsia="en-MY"/>
        </w:rPr>
        <w:drawing>
          <wp:inline distT="0" distB="0" distL="0" distR="0">
            <wp:extent cx="5735782" cy="49568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295" cy="495300"/>
                    </a:xfrm>
                    <a:prstGeom prst="rect">
                      <a:avLst/>
                    </a:prstGeom>
                    <a:noFill/>
                    <a:ln>
                      <a:noFill/>
                    </a:ln>
                  </pic:spPr>
                </pic:pic>
              </a:graphicData>
            </a:graphic>
          </wp:inline>
        </w:drawing>
      </w:r>
    </w:p>
    <w:p w:rsidR="00D61FE6" w:rsidRPr="00D445E2" w:rsidRDefault="00D61FE6" w:rsidP="00D61FE6">
      <w:pPr>
        <w:spacing w:after="0" w:line="240" w:lineRule="auto"/>
        <w:jc w:val="center"/>
        <w:rPr>
          <w:rFonts w:ascii="Times New Roman" w:eastAsia="Times New Roman" w:hAnsi="Times New Roman"/>
          <w:b/>
          <w:sz w:val="24"/>
          <w:szCs w:val="24"/>
        </w:rPr>
      </w:pPr>
    </w:p>
    <w:p w:rsidR="00D61FE6" w:rsidRPr="00B45043" w:rsidRDefault="00D61FE6" w:rsidP="00D61FE6">
      <w:pPr>
        <w:spacing w:after="0" w:line="240" w:lineRule="auto"/>
        <w:jc w:val="center"/>
        <w:rPr>
          <w:rFonts w:ascii="Times New Roman" w:eastAsia="Times New Roman" w:hAnsi="Times New Roman"/>
          <w:b/>
          <w:sz w:val="28"/>
          <w:szCs w:val="28"/>
        </w:rPr>
      </w:pPr>
      <w:r w:rsidRPr="00B45043">
        <w:rPr>
          <w:rFonts w:ascii="Times New Roman" w:eastAsia="Times New Roman" w:hAnsi="Times New Roman"/>
          <w:b/>
          <w:sz w:val="28"/>
          <w:szCs w:val="28"/>
        </w:rPr>
        <w:t>Keberkesanan program kesedaran bencana tsunami: Kajian kes di Kota Kuala Muda, Kedah</w:t>
      </w:r>
    </w:p>
    <w:p w:rsidR="00D61FE6" w:rsidRPr="00A37349" w:rsidRDefault="00D61FE6" w:rsidP="00D61FE6">
      <w:pPr>
        <w:spacing w:after="0" w:line="240" w:lineRule="auto"/>
        <w:jc w:val="center"/>
        <w:rPr>
          <w:rFonts w:ascii="Times New Roman" w:eastAsia="Times New Roman" w:hAnsi="Times New Roman"/>
        </w:rPr>
      </w:pPr>
    </w:p>
    <w:p w:rsidR="00D61FE6" w:rsidRPr="00B45043" w:rsidRDefault="00D61FE6" w:rsidP="00D61FE6">
      <w:pPr>
        <w:spacing w:after="0" w:line="240" w:lineRule="auto"/>
        <w:jc w:val="center"/>
        <w:rPr>
          <w:rFonts w:ascii="Times New Roman" w:eastAsia="Times New Roman" w:hAnsi="Times New Roman"/>
        </w:rPr>
      </w:pPr>
      <w:r w:rsidRPr="00B45043">
        <w:rPr>
          <w:rFonts w:ascii="Times New Roman" w:eastAsia="Times New Roman" w:hAnsi="Times New Roman"/>
          <w:vertAlign w:val="superscript"/>
        </w:rPr>
        <w:t>1</w:t>
      </w:r>
      <w:r w:rsidRPr="00B45043">
        <w:rPr>
          <w:rFonts w:ascii="Times New Roman" w:eastAsia="Times New Roman" w:hAnsi="Times New Roman"/>
        </w:rPr>
        <w:t xml:space="preserve">Nur Syuhada Mustakim, </w:t>
      </w:r>
      <w:r w:rsidRPr="00B45043">
        <w:rPr>
          <w:rFonts w:ascii="Times New Roman" w:eastAsia="Times New Roman" w:hAnsi="Times New Roman"/>
          <w:vertAlign w:val="superscript"/>
        </w:rPr>
        <w:t>2</w:t>
      </w:r>
      <w:r w:rsidRPr="00B45043">
        <w:rPr>
          <w:rFonts w:ascii="Times New Roman" w:eastAsia="Times New Roman" w:hAnsi="Times New Roman"/>
        </w:rPr>
        <w:t xml:space="preserve">Habibah Lateh, </w:t>
      </w:r>
      <w:r w:rsidRPr="00B45043">
        <w:rPr>
          <w:rFonts w:ascii="Times New Roman" w:eastAsia="Times New Roman" w:hAnsi="Times New Roman"/>
          <w:vertAlign w:val="superscript"/>
        </w:rPr>
        <w:t>3</w:t>
      </w:r>
      <w:r w:rsidRPr="00B45043">
        <w:rPr>
          <w:rFonts w:ascii="Times New Roman" w:hAnsi="Times New Roman"/>
        </w:rPr>
        <w:t>Mohamed Zahari Razali</w:t>
      </w:r>
    </w:p>
    <w:p w:rsidR="00D61FE6" w:rsidRPr="00B45043" w:rsidRDefault="00D61FE6" w:rsidP="00D61FE6">
      <w:pPr>
        <w:spacing w:after="0" w:line="240" w:lineRule="auto"/>
        <w:jc w:val="center"/>
        <w:rPr>
          <w:rFonts w:ascii="Times New Roman" w:eastAsia="Times New Roman" w:hAnsi="Times New Roman"/>
        </w:rPr>
      </w:pPr>
    </w:p>
    <w:p w:rsidR="00D61FE6" w:rsidRDefault="00D61FE6" w:rsidP="00D61FE6">
      <w:pPr>
        <w:spacing w:after="0" w:line="240" w:lineRule="auto"/>
        <w:jc w:val="center"/>
        <w:rPr>
          <w:rFonts w:ascii="Times New Roman" w:hAnsi="Times New Roman"/>
        </w:rPr>
      </w:pPr>
      <w:r w:rsidRPr="00B45043">
        <w:rPr>
          <w:rFonts w:ascii="Times New Roman" w:eastAsia="Times New Roman" w:hAnsi="Times New Roman"/>
          <w:vertAlign w:val="superscript"/>
        </w:rPr>
        <w:t xml:space="preserve">1 ,2 </w:t>
      </w:r>
      <w:r w:rsidRPr="00B45043">
        <w:rPr>
          <w:rFonts w:ascii="Times New Roman" w:hAnsi="Times New Roman"/>
        </w:rPr>
        <w:t>Bahagian Geografi, Pusat Pengajian Pendidikan Jarak J</w:t>
      </w:r>
      <w:r w:rsidR="00FC60FF">
        <w:rPr>
          <w:rFonts w:ascii="Times New Roman" w:hAnsi="Times New Roman"/>
        </w:rPr>
        <w:t>auh, Universiti Sains Malaysia</w:t>
      </w:r>
    </w:p>
    <w:p w:rsidR="00D61FE6" w:rsidRPr="00B45043" w:rsidRDefault="00D61FE6" w:rsidP="00D61FE6">
      <w:pPr>
        <w:spacing w:after="0" w:line="240" w:lineRule="auto"/>
        <w:jc w:val="center"/>
        <w:rPr>
          <w:rFonts w:ascii="Times New Roman" w:hAnsi="Times New Roman"/>
        </w:rPr>
      </w:pPr>
      <w:r w:rsidRPr="00B45043">
        <w:rPr>
          <w:rFonts w:ascii="Times New Roman" w:eastAsia="Times New Roman" w:hAnsi="Times New Roman"/>
          <w:vertAlign w:val="superscript"/>
        </w:rPr>
        <w:t xml:space="preserve">3 </w:t>
      </w:r>
      <w:r w:rsidRPr="00B45043">
        <w:rPr>
          <w:rFonts w:ascii="Times New Roman" w:hAnsi="Times New Roman"/>
        </w:rPr>
        <w:t>Agensi Pengurusan Bencana Negara (NADMA), Jabatan Perdana Menteri,</w:t>
      </w:r>
    </w:p>
    <w:p w:rsidR="00D61FE6" w:rsidRPr="00B45043" w:rsidRDefault="00D61FE6" w:rsidP="00D61FE6">
      <w:pPr>
        <w:spacing w:after="0" w:line="240" w:lineRule="auto"/>
        <w:jc w:val="center"/>
        <w:rPr>
          <w:rFonts w:ascii="Times New Roman" w:hAnsi="Times New Roman"/>
        </w:rPr>
      </w:pPr>
      <w:r w:rsidRPr="00B45043">
        <w:rPr>
          <w:rFonts w:ascii="Times New Roman" w:hAnsi="Times New Roman"/>
        </w:rPr>
        <w:t xml:space="preserve">Pusat Pentadbiran Kerajaan Persekutuan, Putrajaya </w:t>
      </w:r>
    </w:p>
    <w:p w:rsidR="00D61FE6" w:rsidRPr="00B45043" w:rsidRDefault="00D61FE6" w:rsidP="00D445E2">
      <w:pPr>
        <w:tabs>
          <w:tab w:val="left" w:pos="5219"/>
        </w:tabs>
        <w:spacing w:after="0" w:line="240" w:lineRule="auto"/>
        <w:jc w:val="center"/>
        <w:rPr>
          <w:rFonts w:ascii="Times New Roman" w:eastAsia="Times New Roman" w:hAnsi="Times New Roman"/>
        </w:rPr>
      </w:pPr>
    </w:p>
    <w:p w:rsidR="00D61FE6" w:rsidRDefault="00D445E2" w:rsidP="00D61FE6">
      <w:pPr>
        <w:spacing w:after="0" w:line="240" w:lineRule="auto"/>
        <w:jc w:val="center"/>
        <w:rPr>
          <w:rFonts w:ascii="Times New Roman" w:eastAsia="Times New Roman" w:hAnsi="Times New Roman"/>
        </w:rPr>
      </w:pPr>
      <w:r>
        <w:rPr>
          <w:rFonts w:ascii="Times New Roman" w:eastAsia="Times New Roman" w:hAnsi="Times New Roman"/>
        </w:rPr>
        <w:t>Correspondence</w:t>
      </w:r>
      <w:r w:rsidR="00D61FE6" w:rsidRPr="00B45043">
        <w:rPr>
          <w:rFonts w:ascii="Times New Roman" w:eastAsia="Times New Roman" w:hAnsi="Times New Roman"/>
        </w:rPr>
        <w:t>: Nur Syuhada Mustakim (syudmustakim@gmail.com)</w:t>
      </w:r>
    </w:p>
    <w:p w:rsidR="00D445E2" w:rsidRDefault="00D445E2" w:rsidP="00D61FE6">
      <w:pPr>
        <w:spacing w:after="0" w:line="240" w:lineRule="auto"/>
        <w:jc w:val="center"/>
        <w:rPr>
          <w:rFonts w:ascii="Times New Roman" w:eastAsia="Times New Roman" w:hAnsi="Times New Roman"/>
        </w:rPr>
      </w:pPr>
    </w:p>
    <w:p w:rsidR="0092669B" w:rsidRDefault="0092669B" w:rsidP="0092669B">
      <w:pPr>
        <w:pStyle w:val="NormalWeb"/>
        <w:spacing w:before="0" w:beforeAutospacing="0" w:after="0" w:afterAutospacing="0"/>
        <w:ind w:hanging="2"/>
        <w:jc w:val="both"/>
        <w:rPr>
          <w:color w:val="000000"/>
          <w:sz w:val="22"/>
          <w:szCs w:val="22"/>
        </w:rPr>
      </w:pPr>
    </w:p>
    <w:p w:rsidR="0092669B" w:rsidRDefault="0092669B" w:rsidP="0092669B">
      <w:pPr>
        <w:pStyle w:val="NormalWeb"/>
        <w:spacing w:before="0" w:beforeAutospacing="0" w:after="0" w:afterAutospacing="0"/>
        <w:ind w:hanging="2"/>
        <w:jc w:val="both"/>
        <w:rPr>
          <w:color w:val="000000"/>
          <w:sz w:val="22"/>
          <w:szCs w:val="22"/>
        </w:rPr>
      </w:pPr>
      <w:r>
        <w:rPr>
          <w:color w:val="000000"/>
          <w:sz w:val="22"/>
          <w:szCs w:val="22"/>
        </w:rPr>
        <w:t>Received: </w:t>
      </w:r>
      <w:r w:rsidR="00C72579">
        <w:rPr>
          <w:color w:val="000000"/>
          <w:sz w:val="22"/>
          <w:szCs w:val="22"/>
        </w:rPr>
        <w:t>25</w:t>
      </w:r>
      <w:r>
        <w:rPr>
          <w:color w:val="000000"/>
          <w:sz w:val="22"/>
          <w:szCs w:val="22"/>
        </w:rPr>
        <w:t xml:space="preserve"> </w:t>
      </w:r>
      <w:r w:rsidR="00C72579">
        <w:rPr>
          <w:color w:val="000000"/>
          <w:sz w:val="22"/>
          <w:szCs w:val="22"/>
        </w:rPr>
        <w:t>June</w:t>
      </w:r>
      <w:r>
        <w:rPr>
          <w:color w:val="000000"/>
          <w:sz w:val="22"/>
          <w:szCs w:val="22"/>
        </w:rPr>
        <w:t xml:space="preserve"> 20</w:t>
      </w:r>
      <w:r w:rsidR="00C72579">
        <w:rPr>
          <w:color w:val="000000"/>
          <w:sz w:val="22"/>
          <w:szCs w:val="22"/>
        </w:rPr>
        <w:t>19</w:t>
      </w:r>
      <w:r>
        <w:rPr>
          <w:color w:val="000000"/>
          <w:sz w:val="22"/>
          <w:szCs w:val="22"/>
        </w:rPr>
        <w:t xml:space="preserve">; Accepted: </w:t>
      </w:r>
      <w:r w:rsidR="00C72579">
        <w:rPr>
          <w:color w:val="000000"/>
          <w:sz w:val="22"/>
          <w:szCs w:val="22"/>
        </w:rPr>
        <w:t>0</w:t>
      </w:r>
      <w:r>
        <w:rPr>
          <w:color w:val="000000"/>
          <w:sz w:val="22"/>
          <w:szCs w:val="22"/>
        </w:rPr>
        <w:t xml:space="preserve">1 </w:t>
      </w:r>
      <w:r w:rsidR="00C72579">
        <w:rPr>
          <w:color w:val="000000"/>
          <w:sz w:val="22"/>
          <w:szCs w:val="22"/>
        </w:rPr>
        <w:t>April</w:t>
      </w:r>
      <w:r w:rsidR="00E5254A">
        <w:rPr>
          <w:color w:val="000000"/>
          <w:sz w:val="22"/>
          <w:szCs w:val="22"/>
        </w:rPr>
        <w:t xml:space="preserve"> 2020; Published: 30</w:t>
      </w:r>
      <w:bookmarkStart w:id="0" w:name="_GoBack"/>
      <w:bookmarkEnd w:id="0"/>
      <w:r>
        <w:rPr>
          <w:color w:val="000000"/>
          <w:sz w:val="22"/>
          <w:szCs w:val="22"/>
        </w:rPr>
        <w:t xml:space="preserve"> May 2020</w:t>
      </w:r>
    </w:p>
    <w:p w:rsidR="00D61FE6" w:rsidRPr="00B45043" w:rsidRDefault="00D61FE6" w:rsidP="0092669B">
      <w:pPr>
        <w:spacing w:after="0" w:line="240" w:lineRule="auto"/>
        <w:rPr>
          <w:rFonts w:ascii="Times New Roman" w:eastAsia="Times New Roman" w:hAnsi="Times New Roman"/>
          <w:sz w:val="24"/>
          <w:szCs w:val="24"/>
        </w:rPr>
      </w:pPr>
    </w:p>
    <w:p w:rsidR="00D61FE6" w:rsidRPr="00B45043" w:rsidRDefault="00D61FE6" w:rsidP="00D61FE6">
      <w:pPr>
        <w:spacing w:after="0" w:line="240" w:lineRule="auto"/>
        <w:jc w:val="center"/>
        <w:rPr>
          <w:rFonts w:ascii="Times New Roman" w:eastAsia="Times New Roman" w:hAnsi="Times New Roman"/>
          <w:sz w:val="24"/>
          <w:szCs w:val="24"/>
        </w:rPr>
      </w:pPr>
    </w:p>
    <w:p w:rsidR="00D61FE6" w:rsidRPr="00B45043" w:rsidRDefault="00D61FE6" w:rsidP="00A37349">
      <w:pPr>
        <w:spacing w:after="0"/>
        <w:rPr>
          <w:rFonts w:ascii="Times New Roman" w:hAnsi="Times New Roman"/>
          <w:b/>
          <w:sz w:val="24"/>
          <w:szCs w:val="24"/>
        </w:rPr>
      </w:pPr>
      <w:r w:rsidRPr="00B45043">
        <w:rPr>
          <w:rFonts w:ascii="Times New Roman" w:hAnsi="Times New Roman"/>
          <w:b/>
          <w:sz w:val="24"/>
          <w:szCs w:val="24"/>
        </w:rPr>
        <w:t>Abstrak</w:t>
      </w:r>
    </w:p>
    <w:p w:rsidR="00D61FE6" w:rsidRPr="00B45043" w:rsidRDefault="00D61FE6" w:rsidP="00A37349">
      <w:pPr>
        <w:spacing w:after="0" w:line="240" w:lineRule="auto"/>
        <w:jc w:val="both"/>
        <w:rPr>
          <w:rFonts w:ascii="Times New Roman" w:eastAsia="Times New Roman" w:hAnsi="Times New Roman"/>
          <w:bCs/>
          <w:iCs/>
          <w:sz w:val="24"/>
          <w:szCs w:val="24"/>
        </w:rPr>
      </w:pPr>
    </w:p>
    <w:p w:rsidR="00D61FE6" w:rsidRPr="00B45043" w:rsidRDefault="00D61FE6" w:rsidP="00D61FE6">
      <w:pPr>
        <w:spacing w:after="0" w:line="240" w:lineRule="auto"/>
        <w:jc w:val="both"/>
        <w:rPr>
          <w:rFonts w:ascii="Times New Roman" w:eastAsia="Times New Roman" w:hAnsi="Times New Roman"/>
          <w:bCs/>
          <w:iCs/>
          <w:sz w:val="24"/>
          <w:szCs w:val="24"/>
        </w:rPr>
      </w:pPr>
      <w:r w:rsidRPr="00B45043">
        <w:rPr>
          <w:rFonts w:ascii="Times New Roman" w:eastAsia="Times New Roman" w:hAnsi="Times New Roman"/>
          <w:bCs/>
          <w:iCs/>
          <w:sz w:val="24"/>
          <w:szCs w:val="24"/>
        </w:rPr>
        <w:t xml:space="preserve">Sejarah tsunami yang melanda Kuala Muda, Kedah pada 2004 telah memberikan impak negatif kepada penduduk setempat antaranya kematian, kehilangan harta benda serta trauma. Jumlah kematian akibat tsunami yang direkodkan pada tahun tersebut adalah seramai 17 orang dan 32 orang lagi mengalami kecederaan. Selepas peristiwa tersebut, didapati tiada garis panduan dan pelan evakuasi yang dikeluarkan oleh mana-mana pihak sebagai panduan dan kaedah untuk penduduk setempat bagi menyelamatkan diri sekiranya berlaku bencana. Justeru, inisiatif pelaksanaan latihan simulasi ini adalah sebagai langkah kesiapsiagaan penduduk setempat untuk menghadapi bencana tsunami. Kajian ini menggunakan kaedah pemerhatian turut serta dan borang soal selidik dengan mengaplikasikan tahap 1 (reaksi) dan tahap 2 (pembelajaran) daripada Model Penilaian Kirkpatrick. Seramai 723 orang responden terdiri daripada 62 orang guru dan 661 orang pelajar SMK Kota Kuala Muda yang dipilih berdasarkan kaedah persampelan bertujuan. Data dianalisis </w:t>
      </w:r>
      <w:r w:rsidRPr="00D61FE6">
        <w:rPr>
          <w:rFonts w:ascii="Times New Roman" w:eastAsia="Times New Roman" w:hAnsi="Times New Roman"/>
          <w:bCs/>
          <w:iCs/>
          <w:sz w:val="24"/>
          <w:szCs w:val="24"/>
          <w:shd w:val="clear" w:color="auto" w:fill="FFFFFF"/>
        </w:rPr>
        <w:t xml:space="preserve">dengan menggunakan analisis deskriptif dan korelasi </w:t>
      </w:r>
      <w:r w:rsidR="00D445E2">
        <w:rPr>
          <w:rFonts w:ascii="Times New Roman" w:eastAsia="Times New Roman" w:hAnsi="Times New Roman"/>
          <w:bCs/>
          <w:iCs/>
          <w:sz w:val="24"/>
          <w:szCs w:val="24"/>
          <w:shd w:val="clear" w:color="auto" w:fill="FFFFFF"/>
        </w:rPr>
        <w:t>P</w:t>
      </w:r>
      <w:r w:rsidRPr="00D61FE6">
        <w:rPr>
          <w:rFonts w:ascii="Times New Roman" w:eastAsia="Times New Roman" w:hAnsi="Times New Roman"/>
          <w:bCs/>
          <w:iCs/>
          <w:sz w:val="24"/>
          <w:szCs w:val="24"/>
          <w:shd w:val="clear" w:color="auto" w:fill="FFFFFF"/>
        </w:rPr>
        <w:t>earson</w:t>
      </w:r>
      <w:r w:rsidRPr="00B45043">
        <w:rPr>
          <w:rFonts w:ascii="Times New Roman" w:eastAsia="Times New Roman" w:hAnsi="Times New Roman"/>
          <w:bCs/>
          <w:iCs/>
          <w:sz w:val="24"/>
          <w:szCs w:val="24"/>
        </w:rPr>
        <w:t>.</w:t>
      </w:r>
      <w:r w:rsidRPr="00B45043">
        <w:rPr>
          <w:rFonts w:eastAsia="MS Mincho" w:cs="Arial"/>
          <w:sz w:val="24"/>
          <w:szCs w:val="24"/>
        </w:rPr>
        <w:t xml:space="preserve"> </w:t>
      </w:r>
      <w:r w:rsidRPr="00B45043">
        <w:rPr>
          <w:rFonts w:ascii="Times New Roman" w:eastAsia="Times New Roman" w:hAnsi="Times New Roman"/>
          <w:bCs/>
          <w:iCs/>
          <w:sz w:val="24"/>
          <w:szCs w:val="24"/>
        </w:rPr>
        <w:t>Hasil kajian mendapati bahawa bagi reaksi, nilai skor min tertinggi merujuk k</w:t>
      </w:r>
      <w:r w:rsidR="00A37349">
        <w:rPr>
          <w:rFonts w:ascii="Times New Roman" w:eastAsia="Times New Roman" w:hAnsi="Times New Roman"/>
          <w:bCs/>
          <w:iCs/>
          <w:sz w:val="24"/>
          <w:szCs w:val="24"/>
        </w:rPr>
        <w:t>epada item penggunaan media/LCD</w:t>
      </w:r>
      <w:r w:rsidRPr="00B45043">
        <w:rPr>
          <w:rFonts w:ascii="Times New Roman" w:eastAsia="Times New Roman" w:hAnsi="Times New Roman"/>
          <w:bCs/>
          <w:iCs/>
          <w:sz w:val="24"/>
          <w:szCs w:val="24"/>
        </w:rPr>
        <w:t>. Bagi pembelajaran pula, item pengetahuan mencatatkan nilai skor min tertinggi berbanding item kemahiran dan sikap</w:t>
      </w:r>
      <w:r w:rsidR="00A37349">
        <w:rPr>
          <w:rFonts w:ascii="Times New Roman" w:eastAsia="Times New Roman" w:hAnsi="Times New Roman"/>
          <w:bCs/>
          <w:iCs/>
          <w:sz w:val="24"/>
          <w:szCs w:val="24"/>
        </w:rPr>
        <w:t>.</w:t>
      </w:r>
      <w:r w:rsidRPr="00B45043">
        <w:rPr>
          <w:rFonts w:ascii="Times New Roman" w:eastAsia="Times New Roman" w:hAnsi="Times New Roman"/>
          <w:bCs/>
          <w:iCs/>
          <w:sz w:val="24"/>
          <w:szCs w:val="24"/>
        </w:rPr>
        <w:t xml:space="preserve"> Hasil ujian korelasi dalam melihat hubung kait antara reaksi dan pembelajaran menunjukkan hubungan yang sederhana dan signifikan. Implikasi kajian ini dapat meningkatkan daya tahan penduduk setempat untuk menghadapi sebarang kemungkinan bencana yang akan berlaku di kawasan ini.  </w:t>
      </w:r>
    </w:p>
    <w:p w:rsidR="00D61FE6" w:rsidRPr="00B45043" w:rsidRDefault="00D61FE6" w:rsidP="00D61FE6">
      <w:pPr>
        <w:spacing w:after="0" w:line="240" w:lineRule="auto"/>
        <w:jc w:val="both"/>
        <w:rPr>
          <w:rFonts w:ascii="Times New Roman" w:eastAsia="Times New Roman" w:hAnsi="Times New Roman"/>
          <w:bCs/>
          <w:i/>
          <w:iCs/>
          <w:sz w:val="24"/>
          <w:szCs w:val="24"/>
        </w:rPr>
      </w:pPr>
    </w:p>
    <w:p w:rsidR="00D61FE6" w:rsidRPr="00B45043" w:rsidRDefault="00D61FE6" w:rsidP="00D61FE6">
      <w:pPr>
        <w:spacing w:after="0" w:line="240" w:lineRule="auto"/>
        <w:jc w:val="both"/>
        <w:rPr>
          <w:rFonts w:ascii="Times New Roman" w:eastAsia="Times New Roman" w:hAnsi="Times New Roman"/>
          <w:bCs/>
          <w:sz w:val="24"/>
          <w:szCs w:val="24"/>
        </w:rPr>
      </w:pPr>
      <w:r w:rsidRPr="00B45043">
        <w:rPr>
          <w:rFonts w:ascii="Times New Roman" w:eastAsia="Times New Roman" w:hAnsi="Times New Roman"/>
          <w:b/>
          <w:sz w:val="24"/>
          <w:szCs w:val="24"/>
        </w:rPr>
        <w:t>Kata kunci:</w:t>
      </w:r>
      <w:r w:rsidRPr="00B45043">
        <w:rPr>
          <w:rFonts w:ascii="Times New Roman" w:eastAsia="Times New Roman" w:hAnsi="Times New Roman"/>
          <w:bCs/>
          <w:sz w:val="24"/>
          <w:szCs w:val="24"/>
        </w:rPr>
        <w:t xml:space="preserve"> bencana alam, latihan simulasi, Model Penilaian Kirkpatrick, reaksi, pembelajaran, program kesedaran.</w:t>
      </w:r>
    </w:p>
    <w:p w:rsidR="00D61FE6" w:rsidRPr="00B45043" w:rsidRDefault="00D61FE6" w:rsidP="00A37349">
      <w:pPr>
        <w:spacing w:after="0"/>
      </w:pPr>
    </w:p>
    <w:p w:rsidR="00D61FE6" w:rsidRDefault="00D61FE6" w:rsidP="00A37349">
      <w:pPr>
        <w:spacing w:after="0"/>
      </w:pPr>
    </w:p>
    <w:p w:rsidR="004E5971" w:rsidRDefault="004E5971" w:rsidP="00A37349">
      <w:pPr>
        <w:spacing w:after="0"/>
      </w:pPr>
    </w:p>
    <w:p w:rsidR="004E5971" w:rsidRDefault="004E5971" w:rsidP="00A37349">
      <w:pPr>
        <w:spacing w:after="0"/>
      </w:pPr>
    </w:p>
    <w:p w:rsidR="004E5971" w:rsidRDefault="004E5971" w:rsidP="00A37349">
      <w:pPr>
        <w:spacing w:after="0"/>
      </w:pPr>
    </w:p>
    <w:p w:rsidR="004E5971" w:rsidRDefault="004E5971" w:rsidP="00A37349">
      <w:pPr>
        <w:spacing w:after="0"/>
      </w:pPr>
    </w:p>
    <w:p w:rsidR="00D61FE6" w:rsidRPr="00B45043" w:rsidRDefault="00D61FE6" w:rsidP="00D61FE6">
      <w:pPr>
        <w:spacing w:after="0" w:line="240" w:lineRule="auto"/>
        <w:jc w:val="center"/>
        <w:rPr>
          <w:rFonts w:ascii="Times New Roman" w:eastAsia="Times New Roman" w:hAnsi="Times New Roman"/>
          <w:bCs/>
          <w:sz w:val="28"/>
          <w:szCs w:val="28"/>
        </w:rPr>
      </w:pPr>
      <w:r w:rsidRPr="00B45043">
        <w:rPr>
          <w:rFonts w:ascii="Times New Roman" w:eastAsia="Times New Roman" w:hAnsi="Times New Roman"/>
          <w:b/>
          <w:sz w:val="28"/>
          <w:szCs w:val="28"/>
        </w:rPr>
        <w:lastRenderedPageBreak/>
        <w:t>The effectiveness of tsunami disaster awareness programme: A case study in Kota Kuala Muda, Kedah</w:t>
      </w:r>
    </w:p>
    <w:p w:rsidR="00D61FE6" w:rsidRDefault="00D61FE6" w:rsidP="00D445E2">
      <w:pPr>
        <w:spacing w:after="0" w:line="240" w:lineRule="auto"/>
      </w:pPr>
    </w:p>
    <w:p w:rsidR="00D445E2" w:rsidRPr="00B45043" w:rsidRDefault="00D445E2" w:rsidP="00D445E2">
      <w:pPr>
        <w:spacing w:after="0" w:line="240" w:lineRule="auto"/>
      </w:pPr>
    </w:p>
    <w:p w:rsidR="00D61FE6" w:rsidRPr="00D445E2" w:rsidRDefault="00D61FE6" w:rsidP="00D445E2">
      <w:pPr>
        <w:spacing w:after="0" w:line="240" w:lineRule="auto"/>
        <w:rPr>
          <w:rFonts w:ascii="Times New Roman" w:eastAsia="Times New Roman" w:hAnsi="Times New Roman"/>
          <w:b/>
          <w:bCs/>
          <w:sz w:val="24"/>
          <w:szCs w:val="24"/>
        </w:rPr>
      </w:pPr>
      <w:r w:rsidRPr="00D445E2">
        <w:rPr>
          <w:rFonts w:ascii="Times New Roman" w:eastAsia="Times New Roman" w:hAnsi="Times New Roman"/>
          <w:b/>
          <w:bCs/>
          <w:sz w:val="24"/>
          <w:szCs w:val="24"/>
        </w:rPr>
        <w:t>Abstract</w:t>
      </w:r>
    </w:p>
    <w:p w:rsidR="00D61FE6" w:rsidRPr="00D445E2" w:rsidRDefault="00D61FE6" w:rsidP="00D445E2">
      <w:pPr>
        <w:spacing w:after="0" w:line="240" w:lineRule="auto"/>
        <w:jc w:val="center"/>
        <w:rPr>
          <w:rFonts w:ascii="Times New Roman" w:eastAsia="Times New Roman" w:hAnsi="Times New Roman"/>
          <w:b/>
          <w:bCs/>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 xml:space="preserve">The history of the tsunami that hit Kuala Muda, Kedah in 2004 had negatively impact to local </w:t>
      </w:r>
      <w:r>
        <w:rPr>
          <w:rFonts w:ascii="Times New Roman" w:eastAsia="MS Mincho" w:hAnsi="Times New Roman"/>
          <w:sz w:val="24"/>
          <w:szCs w:val="24"/>
        </w:rPr>
        <w:t>residents</w:t>
      </w:r>
      <w:r w:rsidRPr="00B45043">
        <w:rPr>
          <w:rFonts w:ascii="Times New Roman" w:eastAsia="MS Mincho" w:hAnsi="Times New Roman"/>
          <w:sz w:val="24"/>
          <w:szCs w:val="24"/>
        </w:rPr>
        <w:t xml:space="preserve"> including death, loss of property and trauma. The number of fatalities </w:t>
      </w:r>
      <w:r>
        <w:rPr>
          <w:rFonts w:ascii="Times New Roman" w:eastAsia="MS Mincho" w:hAnsi="Times New Roman"/>
          <w:sz w:val="24"/>
          <w:szCs w:val="24"/>
        </w:rPr>
        <w:t>were</w:t>
      </w:r>
      <w:r w:rsidRPr="00B45043">
        <w:rPr>
          <w:rFonts w:ascii="Times New Roman" w:eastAsia="MS Mincho" w:hAnsi="Times New Roman"/>
          <w:sz w:val="24"/>
          <w:szCs w:val="24"/>
        </w:rPr>
        <w:t xml:space="preserve"> 17 people and 32 people were injured. After the disaster, there were no guidelines and evacuation plans issued by any parties to guide local residents on how to survive the disaster. Therefore, the implementation of this simulation exercise is a preparation for </w:t>
      </w:r>
      <w:r w:rsidR="00D445E2" w:rsidRPr="00B45043">
        <w:rPr>
          <w:rFonts w:ascii="Times New Roman" w:eastAsia="MS Mincho" w:hAnsi="Times New Roman"/>
          <w:sz w:val="24"/>
          <w:szCs w:val="24"/>
        </w:rPr>
        <w:t xml:space="preserve">tsunami </w:t>
      </w:r>
      <w:r w:rsidRPr="00B45043">
        <w:rPr>
          <w:rFonts w:ascii="Times New Roman" w:eastAsia="MS Mincho" w:hAnsi="Times New Roman"/>
          <w:sz w:val="24"/>
          <w:szCs w:val="24"/>
        </w:rPr>
        <w:t xml:space="preserve">disaster relief for local residents. This study uses participant observation method and questionnaire by applying level 1 (reaction) and level 2 (learning) from Kirkpatrick Evaluation Model. A total of 723 respondents consisted 62 teachers and 661 students of SMK Kuala Muda were selected based on purposive sampling method. Data were analyzed using descriptive analysis and </w:t>
      </w:r>
      <w:r w:rsidR="00D445E2">
        <w:rPr>
          <w:rFonts w:ascii="Times New Roman" w:eastAsia="MS Mincho" w:hAnsi="Times New Roman"/>
          <w:sz w:val="24"/>
          <w:szCs w:val="24"/>
        </w:rPr>
        <w:t>the P</w:t>
      </w:r>
      <w:r w:rsidRPr="00B45043">
        <w:rPr>
          <w:rFonts w:ascii="Times New Roman" w:eastAsia="MS Mincho" w:hAnsi="Times New Roman"/>
          <w:sz w:val="24"/>
          <w:szCs w:val="24"/>
        </w:rPr>
        <w:t>earson correlation. The results showed the highest mean score for rea</w:t>
      </w:r>
      <w:r w:rsidR="00A37349">
        <w:rPr>
          <w:rFonts w:ascii="Times New Roman" w:eastAsia="MS Mincho" w:hAnsi="Times New Roman"/>
          <w:sz w:val="24"/>
          <w:szCs w:val="24"/>
        </w:rPr>
        <w:t>ction was the item of media/LCD</w:t>
      </w:r>
      <w:r w:rsidRPr="00B45043">
        <w:rPr>
          <w:rFonts w:ascii="Times New Roman" w:eastAsia="MS Mincho" w:hAnsi="Times New Roman"/>
          <w:sz w:val="24"/>
          <w:szCs w:val="24"/>
        </w:rPr>
        <w:t xml:space="preserve">. For learning, item of knowledge recorded </w:t>
      </w:r>
      <w:r>
        <w:rPr>
          <w:rFonts w:ascii="Times New Roman" w:eastAsia="MS Mincho" w:hAnsi="Times New Roman"/>
          <w:sz w:val="24"/>
          <w:szCs w:val="24"/>
        </w:rPr>
        <w:t xml:space="preserve">a </w:t>
      </w:r>
      <w:r w:rsidRPr="00B45043">
        <w:rPr>
          <w:rFonts w:ascii="Times New Roman" w:eastAsia="MS Mincho" w:hAnsi="Times New Roman"/>
          <w:sz w:val="24"/>
          <w:szCs w:val="24"/>
        </w:rPr>
        <w:t xml:space="preserve">higher mean score than </w:t>
      </w:r>
      <w:r>
        <w:rPr>
          <w:rFonts w:ascii="Times New Roman" w:eastAsia="MS Mincho" w:hAnsi="Times New Roman"/>
          <w:sz w:val="24"/>
          <w:szCs w:val="24"/>
        </w:rPr>
        <w:t xml:space="preserve">the item of </w:t>
      </w:r>
      <w:r w:rsidRPr="00B45043">
        <w:rPr>
          <w:rFonts w:ascii="Times New Roman" w:eastAsia="MS Mincho" w:hAnsi="Times New Roman"/>
          <w:sz w:val="24"/>
          <w:szCs w:val="24"/>
        </w:rPr>
        <w:t>skills and attitude. The results of the correlation test on the relationship between reaction and learning showed a significant and moderate relationship.</w:t>
      </w:r>
      <w:r w:rsidR="00A37349">
        <w:rPr>
          <w:rFonts w:ascii="Times New Roman" w:eastAsia="MS Mincho" w:hAnsi="Times New Roman"/>
          <w:sz w:val="24"/>
          <w:szCs w:val="24"/>
        </w:rPr>
        <w:t xml:space="preserve"> </w:t>
      </w:r>
      <w:r w:rsidRPr="00B45043">
        <w:rPr>
          <w:rFonts w:ascii="Times New Roman" w:eastAsia="MS Mincho" w:hAnsi="Times New Roman"/>
          <w:sz w:val="24"/>
          <w:szCs w:val="24"/>
        </w:rPr>
        <w:t>The implications of the study are to increase the resilience of the local residents to cope with any possible disaster that may happen in this area.</w:t>
      </w:r>
    </w:p>
    <w:p w:rsidR="00D61FE6" w:rsidRPr="00B45043" w:rsidRDefault="00D61FE6"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b/>
          <w:bCs/>
          <w:sz w:val="24"/>
          <w:szCs w:val="24"/>
        </w:rPr>
        <w:t>Keywords</w:t>
      </w:r>
      <w:r w:rsidRPr="00B45043">
        <w:rPr>
          <w:rFonts w:ascii="Times New Roman" w:eastAsia="MS Mincho" w:hAnsi="Times New Roman"/>
          <w:sz w:val="24"/>
          <w:szCs w:val="24"/>
        </w:rPr>
        <w:t>: natural disaster, simulation exercise, Kirkpatrick Evaluation Model, reaction, learning, awareness programme.</w:t>
      </w:r>
    </w:p>
    <w:p w:rsidR="00D61FE6" w:rsidRPr="00B45043" w:rsidRDefault="00D61FE6"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sz w:val="24"/>
          <w:szCs w:val="24"/>
        </w:rPr>
      </w:pPr>
    </w:p>
    <w:p w:rsidR="00D61FE6" w:rsidRDefault="00D61FE6" w:rsidP="00A37349">
      <w:pPr>
        <w:spacing w:after="0"/>
        <w:rPr>
          <w:rFonts w:ascii="Times New Roman" w:hAnsi="Times New Roman"/>
          <w:b/>
          <w:sz w:val="24"/>
          <w:szCs w:val="24"/>
        </w:rPr>
      </w:pPr>
      <w:r w:rsidRPr="00B45043">
        <w:rPr>
          <w:rFonts w:ascii="Times New Roman" w:hAnsi="Times New Roman"/>
          <w:b/>
          <w:sz w:val="24"/>
          <w:szCs w:val="24"/>
        </w:rPr>
        <w:t>Pengenalan</w:t>
      </w:r>
    </w:p>
    <w:p w:rsidR="00A37349" w:rsidRPr="00B45043" w:rsidRDefault="00A37349" w:rsidP="00A37349">
      <w:pPr>
        <w:spacing w:after="0"/>
        <w:rPr>
          <w:rFonts w:ascii="Times New Roman" w:hAnsi="Times New Roman"/>
          <w:b/>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Gothic" w:hAnsi="Times New Roman"/>
          <w:bCs/>
          <w:sz w:val="24"/>
          <w:szCs w:val="28"/>
        </w:rPr>
        <w:t xml:space="preserve">Istilah tsunami berasal daripada bahasa Jepun dan diterjemahkan ke dalam Bahasa Inggeris sebagai </w:t>
      </w:r>
      <w:r w:rsidRPr="00B45043">
        <w:rPr>
          <w:rFonts w:ascii="Times New Roman" w:eastAsia="MS Gothic" w:hAnsi="Times New Roman"/>
          <w:bCs/>
          <w:i/>
          <w:sz w:val="24"/>
          <w:szCs w:val="28"/>
        </w:rPr>
        <w:t xml:space="preserve">‘harbor wave’ </w:t>
      </w:r>
      <w:r w:rsidRPr="00B45043">
        <w:rPr>
          <w:rFonts w:ascii="Times New Roman" w:eastAsia="MS Gothic" w:hAnsi="Times New Roman"/>
          <w:bCs/>
          <w:i/>
          <w:sz w:val="24"/>
          <w:szCs w:val="28"/>
        </w:rPr>
        <w:fldChar w:fldCharType="begin" w:fldLock="1"/>
      </w:r>
      <w:r w:rsidRPr="00B45043">
        <w:rPr>
          <w:rFonts w:ascii="Times New Roman" w:eastAsia="MS Gothic" w:hAnsi="Times New Roman"/>
          <w:bCs/>
          <w:i/>
          <w:sz w:val="24"/>
          <w:szCs w:val="28"/>
        </w:rPr>
        <w:instrText>ADDIN CSL_CITATION {"citationItems":[{"id":"ITEM-1","itemData":{"DOI":"10.1007/978-3-642-27737-5_623-1","ISBN":"978-0-387-75888-6","author":[{"dropping-particle":"","family":"Yeh","given":"Harry","non-dropping-particle":"","parse-names":false,"suffix":""},{"dropping-particle":"","family":"Barbosa","given":"Andre","non-dropping-particle":"","parse-names":false,"suffix":""},{"dropping-particle":"","family":"Mason","given":"Benjamin H.","non-dropping-particle":"","parse-names":false,"suffix":""}],"container-title":"Encyclopedia of Complexity and Systems Science","editor":[{"dropping-particle":"","family":"Meyers","given":"Robert A.","non-dropping-particle":"","parse-names":false,"suffix":""}],"id":"ITEM-1","issued":{"date-parts":[["2015"]]},"page":"1-27","publisher":"Springer Berlin Heidelberg","publisher-place":"Berlin, Heidelberg","title":"Tsunamis effects in man-made environment","type":"chapter"},"uris":["http://www.mendeley.com/documents/?uuid=21a65112-3810-4931-a1cf-85983a86a844"]}],"mendeley":{"formattedCitation":"(Yeh et al., 2015)","plainTextFormattedCitation":"(Yeh et al., 2015)","previouslyFormattedCitation":"(Yeh et al., 2015)"},"properties":{"noteIndex":0},"schema":"https://github.com/citation-style-language/schema/raw/master/csl-citation.json"}</w:instrText>
      </w:r>
      <w:r w:rsidRPr="00B45043">
        <w:rPr>
          <w:rFonts w:ascii="Times New Roman" w:eastAsia="MS Gothic" w:hAnsi="Times New Roman"/>
          <w:bCs/>
          <w:i/>
          <w:sz w:val="24"/>
          <w:szCs w:val="28"/>
        </w:rPr>
        <w:fldChar w:fldCharType="separate"/>
      </w:r>
      <w:r w:rsidRPr="00B45043">
        <w:rPr>
          <w:rFonts w:ascii="Times New Roman" w:eastAsia="MS Gothic" w:hAnsi="Times New Roman"/>
          <w:bCs/>
          <w:noProof/>
          <w:sz w:val="24"/>
          <w:szCs w:val="28"/>
        </w:rPr>
        <w:t>(Yeh et al., 2015)</w:t>
      </w:r>
      <w:r w:rsidRPr="00B45043">
        <w:rPr>
          <w:rFonts w:ascii="Times New Roman" w:eastAsia="MS Gothic" w:hAnsi="Times New Roman"/>
          <w:bCs/>
          <w:i/>
          <w:sz w:val="24"/>
          <w:szCs w:val="28"/>
        </w:rPr>
        <w:fldChar w:fldCharType="end"/>
      </w:r>
      <w:r w:rsidRPr="00B45043">
        <w:rPr>
          <w:rFonts w:ascii="Times New Roman" w:eastAsia="MS Gothic" w:hAnsi="Times New Roman"/>
          <w:bCs/>
          <w:sz w:val="24"/>
          <w:szCs w:val="28"/>
        </w:rPr>
        <w:t>. Umumnya, kejadian tsunami berlaku disebabkan oleh gempa bumi. Namun, terdapat faktor lain yang boleh mengakibatkan tsunami berlaku</w:t>
      </w:r>
      <w:r w:rsidR="00D445E2">
        <w:rPr>
          <w:rFonts w:ascii="Times New Roman" w:eastAsia="MS Gothic" w:hAnsi="Times New Roman"/>
          <w:bCs/>
          <w:sz w:val="24"/>
          <w:szCs w:val="28"/>
        </w:rPr>
        <w:t>,</w:t>
      </w:r>
      <w:r w:rsidRPr="00B45043">
        <w:rPr>
          <w:rFonts w:ascii="Times New Roman" w:eastAsia="MS Gothic" w:hAnsi="Times New Roman"/>
          <w:bCs/>
          <w:sz w:val="24"/>
          <w:szCs w:val="28"/>
        </w:rPr>
        <w:t xml:space="preserve"> antaranya adalah tanah runtuh di dasar lautan, gunung berapi, atau kejatuhan meteor </w:t>
      </w:r>
      <w:r w:rsidRPr="00B45043">
        <w:rPr>
          <w:rFonts w:ascii="Times New Roman" w:eastAsia="MS Gothic" w:hAnsi="Times New Roman"/>
          <w:bCs/>
          <w:sz w:val="24"/>
          <w:szCs w:val="28"/>
        </w:rPr>
        <w:fldChar w:fldCharType="begin" w:fldLock="1"/>
      </w:r>
      <w:r w:rsidRPr="00B45043">
        <w:rPr>
          <w:rFonts w:ascii="Times New Roman" w:eastAsia="MS Gothic" w:hAnsi="Times New Roman"/>
          <w:bCs/>
          <w:sz w:val="24"/>
          <w:szCs w:val="28"/>
        </w:rPr>
        <w:instrText>ADDIN CSL_CITATION {"citationItems":[{"id":"ITEM-1","itemData":{"DOI":"10.1007/978-3-642-27737-5_623-1","ISBN":"978-0-387-75888-6","author":[{"dropping-particle":"","family":"Yeh","given":"Harry","non-dropping-particle":"","parse-names":false,"suffix":""},{"dropping-particle":"","family":"Barbosa","given":"Andre","non-dropping-particle":"","parse-names":false,"suffix":""},{"dropping-particle":"","family":"Mason","given":"Benjamin H.","non-dropping-particle":"","parse-names":false,"suffix":""}],"container-title":"Encyclopedia of Complexity and Systems Science","editor":[{"dropping-particle":"","family":"Meyers","given":"Robert A.","non-dropping-particle":"","parse-names":false,"suffix":""}],"id":"ITEM-1","issued":{"date-parts":[["2015"]]},"page":"1-27","publisher":"Springer Berlin Heidelberg","publisher-place":"Berlin, Heidelberg","title":"Tsunamis effects in man-made environment","type":"chapter"},"uris":["http://www.mendeley.com/documents/?uuid=21a65112-3810-4931-a1cf-85983a86a844"]}],"mendeley":{"formattedCitation":"(Yeh et al., 2015)","plainTextFormattedCitation":"(Yeh et al., 2015)","previouslyFormattedCitation":"(Yeh et al., 2015)"},"properties":{"noteIndex":0},"schema":"https://github.com/citation-style-language/schema/raw/master/csl-citation.json"}</w:instrText>
      </w:r>
      <w:r w:rsidRPr="00B45043">
        <w:rPr>
          <w:rFonts w:ascii="Times New Roman" w:eastAsia="MS Gothic" w:hAnsi="Times New Roman"/>
          <w:bCs/>
          <w:sz w:val="24"/>
          <w:szCs w:val="28"/>
        </w:rPr>
        <w:fldChar w:fldCharType="separate"/>
      </w:r>
      <w:r w:rsidRPr="00B45043">
        <w:rPr>
          <w:rFonts w:ascii="Times New Roman" w:eastAsia="MS Gothic" w:hAnsi="Times New Roman"/>
          <w:bCs/>
          <w:noProof/>
          <w:sz w:val="24"/>
          <w:szCs w:val="28"/>
        </w:rPr>
        <w:t>(Yeh et al., 2015)</w:t>
      </w:r>
      <w:r w:rsidRPr="00B45043">
        <w:rPr>
          <w:rFonts w:ascii="Times New Roman" w:eastAsia="MS Gothic" w:hAnsi="Times New Roman"/>
          <w:bCs/>
          <w:sz w:val="24"/>
          <w:szCs w:val="28"/>
        </w:rPr>
        <w:fldChar w:fldCharType="end"/>
      </w:r>
      <w:r w:rsidRPr="00B45043">
        <w:rPr>
          <w:rFonts w:ascii="Times New Roman" w:eastAsia="MS Gothic" w:hAnsi="Times New Roman"/>
          <w:bCs/>
          <w:sz w:val="24"/>
          <w:szCs w:val="28"/>
        </w:rPr>
        <w:t xml:space="preserve">. Bencana tsunami pada 26 Disember 2004 adalah kesan daripada gempa bumi yang berlaku di Lautan Hindi dengan kekuatan magnitud 9.0 skala </w:t>
      </w:r>
      <w:r w:rsidR="00D95C75">
        <w:rPr>
          <w:rFonts w:ascii="Times New Roman" w:eastAsia="MS Gothic" w:hAnsi="Times New Roman"/>
          <w:bCs/>
          <w:i/>
          <w:sz w:val="24"/>
          <w:szCs w:val="28"/>
        </w:rPr>
        <w:t>R</w:t>
      </w:r>
      <w:r w:rsidRPr="00A37349">
        <w:rPr>
          <w:rFonts w:ascii="Times New Roman" w:eastAsia="MS Gothic" w:hAnsi="Times New Roman"/>
          <w:bCs/>
          <w:i/>
          <w:sz w:val="24"/>
          <w:szCs w:val="28"/>
        </w:rPr>
        <w:t>ichter</w:t>
      </w:r>
      <w:r w:rsidRPr="00B45043">
        <w:rPr>
          <w:rFonts w:ascii="Times New Roman" w:eastAsia="MS Gothic" w:hAnsi="Times New Roman"/>
          <w:bCs/>
          <w:sz w:val="24"/>
          <w:szCs w:val="28"/>
        </w:rPr>
        <w:t xml:space="preserve">. Bencana tersebut telah memberi kesan kepada hampir 13 buah negara, iaitu Indonesia, Thailand, Myanmar, Bangladesh, India, Somalia, Sri Langka, Tanzania, Kenya, Yemen, Maldives, Pulau Seychelles dan Malaysia </w:t>
      </w:r>
      <w:r w:rsidRPr="00B45043">
        <w:rPr>
          <w:rFonts w:ascii="Times New Roman" w:eastAsia="MS Gothic" w:hAnsi="Times New Roman"/>
          <w:bCs/>
          <w:sz w:val="24"/>
          <w:szCs w:val="28"/>
        </w:rPr>
        <w:fldChar w:fldCharType="begin" w:fldLock="1"/>
      </w:r>
      <w:r w:rsidRPr="00B45043">
        <w:rPr>
          <w:rFonts w:ascii="Times New Roman" w:eastAsia="MS Gothic" w:hAnsi="Times New Roman"/>
          <w:bCs/>
          <w:sz w:val="24"/>
          <w:szCs w:val="28"/>
        </w:rPr>
        <w:instrText>ADDIN CSL_CITATION {"citationItems":[{"id":"ITEM-1","itemData":{"DOI":"10.7763/jocet.2013.v1.56","ISSN":"1793821X","abstract":"Abstract—The tsunami of 26 December 2004 was one of the most devastating tragedy ever occurred to men in the history of human civilization. Approximately 250,000 lives perished, millions injured and suffered, while the destruction of property loss of opportunities cannot be accurately estimated. The impact of the tsunami on environmental destruction shows that damage was inflicted on natural resources such as coral reefs, mangroves, sand dunes and other coastal ecosystem that acted as wave defense barriers. Moreover, inlands, wetlands and agricultural land were salinated and natural resources for livelihood and for source of income were badly affected, especially for coastal communities who were involve in fisheries. The situation worsened as basic facilities were also destroyed. As such, this research focuses on assessing and identifying on how the impacts of the tsunami on the infrastructure and environmental resources affected the community well-being inKuala Muda, Kedah, Malaysia. This study focuses on the impacts of tsunami on the affected community well-being in the coastal zone on the basis of available primary and secondary sources. Primary sources included questionnaires, interviews and observations while the secondary resources included books, government and international reports, scientific journals, maps and articles that highlighted tsunami related issues. The study tries to seek for both qualitative and quantitative impacts and also tries to find out some solutions that would help to minimize the impact of the tsunami on the community well-being. The information gained from this study can be used to help the community as well as the agencies involve in order to minimize the impacts of the tsunami on the community and develop a more effective mitigation measures for other environmental disasters such as tsunami. Besides, the research may help to create awareness on the community to be prepared in facing disastrous situation such as the tsunami. Through community preparedness, the impact can be minimized and reduced. As for the authority, this research may be of great assistance by allowing them to make better decision.","author":[{"dropping-particle":"","family":"Asmawi","given":"M. Zainora","non-dropping-particle":"","parse-names":false,"suffix":""},{"dropping-particle":"","family":"Ibrahim","given":"Aisyah Nadhrah","non-dropping-particle":"","parse-names":false,"suffix":""}],"container-title":"Journal of Clean Energy Technologies","id":"ITEM-1","issue":"3","issued":{"date-parts":[["2013"]]},"page":"246-250","title":"The impacts of tsunami on the well-being of the affected community in Kuala Muda, Kedah, Malaysia","type":"article-journal","volume":"1"},"uris":["http://www.mendeley.com/documents/?uuid=c56c35b6-bebb-4ef0-bdf2-6b995345324c"]}],"mendeley":{"formattedCitation":"(Asmawi &amp; Ibrahim, 2013)","plainTextFormattedCitation":"(Asmawi &amp; Ibrahim, 2013)","previouslyFormattedCitation":"(Asmawi &amp; Ibrahim, 2013)"},"properties":{"noteIndex":0},"schema":"https://github.com/citation-style-language/schema/raw/master/csl-citation.json"}</w:instrText>
      </w:r>
      <w:r w:rsidRPr="00B45043">
        <w:rPr>
          <w:rFonts w:ascii="Times New Roman" w:eastAsia="MS Gothic" w:hAnsi="Times New Roman"/>
          <w:bCs/>
          <w:sz w:val="24"/>
          <w:szCs w:val="28"/>
        </w:rPr>
        <w:fldChar w:fldCharType="separate"/>
      </w:r>
      <w:r w:rsidRPr="00B45043">
        <w:rPr>
          <w:rFonts w:ascii="Times New Roman" w:eastAsia="MS Gothic" w:hAnsi="Times New Roman"/>
          <w:bCs/>
          <w:noProof/>
          <w:sz w:val="24"/>
          <w:szCs w:val="28"/>
        </w:rPr>
        <w:t>(Asmawi &amp; Ibrahim, 2013)</w:t>
      </w:r>
      <w:r w:rsidRPr="00B45043">
        <w:rPr>
          <w:rFonts w:ascii="Times New Roman" w:eastAsia="MS Gothic" w:hAnsi="Times New Roman"/>
          <w:bCs/>
          <w:sz w:val="24"/>
          <w:szCs w:val="28"/>
        </w:rPr>
        <w:fldChar w:fldCharType="end"/>
      </w:r>
      <w:r w:rsidRPr="00B45043">
        <w:rPr>
          <w:rFonts w:ascii="Times New Roman" w:eastAsia="MS Gothic" w:hAnsi="Times New Roman"/>
          <w:bCs/>
          <w:sz w:val="24"/>
          <w:szCs w:val="28"/>
        </w:rPr>
        <w:t xml:space="preserve">. Menurut IFRC (2013), </w:t>
      </w:r>
      <w:r w:rsidR="00D95C75">
        <w:rPr>
          <w:rFonts w:ascii="Times New Roman" w:eastAsia="MS Gothic" w:hAnsi="Times New Roman"/>
          <w:bCs/>
          <w:sz w:val="24"/>
          <w:szCs w:val="28"/>
        </w:rPr>
        <w:t xml:space="preserve">mangsa </w:t>
      </w:r>
      <w:r w:rsidR="00D95C75" w:rsidRPr="00B45043">
        <w:rPr>
          <w:rFonts w:ascii="Times New Roman" w:eastAsia="MS Gothic" w:hAnsi="Times New Roman"/>
          <w:bCs/>
          <w:sz w:val="24"/>
          <w:szCs w:val="28"/>
        </w:rPr>
        <w:t xml:space="preserve">kematian </w:t>
      </w:r>
      <w:r w:rsidRPr="00B45043">
        <w:rPr>
          <w:rFonts w:ascii="Times New Roman" w:eastAsia="MS Gothic" w:hAnsi="Times New Roman"/>
          <w:bCs/>
          <w:sz w:val="24"/>
          <w:szCs w:val="28"/>
        </w:rPr>
        <w:t xml:space="preserve">dianggarkan mencecah 224,685 </w:t>
      </w:r>
      <w:r w:rsidR="00D95C75">
        <w:rPr>
          <w:rFonts w:ascii="Times New Roman" w:eastAsia="MS Gothic" w:hAnsi="Times New Roman"/>
          <w:bCs/>
          <w:sz w:val="24"/>
          <w:szCs w:val="28"/>
        </w:rPr>
        <w:t xml:space="preserve">orang </w:t>
      </w:r>
      <w:r w:rsidRPr="00B45043">
        <w:rPr>
          <w:rFonts w:ascii="Times New Roman" w:eastAsia="MS Gothic" w:hAnsi="Times New Roman"/>
          <w:bCs/>
          <w:sz w:val="24"/>
          <w:szCs w:val="28"/>
        </w:rPr>
        <w:t>iaitu 174,729 mangsa disahkan meninggal dunia dan 49,956 mangsa disahkan hilang akibat bencana tersebut</w:t>
      </w:r>
      <w:r w:rsidRPr="00B45043">
        <w:rPr>
          <w:rFonts w:ascii="Times New Roman" w:eastAsia="MS Mincho" w:hAnsi="Times New Roman"/>
          <w:sz w:val="24"/>
          <w:szCs w:val="24"/>
        </w:rPr>
        <w:t xml:space="preserve">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{"citationItems":[{"id":"ITEM-1","itemData":{"DOI":"10.1016/j.sbspro.2013.11.060","ISSN":"18770428","abstract":"The Indian Ocean tsunami of 26th December 2004 unleashed catastrophe in many nations including coastal communities located along the west-coast of Malaysian Peninsular. The goal of this study is to explore the impact of the tsunami to the preparedness of the affected coastal communities. Data was collected through questionnaire, interviews, documents analysis and field observations. It was found that the 2004 tsunami disaster has left a significant mark on Malaysia's and the world's disaster management landscape but the tragedy has also heightened disaster awareness and steps must be taken to ensure vulnerable communities are well-equipped to face any eventualities.","author":[{"dropping-particle":"","family":"Zahari","given":"Rustam Khairi","non-dropping-particle":"","parse-names":false,"suffix":""},{"dropping-particle":"","family":"Ariffin","given":"Raja Noriza Raja","non-dropping-particle":"","parse-names":false,"suffix":""},{"dropping-particle":"","family":"Asmawi","given":"M. Zinora","non-dropping-particle":"","parse-names":false,"suffix":""},{"dropping-particle":"","family":"Ibrahim","given":"Aisyah Nadhrah","non-dropping-particle":"","parse-names":false,"suffix":""}],"container-title":"Procedia - Social and Behavioral Sciences","id":"ITEM-1","issued":{"date-parts":[["2013","12"]]},"page":"569-576","publisher":"Elsevier B.V.","title":"Impacts of the 2004 Tsunami: Preparedness of the Malaysian coastal communities","type":"paper-conference","volume":"105"},"uris":["http://www.mendeley.com/documents/?uuid=516e684b-d9c0-45ea-93f7-f9168371b5aa"]}],"mendeley":{"formattedCitation":"(Zahari et al., 2013)","plainTextFormattedCitation":"(Zahari et al., 2013)","previouslyFormattedCitation":"(Zahari et al., 2013)"},"properties":{"noteIndex":0},"schema":"https://github.com/citation-style-language/schema/raw/master/csl-citation.json"}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(Zahari et al., 2013)</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Di Malaysia, negeri yang terjejas akibat bencana tsunami ialah Pulau Pinang, Kedah, Perak dan Selangor. Di Pulau Pinang, kawasan penempatan nelayan di Batu Maung, Bayan Lepas dan Teluk Bahang adalah teruk terjejas. Di Kedah pula, sebanyak 13 buah kampung di Kuala Muda, Kuala Triang dan Pulau Langkawi turut terjejas (Krishnaswamy et al., 2012; Zahari et al., 2013). Statistik mencatatkan </w:t>
      </w:r>
      <w:r w:rsidR="00A37349">
        <w:rPr>
          <w:rFonts w:ascii="Times New Roman" w:eastAsia="MS Mincho" w:hAnsi="Times New Roman"/>
          <w:sz w:val="24"/>
          <w:szCs w:val="24"/>
        </w:rPr>
        <w:t>5</w:t>
      </w:r>
      <w:r w:rsidRPr="00B45043">
        <w:rPr>
          <w:rFonts w:ascii="Times New Roman" w:eastAsia="MS Mincho" w:hAnsi="Times New Roman"/>
          <w:sz w:val="24"/>
          <w:szCs w:val="24"/>
        </w:rPr>
        <w:t xml:space="preserve">8 rekod kematian termasuk 54 kematian, 4 hilang, 206 cedera dan 615 buah rumah musnah serta 1332 kerosakan bot nelayan terutama di Pulau Pinang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{"citationItems":[{"id":"ITEM-1","itemData":{"DOI":"10.1177/1010539512453261","ISSN":"1010-5395","abstract":"Disasters, natural or man-made, bring numerous health care challenges. In any crisis, mental health programs are a requirement during both the acute and postemergency phases. In the Asian tsunami on December 26, 2004, some of the northwestern coastal areas of Malaysia, particularly the island of Penang, were affected with devastating effects on the residents. Such disasters can predispose to mental health problems among the affected people. An early mental health intervention program was carried out in Balik Pulau, Penang, an area badly affected by the tsunami. The objective of the intervention program was to identify the victims, counsel them, make referrals if necessary, and provide help and resources to prevent the development of mental health problems. Penang residents identified as tsunami victims by the local health authorities were recruited. A group of health care workers, school teachers, village authorities, and volunteers were trained to carry out the crisis intervention program by health care workers experienced in crisis interventions. A total of 299 adults participated in the crisis intervention program, with follow-up assessments being made 4 to 6 weeks later. At the follow-up assessment, 1% of the victims had a problem and they were then referred for further medical assessment. This indicates that the intervention program in the first 2 weeks after the tsunami disaster with referrals to medical services may have helped stabilize the victims.","author":[{"dropping-particle":"","family":"Krishnaswamy","given":"Saroja","non-dropping-particle":"","parse-names":false,"suffix":""},{"dropping-particle":"","family":"Subramaniam","given":"Kavitha","non-dropping-particle":"","parse-names":false,"suffix":""},{"dropping-particle":"","family":"Indran","given":"Tishya","non-dropping-particle":"","parse-names":false,"suffix":""},{"dropping-particle":"","family":"Low","given":"Wah-Yun","non-dropping-particle":"","parse-names":false,"suffix":""}],"container-title":"Asia Pacific Journal of Public Health","id":"ITEM-1","issue":"4","issued":{"date-parts":[["2012","7","11"]]},"page":"710-718","title":"The 2004 Tsunami in Penang, Malaysia","type":"article-journal","volume":"24"},"uris":["http://www.mendeley.com/documents/?uuid=5fd5090b-84c8-4e54-aca9-80e5845b79c2"]}],"mendeley":{"formattedCitation":"(Krishnaswamy et al., 2012)","manualFormatting":"(Krishnaswamy et al., 2012)","plainTextFormattedCitation":"(Krishnaswamy et al., 2012)","previouslyFormattedCitation":"(Krishnaswamy et al., 2012)"},"properties":{"noteIndex":0},"schema":"https://github.com/citation-style-language/schema/raw/master/csl-citation.json"}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(Krishnaswamy et al., 2012)</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Di Perak, sebanyak tiga kematian dicatatkan dan satu kematian di Selangor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{"citationItems":[{"id":"ITEM-1","itemData":{"DOI":"10.1016/j.ssci.2019.05.016","ISSN":"18791042","abstract":"Situated in the middle of the Sunda Plate and close to the Ring of Fire, Malaysia is surrounded by seismically active zones that pose risks of natural hazards, among which is tsunami. The 2004 Indian Ocean Tsunami caused by a magnitude 9.3 earthquake off Sumatran coastline was the first tsunami to have reached Malaysia in the country's own recorded history, though there are brief records of other tsunami reaching Malaysian coastline in the past. This paper reviewed relevant literature sources to highlight the intensity and diversity of damages caused by the tsunami towards Malaysia. These damages ranged from loss of lives, physical damage to structures and infrastructures, environmental changes, socioeconomic setbacks, and health issues among the victims. Subsequent measures taken by the Malaysian government and agencies in managing disaster risk in the country are also reviewed. These measures include the identification of tsunami hazard zones, development of tsunami emergency response plans, and the formation of the National Disaster Management Agency (NADMA). In addition, the shift in disaster management approaches from being heavily top-down towards community-based was examined. Understanding of the wide spectrum of impacts caused by the tsunami disaster, the contributing factors as well as mitigation efforts reviewed in this paper can be particularly useful in making informed decisions regarding future risk reduction strategies in the context of a developing country like Malaysia.","author":[{"dropping-particle":"","family":"Ahmadun","given":"Fakhru'l Razi","non-dropping-particle":"","parse-names":false,"suffix":""},{"dropping-particle":"","family":"Wong","given":"Mohd Muhaimin Ridwan","non-dropping-particle":"","parse-names":false,"suffix":""},{"dropping-particle":"","family":"Mat Said","given":"Aini","non-dropping-particle":"","parse-names":false,"suffix":""}],"container-title":"Safety Science","id":"ITEM-1","issue":"May 2019","issued":{"date-parts":[["2019"]]},"page":"619-631","publisher":"Elsevier","title":"Consequences of the 2004 Indian Ocean Tsunami in Malaysia","type":"article-journal","volume":"121"},"uris":["http://www.mendeley.com/documents/?uuid=14c11c62-fea5-4403-b725-741b7851323e"]}],"mendeley":{"formattedCitation":"(Ahmadun et al., 2019)","manualFormatting":"(Ahmadun et al., 2019)","plainTextFormattedCitation":"(Ahmadun et al., 2019)","previouslyFormattedCitation":"(Ahmadun et al., 2019)"},"properties":{"noteIndex":0},"schema":"https://github.com/citation-style-language/schema/raw/master/csl-citation.json"}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(Ahmadun et al., 2019)</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Menurut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{"citationItems":[{"id":"ITEM-1","itemData":{"abstract":"Bencana Tsunami yang melanda Indonesia pada Disember 2004 telah meninggalkan impak yang dahsyat terhadap beberapa kawasan petempatan pinggir pantai di Malaysia seperti Kuala Muda dan Langkawi di Kedah serta Batu Peringgi di Pulau Pinang. Ramai isi rumah yang kehilangan nyawa ahli keluarga dan rumah kediaman. Usaha membina dan membangunkan semula rumah kediaman di ketiga-tiga kawasan bencana tersebut telah dilaksanakan oleh Syarikat Perumahan Negara Berhad yang sebahagiannya dibiayai melalui dana derma orang awam. Program pembinaan semula rumah kediaman dan penempatan semula mangsa ke kawasan yang baru ternyata telah menyelesaikan masalah tempat kediaman mangsa. Bagaimana pun isu berkaitan kesejahteraan sosial isi rumah tersebut kebelakangan ini telah menarik perhatian ramai pengkaji sains sosial. Makalah ini bertujuan menganalisis tahap kesejahteraan mangsa tsunami dari segi kualiti rumah kediaman dan tahap kebajikan mereka. Data kajian ini diperolehi melalui suatu survei ke atas 233 resonden yang tinggal di tiga kawasan yang pernah dilanda tsunami yang terlibat dengan program berkenaan. Analisis mendapati bahawa pada umumnya rumah kediaman mereka diami kini adalah lebih baik. Tahap keselamatan kawasan di sekitar kejiranan juga tinggi. Umumnya mangsa berpuas hati dengan tempat kediaman baru yang mereka diami selepas tsunami. Bagaimana pun, rata-rata penghuni berpandangan bahawa ketersampaian mereka kepada perkhidmatan asas masih lagi rendah berbanding sebelumnya. Pada dasarnya, kekurangan ini menyukarkan kehidupan dan merendahkan tahap kesejahteraan mereka. Kesimpulanya, program pembaikan rumah dan penempatan semula mangsa tsunami sepatutnya bertujuan bukan hanya untuk memberi kemudahan rumah kediaman sahaja tetapi juga perlu digandingkan dengan usaha meningkatkan taraf sosioekonomi dan kesejahteraan sosial mereka.","author":[{"dropping-particle":"","family":"Rostam","given":"Katiman","non-dropping-particle":"","parse-names":false,"suffix":""},{"dropping-particle":"","family":"Herman","given":"Iran","non-dropping-particle":"","parse-names":false,"suffix":""},{"dropping-particle":"","family":"Nor","given":"Asmah Bee Mohd","non-dropping-particle":"","parse-names":false,"suffix":""}],"container-title":"Malaysia Journal of Society and Space","id":"ITEM-1","issue":"1","issued":{"date-parts":[["2009"]]},"page":"33-43","title":"Kawasan penempatan semula mangsa tsunami di Malaysia: Analisis kualiti kejiranan dan kesejahteraan isi rumah","type":"article-journal","volume":"5"},"uris":["http://www.mendeley.com/documents/?uuid=b5144d26-bded-4b51-9b5d-293871a2f320"]}],"mendeley":{"formattedCitation":"(Rostam et al., 2009)","manualFormatting":" Rostam et al. (2009)","plainTextFormattedCitation":"(Rostam et al., 2009)","previouslyFormattedCitation":"(Rostam et al., 2009)"},"properties":{"noteIndex":0},"schema":"https://github.com/citation-style-language/schema/raw/master/csl-citation.json"}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 xml:space="preserve"> Rostam et al. (2009)</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impak bencana tsunami mengakibatkan mangsa menghadapi trauma kesan daripada kematian atau kehilangan ahli keluarga dan kemusnahan harta benda. Tekanan daripada trauma ini mengambil masa yang lama untuk dipulihkan.</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lastRenderedPageBreak/>
        <w:t xml:space="preserve">Setelah hampir 14 tahun kejadian tsunami yang melanda di Kuala Muda, didapati masih tiada pihak yang mengeluarkan garis panduan evakuasi dan pelan kecemasan sebagai panduan untuk penduduk setempat menyelamatkan diri sekiranya bencana ini berulang lagi. Penduduk setempat dilihat masih menghadapi kesukaran untuk memilih kawasan yang sesuai sebagai tempat pemindahan. Justeru, inisiatif pihak Agensi Pengurusan Bencana Negara Malaysia (NADMA) menganjurkan latihan simulasi khususnya di kawasan yang berisiko bencana supaya komuniti terlibat lebih peka dan mengetahui cara untuk menyelamatkan diri daripada bencana tsunami. Latihan simulasi ialah suatu proses peniruan operasi atau sistem sebenar yang akan berlaku. Menerusi proses ini, pelbagai aspek dalam situasi kecemasan sebenar dapat dilihat dan memberi peluang kepada pengujian prosedur ditempat kejadian. Hal ini dapat membantu dalam meningkatkan kesedaran tentang persediaan, respon keperluan dan tindakan. Hasil daripada latihan simulasi ini akan digunakan untuk mengambil langkah-langkah proaktif dalam menyediakan tindak balas yang berkesan. Sistem, prosedur kecemasan, pelan kontingensi, mekanisme tindak balas, dan peralatan akan diuji dalam latihan ini. Ia akan menyumbang kepada pembangunan pasukan dan penilaian kemahiran tindak balas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{"citationItems":[{"id":"ITEM-1","itemData":{"abstract":"This guideline is an effort from the international DRR Community and brokered by UNISDR This concise guide on design and conduct of simulation exercises is part of the Words into Action Guideline series on practical implementation of the Sendai Framework for Disaster Risk Reduction Priority 4 component on enhancing disaster preparedness for effective response. It targets emergency managers, relevant government officials and many other actors responsible for disaster preparedness planning and drills. It consists of three main sections: General Information on Simulation Exercise, or SIMEX; the Process; Existing Guidelines.","author":[{"dropping-particle":"","family":"UNISDR","given":"","non-dropping-particle":"","parse-names":false,"suffix":""}],"id":"ITEM-1","issue":"May","issued":{"date-parts":[["2017"]]},"number-of-pages":"1-26","title":"Concise guide on design and conduct of simulation exercises","type":"report"},"uris":["http://www.mendeley.com/documents/?uuid=cf0d7d8e-f5a5-48b5-aea2-f9d98e284d02"]}],"mendeley":{"formattedCitation":"(UNISDR, 2017)","plainTextFormattedCitation":"(UNISDR, 2017)","previouslyFormattedCitation":"(UNISDR, 2017)"},"properties":{"noteIndex":0},"schema":"https://github.com/citation-style-language/schema/raw/master/csl-citation.json"}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(UNISDR, 2017)</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Justeru, </w:t>
      </w:r>
      <w:r w:rsidRPr="00B45043">
        <w:rPr>
          <w:rFonts w:ascii="Times New Roman" w:eastAsia="Times New Roman" w:hAnsi="Times New Roman"/>
          <w:sz w:val="24"/>
          <w:szCs w:val="24"/>
        </w:rPr>
        <w:t>kajian ini bertujuan untuk mengenalpasti tahap keberkesanan program latihan simulasi bencana tsunami. Terdapat tiga objektif kajian</w:t>
      </w:r>
      <w:r w:rsidR="00D84E29">
        <w:rPr>
          <w:rFonts w:ascii="Times New Roman" w:eastAsia="Times New Roman" w:hAnsi="Times New Roman"/>
          <w:sz w:val="24"/>
          <w:szCs w:val="24"/>
        </w:rPr>
        <w:t>;</w:t>
      </w:r>
      <w:r w:rsidRPr="00B45043">
        <w:rPr>
          <w:rFonts w:ascii="Times New Roman" w:eastAsia="Times New Roman" w:hAnsi="Times New Roman"/>
          <w:sz w:val="24"/>
          <w:szCs w:val="24"/>
        </w:rPr>
        <w:t xml:space="preserve"> pertama</w:t>
      </w:r>
      <w:r w:rsidR="00D84E29">
        <w:rPr>
          <w:rFonts w:ascii="Times New Roman" w:eastAsia="Times New Roman" w:hAnsi="Times New Roman"/>
          <w:sz w:val="24"/>
          <w:szCs w:val="24"/>
        </w:rPr>
        <w:t>,</w:t>
      </w:r>
      <w:r w:rsidRPr="00B45043">
        <w:rPr>
          <w:rFonts w:ascii="Times New Roman" w:eastAsia="Times New Roman" w:hAnsi="Times New Roman"/>
          <w:sz w:val="24"/>
          <w:szCs w:val="24"/>
        </w:rPr>
        <w:t xml:space="preserve"> mengenalpasti reaksi responden terhadap p</w:t>
      </w:r>
      <w:r w:rsidR="00D84E29">
        <w:rPr>
          <w:rFonts w:ascii="Times New Roman" w:eastAsia="Times New Roman" w:hAnsi="Times New Roman"/>
          <w:sz w:val="24"/>
          <w:szCs w:val="24"/>
        </w:rPr>
        <w:t>rogram latihan simulasi tsunami;</w:t>
      </w:r>
      <w:r w:rsidRPr="00B45043">
        <w:rPr>
          <w:rFonts w:ascii="Times New Roman" w:eastAsia="Times New Roman" w:hAnsi="Times New Roman"/>
          <w:sz w:val="24"/>
          <w:szCs w:val="24"/>
        </w:rPr>
        <w:t xml:space="preserve"> kedua</w:t>
      </w:r>
      <w:r w:rsidR="00D84E29">
        <w:rPr>
          <w:rFonts w:ascii="Times New Roman" w:eastAsia="Times New Roman" w:hAnsi="Times New Roman"/>
          <w:sz w:val="24"/>
          <w:szCs w:val="24"/>
        </w:rPr>
        <w:t>,</w:t>
      </w:r>
      <w:r w:rsidRPr="00B45043">
        <w:rPr>
          <w:rFonts w:ascii="Times New Roman" w:eastAsia="Times New Roman" w:hAnsi="Times New Roman"/>
          <w:sz w:val="24"/>
          <w:szCs w:val="24"/>
        </w:rPr>
        <w:t xml:space="preserve"> mengkaji sejauh mana pembelajaran yang diperolehi oleh responden terhadap program ini</w:t>
      </w:r>
      <w:r w:rsidR="00D84E29">
        <w:rPr>
          <w:rFonts w:ascii="Times New Roman" w:eastAsia="Times New Roman" w:hAnsi="Times New Roman"/>
          <w:sz w:val="24"/>
          <w:szCs w:val="24"/>
        </w:rPr>
        <w:t>;</w:t>
      </w:r>
      <w:r w:rsidRPr="00B45043">
        <w:rPr>
          <w:rFonts w:ascii="Times New Roman" w:eastAsia="Times New Roman" w:hAnsi="Times New Roman"/>
          <w:sz w:val="24"/>
          <w:szCs w:val="24"/>
        </w:rPr>
        <w:t xml:space="preserve"> dan ketiga</w:t>
      </w:r>
      <w:r w:rsidR="00D84E29">
        <w:rPr>
          <w:rFonts w:ascii="Times New Roman" w:eastAsia="Times New Roman" w:hAnsi="Times New Roman"/>
          <w:sz w:val="24"/>
          <w:szCs w:val="24"/>
        </w:rPr>
        <w:t>,</w:t>
      </w:r>
      <w:r w:rsidRPr="00B45043">
        <w:rPr>
          <w:rFonts w:ascii="Times New Roman" w:eastAsia="Times New Roman" w:hAnsi="Times New Roman"/>
          <w:sz w:val="24"/>
          <w:szCs w:val="24"/>
        </w:rPr>
        <w:t xml:space="preserve"> menganalisis hubung kait antara pemboleh ubah reaksi dan pembelajaran yang diperolehi. </w:t>
      </w:r>
    </w:p>
    <w:p w:rsidR="00D61FE6" w:rsidRDefault="00D61FE6" w:rsidP="00D95C75">
      <w:pPr>
        <w:spacing w:after="0" w:line="240" w:lineRule="auto"/>
      </w:pPr>
    </w:p>
    <w:p w:rsidR="00D95C75" w:rsidRPr="00B45043" w:rsidRDefault="00D95C75" w:rsidP="00D95C75">
      <w:pPr>
        <w:spacing w:after="0" w:line="240" w:lineRule="auto"/>
      </w:pPr>
    </w:p>
    <w:p w:rsidR="00D61FE6" w:rsidRPr="00B45043" w:rsidRDefault="00D61FE6" w:rsidP="00790AFF">
      <w:pPr>
        <w:spacing w:after="0" w:line="240" w:lineRule="auto"/>
        <w:jc w:val="both"/>
        <w:rPr>
          <w:rFonts w:ascii="Times New Roman" w:eastAsia="Times New Roman" w:hAnsi="Times New Roman"/>
          <w:sz w:val="24"/>
          <w:szCs w:val="24"/>
        </w:rPr>
      </w:pPr>
      <w:r w:rsidRPr="00B45043">
        <w:rPr>
          <w:rFonts w:ascii="Times New Roman" w:eastAsia="MS Gothic" w:hAnsi="Times New Roman"/>
          <w:b/>
          <w:bCs/>
          <w:sz w:val="24"/>
          <w:szCs w:val="28"/>
        </w:rPr>
        <w:t>Kajian literatur</w:t>
      </w:r>
    </w:p>
    <w:p w:rsidR="00790AFF" w:rsidRDefault="00790AFF"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Kajian berbentuk penilaian (</w:t>
      </w:r>
      <w:r w:rsidRPr="00B45043">
        <w:rPr>
          <w:rFonts w:ascii="Times New Roman" w:eastAsia="MS Mincho" w:hAnsi="Times New Roman"/>
          <w:i/>
          <w:sz w:val="24"/>
          <w:szCs w:val="24"/>
        </w:rPr>
        <w:t>evaluation)</w:t>
      </w:r>
      <w:r w:rsidRPr="00B45043">
        <w:rPr>
          <w:rFonts w:ascii="Times New Roman" w:eastAsia="MS Mincho" w:hAnsi="Times New Roman"/>
          <w:sz w:val="24"/>
          <w:szCs w:val="24"/>
        </w:rPr>
        <w:t xml:space="preserve"> bukanlah sesuatu yang baru. Ia telah dijalankan oleh para sarjana sejak dahulu lagi. Scriven (1967) mendefinisikan penilaian sebagai </w:t>
      </w:r>
      <w:r w:rsidRPr="00B45043">
        <w:rPr>
          <w:rFonts w:ascii="Times New Roman" w:eastAsia="MS Mincho" w:hAnsi="Times New Roman"/>
          <w:i/>
          <w:sz w:val="24"/>
          <w:szCs w:val="24"/>
        </w:rPr>
        <w:t>‘judging the worth or merit’,</w:t>
      </w:r>
      <w:r w:rsidRPr="00B45043">
        <w:rPr>
          <w:rFonts w:ascii="Times New Roman" w:eastAsia="MS Mincho" w:hAnsi="Times New Roman"/>
          <w:sz w:val="24"/>
          <w:szCs w:val="24"/>
        </w:rPr>
        <w:t xml:space="preserve"> manakala Worthen dan Sander (1987)</w:t>
      </w:r>
      <w:r w:rsidRPr="00B45043">
        <w:rPr>
          <w:rFonts w:eastAsia="Times New Roman"/>
        </w:rPr>
        <w:t xml:space="preserve"> </w:t>
      </w:r>
      <w:r w:rsidRPr="00B45043">
        <w:rPr>
          <w:rFonts w:ascii="Times New Roman" w:eastAsia="MS Mincho" w:hAnsi="Times New Roman"/>
          <w:sz w:val="24"/>
          <w:szCs w:val="24"/>
        </w:rPr>
        <w:t xml:space="preserve">menyatakan bahawa penilaian merupakan salah satu bentuk pemberdayaan dan ia memberi kuasa kepada organisasi untuk menentukan kejayaan, menimbulkan persoalan terhadap penilaian yang dilakukan, melibatkan pihak berkepentingan serta konstituen dalam proses penilaian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{"citationItems":[{"id":"ITEM-1","itemData":{"DOI":"10.1201/b21877-4","abstract":"Developing and working with program logic models. Why use a logic model? How to develop a logic model. Logic model schematic","author":[{"dropping-particle":"","family":"Park","given":"Ji Won","non-dropping-particle":"","parse-names":false,"suffix":""}],"container-title":"Evaluating Organization Development","id":"ITEM-1","issue":"November","issued":{"date-parts":[["2017","7","6"]]},"page":"75-88","publisher":"Productivity Press","publisher-place":"Boca Raton, FL : CRC Press, 2017.","title":"Planning the Evaluation","type":"chapter"},"uris":["http://www.mendeley.com/documents/?uuid=e6a1e1ff-4a02-4f68-9ce7-6d099f9ada66"]}],"mendeley":{"formattedCitation":"(Park, 2017)","plainTextFormattedCitation":"(Park, 2017)","previouslyFormattedCitation":"(Park, 2017)"},"properties":{"noteIndex":0},"schema":"https://github.com/citation-style-language/schema/raw/master/csl-citation.json"}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(Park, 2017)</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Fitzpatrick et al. (2004) berpendapat bahawa penilaian adalah untuk mengenalpasti, menjelaskan dan mempertahankan kriteria yang dipersetujui untuk menentukan nilai sesuatu objek penilaian. Pemilihan model penilaian hendaklah bersesuaian dengan kehendak penilai, matlamat dan tujuan penilaian itu dijalankan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{"citationItems":[{"id":"ITEM-1","itemData":{"DOI":"10.13140/RG.2.1.1752.2000","author":[{"dropping-particle":"","family":"Mahmud","given":"Alias","non-dropping-particle":"","parse-names":false,"suffix":""}],"container-title":"Prosiding Seminar Penyelidikan Pendidikan dan Pembangunan Sumber Manusia (PPPSM 2013)","id":"ITEM-1","issue":"28-29 Februari","issued":{"date-parts":[["2012"]]},"page":"1-12","title":"Konsep dan model penilaian dalam pelaksanaan kurikulum","type":"paper-conference"},"uris":["http://www.mendeley.com/documents/?uuid=558a6a72-d01c-4c84-b8c3-0ebbc6f5c3c4"]}],"mendeley":{"formattedCitation":"(Mahmud, 2012)","plainTextFormattedCitation":"(Mahmud, 2012)","previouslyFormattedCitation":"(Mahmud, 2012)"},"properties":{"noteIndex":0},"schema":"https://github.com/citation-style-language/schema/raw/master/csl-citation.json"}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(Mahmud, 2012)</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Kajian ini menggunakan Model Penilaian Kirkpatrick</w:t>
      </w:r>
      <w:r>
        <w:rPr>
          <w:rFonts w:ascii="Times New Roman" w:eastAsia="MS Mincho" w:hAnsi="Times New Roman"/>
          <w:sz w:val="24"/>
          <w:szCs w:val="24"/>
        </w:rPr>
        <w:t xml:space="preserve"> (1959) </w:t>
      </w:r>
      <w:r w:rsidR="00790AFF">
        <w:rPr>
          <w:rFonts w:ascii="Times New Roman" w:eastAsia="MS Mincho" w:hAnsi="Times New Roman"/>
          <w:sz w:val="24"/>
          <w:szCs w:val="24"/>
        </w:rPr>
        <w:t xml:space="preserve">untuk </w:t>
      </w:r>
      <w:r w:rsidRPr="00B45043">
        <w:rPr>
          <w:rFonts w:ascii="Times New Roman" w:eastAsia="MS Mincho" w:hAnsi="Times New Roman"/>
          <w:sz w:val="24"/>
          <w:szCs w:val="24"/>
        </w:rPr>
        <w:t xml:space="preserve">tujuan mengkaji tahap pertama (reaksi) dan tahap kedua (pembelajaran) dalam kalangan responden terhadap program yang dilaksanakan. Selain itu, model ini dilihat sesuai untuk diaplikasi dan menepati keperluan kajian. Model Penilaian Kirkpatrick merupakan model penilaian yang direka pada tahun </w:t>
      </w:r>
      <w:r>
        <w:rPr>
          <w:rFonts w:ascii="Times New Roman" w:eastAsia="MS Mincho" w:hAnsi="Times New Roman"/>
          <w:sz w:val="24"/>
          <w:szCs w:val="24"/>
        </w:rPr>
        <w:t>1959</w:t>
      </w:r>
      <w:r w:rsidRPr="00B45043">
        <w:rPr>
          <w:rFonts w:ascii="Times New Roman" w:eastAsia="MS Mincho" w:hAnsi="Times New Roman"/>
          <w:sz w:val="24"/>
          <w:szCs w:val="24"/>
        </w:rPr>
        <w:t xml:space="preserve"> dan merupakan salah satu model standard yang diguna pakai oleh seluruh dunia untuk menilai keberkesanan latihan. Model ini mempunyai empat tahap penilaian utama iaitu reaksi, pembelajaran, perlakuan atau tingkah laku dan hasil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{"citationItems":[{"id":"ITEM-1","itemData":{"DOI":"10.1177/1744987118786019","ISSN":"1744-9871","abstract":"BackgroundA new paediatric hospital-in-the-home nursing service required evaluation.AimsTo determine whether the education and training provided for nursing staff employed in the service was effective.MethodsThis paper presents the way in which a training evaluation model supported the design and evaluation of a training programme for registered nurses working in an out-of-hospital, home-based nursing service for paediatric patients.ResultsThe Kirkpatrick model provides a framework for evaluating the effectiveness of workforce training for any industry including healthcare (Kirkpatrick, 2009).ConclusionsThat the Kirkpatrick model is an appropriate framework to evaluate a nursing training programme, but it is imperative to evaluate all levels of the model to be able to ascertain the success of the training and the impact on clinical practice.","author":[{"dropping-particle":"","family":"Jones","given":"Catherine","non-dropping-particle":"","parse-names":false,"suffix":""},{"dropping-particle":"","family":"Fraser","given":"Jennifer","non-dropping-particle":"","parse-names":false,"suffix":""},{"dropping-particle":"","family":"Randall","given":"Sue","non-dropping-particle":"","parse-names":false,"suffix":""}],"container-title":"Journal of Research in Nursing","id":"ITEM-1","issue":"6","issued":{"date-parts":[["2018","9"]]},"page":"492-501","title":"The evaluation of a home-based paediatric nursing service: concept and design development using the Kirkpatrick model","type":"article-journal","volume":"23"},"uris":["http://www.mendeley.com/documents/?uuid=cf986ad8-dcee-44c0-a859-d1846461cbf7"]}],"mendeley":{"formattedCitation":"(Jones et al., 2018)","plainTextFormattedCitation":"(Jones et al., 2018)","previouslyFormattedCitation":"(Jones et al., 2018)"},"properties":{"noteIndex":0},"schema":"https://github.com/citation-style-language/schema/raw/master/csl-citation.json"}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(Jones et al., 2018)</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Reaksi ialah tahap yang paling mudah dan cepat untuk peserta membuat penilaian. Kaedah yang digunakan dengan mengedarkan borang soal selidik dan peserta akan menilai keseluruhan program termasuklah teknik penyampaian, kemudahan program, slot yang paling menarik dan sebagainya. Penilaian peserta di peringkat reaksi adalah penting untuk mendorong tahap keberkesanan penilaian di peringkat pembelajaran. Pembelajaran pula diukur menerusi peningkatan pengetahuan, perubahan sikap dan kemahiran peserta daripada program yang dijalankan. Kirkpatrick (1998) menyarankan bahawa penilaian di peringkat pembelajaran perlu dilakukan sebelum dan selepas program dijalankan. Tujuannya untuk </w:t>
      </w:r>
      <w:r w:rsidRPr="00B45043">
        <w:rPr>
          <w:rFonts w:ascii="Times New Roman" w:eastAsia="MS Mincho" w:hAnsi="Times New Roman"/>
          <w:sz w:val="24"/>
          <w:szCs w:val="24"/>
        </w:rPr>
        <w:lastRenderedPageBreak/>
        <w:t>melihat perbezaan peningkatan pembelajaran yang diperoleh oleh peserta program. Perlakuan atau tingkah laku dinilai menerusi perubahan tingkah laku para peserta program sama ada boleh mengaplikasi maklumat yang diperoleh dalam kehidupan seharian atau sebaliknya. Penilaian ini mengambil masa yang agak lama dan memerlukan penyeliaan secara berkala. Hasil merujuk pada penilaian keseluruhan program yang dijalankan sama ada memberi kesan kepada peserta. Menurut Kaufman et al. (1995)</w:t>
      </w:r>
      <w:r w:rsidR="00D95C75">
        <w:rPr>
          <w:rFonts w:ascii="Times New Roman" w:eastAsia="MS Mincho" w:hAnsi="Times New Roman"/>
          <w:sz w:val="24"/>
          <w:szCs w:val="24"/>
        </w:rPr>
        <w:t>,</w:t>
      </w:r>
      <w:r w:rsidRPr="00B45043">
        <w:rPr>
          <w:rFonts w:ascii="Times New Roman" w:eastAsia="MS Mincho" w:hAnsi="Times New Roman"/>
          <w:sz w:val="24"/>
          <w:szCs w:val="24"/>
        </w:rPr>
        <w:t xml:space="preserve"> penilaian di peringkat ini adalah untuk melihat hasil organisasi tersebut dari segi prestasi, perkembangan dan juga faedah yang diperolehi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{"citationItems":[{"id":"ITEM-1","itemData":{"abstract":"Being purposeful, systematic and carefully implemented, evaluation is a continuous process and it is performed as the very basic part of the program activities to attain data to conclude if there is a need to make changes or eliminations, or accept something in it. Program evaluation is a kind of examination in social research field and it checks the sufficiency of educational programs. The broadest purpose of evaluation is to contribute judgments about the worth of an evaluated program or to point to the value of the program or just a section of it. The evaluators choose an evaluation model among several ones, each of which has its own characteristics or way of approaching the evaluation. One of these models is Four-level Evaluation Model by Kirkpatrick. This study was conducted based on the Document Analysis Technique by means of inquiring Kirkpatrick's framework from various sources of academic books and articles. From the analysis, one can conclude that Kirkpatrick's four-level model of program evaluation is one of the mostly employed models by the program evaluators. Besides, this study offers a documented data of how Kirkpatrick's framework that is easy to be implemented functions and what its features are.","author":[{"dropping-particle":"","family":"ULUM","given":"Ömer Gökhan","non-dropping-particle":"","parse-names":false,"suffix":""}],"container-title":"Pacific Business Review International journal","id":"ITEM-1","issue":"1","issued":{"date-parts":[["2015"]]},"page":"106-111","title":"Program evaluation through Kirkpatrick's framework","type":"article-journal","volume":"8"},"uris":["http://www.mendeley.com/documents/?uuid=0664dd5d-6514-4499-95e1-b05689d81632"]},{"id":"ITEM-2","itemData":{"DOI":"10.1177/1744987118786019","ISSN":"1744-9871","abstract":"BackgroundA new paediatric hospital-in-the-home nursing service required evaluation.AimsTo determine whether the education and training provided for nursing staff employed in the service was effective.MethodsThis paper presents the way in which a training evaluation model supported the design and evaluation of a training programme for registered nurses working in an out-of-hospital, home-based nursing service for paediatric patients.ResultsThe Kirkpatrick model provides a framework for evaluating the effectiveness of workforce training for any industry including healthcare (Kirkpatrick, 2009).ConclusionsThat the Kirkpatrick model is an appropriate framework to evaluate a nursing training programme, but it is imperative to evaluate all levels of the model to be able to ascertain the success of the training and the impact on clinical practice.","author":[{"dropping-particle":"","family":"Jones","given":"Catherine","non-dropping-particle":"","parse-names":false,"suffix":""},{"dropping-particle":"","family":"Fraser","given":"Jennifer","non-dropping-particle":"","parse-names":false,"suffix":""},{"dropping-particle":"","family":"Randall","given":"Sue","non-dropping-particle":"","parse-names":false,"suffix":""}],"container-title":"Journal of Research in Nursing","id":"ITEM-2","issue":"6","issued":{"date-parts":[["2018","9"]]},"page":"492-501","title":"The evaluation of a home-based paediatric nursing service: concept and design development using the Kirkpatrick model","type":"article-journal","volume":"23"},"uris":["http://www.mendeley.com/documents/?uuid=cf986ad8-dcee-44c0-a859-d1846461cbf7"]}],"mendeley":{"formattedCitation":"(Jones et al., 2018; ULUM, 2015)","plainTextFormattedCitation":"(Jones et al., 2018; ULUM, 2015)","previouslyFormattedCitation":"(Jones et al., 2018; ULUM, 2015)"},"properties":{"noteIndex":0},"schema":"https://github.com/citation-style-language/schema/raw/master/csl-citation.json"}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(Jones et al., 2018; ULUM, 2015)</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Pengkaji lepas turut menggunakan Model Penilaian Kirkpatrick</w:t>
      </w:r>
      <w:r>
        <w:rPr>
          <w:rFonts w:ascii="Times New Roman" w:eastAsia="MS Mincho" w:hAnsi="Times New Roman"/>
          <w:sz w:val="24"/>
          <w:szCs w:val="24"/>
        </w:rPr>
        <w:t xml:space="preserve"> (1959)</w:t>
      </w:r>
      <w:r w:rsidRPr="00B45043">
        <w:rPr>
          <w:rFonts w:ascii="Times New Roman" w:eastAsia="MS Mincho" w:hAnsi="Times New Roman"/>
          <w:sz w:val="24"/>
          <w:szCs w:val="24"/>
        </w:rPr>
        <w:t xml:space="preserve">, misalnya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{"citationItems":[{"id":"ITEM-1","itemData":{"DOI":"10.1080/0144341032000060110","ISSN":"0144-3410","abstract":"This study used a pre/post design to assess student learning for the purposes of examining relationships among student grades, student learning, and student evaluations of teaching. These relationships were reframed in terms of reaction (Level I) and learning (Level II) evaluation criteria. Participants were 652 undergraduate students enrolled in seven sections of an introductory psychology course. Our results indicated a medium relationship between student grades and the pre/post learning measure. In addition, a small relationship was observed between student ratings of teaching effectiveness and a pre/post measure of learning. We conclude that student ratings and learning measures assess different aspects of teaching effectiveness and should not be used interchangeably. The most appropriate criterion for assessing teaching effectiveness is a function of the goal of evaluation. However, reaction and learning measures may be used in conjunction to obtain a more complete picture of instructor effectiveness.","author":[{"dropping-particle":"","family":"Jr","given":"Winfred Arthur","non-dropping-particle":"","parse-names":false,"suffix":""},{"dropping-particle":"","family":"Tubre","given":"Travis","non-dropping-particle":"","parse-names":false,"suffix":""},{"dropping-particle":"","family":"Paul","given":"Don S.","non-dropping-particle":"","parse-names":false,"suffix":""},{"dropping-particle":"","family":"Edens","given":"Pamela S.","non-dropping-particle":"","parse-names":false,"suffix":""}],"container-title":"Educational Psychology","id":"ITEM-1","issue":"3","issued":{"date-parts":[["2003","6"]]},"page":"275-285","title":"Teaching Effectiveness: The relationship between reaction and learning evaluation criteria","type":"article-journal","volume":"23"},"uris":["http://www.mendeley.com/documents/?uuid=518acbc4-6a7e-4fcf-9bb2-f98a7ca00af7"]}],"mendeley":{"formattedCitation":"(Jr et al., 2003)","manualFormatting":"Jr et al. (2003)","plainTextFormattedCitation":"(Jr et al., 2003)","previouslyFormattedCitation":"(Jr et al., 2003)"},"properties":{"noteIndex":0},"schema":"https://github.com/citation-style-language/schema/raw/master/csl-citation.json"}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Jr et al. (2003)</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yang menjalankan kajian tentang keberkesanan proses mengajar dengan melihat hubungkait antara kriteria reaksi dan pembelajaran. Kajian </w:t>
      </w:r>
      <w:r w:rsidR="00D95C75">
        <w:rPr>
          <w:rFonts w:ascii="Times New Roman" w:eastAsia="MS Mincho" w:hAnsi="Times New Roman"/>
          <w:sz w:val="24"/>
          <w:szCs w:val="24"/>
        </w:rPr>
        <w:t>tersebut</w:t>
      </w:r>
      <w:r w:rsidRPr="00B45043">
        <w:rPr>
          <w:rFonts w:ascii="Times New Roman" w:eastAsia="MS Mincho" w:hAnsi="Times New Roman"/>
          <w:sz w:val="24"/>
          <w:szCs w:val="24"/>
        </w:rPr>
        <w:t xml:space="preserve"> menggunakan reka bentuk penyelidikan sebelum dan selepas untuk menilai pembelajaran pelajar dengan melihat hubungan antara gred pelajar, pembelajaran pelajar dan penilaian pembelajaran pelajar. Hasil kajian menunjukkan hubungan yang sederhana antara gred pelajar dengan ukuran pembelajaran sebelum dan selepas kajian. Terdapat juga hubungan yang lemah di antara penilaian pelajar (tahap 1) dengan ukuran sebelum dan selepas sesi pembelajaran (tahap 2) dijalankan. </w:t>
      </w:r>
      <w:r w:rsidR="00D95C75">
        <w:rPr>
          <w:rFonts w:ascii="Times New Roman" w:eastAsia="MS Mincho" w:hAnsi="Times New Roman"/>
          <w:sz w:val="24"/>
          <w:szCs w:val="24"/>
        </w:rPr>
        <w:t>Jr et al. (2003)</w:t>
      </w:r>
      <w:r w:rsidRPr="00B45043">
        <w:rPr>
          <w:rFonts w:ascii="Times New Roman" w:eastAsia="MS Mincho" w:hAnsi="Times New Roman"/>
          <w:sz w:val="24"/>
          <w:szCs w:val="24"/>
        </w:rPr>
        <w:t xml:space="preserve"> menyimpulkan bahawa penilaian pelajar dan pengukuran pembelajaran terhadap keberkesanan mengajar perlu dinilai dari aspek yang berbeza dan tidak boleh digunakan secara bergantian.  </w:t>
      </w: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ab/>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{"citationItems":[{"id":"ITEM-1","itemData":{"author":[{"dropping-particle":"","family":"Ali","given":"Azlah Md","non-dropping-particle":"","parse-names":false,"suffix":""},{"dropping-particle":"","family":"Omar","given":"Thuaibah Rozeyta","non-dropping-particle":"","parse-names":false,"suffix":""},{"dropping-particle":"","family":"Noor Ella Mohamad Zip","given":"","non-dropping-particle":"","parse-names":false,"suffix":""},{"dropping-particle":"","family":"Nor Suziani Ismail","given":"","non-dropping-particle":"","parse-names":false,"suffix":""},{"dropping-particle":"","family":"Zulkifli","given":"Thahiroh","non-dropping-particle":"","parse-names":false,"suffix":""}],"container-title":"Amalan latihan dan pembangunan sumber manusia di Malaysia","id":"ITEM-1","issued":{"date-parts":[["2009"]]},"page":"56-81","title":"Keberkesanan latihan di kalangan kakitangan kumpulan sokongan di Pejabat Setiausaha Kerajaan Negeri Kedah Darul Aman","type":"chapter"},"uris":["http://www.mendeley.com/documents/?uuid=2220b607-f3bf-4c3c-9625-1babce303cf3"]}],"mendeley":{"formattedCitation":"(Ali et al., 2009)","manualFormatting":" Ali et al. (2009)","plainTextFormattedCitation":"(Ali et al., 2009)","previouslyFormattedCitation":"(Ali et al., 2009)"},"properties":{"noteIndex":0},"schema":"https://github.com/citation-style-language/schema/raw/master/csl-citation.json"}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 xml:space="preserve"> Ali et al. (2009)</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menjalankan kajian tentang keberkesanan latihan dalam kalangan kakitangan kumpulan sokongan di Pejabat Setiausaha Kerajaan Negeri Kedah Darul Aman dengan menguji tahap pertama (reaksi), tahap kedua (pembelajaran) dan tahap ketiga (perlakuan). Hasil kajian mendapati tahap pertama (reaksi) menunjukkan tahap yang tinggi secara keseluruhannya (M=4.04, SD=0.545) terutama dari segi isi kandungan latihan, alat bantuan mengajar, suasana persekitaran yang kondusif, kecekapan jurulatih dan pengurusan masa yang diperuntukkan semasa latihan. Selain itu, persepsi responden terhadap tahap kedua (pembelajaran) menunjukkan tahap yang tinggi yang merangkumi peningkatan elemen pengetahuan dan kemahiran (M=3.98, SD=0.546), pandangan positif terhadap kerja (M=4.01, SD=0.411) serta motivasi untuk melakukan kerja meningkat (M=3.86, SD=0.659). </w:t>
      </w:r>
      <w:r w:rsidR="00D95C75">
        <w:rPr>
          <w:rFonts w:ascii="Times New Roman" w:eastAsia="MS Mincho" w:hAnsi="Times New Roman"/>
          <w:sz w:val="24"/>
          <w:szCs w:val="24"/>
        </w:rPr>
        <w:t>Bagi</w:t>
      </w:r>
      <w:r w:rsidRPr="00B45043">
        <w:rPr>
          <w:rFonts w:ascii="Times New Roman" w:eastAsia="MS Mincho" w:hAnsi="Times New Roman"/>
          <w:sz w:val="24"/>
          <w:szCs w:val="24"/>
        </w:rPr>
        <w:t xml:space="preserve"> tahap ketiga (perlakuan)</w:t>
      </w:r>
      <w:r w:rsidR="00D95C75">
        <w:rPr>
          <w:rFonts w:ascii="Times New Roman" w:eastAsia="MS Mincho" w:hAnsi="Times New Roman"/>
          <w:sz w:val="24"/>
          <w:szCs w:val="24"/>
        </w:rPr>
        <w:t>,</w:t>
      </w:r>
      <w:r w:rsidRPr="00B45043">
        <w:rPr>
          <w:rFonts w:ascii="Times New Roman" w:eastAsia="MS Mincho" w:hAnsi="Times New Roman"/>
          <w:sz w:val="24"/>
          <w:szCs w:val="24"/>
        </w:rPr>
        <w:t xml:space="preserve"> majoriti responden memberi penilaian yang positif serta mengakui bahawa kemahiran dan pengetahuan yang dipelajari semasa latihan dapat diaplikasi dan memberi perubahan kepada diri mereka.</w:t>
      </w: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ab/>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{"citationItems":[{"id":"ITEM-1","itemData":{"DOI":"10.1186/s12909-018-1339-3","ISBN":"1290901813","ISSN":"14726920","abstract":"Background: Development assistance for health (DAH) is an important component of foreign assistance. International health consultants usually play a key role in the international DAH field. However, there is still a shortage of consulting training in China. To address this issue and develop new backup force of DAH for China, the Global Health Institute of Wuhan University (GHIWHU) launched a training program called the \"Consulting Training Course for International Development Assistance for Health\". The purpose of this article is to evaluate the impact of the training on participants. Methods: We conducted the analysis using Kirkpatrick's model. An evaluation survey examining participants' reaction (level 1) and learning (level 2) was carried out among trainees following the training, and a follow-up telephone interview of application (level 3) was made in three months after the training. Results: A total of 25 participants from Chinese Consortium of Universities for Global Health (CCUGH) attended the training program. Results of satisfaction evaluation indicated that the training program was well received, with more than 85% of participants felt satisfied or relatively satisfied with the training. Trainees' self-ratings of the consulting knowledge and skills showed a significant increase (p &lt; 0.001) from pre-to post-training. The follow-up interview revealed that the majority of participants applied the acquired knowledge and skills under various circumstances such as consulting program, teaching processes, writing reports, and et al. Meanwhile, participants considered that the lack of opportunities was one of the major application barriers. In addition, they expressed the willingness to participate in more relevant training and the need for more practice opportunities.","author":[{"dropping-particle":"","family":"Gao","given":"Pan","non-dropping-particle":"","parse-names":false,"suffix":""},{"dropping-particle":"","family":"Xiang","given":"Hao","non-dropping-particle":"","parse-names":false,"suffix":""},{"dropping-particle":"","family":"Liu","given":"Suyang","non-dropping-particle":"","parse-names":false,"suffix":""},{"dropping-particle":"","family":"Liu","given":"Yisi","non-dropping-particle":"","parse-names":false,"suffix":""},{"dropping-particle":"","family":"Dong","given":"Shengjie","non-dropping-particle":"","parse-names":false,"suffix":""},{"dropping-particle":"","family":"Liu","given":"Feifei","non-dropping-particle":"","parse-names":false,"suffix":""},{"dropping-particle":"","family":"Yu","given":"Wenyuan","non-dropping-particle":"","parse-names":false,"suffix":""},{"dropping-particle":"","family":"Li","given":"Xiangyu","non-dropping-particle":"","parse-names":false,"suffix":""},{"dropping-particle":"","family":"Guan","given":"Li","non-dropping-particle":"","parse-names":false,"suffix":""},{"dropping-particle":"","family":"Chu","given":"Yuanyuan","non-dropping-particle":"","parse-names":false,"suffix":""},{"dropping-particle":"","family":"Mao","given":"Zongfu","non-dropping-particle":"","parse-names":false,"suffix":""},{"dropping-particle":"","family":"Chen","given":"Shu","non-dropping-particle":"","parse-names":false,"suffix":""},{"dropping-particle":"","family":"Tang","given":"Shenglan","non-dropping-particle":"","parse-names":false,"suffix":""}],"container-title":"BMC Medical Education","id":"ITEM-1","issue":"1","issued":{"date-parts":[["2018"]]},"page":"1-10","publisher":"BMC Medical Education","title":"Evaluation of a consulting training course for international development assistance for health","type":"article-journal","volume":"18"},"uris":["http://www.mendeley.com/documents/?uuid=52e2cdeb-10f5-40ab-b935-3ebb238a736f"]}],"mendeley":{"formattedCitation":"(Gao et al., 2018)","manualFormatting":"Gao et al. (2018)","plainTextFormattedCitation":"(Gao et al., 2018)","previouslyFormattedCitation":"(Gao et al., 2018)"},"properties":{"noteIndex":0},"schema":"https://github.com/citation-style-language/schema/raw/master/csl-citation.json"}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Gao et al. (2018)</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menjalankan kajian tentang penilaian kursus latihan perundingan bagi bantuan pembangunan kesihatan antarabangsa terhadap 25 orang peserta. Kajian ini menggunakan tiga tahap penilaian Model Penilaian Kirkpatrick </w:t>
      </w:r>
      <w:r>
        <w:rPr>
          <w:rFonts w:ascii="Times New Roman" w:eastAsia="MS Mincho" w:hAnsi="Times New Roman"/>
          <w:sz w:val="24"/>
          <w:szCs w:val="24"/>
        </w:rPr>
        <w:t>(1959)</w:t>
      </w:r>
      <w:r w:rsidR="003946ED">
        <w:rPr>
          <w:rFonts w:ascii="Times New Roman" w:eastAsia="MS Mincho" w:hAnsi="Times New Roman"/>
          <w:sz w:val="24"/>
          <w:szCs w:val="24"/>
        </w:rPr>
        <w:t>,</w:t>
      </w:r>
      <w:r>
        <w:rPr>
          <w:rFonts w:ascii="Times New Roman" w:eastAsia="MS Mincho" w:hAnsi="Times New Roman"/>
          <w:sz w:val="24"/>
          <w:szCs w:val="24"/>
        </w:rPr>
        <w:t xml:space="preserve"> </w:t>
      </w:r>
      <w:r w:rsidRPr="00B45043">
        <w:rPr>
          <w:rFonts w:ascii="Times New Roman" w:eastAsia="MS Mincho" w:hAnsi="Times New Roman"/>
          <w:sz w:val="24"/>
          <w:szCs w:val="24"/>
        </w:rPr>
        <w:t>iaitu tahap pertama (reaksi), tahap kedua (pembelajaran) dan tahap ketiga (tingkah laku). Hasil kajian mendapati tahap pertama (reaksi) menunjukkan lebih daripada 85% peserta berpuas hati dengan kursus latihan yang ditawarkan. Selain itu, tahap kedua (pembelajaran), iaitu pengetahuan dan kemahiran dalam perundingan menunjukkan peningkatan yang ketara berbanding sebelum menyertai latihan (p&lt;0.001). Majoriti peserta menyatakan bahawa pengetahuan dan kemahiran yang diperoleh daripada kursus ini digunakan secara menyeluruh dalam kerja harian termasuklah dari segi perundingan, proses mengajar, menulis laporan dan sebagainya. Tahap ketiga (tingkah laku) diperoleh menerusi kaedah temu bual melalui telefon setelah tiga bulan latihan ini tamat. Hasil kajian mendapati terdapat juga dalam kalangan responden mengakui bahawa kekangan untuk menyertai latihan mengakibatkan mereka kurang bermotivasi dalam bekerja. Oleh yang demikian, responden turut menyatakan akan mengaplikasi latihan yang diberikan serta berhasrat untuk mengikuti sebanyak mungkin latihan yang ditawarkan oleh mana-mana pihak.</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Justeru, kajian ini mengetengahkan </w:t>
      </w:r>
      <w:r w:rsidR="00BB772E">
        <w:rPr>
          <w:rFonts w:ascii="Times New Roman" w:eastAsia="MS Mincho" w:hAnsi="Times New Roman"/>
          <w:sz w:val="24"/>
          <w:szCs w:val="24"/>
        </w:rPr>
        <w:t xml:space="preserve">pendekatan </w:t>
      </w:r>
      <w:r w:rsidRPr="00B45043">
        <w:rPr>
          <w:rFonts w:ascii="Times New Roman" w:eastAsia="MS Mincho" w:hAnsi="Times New Roman"/>
          <w:sz w:val="24"/>
          <w:szCs w:val="24"/>
        </w:rPr>
        <w:t>bidang geografi khususnya menerusi aspek kesiapsiagaan menghadapi bencana. Model Penilaian Kirkpatrick</w:t>
      </w:r>
      <w:r>
        <w:rPr>
          <w:rFonts w:ascii="Times New Roman" w:eastAsia="MS Mincho" w:hAnsi="Times New Roman"/>
          <w:sz w:val="24"/>
          <w:szCs w:val="24"/>
        </w:rPr>
        <w:t xml:space="preserve"> (1959)</w:t>
      </w:r>
      <w:r w:rsidRPr="00B45043">
        <w:rPr>
          <w:rFonts w:ascii="Times New Roman" w:eastAsia="MS Mincho" w:hAnsi="Times New Roman"/>
          <w:sz w:val="24"/>
          <w:szCs w:val="24"/>
        </w:rPr>
        <w:t xml:space="preserve"> di</w:t>
      </w:r>
      <w:r w:rsidR="003946ED">
        <w:rPr>
          <w:rFonts w:ascii="Times New Roman" w:eastAsia="MS Mincho" w:hAnsi="Times New Roman"/>
          <w:sz w:val="24"/>
          <w:szCs w:val="24"/>
        </w:rPr>
        <w:t>aplikasi</w:t>
      </w:r>
      <w:r w:rsidRPr="00B45043">
        <w:rPr>
          <w:rFonts w:ascii="Times New Roman" w:eastAsia="MS Mincho" w:hAnsi="Times New Roman"/>
          <w:sz w:val="24"/>
          <w:szCs w:val="24"/>
        </w:rPr>
        <w:t xml:space="preserve"> </w:t>
      </w:r>
      <w:r w:rsidRPr="00B45043">
        <w:rPr>
          <w:rFonts w:ascii="Times New Roman" w:eastAsia="MS Mincho" w:hAnsi="Times New Roman"/>
          <w:sz w:val="24"/>
          <w:szCs w:val="24"/>
        </w:rPr>
        <w:lastRenderedPageBreak/>
        <w:t>untuk melihat tahap keberkesanan program latihan simulasi yang dijalankan oleh pihak penganjur.</w:t>
      </w:r>
    </w:p>
    <w:p w:rsidR="00D61FE6" w:rsidRPr="00B45043" w:rsidRDefault="00D61FE6" w:rsidP="00D61FE6">
      <w:pPr>
        <w:spacing w:after="0" w:line="240" w:lineRule="auto"/>
        <w:jc w:val="both"/>
        <w:rPr>
          <w:rFonts w:ascii="Times New Roman" w:eastAsia="MS Mincho" w:hAnsi="Times New Roman"/>
          <w:sz w:val="24"/>
          <w:szCs w:val="24"/>
        </w:rPr>
      </w:pPr>
    </w:p>
    <w:p w:rsidR="00D61FE6" w:rsidRPr="00B45043" w:rsidRDefault="00D61FE6" w:rsidP="003946ED">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Gothic" w:hAnsi="Times New Roman"/>
          <w:b/>
          <w:bCs/>
          <w:sz w:val="24"/>
          <w:szCs w:val="28"/>
        </w:rPr>
      </w:pPr>
      <w:r w:rsidRPr="00B45043">
        <w:rPr>
          <w:rFonts w:ascii="Times New Roman" w:eastAsia="MS Gothic" w:hAnsi="Times New Roman"/>
          <w:b/>
          <w:bCs/>
          <w:sz w:val="24"/>
          <w:szCs w:val="28"/>
        </w:rPr>
        <w:t>Metod dan kawasan kajian</w:t>
      </w:r>
    </w:p>
    <w:p w:rsidR="00D61FE6" w:rsidRPr="003946ED"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Times New Roman" w:hAnsi="Times New Roman"/>
          <w:i/>
          <w:sz w:val="24"/>
          <w:szCs w:val="24"/>
        </w:rPr>
      </w:pPr>
      <w:r w:rsidRPr="00B45043">
        <w:rPr>
          <w:rFonts w:ascii="Times New Roman" w:eastAsia="Times New Roman" w:hAnsi="Times New Roman"/>
          <w:i/>
          <w:sz w:val="24"/>
          <w:szCs w:val="24"/>
        </w:rPr>
        <w:t>Metod</w:t>
      </w:r>
    </w:p>
    <w:p w:rsidR="00D61FE6" w:rsidRPr="003946ED"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Times New Roman" w:hAnsi="Times New Roman"/>
          <w:sz w:val="24"/>
          <w:szCs w:val="24"/>
        </w:rPr>
      </w:pPr>
      <w:r w:rsidRPr="00B45043">
        <w:rPr>
          <w:rFonts w:ascii="Times New Roman" w:eastAsia="Times New Roman" w:hAnsi="Times New Roman"/>
          <w:sz w:val="24"/>
          <w:szCs w:val="24"/>
        </w:rPr>
        <w:t xml:space="preserve">Kajian melibatkan kaedah pemerhatian turut serta dan borang soal selidik. Persampelan bertujuan digunakan dalam kajian </w:t>
      </w:r>
      <w:r w:rsidR="00BB772E">
        <w:rPr>
          <w:rFonts w:ascii="Times New Roman" w:eastAsia="Times New Roman" w:hAnsi="Times New Roman"/>
          <w:sz w:val="24"/>
          <w:szCs w:val="24"/>
        </w:rPr>
        <w:t xml:space="preserve">dan responden adalah </w:t>
      </w:r>
      <w:r w:rsidRPr="00B45043">
        <w:rPr>
          <w:rFonts w:ascii="Times New Roman" w:eastAsia="Times New Roman" w:hAnsi="Times New Roman"/>
          <w:sz w:val="24"/>
          <w:szCs w:val="24"/>
        </w:rPr>
        <w:t>terdiri daripada golongan guru dan pelajar dari SMK Kota Kuala Muda. Pemilihan persampelan berdasarkan pertimbangan bahawa mereka adalah penduduk setempat di kawasan kajian serta merupakan peserta program ini. Di samping itu, mereka turut mempunyai pengalaman dan pengetahuan tentang bencana tsunami yang berlaku pada tahun 2004. Oleh yang demikian, persampelan 723 orang yang terdiri daripada 62 guru dan 661 pelajar telah dipilih sebagai responden.</w:t>
      </w:r>
    </w:p>
    <w:p w:rsidR="00D61FE6" w:rsidRPr="00B45043" w:rsidRDefault="00D61FE6" w:rsidP="00D61FE6">
      <w:pPr>
        <w:spacing w:after="0" w:line="240" w:lineRule="auto"/>
        <w:ind w:firstLine="720"/>
        <w:jc w:val="both"/>
        <w:rPr>
          <w:rFonts w:ascii="Times New Roman" w:eastAsia="Times New Roman" w:hAnsi="Times New Roman"/>
          <w:sz w:val="24"/>
          <w:szCs w:val="24"/>
        </w:rPr>
      </w:pPr>
      <w:r w:rsidRPr="00B45043">
        <w:rPr>
          <w:rFonts w:ascii="Times New Roman" w:eastAsia="Times New Roman" w:hAnsi="Times New Roman"/>
          <w:sz w:val="24"/>
          <w:szCs w:val="24"/>
        </w:rPr>
        <w:t>Soal selidik dibina berdasarkan instrumen yang diperoleh daripada Model Penilaian Kickpatrick</w:t>
      </w:r>
      <w:r>
        <w:rPr>
          <w:rFonts w:ascii="Times New Roman" w:eastAsia="Times New Roman" w:hAnsi="Times New Roman"/>
          <w:sz w:val="24"/>
          <w:szCs w:val="24"/>
        </w:rPr>
        <w:t xml:space="preserve"> (1959) </w:t>
      </w:r>
      <w:r w:rsidRPr="00B45043">
        <w:rPr>
          <w:rFonts w:ascii="Times New Roman" w:eastAsia="Times New Roman" w:hAnsi="Times New Roman"/>
          <w:sz w:val="24"/>
          <w:szCs w:val="24"/>
        </w:rPr>
        <w:t>dan hanya memfokuskan kepada tahap pertama (reaksi) dan tahap kedua (pembelajaran). Borang soal selidik terbahagi kepada tiga bahagian iaitu</w:t>
      </w:r>
      <w:r w:rsidR="00BB772E">
        <w:rPr>
          <w:rFonts w:ascii="Times New Roman" w:eastAsia="Times New Roman" w:hAnsi="Times New Roman"/>
          <w:sz w:val="24"/>
          <w:szCs w:val="24"/>
        </w:rPr>
        <w:t>;</w:t>
      </w:r>
      <w:r w:rsidRPr="00B45043">
        <w:rPr>
          <w:rFonts w:ascii="Times New Roman" w:eastAsia="Times New Roman" w:hAnsi="Times New Roman"/>
          <w:sz w:val="24"/>
          <w:szCs w:val="24"/>
        </w:rPr>
        <w:t xml:space="preserve"> bahagian A (profil demografi responden)</w:t>
      </w:r>
      <w:r w:rsidR="00BB772E">
        <w:rPr>
          <w:rFonts w:ascii="Times New Roman" w:eastAsia="Times New Roman" w:hAnsi="Times New Roman"/>
          <w:sz w:val="24"/>
          <w:szCs w:val="24"/>
        </w:rPr>
        <w:t>;</w:t>
      </w:r>
      <w:r w:rsidRPr="00B45043">
        <w:rPr>
          <w:rFonts w:ascii="Times New Roman" w:eastAsia="Times New Roman" w:hAnsi="Times New Roman"/>
          <w:sz w:val="24"/>
          <w:szCs w:val="24"/>
        </w:rPr>
        <w:t xml:space="preserve"> bahagian B, tahap pertama (reaksi)</w:t>
      </w:r>
      <w:r w:rsidR="00BB772E">
        <w:rPr>
          <w:rFonts w:ascii="Times New Roman" w:eastAsia="Times New Roman" w:hAnsi="Times New Roman"/>
          <w:sz w:val="24"/>
          <w:szCs w:val="24"/>
        </w:rPr>
        <w:t>;</w:t>
      </w:r>
      <w:r w:rsidRPr="00B45043">
        <w:rPr>
          <w:rFonts w:ascii="Times New Roman" w:eastAsia="Times New Roman" w:hAnsi="Times New Roman"/>
          <w:sz w:val="24"/>
          <w:szCs w:val="24"/>
        </w:rPr>
        <w:t xml:space="preserve"> dan bahagian C, tahap kedua (pembelajaran). Data dianalisis dengan menggunakan </w:t>
      </w:r>
      <w:r w:rsidRPr="00B45043">
        <w:rPr>
          <w:rFonts w:ascii="Times New Roman" w:eastAsia="Times New Roman" w:hAnsi="Times New Roman"/>
          <w:i/>
          <w:sz w:val="24"/>
          <w:szCs w:val="24"/>
        </w:rPr>
        <w:t>Statistical Package for Social Science</w:t>
      </w:r>
      <w:r w:rsidRPr="00B45043">
        <w:rPr>
          <w:rFonts w:ascii="Times New Roman" w:eastAsia="Times New Roman" w:hAnsi="Times New Roman"/>
          <w:sz w:val="24"/>
          <w:szCs w:val="24"/>
        </w:rPr>
        <w:t xml:space="preserve"> (SPSS) versi 24. Analisis deskriptif digunakan dalam kajian, iaitu frekuensi dan peratusan dan analisis korelasi </w:t>
      </w:r>
      <w:r w:rsidR="003946ED">
        <w:rPr>
          <w:rFonts w:ascii="Times New Roman" w:eastAsia="Times New Roman" w:hAnsi="Times New Roman"/>
          <w:sz w:val="24"/>
          <w:szCs w:val="24"/>
        </w:rPr>
        <w:t>P</w:t>
      </w:r>
      <w:r w:rsidRPr="00B45043">
        <w:rPr>
          <w:rFonts w:ascii="Times New Roman" w:eastAsia="Times New Roman" w:hAnsi="Times New Roman"/>
          <w:sz w:val="24"/>
          <w:szCs w:val="24"/>
        </w:rPr>
        <w:t xml:space="preserve">earson untuk melihat hubung kait antara pemboleh ubah reaksi dan pemboleh ubah pembelajaran. Nilai kebolehpercayaan </w:t>
      </w:r>
      <w:r w:rsidRPr="00B45043">
        <w:rPr>
          <w:rFonts w:ascii="Times New Roman" w:eastAsia="Times New Roman" w:hAnsi="Times New Roman"/>
          <w:i/>
          <w:sz w:val="24"/>
          <w:szCs w:val="24"/>
        </w:rPr>
        <w:t>Cronbach’s Alpha</w:t>
      </w:r>
      <w:r w:rsidRPr="00B45043">
        <w:rPr>
          <w:rFonts w:ascii="Times New Roman" w:eastAsia="Times New Roman" w:hAnsi="Times New Roman"/>
          <w:sz w:val="24"/>
          <w:szCs w:val="24"/>
        </w:rPr>
        <w:t xml:space="preserve"> soal selidik ialah 0.864. Justeru, nilai tersebut menunjukkan item-item borang soal selidik adalah munasabah. Hal ini dinyatakan oleh </w:t>
      </w:r>
      <w:r w:rsidRPr="00B45043">
        <w:rPr>
          <w:rFonts w:ascii="Times New Roman" w:eastAsia="Times New Roman" w:hAnsi="Times New Roman"/>
          <w:sz w:val="24"/>
          <w:szCs w:val="24"/>
        </w:rPr>
        <w:fldChar w:fldCharType="begin" w:fldLock="1"/>
      </w:r>
      <w:r w:rsidRPr="00B45043">
        <w:rPr>
          <w:rFonts w:ascii="Times New Roman" w:eastAsia="Times New Roman" w:hAnsi="Times New Roman"/>
          <w:sz w:val="24"/>
          <w:szCs w:val="24"/>
        </w:rPr>
        <w:instrText>ADDIN CSL_CITATION {"citationItems":[{"id":"ITEM-1","itemData":{"author":[{"dropping-particle":"","family":"Fauzi Hussin","given":"","non-dropping-particle":"","parse-names":false,"suffix":""},{"dropping-particle":"","family":"Jamal Ali","given":"","non-dropping-particle":"","parse-names":false,"suffix":""},{"dropping-particle":"","family":"Mohd Saifoul Zamzuri Noor","given":"","non-dropping-particle":"","parse-names":false,"suffix":""}],"chapter-number":"Bab 6","container-title":"Kaedah Penyelidikan dan analisis data SPSS","edition":"6","id":"ITEM-1","issued":{"date-parts":[["2014"]]},"publisher":"UUM Press","publisher-place":"Sintok Kedah","title":"Analisis faktor dan kebolehpercayaan intrumen","type":"chapter"},"uris":["http://www.mendeley.com/documents/?uuid=85a3dce0-19f1-434d-9634-287cccaeeecc"]}],"mendeley":{"formattedCitation":"(Fauzi Hussin et al., 2014)","manualFormatting":"Hussin et al. (2014)","plainTextFormattedCitation":"(Fauzi Hussin et al., 2014)","previouslyFormattedCitation":"(Fauzi Hussin et al., 2014)"},"properties":{"noteIndex":0},"schema":"https://github.com/citation-style-language/schema/raw/master/csl-citation.json"}</w:instrText>
      </w:r>
      <w:r w:rsidRPr="00B45043">
        <w:rPr>
          <w:rFonts w:ascii="Times New Roman" w:eastAsia="Times New Roman" w:hAnsi="Times New Roman"/>
          <w:sz w:val="24"/>
          <w:szCs w:val="24"/>
        </w:rPr>
        <w:fldChar w:fldCharType="separate"/>
      </w:r>
      <w:r w:rsidRPr="00B45043">
        <w:rPr>
          <w:rFonts w:ascii="Times New Roman" w:eastAsia="Times New Roman" w:hAnsi="Times New Roman"/>
          <w:noProof/>
          <w:sz w:val="24"/>
          <w:szCs w:val="24"/>
        </w:rPr>
        <w:t>Hussin et al. (2014)</w:t>
      </w:r>
      <w:r w:rsidRPr="00B45043">
        <w:rPr>
          <w:rFonts w:ascii="Times New Roman" w:eastAsia="Times New Roman" w:hAnsi="Times New Roman"/>
          <w:sz w:val="24"/>
          <w:szCs w:val="24"/>
        </w:rPr>
        <w:fldChar w:fldCharType="end"/>
      </w:r>
      <w:r w:rsidRPr="00B45043">
        <w:rPr>
          <w:rFonts w:ascii="Times New Roman" w:eastAsia="Times New Roman" w:hAnsi="Times New Roman"/>
          <w:sz w:val="24"/>
          <w:szCs w:val="24"/>
        </w:rPr>
        <w:t xml:space="preserve"> yang mana nilai kebolehpercayaan yang bagus ialah melebihi aras 0.8.</w:t>
      </w:r>
    </w:p>
    <w:p w:rsidR="00D61FE6" w:rsidRPr="00B45043"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Times New Roman" w:hAnsi="Times New Roman"/>
          <w:i/>
          <w:sz w:val="24"/>
          <w:szCs w:val="24"/>
        </w:rPr>
      </w:pPr>
      <w:r w:rsidRPr="00B45043">
        <w:rPr>
          <w:rFonts w:ascii="Times New Roman" w:eastAsia="Times New Roman" w:hAnsi="Times New Roman"/>
          <w:i/>
          <w:sz w:val="24"/>
          <w:szCs w:val="24"/>
        </w:rPr>
        <w:t>Program Latih Amal Tsunami</w:t>
      </w:r>
    </w:p>
    <w:p w:rsidR="00D61FE6" w:rsidRPr="00BB772E"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Times New Roman" w:hAnsi="Times New Roman"/>
          <w:sz w:val="24"/>
          <w:szCs w:val="24"/>
        </w:rPr>
      </w:pPr>
      <w:r w:rsidRPr="00B45043">
        <w:rPr>
          <w:rFonts w:ascii="Times New Roman" w:eastAsia="Times New Roman" w:hAnsi="Times New Roman"/>
          <w:sz w:val="24"/>
          <w:szCs w:val="24"/>
        </w:rPr>
        <w:t xml:space="preserve">Program latih amal tsunami dilaksanakan oleh Agensi Pengurusan Bencana Negara Malaysia (NADMA) bertempat di SMK Kota Kuala Muda. Kemudahan seperti dewan terbuka dan khemah tambahan dipasang di tepi dewan sekolah bagi memuatkan kehadiran tetamu yang dianggarkan antara 2000 hingga 3000 orang yang terdiri daripada warga sekolah, penduduk setempat, wakil universiti, agensi kerajaan, pihak sukarela dan badan bukan kerajaan (NGO). Selain itu, penyediaan papan skrin, </w:t>
      </w:r>
      <w:r w:rsidRPr="00B45043">
        <w:rPr>
          <w:rFonts w:ascii="Times New Roman" w:eastAsia="Times New Roman" w:hAnsi="Times New Roman"/>
          <w:i/>
          <w:sz w:val="24"/>
          <w:szCs w:val="24"/>
        </w:rPr>
        <w:t>Public Address System</w:t>
      </w:r>
      <w:r w:rsidRPr="00B45043">
        <w:rPr>
          <w:rFonts w:ascii="Times New Roman" w:eastAsia="Times New Roman" w:hAnsi="Times New Roman"/>
          <w:sz w:val="24"/>
          <w:szCs w:val="24"/>
        </w:rPr>
        <w:t xml:space="preserve"> (PA system) dan </w:t>
      </w:r>
      <w:r w:rsidRPr="00B45043">
        <w:rPr>
          <w:rFonts w:ascii="Times New Roman" w:eastAsia="Times New Roman" w:hAnsi="Times New Roman"/>
          <w:i/>
          <w:sz w:val="24"/>
          <w:szCs w:val="24"/>
        </w:rPr>
        <w:t>LCD projector</w:t>
      </w:r>
      <w:r w:rsidRPr="00B45043">
        <w:rPr>
          <w:rFonts w:ascii="Times New Roman" w:eastAsia="Times New Roman" w:hAnsi="Times New Roman"/>
          <w:sz w:val="24"/>
          <w:szCs w:val="24"/>
        </w:rPr>
        <w:t xml:space="preserve"> juga dibekalkan bagi melancarkan proses penyebaran dan perkongsian maklumat sepanjang program dijalankan. </w:t>
      </w:r>
    </w:p>
    <w:p w:rsidR="00D61FE6" w:rsidRPr="00B45043" w:rsidRDefault="00D61FE6" w:rsidP="00D61FE6">
      <w:pPr>
        <w:spacing w:after="0" w:line="240" w:lineRule="auto"/>
        <w:ind w:firstLine="720"/>
        <w:jc w:val="both"/>
        <w:rPr>
          <w:rFonts w:ascii="Times New Roman" w:eastAsia="Times New Roman" w:hAnsi="Times New Roman"/>
          <w:sz w:val="24"/>
          <w:szCs w:val="24"/>
        </w:rPr>
      </w:pPr>
      <w:r w:rsidRPr="00B45043">
        <w:rPr>
          <w:rFonts w:ascii="Times New Roman" w:eastAsia="Times New Roman" w:hAnsi="Times New Roman"/>
          <w:sz w:val="24"/>
          <w:szCs w:val="24"/>
        </w:rPr>
        <w:t xml:space="preserve">Program ini bersifat dua hala yang mana wujud interaksi antara pihak penganjur dan peserta program. Atur cara program bermula pada 6 Ogos 2018 yang diisi dengan slot taklimat dan perkongsian oleh agensi badan kerajaan antaranya ialah Agensi Pengurusan Bencana Negara Malaysia (NADMA), Jabatan Meteologi Malaysia (METMalaysia), Polis Diraja Malaysia (PDRM), Universiti Teknologi Malaysia (UTM) dengan kerjasama daripada Japan International Coorperation Agency (JICA). </w:t>
      </w:r>
    </w:p>
    <w:p w:rsidR="00D61FE6" w:rsidRPr="00B45043" w:rsidRDefault="00D61FE6" w:rsidP="00D61FE6">
      <w:pPr>
        <w:spacing w:after="0" w:line="240" w:lineRule="auto"/>
        <w:jc w:val="both"/>
        <w:rPr>
          <w:rFonts w:ascii="Times New Roman" w:eastAsia="Times New Roman" w:hAnsi="Times New Roman"/>
          <w:sz w:val="24"/>
          <w:szCs w:val="24"/>
        </w:rPr>
      </w:pPr>
      <w:r w:rsidRPr="00B45043">
        <w:rPr>
          <w:rFonts w:ascii="Times New Roman" w:eastAsia="Times New Roman" w:hAnsi="Times New Roman"/>
          <w:sz w:val="24"/>
          <w:szCs w:val="24"/>
        </w:rPr>
        <w:tab/>
        <w:t xml:space="preserve">Sesi akademik diadakan menerusi pembahagian peserta kepada dua buah kumpulan utama, iaitu kumpulan pertama ialah pelajar dan kumpulan kedua ialah warga komuniti yang terdiri daripada wakil guru, ketua komuniti, ahli akademik, dan NGO. Penyelidik berpeluang menyertai sesi akademik yang dijalankan oleh kumpulan kedua. Bagi kumpulan kedua, sesi bermula dengan taklimat daripada Tuan Mohamed Zahari daripada NADMA tentang kepentingan latihan amal simulasi dan perkongsian pengalamannya menyertai dan menyelamatkan mangsa bencana. Seterusnya, aktiviti </w:t>
      </w:r>
      <w:r w:rsidRPr="00B45043">
        <w:rPr>
          <w:rFonts w:ascii="Times New Roman" w:eastAsia="Times New Roman" w:hAnsi="Times New Roman"/>
          <w:i/>
          <w:sz w:val="24"/>
          <w:szCs w:val="24"/>
        </w:rPr>
        <w:t>Disaster Imagination Games</w:t>
      </w:r>
      <w:r w:rsidRPr="00B45043">
        <w:rPr>
          <w:rFonts w:ascii="Times New Roman" w:eastAsia="Times New Roman" w:hAnsi="Times New Roman"/>
          <w:sz w:val="24"/>
          <w:szCs w:val="24"/>
        </w:rPr>
        <w:t xml:space="preserve"> (DIG) </w:t>
      </w:r>
      <w:r w:rsidRPr="00B45043">
        <w:rPr>
          <w:rFonts w:ascii="Times New Roman" w:eastAsia="Times New Roman" w:hAnsi="Times New Roman"/>
          <w:sz w:val="24"/>
          <w:szCs w:val="24"/>
        </w:rPr>
        <w:lastRenderedPageBreak/>
        <w:t xml:space="preserve">dijalankan. Peserta dibahagikan kepada 5 buah kumpulan, </w:t>
      </w:r>
      <w:r w:rsidR="003946ED">
        <w:rPr>
          <w:rFonts w:ascii="Times New Roman" w:eastAsia="Times New Roman" w:hAnsi="Times New Roman"/>
          <w:sz w:val="24"/>
          <w:szCs w:val="24"/>
        </w:rPr>
        <w:t xml:space="preserve">dan </w:t>
      </w:r>
      <w:r w:rsidRPr="00B45043">
        <w:rPr>
          <w:rFonts w:ascii="Times New Roman" w:eastAsia="Times New Roman" w:hAnsi="Times New Roman"/>
          <w:sz w:val="24"/>
          <w:szCs w:val="24"/>
        </w:rPr>
        <w:t xml:space="preserve">setiap kumpulan </w:t>
      </w:r>
      <w:r w:rsidR="003946ED">
        <w:rPr>
          <w:rFonts w:ascii="Times New Roman" w:eastAsia="Times New Roman" w:hAnsi="Times New Roman"/>
          <w:sz w:val="24"/>
          <w:szCs w:val="24"/>
        </w:rPr>
        <w:t>di</w:t>
      </w:r>
      <w:r w:rsidRPr="00B45043">
        <w:rPr>
          <w:rFonts w:ascii="Times New Roman" w:eastAsia="Times New Roman" w:hAnsi="Times New Roman"/>
          <w:sz w:val="24"/>
          <w:szCs w:val="24"/>
        </w:rPr>
        <w:t>beri alatan menulis termasuklah kertas majung, pen marker, kertas lutsinar, kertas A4 dan peta kawasan Kota Kuala Muda. DIG bermula dengan peserta dibekalkan peta kawasan Kota Kuala Muda dan mereka perlu mengenalpasti laluan evakuasi yang selamat untuk ke tempat evakuasi. Seterusnya, peserta juga perlu mengenalpasti dan menyenaraikan kemudahan infrastruktur yang terdapat di Zon Merah (kawasan berdekatan persisir pantai). Peserta turut membincangkan isu, cabaran dan cadangan yang terdapat di sepanjang laluan untuk ke tempat evakuasi. Akhir sekali, setiap kumpulan perlu membuat pembentangan hasil daripada perbincangan tersebut.</w:t>
      </w:r>
    </w:p>
    <w:p w:rsidR="00D61FE6" w:rsidRPr="00B45043" w:rsidRDefault="00D61FE6" w:rsidP="00D61FE6">
      <w:pPr>
        <w:spacing w:after="0" w:line="240" w:lineRule="auto"/>
        <w:jc w:val="both"/>
        <w:rPr>
          <w:rFonts w:ascii="Times New Roman" w:eastAsia="Times New Roman" w:hAnsi="Times New Roman"/>
          <w:sz w:val="24"/>
          <w:szCs w:val="24"/>
        </w:rPr>
      </w:pPr>
      <w:r w:rsidRPr="00B45043">
        <w:rPr>
          <w:rFonts w:ascii="Times New Roman" w:eastAsia="Times New Roman" w:hAnsi="Times New Roman"/>
          <w:sz w:val="24"/>
          <w:szCs w:val="24"/>
        </w:rPr>
        <w:tab/>
        <w:t>Selain itu, perbincangan secara mendalam di kawasan kampung juga turut diadakan. Peserta yang mengikuti aktiviti DIG dibahagikan kawasan untuk berkumpul dan berjumpa dengan komuniti setempat. Penyelidik berpeluang menyertai dan ditempatkan di Dewan Orang Ramai Kampung Tepi Sungai. Di sini, penyelidik berkongsi hasil perbincangan aktiviti DIG bersama dengan penduduk Kampung Tepi Sungai. Profesor Dr. Habibah Lateh dari Universiti Sains Malaysia selaku wakil peserta DIG berkongsi pengetahuan bersama penduduk kampung tentang bencana tsunami dan kaedah menyelamatkan diri.</w:t>
      </w:r>
    </w:p>
    <w:p w:rsidR="00D61FE6" w:rsidRPr="00B45043" w:rsidRDefault="00D61FE6" w:rsidP="00D61FE6">
      <w:pPr>
        <w:spacing w:after="0" w:line="240" w:lineRule="auto"/>
        <w:jc w:val="both"/>
        <w:rPr>
          <w:rFonts w:ascii="Times New Roman" w:eastAsia="Times New Roman" w:hAnsi="Times New Roman"/>
          <w:sz w:val="24"/>
          <w:szCs w:val="24"/>
        </w:rPr>
      </w:pPr>
      <w:r w:rsidRPr="00B45043">
        <w:rPr>
          <w:rFonts w:ascii="Times New Roman" w:eastAsia="Times New Roman" w:hAnsi="Times New Roman"/>
          <w:sz w:val="24"/>
          <w:szCs w:val="24"/>
        </w:rPr>
        <w:tab/>
        <w:t xml:space="preserve">Pada 7 Ogos 2018, latih amal tsunami </w:t>
      </w:r>
      <w:r w:rsidR="00482F4D" w:rsidRPr="00B45043">
        <w:rPr>
          <w:rFonts w:ascii="Times New Roman" w:eastAsia="Times New Roman" w:hAnsi="Times New Roman"/>
          <w:sz w:val="24"/>
          <w:szCs w:val="24"/>
        </w:rPr>
        <w:t>oleh Jabatan Meteorologi Malaysia (METMalaysia)</w:t>
      </w:r>
      <w:r w:rsidR="00482F4D">
        <w:rPr>
          <w:rFonts w:ascii="Times New Roman" w:eastAsia="Times New Roman" w:hAnsi="Times New Roman"/>
          <w:sz w:val="24"/>
          <w:szCs w:val="24"/>
        </w:rPr>
        <w:t xml:space="preserve"> </w:t>
      </w:r>
      <w:r w:rsidRPr="00B45043">
        <w:rPr>
          <w:rFonts w:ascii="Times New Roman" w:eastAsia="Times New Roman" w:hAnsi="Times New Roman"/>
          <w:sz w:val="24"/>
          <w:szCs w:val="24"/>
        </w:rPr>
        <w:t xml:space="preserve">dimulakan seawal jam lapan pagi dengan letupan bom dan siren amaran awal tsunami </w:t>
      </w:r>
      <w:r w:rsidR="00482F4D" w:rsidRPr="00B45043">
        <w:rPr>
          <w:rFonts w:ascii="Times New Roman" w:eastAsia="Times New Roman" w:hAnsi="Times New Roman"/>
          <w:sz w:val="24"/>
          <w:szCs w:val="24"/>
        </w:rPr>
        <w:t>dibunyikan</w:t>
      </w:r>
      <w:r w:rsidRPr="00B45043">
        <w:rPr>
          <w:rFonts w:ascii="Times New Roman" w:eastAsia="Times New Roman" w:hAnsi="Times New Roman"/>
          <w:sz w:val="24"/>
          <w:szCs w:val="24"/>
        </w:rPr>
        <w:t xml:space="preserve">. Seluruh warga sekolah dan penduduk setempat dikehendaki keluar dari kawasan penempatan masing-masing dan bergerak ke pusat evakuasi, iaitu di SMK Kota Kuala Muda. Mereka dikehendaki untuk mendaftar diri di khemah yang disediakan dan seterusnya diminta untuk berkumpul mengikut kategori mangsa yang terlibat. Misalnya, para pelajar sekolah termasuk kanak-kanak serta penduduk tempatan dikehendaki untuk berkumpul di khemah mangsa pemindahan untuk memeriksa maklumat diri. Ini adalah salah satu </w:t>
      </w:r>
      <w:r w:rsidRPr="00B45043">
        <w:rPr>
          <w:rFonts w:ascii="Times New Roman" w:eastAsia="Times New Roman" w:hAnsi="Times New Roman"/>
          <w:i/>
          <w:sz w:val="24"/>
          <w:szCs w:val="24"/>
        </w:rPr>
        <w:t xml:space="preserve">Standard Operation Procedure </w:t>
      </w:r>
      <w:r w:rsidRPr="00B45043">
        <w:rPr>
          <w:rFonts w:ascii="Times New Roman" w:eastAsia="Times New Roman" w:hAnsi="Times New Roman"/>
          <w:sz w:val="24"/>
          <w:szCs w:val="24"/>
        </w:rPr>
        <w:t xml:space="preserve">(SOP) dalam bencana yang bertujuan untuk menyemak maklumat mangsa yang terlibat. Pameran daripada pelbagai agensi turut diadakan oleh Angkatan Pertahanan Awam (APAM), Jabatan Pengairan dan Saliran (JPS), Malaysia Amatur Radio Emergency Services (MARES), Jabatan Kebajikan Masyarakat (JKM), Persatuan Bulan Sabit Merah Malaysia (PBSM) dan pelbagai lagi. Acara kemuncak ialah upacara penutupan latih amal tsunami yang disempurnakan oleh Timbalan Perdana Menteri YAB Dato' Seri Dr. Wan Azizah Binti Wan Ismail dan turut dihadiri oleh Pengerusi PBSM, iaitu YTM Dato' Seri DiRaja Tan Sri Tunku Puteri Intan Safinaz Binti Almarhum Sultan Abdul Halim Mu'adzam Shah. </w:t>
      </w:r>
    </w:p>
    <w:p w:rsidR="00D61FE6" w:rsidRPr="00482F4D"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Times New Roman" w:hAnsi="Times New Roman"/>
          <w:i/>
          <w:sz w:val="24"/>
          <w:szCs w:val="24"/>
        </w:rPr>
      </w:pPr>
      <w:r w:rsidRPr="00B45043">
        <w:rPr>
          <w:rFonts w:ascii="Times New Roman" w:eastAsia="Times New Roman" w:hAnsi="Times New Roman"/>
          <w:i/>
          <w:sz w:val="24"/>
          <w:szCs w:val="24"/>
        </w:rPr>
        <w:t>Kawasan kajian</w:t>
      </w:r>
    </w:p>
    <w:p w:rsidR="00D61FE6" w:rsidRPr="00482F4D"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Times New Roman" w:hAnsi="Times New Roman"/>
          <w:sz w:val="24"/>
          <w:szCs w:val="24"/>
        </w:rPr>
      </w:pPr>
      <w:r w:rsidRPr="00B45043">
        <w:rPr>
          <w:rFonts w:ascii="Times New Roman" w:eastAsia="Times New Roman" w:hAnsi="Times New Roman"/>
          <w:sz w:val="24"/>
          <w:szCs w:val="24"/>
        </w:rPr>
        <w:t>Kota Kuala Muda terletak di mukim Kota, Daerah Kota Kuala Muda, Kedah. Keluasan kawasan ini adalah seluas 630.22 hektar</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{"citationItems":[{"id":"ITEM-1","itemData":{"author":[{"dropping-particle":"","family":"Cha","given":"Lee Sze","non-dropping-particle":"","parse-names":false,"suffix":""},{"dropping-particle":"","family":"Noor Asmawati Naraman @ kamarul Zaman","given":"","non-dropping-particle":"","parse-names":false,"suffix":""},{"dropping-particle":"","family":"Nurfatin Alea Azmi","given":"","non-dropping-particle":"","parse-names":false,"suffix":""},{"dropping-particle":"","family":"Nurul Aini Mohmad Nordin","given":"","non-dropping-particle":"","parse-names":false,"suffix":""}],"id":"ITEM-1","issued":{"date-parts":[["2017"]]},"number-of-pages":"1-106","publisher-place":"Pulau Pinang","title":"Revitalisasi warisan budaya di Kg. Sg Emas, Kota Kuala Muda (Past, Present &amp; Future)","type":"report"},"uris":["http://www.mendeley.com/documents/?uuid=fbbae182-699e-4dbb-8559-8fdd7bbc330e"]}],"mendeley":{"formattedCitation":"(Cha et al., 2017)","plainTextFormattedCitation":"(Cha et al., 2017)"},"properties":{"noteIndex":0},"schema":"https://github.com/citation-style-language/schema/raw/master/csl-citation.json"}</w:instrText>
      </w:r>
      <w:r>
        <w:rPr>
          <w:rFonts w:ascii="Times New Roman" w:eastAsia="Times New Roman" w:hAnsi="Times New Roman"/>
          <w:sz w:val="24"/>
          <w:szCs w:val="24"/>
        </w:rPr>
        <w:fldChar w:fldCharType="separate"/>
      </w:r>
      <w:r w:rsidRPr="003F120D">
        <w:rPr>
          <w:rFonts w:ascii="Times New Roman" w:eastAsia="Times New Roman" w:hAnsi="Times New Roman"/>
          <w:noProof/>
          <w:sz w:val="24"/>
          <w:szCs w:val="24"/>
        </w:rPr>
        <w:t>(Cha et al., 2017)</w:t>
      </w:r>
      <w:r>
        <w:rPr>
          <w:rFonts w:ascii="Times New Roman" w:eastAsia="Times New Roman" w:hAnsi="Times New Roman"/>
          <w:sz w:val="24"/>
          <w:szCs w:val="24"/>
        </w:rPr>
        <w:fldChar w:fldCharType="end"/>
      </w:r>
      <w:r w:rsidRPr="00B45043">
        <w:rPr>
          <w:rFonts w:ascii="Times New Roman" w:eastAsia="Times New Roman" w:hAnsi="Times New Roman"/>
          <w:sz w:val="24"/>
          <w:szCs w:val="24"/>
        </w:rPr>
        <w:t xml:space="preserve">. Bentuk muka bumi </w:t>
      </w:r>
      <w:r w:rsidR="00482F4D">
        <w:rPr>
          <w:rFonts w:ascii="Times New Roman" w:eastAsia="Times New Roman" w:hAnsi="Times New Roman"/>
          <w:sz w:val="24"/>
          <w:szCs w:val="24"/>
        </w:rPr>
        <w:t>terdiri dari</w:t>
      </w:r>
      <w:r w:rsidRPr="00B45043">
        <w:rPr>
          <w:rFonts w:ascii="Times New Roman" w:eastAsia="Times New Roman" w:hAnsi="Times New Roman"/>
          <w:sz w:val="24"/>
          <w:szCs w:val="24"/>
        </w:rPr>
        <w:t xml:space="preserve"> kawasan tanah rata dan lokasinya terletak berhampiran dengan Pantai Merdeka. Antara kampung yang terdapat di Kota Kuala Muda adalah Kampung Tepi Sungai, Kampung Permatang Katong, Kampung Kepala Jalan, Kampung Masjid, Kampung Padang Salim, Kampung Hujung Matang, Kampung Sungai Meriam, Kampung Sungai Yu, Kampung Pulau Sayak, Kampung Teluk Nipah, Kampung Teluk Amboi dan Kampung Pantai Merdeka. </w:t>
      </w:r>
    </w:p>
    <w:p w:rsidR="00D61FE6" w:rsidRPr="00B45043" w:rsidRDefault="00D61FE6" w:rsidP="00D61FE6">
      <w:pPr>
        <w:spacing w:after="0" w:line="240" w:lineRule="auto"/>
        <w:jc w:val="both"/>
        <w:rPr>
          <w:rFonts w:ascii="Times New Roman" w:eastAsia="Times New Roman" w:hAnsi="Times New Roman"/>
          <w:sz w:val="24"/>
          <w:szCs w:val="24"/>
          <w:highlight w:val="yellow"/>
        </w:rPr>
      </w:pPr>
      <w:r w:rsidRPr="00B45043">
        <w:rPr>
          <w:rFonts w:ascii="Times New Roman" w:eastAsia="Times New Roman" w:hAnsi="Times New Roman"/>
          <w:sz w:val="24"/>
          <w:szCs w:val="24"/>
        </w:rPr>
        <w:tab/>
        <w:t xml:space="preserve">Kampung Tepi Sungai dan Kampung Masjid merupakan kampung yang terjejas teruk akibat tsunami kerana kedudukannya terletak antara 10 hingga 20 meter dari pesisir pantai. Sebanyak 100 buah penempatan dan hanya tinggal 4 hingga 10 buah petempatan sahaja dan selebihnya telah musnah akibat tsunami </w:t>
      </w:r>
      <w:r w:rsidRPr="00B45043">
        <w:rPr>
          <w:rFonts w:ascii="Times New Roman" w:eastAsia="Times New Roman" w:hAnsi="Times New Roman"/>
          <w:sz w:val="24"/>
          <w:szCs w:val="24"/>
        </w:rPr>
        <w:fldChar w:fldCharType="begin" w:fldLock="1"/>
      </w:r>
      <w:r w:rsidRPr="00B45043">
        <w:rPr>
          <w:rFonts w:ascii="Times New Roman" w:eastAsia="Times New Roman" w:hAnsi="Times New Roman"/>
          <w:sz w:val="24"/>
          <w:szCs w:val="24"/>
        </w:rPr>
        <w:instrText>ADDIN CSL_CITATION {"citationItems":[{"id":"ITEM-1","itemData":{"DOI":"10.7763/jocet.2013.v1.56","ISSN":"1793821X","abstract":"Abstract—The tsunami of 26 December 2004 was one of the most devastating tragedy ever occurred to men in the history of human civilization. Approximately 250,000 lives perished, millions injured and suffered, while the destruction of property loss of opportunities cannot be accurately estimated. The impact of the tsunami on environmental destruction shows that damage was inflicted on natural resources such as coral reefs, mangroves, sand dunes and other coastal ecosystem that acted as wave defense barriers. Moreover, inlands, wetlands and agricultural land were salinated and natural resources for livelihood and for source of income were badly affected, especially for coastal communities who were involve in fisheries. The situation worsened as basic facilities were also destroyed. As such, this research focuses on assessing and identifying on how the impacts of the tsunami on the infrastructure and environmental resources affected the community well-being inKuala Muda, Kedah, Malaysia. This study focuses on the impacts of tsunami on the affected community well-being in the coastal zone on the basis of available primary and secondary sources. Primary sources included questionnaires, interviews and observations while the secondary resources included books, government and international reports, scientific journals, maps and articles that highlighted tsunami related issues. The study tries to seek for both qualitative and quantitative impacts and also tries to find out some solutions that would help to minimize the impact of the tsunami on the community well-being. The information gained from this study can be used to help the community as well as the agencies involve in order to minimize the impacts of the tsunami on the community and develop a more effective mitigation measures for other environmental disasters such as tsunami. Besides, the research may help to create awareness on the community to be prepared in facing disastrous situation such as the tsunami. Through community preparedness, the impact can be minimized and reduced. As for the authority, this research may be of great assistance by allowing them to make better decision.","author":[{"dropping-particle":"","family":"Asmawi","given":"M. Zainora","non-dropping-particle":"","parse-names":false,"suffix":""},{"dropping-particle":"","family":"Ibrahim","given":"Aisyah Nadhrah","non-dropping-particle":"","parse-names":false,"suffix":""}],"container-title":"Journal of Clean Energy Technologies","id":"ITEM-1","issue":"3","issued":{"date-parts":[["2013"]]},"page":"246-250","title":"The impacts of tsunami on the well-being of the affected community in Kuala Muda, Kedah, Malaysia","type":"article-journal","volume":"1"},"uris":["http://www.mendeley.com/documents/?uuid=c56c35b6-bebb-4ef0-bdf2-6b995345324c"]}],"mendeley":{"formattedCitation":"(Asmawi &amp; Ibrahim, 2013)","manualFormatting":"(Asmawi &amp; Ibrahim, 2013)","plainTextFormattedCitation":"(Asmawi &amp; Ibrahim, 2013)","previouslyFormattedCitation":"(Asmawi &amp; Ibrahim, 2013)"},"properties":{"noteIndex":0},"schema":"https://github.com/citation-style-language/schema/raw/master/csl-citation.json"}</w:instrText>
      </w:r>
      <w:r w:rsidRPr="00B45043">
        <w:rPr>
          <w:rFonts w:ascii="Times New Roman" w:eastAsia="Times New Roman" w:hAnsi="Times New Roman"/>
          <w:sz w:val="24"/>
          <w:szCs w:val="24"/>
        </w:rPr>
        <w:fldChar w:fldCharType="separate"/>
      </w:r>
      <w:r w:rsidRPr="00B45043">
        <w:rPr>
          <w:rFonts w:ascii="Times New Roman" w:eastAsia="Times New Roman" w:hAnsi="Times New Roman"/>
          <w:noProof/>
          <w:sz w:val="24"/>
          <w:szCs w:val="24"/>
        </w:rPr>
        <w:t>(Asmawi &amp; Ibrahim, 2013)</w:t>
      </w:r>
      <w:r w:rsidRPr="00B45043">
        <w:rPr>
          <w:rFonts w:ascii="Times New Roman" w:eastAsia="Times New Roman" w:hAnsi="Times New Roman"/>
          <w:sz w:val="24"/>
          <w:szCs w:val="24"/>
        </w:rPr>
        <w:fldChar w:fldCharType="end"/>
      </w:r>
      <w:r w:rsidRPr="00B45043">
        <w:rPr>
          <w:rFonts w:ascii="Times New Roman" w:eastAsia="Times New Roman" w:hAnsi="Times New Roman"/>
          <w:sz w:val="24"/>
          <w:szCs w:val="24"/>
        </w:rPr>
        <w:t xml:space="preserve">. Di Kuala Muda, jumlah rekod kematian ialah seramai 9 orang termasuk bayi berusia 11 bulan. Manakala di luar kawasan pula seramai 8 orang. Selain itu, seramai 23 penduduk tempatan dan 9 orang pesakit luar cedera direkodkan </w:t>
      </w:r>
      <w:r w:rsidRPr="00B45043">
        <w:rPr>
          <w:rFonts w:ascii="Times New Roman" w:eastAsia="Times New Roman" w:hAnsi="Times New Roman"/>
          <w:sz w:val="24"/>
          <w:szCs w:val="24"/>
        </w:rPr>
        <w:fldChar w:fldCharType="begin" w:fldLock="1"/>
      </w:r>
      <w:r>
        <w:rPr>
          <w:rFonts w:ascii="Times New Roman" w:eastAsia="Times New Roman" w:hAnsi="Times New Roman"/>
          <w:sz w:val="24"/>
          <w:szCs w:val="24"/>
        </w:rPr>
        <w:instrText>ADDIN CSL_CITATION {"citationItems":[{"id":"ITEM-1","itemData":{"author":[{"dropping-particle":"","family":"Galeri Tsunami Kota Kuala Muda","given":"Kedah","non-dropping-particle":"","parse-names":false,"suffix":""}],"id":"ITEM-1","issued":{"date-parts":[["2018"]]},"number-of-pages":"06 August 2018","title":"Kajian Lapangan","type":"report"},"uris":["http://www.mendeley.com/documents/?uuid=12513270-85bc-46bd-bd4b-3a90fe4dd79f"]}],"mendeley":{"formattedCitation":"(Galeri Tsunami Kota Kuala Muda, 2018)","plainTextFormattedCitation":"(Galeri Tsunami Kota Kuala Muda, 2018)","previouslyFormattedCitation":"(Galeri Tsunami Kota Kuala Muda, 2018)"},"properties":{"noteIndex":0},"schema":"https://github.com/citation-style-language/schema/raw/master/csl-citation.json"}</w:instrText>
      </w:r>
      <w:r w:rsidRPr="00B45043">
        <w:rPr>
          <w:rFonts w:ascii="Times New Roman" w:eastAsia="Times New Roman" w:hAnsi="Times New Roman"/>
          <w:sz w:val="24"/>
          <w:szCs w:val="24"/>
        </w:rPr>
        <w:fldChar w:fldCharType="separate"/>
      </w:r>
      <w:r w:rsidRPr="00B45043">
        <w:rPr>
          <w:rFonts w:ascii="Times New Roman" w:eastAsia="Times New Roman" w:hAnsi="Times New Roman"/>
          <w:noProof/>
          <w:sz w:val="24"/>
          <w:szCs w:val="24"/>
        </w:rPr>
        <w:t>(Galeri Tsunami Kota Kuala Muda, 2018)</w:t>
      </w:r>
      <w:r w:rsidRPr="00B45043">
        <w:rPr>
          <w:rFonts w:ascii="Times New Roman" w:eastAsia="Times New Roman" w:hAnsi="Times New Roman"/>
          <w:sz w:val="24"/>
          <w:szCs w:val="24"/>
        </w:rPr>
        <w:fldChar w:fldCharType="end"/>
      </w:r>
      <w:r w:rsidR="00482F4D">
        <w:rPr>
          <w:rFonts w:ascii="Times New Roman" w:eastAsia="Times New Roman" w:hAnsi="Times New Roman"/>
          <w:sz w:val="24"/>
          <w:szCs w:val="24"/>
        </w:rPr>
        <w:t>.</w:t>
      </w:r>
    </w:p>
    <w:p w:rsidR="00D61FE6" w:rsidRPr="00B45043" w:rsidRDefault="00D61FE6" w:rsidP="008A076B">
      <w:pPr>
        <w:spacing w:after="0"/>
        <w:rPr>
          <w:rFonts w:ascii="Times New Roman" w:hAnsi="Times New Roman"/>
          <w:b/>
          <w:sz w:val="24"/>
          <w:szCs w:val="24"/>
        </w:rPr>
      </w:pPr>
      <w:r w:rsidRPr="00B45043">
        <w:rPr>
          <w:rFonts w:ascii="Times New Roman" w:hAnsi="Times New Roman"/>
          <w:b/>
          <w:sz w:val="24"/>
          <w:szCs w:val="24"/>
        </w:rPr>
        <w:lastRenderedPageBreak/>
        <w:t xml:space="preserve">Hasil kajian </w:t>
      </w:r>
    </w:p>
    <w:p w:rsidR="00D61FE6" w:rsidRPr="00482F4D" w:rsidRDefault="00D61FE6" w:rsidP="00D61FE6">
      <w:pPr>
        <w:spacing w:after="0" w:line="240" w:lineRule="auto"/>
        <w:jc w:val="both"/>
        <w:rPr>
          <w:rFonts w:ascii="Times New Roman" w:eastAsia="MS Gothic" w:hAnsi="Times New Roman"/>
          <w:bCs/>
          <w:sz w:val="24"/>
          <w:szCs w:val="28"/>
        </w:rPr>
      </w:pPr>
    </w:p>
    <w:p w:rsidR="00D61FE6" w:rsidRPr="00B45043" w:rsidRDefault="00D61FE6" w:rsidP="00D61FE6">
      <w:pPr>
        <w:spacing w:after="0" w:line="240" w:lineRule="auto"/>
        <w:jc w:val="both"/>
        <w:rPr>
          <w:rFonts w:ascii="Times New Roman" w:eastAsia="MS Mincho" w:hAnsi="Times New Roman"/>
          <w:i/>
          <w:sz w:val="24"/>
          <w:szCs w:val="24"/>
        </w:rPr>
      </w:pPr>
      <w:r w:rsidRPr="00B45043">
        <w:rPr>
          <w:rFonts w:ascii="Times New Roman" w:eastAsia="MS Gothic" w:hAnsi="Times New Roman"/>
          <w:bCs/>
          <w:i/>
          <w:sz w:val="24"/>
          <w:szCs w:val="28"/>
        </w:rPr>
        <w:t>Profil</w:t>
      </w:r>
      <w:r w:rsidRPr="00B45043">
        <w:rPr>
          <w:rFonts w:ascii="Times New Roman" w:eastAsia="MS Mincho" w:hAnsi="Times New Roman"/>
          <w:i/>
          <w:sz w:val="24"/>
          <w:szCs w:val="24"/>
        </w:rPr>
        <w:t xml:space="preserve"> demografi responden </w:t>
      </w:r>
    </w:p>
    <w:p w:rsidR="00D61FE6" w:rsidRPr="00482F4D" w:rsidRDefault="00D61FE6"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 xml:space="preserve">Seramai 723 responden terlibat dalam kajian. Kumpulan umur yang mencatatkan penyertaan tertinggi ialah berumur 16 hingga 22 tahun, iaitu seramai 662 responden (91.6%). Dari segi jantina pula, seramai 369 responden (51%) terdiri daripada lelaki dan 354 responden (49%) adalah perempuan. Dari segi bangsa pula, majoriti dalam kalangan responden adalah berbangsa Melayu, iaitu seramai 715 orang (98.9%) dan diikuti dengan bangsa Cina seramai 7 orang (1%) dan India iaitu 1 orang (0.1%). Bidang pekerjaan dibahagikan kepada dua iaitu guru dan pelajar. Seramai 61 guru (8.6%) dan 661 pelajar (91.4%) terlibat dalam kajian. Tahap pendidikan yang mencatatkan bilangan tertinggi ialah UPSR, iaitu seramai 284 responden (39.3%). Hal ini disebabkan oleh bagi pelajar Tingkatan Satu dan Tingkatan Dua, tahap pendidikan tertinggi mereka ialah UPSR. </w:t>
      </w:r>
      <w:r w:rsidR="008A076B">
        <w:rPr>
          <w:rFonts w:ascii="Times New Roman" w:eastAsia="MS Mincho" w:hAnsi="Times New Roman"/>
          <w:sz w:val="24"/>
          <w:szCs w:val="24"/>
        </w:rPr>
        <w:t>Manakala t</w:t>
      </w:r>
      <w:r w:rsidRPr="00B45043">
        <w:rPr>
          <w:rFonts w:ascii="Times New Roman" w:eastAsia="MS Mincho" w:hAnsi="Times New Roman"/>
          <w:sz w:val="24"/>
          <w:szCs w:val="24"/>
        </w:rPr>
        <w:t xml:space="preserve">ahap pendidikan </w:t>
      </w:r>
      <w:r w:rsidR="008A076B">
        <w:rPr>
          <w:rFonts w:ascii="Times New Roman" w:eastAsia="MS Mincho" w:hAnsi="Times New Roman"/>
          <w:sz w:val="24"/>
          <w:szCs w:val="24"/>
        </w:rPr>
        <w:t xml:space="preserve">mencatatkan bilangan </w:t>
      </w:r>
      <w:r w:rsidRPr="00B45043">
        <w:rPr>
          <w:rFonts w:ascii="Times New Roman" w:eastAsia="MS Mincho" w:hAnsi="Times New Roman"/>
          <w:sz w:val="24"/>
          <w:szCs w:val="24"/>
        </w:rPr>
        <w:t>terendah ialah Ijazah Sarjana, iaitu seramai 12 responden (1.7%).</w:t>
      </w:r>
      <w:r w:rsidR="00476D3E">
        <w:rPr>
          <w:rFonts w:ascii="Times New Roman" w:eastAsia="MS Mincho" w:hAnsi="Times New Roman"/>
          <w:sz w:val="24"/>
          <w:szCs w:val="24"/>
        </w:rPr>
        <w:t xml:space="preserve"> Jadual 1 menunjukkan pecahan ciri profil responden.</w:t>
      </w:r>
    </w:p>
    <w:p w:rsidR="00D61FE6" w:rsidRPr="00476D3E" w:rsidRDefault="00D61FE6" w:rsidP="00D61FE6">
      <w:pPr>
        <w:spacing w:after="0" w:line="240" w:lineRule="auto"/>
        <w:jc w:val="both"/>
        <w:rPr>
          <w:rFonts w:ascii="Times New Roman" w:eastAsia="MS Mincho" w:hAnsi="Times New Roman"/>
          <w:sz w:val="16"/>
          <w:szCs w:val="16"/>
        </w:rPr>
      </w:pPr>
    </w:p>
    <w:p w:rsidR="00D61FE6" w:rsidRPr="00B45043" w:rsidRDefault="00D61FE6" w:rsidP="00D61FE6">
      <w:pPr>
        <w:spacing w:after="0" w:line="240" w:lineRule="auto"/>
        <w:jc w:val="center"/>
        <w:rPr>
          <w:rFonts w:ascii="Times New Roman" w:eastAsia="MS Mincho" w:hAnsi="Times New Roman"/>
          <w:sz w:val="20"/>
          <w:szCs w:val="20"/>
        </w:rPr>
      </w:pPr>
      <w:r w:rsidRPr="00B45043">
        <w:rPr>
          <w:rFonts w:ascii="Times New Roman" w:eastAsia="MS Mincho" w:hAnsi="Times New Roman"/>
          <w:b/>
          <w:sz w:val="20"/>
          <w:szCs w:val="20"/>
        </w:rPr>
        <w:t>Jadual 1</w:t>
      </w:r>
      <w:r w:rsidR="00F90700">
        <w:rPr>
          <w:rFonts w:ascii="Times New Roman" w:eastAsia="MS Mincho" w:hAnsi="Times New Roman"/>
          <w:b/>
          <w:sz w:val="20"/>
          <w:szCs w:val="20"/>
        </w:rPr>
        <w:t>.</w:t>
      </w:r>
      <w:r w:rsidRPr="00B45043">
        <w:rPr>
          <w:rFonts w:ascii="Times New Roman" w:eastAsia="MS Mincho" w:hAnsi="Times New Roman"/>
          <w:sz w:val="20"/>
          <w:szCs w:val="20"/>
        </w:rPr>
        <w:t xml:space="preserve"> Profil demografi responden (n=723)</w:t>
      </w:r>
    </w:p>
    <w:p w:rsidR="00D61FE6" w:rsidRPr="00037D46" w:rsidRDefault="00D61FE6" w:rsidP="00D61FE6">
      <w:pPr>
        <w:spacing w:after="0" w:line="240" w:lineRule="auto"/>
        <w:jc w:val="center"/>
        <w:rPr>
          <w:rFonts w:ascii="Times New Roman" w:eastAsia="MS Mincho" w:hAnsi="Times New Roman"/>
          <w:sz w:val="16"/>
          <w:szCs w:val="16"/>
        </w:rPr>
      </w:pPr>
    </w:p>
    <w:tbl>
      <w:tblPr>
        <w:tblStyle w:val="PlainTable21"/>
        <w:tblW w:w="0" w:type="auto"/>
        <w:jc w:val="center"/>
        <w:tblLook w:val="04A0" w:firstRow="1" w:lastRow="0" w:firstColumn="1" w:lastColumn="0" w:noHBand="0" w:noVBand="1"/>
      </w:tblPr>
      <w:tblGrid>
        <w:gridCol w:w="2410"/>
        <w:gridCol w:w="1604"/>
        <w:gridCol w:w="566"/>
      </w:tblGrid>
      <w:tr w:rsidR="00D61FE6" w:rsidRPr="00037D46" w:rsidTr="00F31767">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BDD6EE" w:themeFill="accent1" w:themeFillTint="66"/>
          </w:tcPr>
          <w:p w:rsidR="00D61FE6" w:rsidRPr="00037D46" w:rsidRDefault="00D61FE6" w:rsidP="00B03A1C">
            <w:pPr>
              <w:spacing w:after="0" w:line="240" w:lineRule="auto"/>
              <w:rPr>
                <w:rFonts w:ascii="Times New Roman" w:hAnsi="Times New Roman"/>
                <w:sz w:val="20"/>
                <w:szCs w:val="20"/>
              </w:rPr>
            </w:pPr>
            <w:r w:rsidRPr="00037D46">
              <w:rPr>
                <w:rFonts w:ascii="Times New Roman" w:hAnsi="Times New Roman"/>
                <w:sz w:val="20"/>
                <w:szCs w:val="20"/>
              </w:rPr>
              <w:t>Pemboleh Ubah</w:t>
            </w:r>
          </w:p>
        </w:tc>
        <w:tc>
          <w:tcPr>
            <w:tcW w:w="1604" w:type="dxa"/>
            <w:shd w:val="clear" w:color="auto" w:fill="BDD6EE" w:themeFill="accent1" w:themeFillTint="66"/>
          </w:tcPr>
          <w:p w:rsidR="00D61FE6" w:rsidRPr="00037D46" w:rsidRDefault="00D61FE6" w:rsidP="00B03A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N</w:t>
            </w:r>
          </w:p>
        </w:tc>
        <w:tc>
          <w:tcPr>
            <w:tcW w:w="566" w:type="dxa"/>
            <w:shd w:val="clear" w:color="auto" w:fill="BDD6EE" w:themeFill="accent1" w:themeFillTint="66"/>
          </w:tcPr>
          <w:p w:rsidR="00D61FE6" w:rsidRPr="00037D46" w:rsidRDefault="00D61FE6" w:rsidP="00B03A1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w:t>
            </w:r>
          </w:p>
        </w:tc>
      </w:tr>
      <w:tr w:rsidR="00D61FE6" w:rsidRPr="00037D46" w:rsidTr="00037D46">
        <w:trPr>
          <w:cnfStyle w:val="000000100000" w:firstRow="0" w:lastRow="0" w:firstColumn="0" w:lastColumn="0" w:oddVBand="0" w:evenVBand="0" w:oddHBand="1" w:evenHBand="0" w:firstRowFirstColumn="0" w:firstRowLastColumn="0" w:lastRowFirstColumn="0" w:lastRowLastColumn="0"/>
          <w:trHeight w:val="1402"/>
          <w:jc w:val="center"/>
        </w:trPr>
        <w:tc>
          <w:tcPr>
            <w:cnfStyle w:val="001000000000" w:firstRow="0" w:lastRow="0" w:firstColumn="1" w:lastColumn="0" w:oddVBand="0" w:evenVBand="0" w:oddHBand="0" w:evenHBand="0" w:firstRowFirstColumn="0" w:firstRowLastColumn="0" w:lastRowFirstColumn="0" w:lastRowLastColumn="0"/>
            <w:tcW w:w="2410" w:type="dxa"/>
          </w:tcPr>
          <w:p w:rsidR="00D61FE6" w:rsidRPr="00037D46" w:rsidRDefault="00D61FE6" w:rsidP="00B03A1C">
            <w:pPr>
              <w:spacing w:after="0" w:line="240" w:lineRule="auto"/>
              <w:rPr>
                <w:rFonts w:ascii="Times New Roman" w:hAnsi="Times New Roman"/>
                <w:b w:val="0"/>
                <w:sz w:val="20"/>
                <w:szCs w:val="20"/>
              </w:rPr>
            </w:pPr>
            <w:r w:rsidRPr="00037D46">
              <w:rPr>
                <w:rFonts w:ascii="Times New Roman" w:hAnsi="Times New Roman"/>
                <w:b w:val="0"/>
                <w:sz w:val="20"/>
                <w:szCs w:val="20"/>
              </w:rPr>
              <w:t>Umur (tahun)</w:t>
            </w:r>
          </w:p>
          <w:p w:rsidR="00D61FE6" w:rsidRPr="00037D46" w:rsidRDefault="00D61FE6" w:rsidP="00B03A1C">
            <w:pPr>
              <w:spacing w:after="0" w:line="240" w:lineRule="auto"/>
              <w:ind w:left="459"/>
              <w:rPr>
                <w:rFonts w:ascii="Times New Roman" w:hAnsi="Times New Roman"/>
                <w:b w:val="0"/>
                <w:sz w:val="20"/>
                <w:szCs w:val="20"/>
              </w:rPr>
            </w:pPr>
            <w:r w:rsidRPr="00037D46">
              <w:rPr>
                <w:rFonts w:ascii="Times New Roman" w:hAnsi="Times New Roman"/>
                <w:b w:val="0"/>
                <w:sz w:val="20"/>
                <w:szCs w:val="20"/>
              </w:rPr>
              <w:t>16 – 22</w:t>
            </w:r>
          </w:p>
          <w:p w:rsidR="00D61FE6" w:rsidRPr="00037D46" w:rsidRDefault="00D61FE6" w:rsidP="00B03A1C">
            <w:pPr>
              <w:spacing w:after="0" w:line="240" w:lineRule="auto"/>
              <w:ind w:left="459"/>
              <w:rPr>
                <w:rFonts w:ascii="Times New Roman" w:hAnsi="Times New Roman"/>
                <w:b w:val="0"/>
                <w:sz w:val="20"/>
                <w:szCs w:val="20"/>
              </w:rPr>
            </w:pPr>
            <w:r w:rsidRPr="00037D46">
              <w:rPr>
                <w:rFonts w:ascii="Times New Roman" w:hAnsi="Times New Roman"/>
                <w:b w:val="0"/>
                <w:sz w:val="20"/>
                <w:szCs w:val="20"/>
              </w:rPr>
              <w:t>23 – 32</w:t>
            </w:r>
          </w:p>
          <w:p w:rsidR="00D61FE6" w:rsidRPr="00037D46" w:rsidRDefault="00D61FE6" w:rsidP="00B03A1C">
            <w:pPr>
              <w:spacing w:after="0" w:line="240" w:lineRule="auto"/>
              <w:ind w:left="459"/>
              <w:rPr>
                <w:rFonts w:ascii="Times New Roman" w:hAnsi="Times New Roman"/>
                <w:b w:val="0"/>
                <w:sz w:val="20"/>
                <w:szCs w:val="20"/>
              </w:rPr>
            </w:pPr>
            <w:r w:rsidRPr="00037D46">
              <w:rPr>
                <w:rFonts w:ascii="Times New Roman" w:hAnsi="Times New Roman"/>
                <w:b w:val="0"/>
                <w:sz w:val="20"/>
                <w:szCs w:val="20"/>
              </w:rPr>
              <w:t>33 – 42</w:t>
            </w:r>
          </w:p>
          <w:p w:rsidR="00D61FE6" w:rsidRPr="00037D46" w:rsidRDefault="00D61FE6" w:rsidP="00B03A1C">
            <w:pPr>
              <w:spacing w:after="0" w:line="240" w:lineRule="auto"/>
              <w:ind w:left="459"/>
              <w:rPr>
                <w:rFonts w:ascii="Times New Roman" w:hAnsi="Times New Roman"/>
                <w:b w:val="0"/>
                <w:sz w:val="20"/>
                <w:szCs w:val="20"/>
              </w:rPr>
            </w:pPr>
            <w:r w:rsidRPr="00037D46">
              <w:rPr>
                <w:rFonts w:ascii="Times New Roman" w:hAnsi="Times New Roman"/>
                <w:b w:val="0"/>
                <w:sz w:val="20"/>
                <w:szCs w:val="20"/>
              </w:rPr>
              <w:t>43 – 52</w:t>
            </w:r>
          </w:p>
          <w:p w:rsidR="00D61FE6" w:rsidRPr="00037D46" w:rsidRDefault="00D61FE6" w:rsidP="00B03A1C">
            <w:pPr>
              <w:spacing w:after="0" w:line="240" w:lineRule="auto"/>
              <w:ind w:left="459"/>
              <w:rPr>
                <w:rFonts w:ascii="Times New Roman" w:hAnsi="Times New Roman"/>
                <w:b w:val="0"/>
                <w:sz w:val="20"/>
                <w:szCs w:val="20"/>
              </w:rPr>
            </w:pPr>
            <w:r w:rsidRPr="00037D46">
              <w:rPr>
                <w:rFonts w:ascii="Times New Roman" w:hAnsi="Times New Roman"/>
                <w:b w:val="0"/>
                <w:sz w:val="20"/>
                <w:szCs w:val="20"/>
              </w:rPr>
              <w:t>53 – 62</w:t>
            </w:r>
          </w:p>
        </w:tc>
        <w:tc>
          <w:tcPr>
            <w:tcW w:w="1604" w:type="dxa"/>
          </w:tcPr>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662</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6</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15</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28</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12</w:t>
            </w:r>
          </w:p>
        </w:tc>
        <w:tc>
          <w:tcPr>
            <w:tcW w:w="566" w:type="dxa"/>
          </w:tcPr>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91.6</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0.8</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2.1</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3.9</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1.7</w:t>
            </w:r>
          </w:p>
        </w:tc>
      </w:tr>
      <w:tr w:rsidR="00D61FE6" w:rsidRPr="00037D46" w:rsidTr="00037D46">
        <w:trPr>
          <w:trHeight w:val="700"/>
          <w:jc w:val="center"/>
        </w:trPr>
        <w:tc>
          <w:tcPr>
            <w:cnfStyle w:val="001000000000" w:firstRow="0" w:lastRow="0" w:firstColumn="1" w:lastColumn="0" w:oddVBand="0" w:evenVBand="0" w:oddHBand="0" w:evenHBand="0" w:firstRowFirstColumn="0" w:firstRowLastColumn="0" w:lastRowFirstColumn="0" w:lastRowLastColumn="0"/>
            <w:tcW w:w="2410" w:type="dxa"/>
          </w:tcPr>
          <w:p w:rsidR="00D61FE6" w:rsidRPr="00037D46" w:rsidRDefault="00D61FE6" w:rsidP="00B03A1C">
            <w:pPr>
              <w:spacing w:after="0" w:line="240" w:lineRule="auto"/>
              <w:rPr>
                <w:rFonts w:ascii="Times New Roman" w:hAnsi="Times New Roman"/>
                <w:b w:val="0"/>
                <w:sz w:val="20"/>
                <w:szCs w:val="20"/>
              </w:rPr>
            </w:pPr>
            <w:r w:rsidRPr="00037D46">
              <w:rPr>
                <w:rFonts w:ascii="Times New Roman" w:hAnsi="Times New Roman"/>
                <w:b w:val="0"/>
                <w:sz w:val="20"/>
                <w:szCs w:val="20"/>
              </w:rPr>
              <w:t>Jantina</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Lelaki</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Perempuan</w:t>
            </w:r>
          </w:p>
        </w:tc>
        <w:tc>
          <w:tcPr>
            <w:tcW w:w="1604" w:type="dxa"/>
          </w:tcPr>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369</w:t>
            </w: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354</w:t>
            </w:r>
          </w:p>
        </w:tc>
        <w:tc>
          <w:tcPr>
            <w:tcW w:w="566" w:type="dxa"/>
          </w:tcPr>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51.0</w:t>
            </w: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49.0</w:t>
            </w:r>
          </w:p>
        </w:tc>
      </w:tr>
      <w:tr w:rsidR="00D61FE6" w:rsidRPr="00037D46" w:rsidTr="00037D46">
        <w:trPr>
          <w:cnfStyle w:val="000000100000" w:firstRow="0" w:lastRow="0" w:firstColumn="0" w:lastColumn="0" w:oddVBand="0" w:evenVBand="0" w:oddHBand="1" w:evenHBand="0" w:firstRowFirstColumn="0" w:firstRowLastColumn="0" w:lastRowFirstColumn="0" w:lastRowLastColumn="0"/>
          <w:trHeight w:val="838"/>
          <w:jc w:val="center"/>
        </w:trPr>
        <w:tc>
          <w:tcPr>
            <w:cnfStyle w:val="001000000000" w:firstRow="0" w:lastRow="0" w:firstColumn="1" w:lastColumn="0" w:oddVBand="0" w:evenVBand="0" w:oddHBand="0" w:evenHBand="0" w:firstRowFirstColumn="0" w:firstRowLastColumn="0" w:lastRowFirstColumn="0" w:lastRowLastColumn="0"/>
            <w:tcW w:w="2410" w:type="dxa"/>
          </w:tcPr>
          <w:p w:rsidR="00D61FE6" w:rsidRPr="00037D46" w:rsidRDefault="00D61FE6" w:rsidP="00B03A1C">
            <w:pPr>
              <w:spacing w:after="0" w:line="240" w:lineRule="auto"/>
              <w:rPr>
                <w:rFonts w:ascii="Times New Roman" w:hAnsi="Times New Roman"/>
                <w:b w:val="0"/>
                <w:sz w:val="20"/>
                <w:szCs w:val="20"/>
              </w:rPr>
            </w:pPr>
            <w:r w:rsidRPr="00037D46">
              <w:rPr>
                <w:rFonts w:ascii="Times New Roman" w:hAnsi="Times New Roman"/>
                <w:b w:val="0"/>
                <w:sz w:val="20"/>
                <w:szCs w:val="20"/>
              </w:rPr>
              <w:t>Bangsa</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Melayu</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Cina</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India</w:t>
            </w:r>
          </w:p>
        </w:tc>
        <w:tc>
          <w:tcPr>
            <w:tcW w:w="1604" w:type="dxa"/>
          </w:tcPr>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715</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7</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w:t>
            </w:r>
          </w:p>
        </w:tc>
        <w:tc>
          <w:tcPr>
            <w:tcW w:w="566" w:type="dxa"/>
          </w:tcPr>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98.9</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1.0</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0.1</w:t>
            </w:r>
          </w:p>
        </w:tc>
      </w:tr>
      <w:tr w:rsidR="00D61FE6" w:rsidRPr="00037D46" w:rsidTr="00476D3E">
        <w:trPr>
          <w:cantSplit/>
          <w:trHeight w:val="680"/>
          <w:jc w:val="center"/>
        </w:trPr>
        <w:tc>
          <w:tcPr>
            <w:cnfStyle w:val="001000000000" w:firstRow="0" w:lastRow="0" w:firstColumn="1" w:lastColumn="0" w:oddVBand="0" w:evenVBand="0" w:oddHBand="0" w:evenHBand="0" w:firstRowFirstColumn="0" w:firstRowLastColumn="0" w:lastRowFirstColumn="0" w:lastRowLastColumn="0"/>
            <w:tcW w:w="2410" w:type="dxa"/>
          </w:tcPr>
          <w:p w:rsidR="00D61FE6" w:rsidRPr="00037D46" w:rsidRDefault="00D61FE6" w:rsidP="00B03A1C">
            <w:pPr>
              <w:spacing w:after="0" w:line="240" w:lineRule="auto"/>
              <w:rPr>
                <w:rFonts w:ascii="Times New Roman" w:hAnsi="Times New Roman"/>
                <w:b w:val="0"/>
                <w:sz w:val="20"/>
                <w:szCs w:val="20"/>
              </w:rPr>
            </w:pPr>
            <w:r w:rsidRPr="00037D46">
              <w:rPr>
                <w:rFonts w:ascii="Times New Roman" w:hAnsi="Times New Roman"/>
                <w:b w:val="0"/>
                <w:sz w:val="20"/>
                <w:szCs w:val="20"/>
              </w:rPr>
              <w:t>Pekerjaan</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Guru</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Pelajar</w:t>
            </w:r>
          </w:p>
        </w:tc>
        <w:tc>
          <w:tcPr>
            <w:tcW w:w="1604" w:type="dxa"/>
          </w:tcPr>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62</w:t>
            </w: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661</w:t>
            </w:r>
          </w:p>
        </w:tc>
        <w:tc>
          <w:tcPr>
            <w:tcW w:w="566" w:type="dxa"/>
          </w:tcPr>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8.6</w:t>
            </w:r>
          </w:p>
          <w:p w:rsidR="00D61FE6" w:rsidRPr="00037D46" w:rsidRDefault="00D61FE6" w:rsidP="00B03A1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91.4</w:t>
            </w:r>
          </w:p>
        </w:tc>
      </w:tr>
      <w:tr w:rsidR="00D61FE6" w:rsidRPr="00037D46" w:rsidTr="00037D46">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410" w:type="dxa"/>
          </w:tcPr>
          <w:p w:rsidR="00D61FE6" w:rsidRPr="00037D46" w:rsidRDefault="00D61FE6" w:rsidP="00B03A1C">
            <w:pPr>
              <w:spacing w:after="0" w:line="240" w:lineRule="auto"/>
              <w:rPr>
                <w:rFonts w:ascii="Times New Roman" w:hAnsi="Times New Roman"/>
                <w:b w:val="0"/>
                <w:sz w:val="20"/>
                <w:szCs w:val="20"/>
              </w:rPr>
            </w:pPr>
            <w:r w:rsidRPr="00037D46">
              <w:rPr>
                <w:rFonts w:ascii="Times New Roman" w:hAnsi="Times New Roman"/>
                <w:b w:val="0"/>
                <w:sz w:val="20"/>
                <w:szCs w:val="20"/>
              </w:rPr>
              <w:t>Tahap Pendidikan</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UPSR</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PMR</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SPM</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STPM/Diploma</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Ijazah Sarjana</w:t>
            </w:r>
            <w:r w:rsidR="00037D46">
              <w:rPr>
                <w:rFonts w:ascii="Times New Roman" w:hAnsi="Times New Roman"/>
                <w:b w:val="0"/>
                <w:sz w:val="20"/>
                <w:szCs w:val="20"/>
              </w:rPr>
              <w:t xml:space="preserve"> </w:t>
            </w:r>
            <w:r w:rsidRPr="00037D46">
              <w:rPr>
                <w:rFonts w:ascii="Times New Roman" w:hAnsi="Times New Roman"/>
                <w:b w:val="0"/>
                <w:sz w:val="20"/>
                <w:szCs w:val="20"/>
              </w:rPr>
              <w:t>Muda</w:t>
            </w:r>
          </w:p>
          <w:p w:rsidR="00D61FE6" w:rsidRPr="00037D46" w:rsidRDefault="00D61FE6" w:rsidP="00B03A1C">
            <w:pPr>
              <w:spacing w:after="0" w:line="240" w:lineRule="auto"/>
              <w:ind w:left="454"/>
              <w:rPr>
                <w:rFonts w:ascii="Times New Roman" w:hAnsi="Times New Roman"/>
                <w:b w:val="0"/>
                <w:sz w:val="20"/>
                <w:szCs w:val="20"/>
              </w:rPr>
            </w:pPr>
            <w:r w:rsidRPr="00037D46">
              <w:rPr>
                <w:rFonts w:ascii="Times New Roman" w:hAnsi="Times New Roman"/>
                <w:b w:val="0"/>
                <w:sz w:val="20"/>
                <w:szCs w:val="20"/>
              </w:rPr>
              <w:t>Ijazah Sarjana</w:t>
            </w:r>
          </w:p>
        </w:tc>
        <w:tc>
          <w:tcPr>
            <w:tcW w:w="1604" w:type="dxa"/>
          </w:tcPr>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284</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277</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75</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27</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48</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12</w:t>
            </w:r>
          </w:p>
        </w:tc>
        <w:tc>
          <w:tcPr>
            <w:tcW w:w="566" w:type="dxa"/>
          </w:tcPr>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39.3</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38.3</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10.4</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3.7</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6.6</w:t>
            </w:r>
          </w:p>
          <w:p w:rsidR="00D61FE6" w:rsidRPr="00037D46" w:rsidRDefault="00D61FE6" w:rsidP="00B03A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37D46">
              <w:rPr>
                <w:rFonts w:ascii="Times New Roman" w:hAnsi="Times New Roman"/>
                <w:sz w:val="20"/>
                <w:szCs w:val="20"/>
              </w:rPr>
              <w:t>1.7</w:t>
            </w:r>
          </w:p>
        </w:tc>
      </w:tr>
    </w:tbl>
    <w:p w:rsidR="00F31767" w:rsidRDefault="00F31767" w:rsidP="00D61FE6">
      <w:pPr>
        <w:spacing w:after="0" w:line="240" w:lineRule="auto"/>
        <w:jc w:val="both"/>
        <w:rPr>
          <w:rFonts w:ascii="Times New Roman" w:eastAsia="MS Mincho" w:hAnsi="Times New Roman"/>
          <w:i/>
          <w:sz w:val="24"/>
          <w:szCs w:val="24"/>
        </w:rPr>
      </w:pPr>
    </w:p>
    <w:p w:rsidR="00D61FE6" w:rsidRPr="00B45043" w:rsidRDefault="00D61FE6" w:rsidP="00D61FE6">
      <w:pPr>
        <w:spacing w:after="0" w:line="240" w:lineRule="auto"/>
        <w:jc w:val="both"/>
        <w:rPr>
          <w:rFonts w:ascii="Times New Roman" w:eastAsia="MS Mincho" w:hAnsi="Times New Roman"/>
          <w:i/>
          <w:sz w:val="24"/>
          <w:szCs w:val="24"/>
        </w:rPr>
      </w:pPr>
      <w:r w:rsidRPr="00B45043">
        <w:rPr>
          <w:rFonts w:ascii="Times New Roman" w:eastAsia="MS Mincho" w:hAnsi="Times New Roman"/>
          <w:i/>
          <w:sz w:val="24"/>
          <w:szCs w:val="24"/>
        </w:rPr>
        <w:t xml:space="preserve">Reaksi </w:t>
      </w:r>
    </w:p>
    <w:p w:rsidR="00D61FE6" w:rsidRPr="00037D46" w:rsidRDefault="00D61FE6"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Jadual 2 menunjukkan secara keseluruhannya, seramai 723 responden memberikan respon di skala 4 iaitu memuaskan. Nilai skor min tertinggi ialah item “</w:t>
      </w:r>
      <w:r w:rsidRPr="00B45043">
        <w:rPr>
          <w:rFonts w:ascii="Times New Roman" w:eastAsia="MS Mincho" w:hAnsi="Times New Roman"/>
          <w:i/>
          <w:sz w:val="24"/>
          <w:szCs w:val="24"/>
        </w:rPr>
        <w:t>penggunaan media/LCD”</w:t>
      </w:r>
      <w:r w:rsidRPr="00B45043">
        <w:rPr>
          <w:rFonts w:ascii="Times New Roman" w:eastAsia="MS Mincho" w:hAnsi="Times New Roman"/>
          <w:sz w:val="24"/>
          <w:szCs w:val="24"/>
        </w:rPr>
        <w:t xml:space="preserve"> (M=4.20, SD=0.844), iaitu seramai 311 responden (43.0%) menyatakan sangat memuaskan, 274 responden (37.9%) menyatakan memuaskan dan 115 responden (15.9%) menyatakan sederhana, 18 responden (3.2%) menyatakan tidak memuaskan dan 10 responden (1.4%) menyatakan sangat tidak memuaskan. Nilai skor min tertinggi ini dipengaruhi oleh kemudahan layar skrin yang ditambah pada sudut luar bagi memudahkan responden melihat maklumat yang dipancarkan ke layar skrin tersebut. Di samping itu, penggunaan media yang </w:t>
      </w:r>
      <w:r w:rsidRPr="00B45043">
        <w:rPr>
          <w:rFonts w:ascii="Times New Roman" w:eastAsia="MS Mincho" w:hAnsi="Times New Roman"/>
          <w:sz w:val="24"/>
          <w:szCs w:val="24"/>
        </w:rPr>
        <w:lastRenderedPageBreak/>
        <w:t>menarik turut mempengaruhi nilai skor min bagi item ini tinggi. Nilai skor min terendah ialah item “</w:t>
      </w:r>
      <w:r w:rsidRPr="00B45043">
        <w:rPr>
          <w:rFonts w:ascii="Times New Roman" w:eastAsia="MS Mincho" w:hAnsi="Times New Roman"/>
          <w:i/>
          <w:sz w:val="24"/>
          <w:szCs w:val="24"/>
        </w:rPr>
        <w:t>tempat program (dewan/bilik kuliah/padang)”</w:t>
      </w:r>
      <w:r w:rsidRPr="00B45043">
        <w:rPr>
          <w:rFonts w:ascii="Times New Roman" w:eastAsia="MS Mincho" w:hAnsi="Times New Roman"/>
          <w:sz w:val="24"/>
          <w:szCs w:val="24"/>
        </w:rPr>
        <w:t xml:space="preserve"> (M=4.04, SD=0.861). Nilai skor min terendah ini dipengaruhi oleh faktor cuaca dan ketidakselesaan responden semasa menduduki tempat program. Misalnya, keadaan tempat berkumpul di padang amat sesak semasa program latih amal dijalankan pada hari kedua. Khemah yang disediakan amat terhad dan tidak mampu untuk menampung sejumlah peserta program yang dianggarkan hampir 2000 hingga 3000 orang. Keadaan cuaca yang panas dan berasak-asak untuk berteduh dibawah khemah menimbulkan rasa ketidakselesaan dalam kalangan mereka. Hal ini secara tidak langsung turut mempengaruhi faktor nilai skor min untuk item “</w:t>
      </w:r>
      <w:r w:rsidRPr="00B45043">
        <w:rPr>
          <w:rFonts w:ascii="Times New Roman" w:eastAsia="MS Mincho" w:hAnsi="Times New Roman"/>
          <w:i/>
          <w:sz w:val="24"/>
          <w:szCs w:val="24"/>
        </w:rPr>
        <w:t>tempat program”</w:t>
      </w:r>
      <w:r w:rsidRPr="00B45043">
        <w:rPr>
          <w:rFonts w:ascii="Times New Roman" w:eastAsia="MS Mincho" w:hAnsi="Times New Roman"/>
          <w:sz w:val="24"/>
          <w:szCs w:val="24"/>
        </w:rPr>
        <w:t xml:space="preserve"> menjadi rendah. </w:t>
      </w:r>
    </w:p>
    <w:p w:rsidR="00D61FE6" w:rsidRPr="00476D3E" w:rsidRDefault="00D61FE6" w:rsidP="00D61FE6">
      <w:pPr>
        <w:spacing w:after="0" w:line="240" w:lineRule="auto"/>
        <w:jc w:val="center"/>
        <w:rPr>
          <w:rFonts w:ascii="Times New Roman" w:eastAsia="MS Mincho" w:hAnsi="Times New Roman"/>
          <w:b/>
          <w:sz w:val="24"/>
          <w:szCs w:val="24"/>
        </w:rPr>
      </w:pPr>
    </w:p>
    <w:p w:rsidR="00D61FE6" w:rsidRPr="00B45043" w:rsidRDefault="00D61FE6" w:rsidP="00D61FE6">
      <w:pPr>
        <w:spacing w:after="0" w:line="240" w:lineRule="auto"/>
        <w:jc w:val="center"/>
        <w:rPr>
          <w:rFonts w:ascii="Times New Roman" w:eastAsia="MS Mincho" w:hAnsi="Times New Roman"/>
          <w:sz w:val="20"/>
          <w:szCs w:val="20"/>
        </w:rPr>
      </w:pPr>
      <w:r w:rsidRPr="00B45043">
        <w:rPr>
          <w:rFonts w:ascii="Times New Roman" w:eastAsia="MS Mincho" w:hAnsi="Times New Roman"/>
          <w:b/>
          <w:sz w:val="20"/>
          <w:szCs w:val="20"/>
        </w:rPr>
        <w:t>Jadual 2</w:t>
      </w:r>
      <w:r w:rsidR="00476D3E">
        <w:rPr>
          <w:rFonts w:ascii="Times New Roman" w:eastAsia="MS Mincho" w:hAnsi="Times New Roman"/>
          <w:b/>
          <w:sz w:val="20"/>
          <w:szCs w:val="20"/>
        </w:rPr>
        <w:t>.</w:t>
      </w:r>
      <w:r w:rsidRPr="00B45043">
        <w:rPr>
          <w:rFonts w:ascii="Times New Roman" w:eastAsia="MS Mincho" w:hAnsi="Times New Roman"/>
          <w:sz w:val="20"/>
          <w:szCs w:val="20"/>
        </w:rPr>
        <w:t xml:space="preserve"> Nilai skor min bagi pemboleh ubah reaksi (n=723)</w:t>
      </w:r>
    </w:p>
    <w:p w:rsidR="00D61FE6" w:rsidRPr="00476D3E" w:rsidRDefault="00D61FE6" w:rsidP="00D61FE6">
      <w:pPr>
        <w:spacing w:after="0" w:line="240" w:lineRule="auto"/>
        <w:jc w:val="center"/>
        <w:rPr>
          <w:rFonts w:ascii="Times New Roman" w:eastAsia="MS Mincho" w:hAnsi="Times New Roman"/>
          <w:sz w:val="20"/>
          <w:szCs w:val="20"/>
        </w:rPr>
      </w:pPr>
    </w:p>
    <w:tbl>
      <w:tblPr>
        <w:tblStyle w:val="PlainTable21"/>
        <w:tblW w:w="9356" w:type="dxa"/>
        <w:jc w:val="center"/>
        <w:tblLayout w:type="fixed"/>
        <w:tblLook w:val="04A0" w:firstRow="1" w:lastRow="0" w:firstColumn="1" w:lastColumn="0" w:noHBand="0" w:noVBand="1"/>
      </w:tblPr>
      <w:tblGrid>
        <w:gridCol w:w="1560"/>
        <w:gridCol w:w="1275"/>
        <w:gridCol w:w="1276"/>
        <w:gridCol w:w="1134"/>
        <w:gridCol w:w="1276"/>
        <w:gridCol w:w="1276"/>
        <w:gridCol w:w="708"/>
        <w:gridCol w:w="851"/>
      </w:tblGrid>
      <w:tr w:rsidR="00D61FE6" w:rsidRPr="00B45043" w:rsidTr="00F31767">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BDD6EE" w:themeFill="accent1" w:themeFillTint="66"/>
          </w:tcPr>
          <w:p w:rsidR="00D61FE6" w:rsidRPr="00B45043" w:rsidRDefault="00D61FE6" w:rsidP="00107E6C">
            <w:pPr>
              <w:spacing w:after="0" w:line="240" w:lineRule="auto"/>
              <w:jc w:val="center"/>
              <w:rPr>
                <w:rFonts w:ascii="Times New Roman" w:hAnsi="Times New Roman"/>
                <w:b w:val="0"/>
                <w:sz w:val="20"/>
                <w:szCs w:val="20"/>
              </w:rPr>
            </w:pPr>
            <w:r w:rsidRPr="00B45043">
              <w:rPr>
                <w:rFonts w:ascii="Times New Roman" w:hAnsi="Times New Roman"/>
                <w:b w:val="0"/>
                <w:sz w:val="20"/>
                <w:szCs w:val="20"/>
              </w:rPr>
              <w:t>Item</w:t>
            </w:r>
          </w:p>
        </w:tc>
        <w:tc>
          <w:tcPr>
            <w:tcW w:w="1275"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Sangat tidak memuaskan</w:t>
            </w:r>
          </w:p>
        </w:tc>
        <w:tc>
          <w:tcPr>
            <w:tcW w:w="1276"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Tidak memuaskan</w:t>
            </w:r>
          </w:p>
        </w:tc>
        <w:tc>
          <w:tcPr>
            <w:tcW w:w="1134"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 xml:space="preserve">Sederhana </w:t>
            </w:r>
          </w:p>
        </w:tc>
        <w:tc>
          <w:tcPr>
            <w:tcW w:w="1276"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Memuaskan</w:t>
            </w:r>
          </w:p>
        </w:tc>
        <w:tc>
          <w:tcPr>
            <w:tcW w:w="1276"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Sangat memuaskan</w:t>
            </w:r>
          </w:p>
        </w:tc>
        <w:tc>
          <w:tcPr>
            <w:tcW w:w="708"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Min</w:t>
            </w:r>
          </w:p>
        </w:tc>
        <w:tc>
          <w:tcPr>
            <w:tcW w:w="851" w:type="dxa"/>
            <w:shd w:val="clear" w:color="auto" w:fill="BDD6EE" w:themeFill="accent1" w:themeFillTint="66"/>
          </w:tcPr>
          <w:p w:rsidR="00D61FE6" w:rsidRPr="00B45043"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B45043">
              <w:rPr>
                <w:rFonts w:ascii="Times New Roman" w:hAnsi="Times New Roman"/>
                <w:b w:val="0"/>
                <w:sz w:val="20"/>
                <w:szCs w:val="20"/>
              </w:rPr>
              <w:t>Sisihan Piawai</w:t>
            </w:r>
          </w:p>
        </w:tc>
      </w:tr>
      <w:tr w:rsidR="00D61FE6" w:rsidRPr="00B45043" w:rsidTr="00A37349">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1560" w:type="dxa"/>
          </w:tcPr>
          <w:p w:rsidR="00D61FE6" w:rsidRPr="00B45043" w:rsidRDefault="00D61FE6" w:rsidP="00107E6C">
            <w:pPr>
              <w:spacing w:after="0" w:line="240" w:lineRule="auto"/>
              <w:rPr>
                <w:rFonts w:ascii="Times New Roman" w:hAnsi="Times New Roman"/>
                <w:b w:val="0"/>
                <w:sz w:val="20"/>
                <w:szCs w:val="20"/>
              </w:rPr>
            </w:pPr>
            <w:r w:rsidRPr="00B45043">
              <w:rPr>
                <w:rFonts w:ascii="Times New Roman" w:hAnsi="Times New Roman"/>
                <w:b w:val="0"/>
                <w:sz w:val="20"/>
                <w:szCs w:val="20"/>
              </w:rPr>
              <w:t>Teknik penyampaian ceramah / taklimat</w:t>
            </w:r>
          </w:p>
        </w:tc>
        <w:tc>
          <w:tcPr>
            <w:tcW w:w="1275"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(0.1%)</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11</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(1.5%)</w:t>
            </w:r>
          </w:p>
        </w:tc>
        <w:tc>
          <w:tcPr>
            <w:tcW w:w="1134"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116</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(16.0%)</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403</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(55.7%)</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192</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(26.6%)</w:t>
            </w:r>
          </w:p>
        </w:tc>
        <w:tc>
          <w:tcPr>
            <w:tcW w:w="708"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4.07</w:t>
            </w:r>
          </w:p>
        </w:tc>
        <w:tc>
          <w:tcPr>
            <w:tcW w:w="851"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0.704</w:t>
            </w:r>
          </w:p>
        </w:tc>
      </w:tr>
      <w:tr w:rsidR="00D61FE6" w:rsidRPr="00B45043" w:rsidTr="00A37349">
        <w:trPr>
          <w:trHeight w:val="479"/>
          <w:jc w:val="center"/>
        </w:trPr>
        <w:tc>
          <w:tcPr>
            <w:cnfStyle w:val="001000000000" w:firstRow="0" w:lastRow="0" w:firstColumn="1" w:lastColumn="0" w:oddVBand="0" w:evenVBand="0" w:oddHBand="0" w:evenHBand="0" w:firstRowFirstColumn="0" w:firstRowLastColumn="0" w:lastRowFirstColumn="0" w:lastRowLastColumn="0"/>
            <w:tcW w:w="1560" w:type="dxa"/>
          </w:tcPr>
          <w:p w:rsidR="00D61FE6" w:rsidRPr="00B45043" w:rsidRDefault="00D61FE6" w:rsidP="00107E6C">
            <w:pPr>
              <w:spacing w:after="0" w:line="240" w:lineRule="auto"/>
              <w:rPr>
                <w:rFonts w:ascii="Times New Roman" w:hAnsi="Times New Roman"/>
                <w:b w:val="0"/>
                <w:sz w:val="20"/>
                <w:szCs w:val="20"/>
              </w:rPr>
            </w:pPr>
            <w:r w:rsidRPr="00B45043">
              <w:rPr>
                <w:rFonts w:ascii="Times New Roman" w:hAnsi="Times New Roman"/>
                <w:b w:val="0"/>
                <w:sz w:val="20"/>
                <w:szCs w:val="20"/>
              </w:rPr>
              <w:t>Kesesuaian masa program</w:t>
            </w:r>
          </w:p>
        </w:tc>
        <w:tc>
          <w:tcPr>
            <w:tcW w:w="1275"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(0.3%)</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18</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(2.5%)</w:t>
            </w:r>
          </w:p>
        </w:tc>
        <w:tc>
          <w:tcPr>
            <w:tcW w:w="1134"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148</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(20.5%)</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312</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(43.2%)</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243</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(33.6%)</w:t>
            </w:r>
          </w:p>
        </w:tc>
        <w:tc>
          <w:tcPr>
            <w:tcW w:w="708"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4.07</w:t>
            </w:r>
          </w:p>
        </w:tc>
        <w:tc>
          <w:tcPr>
            <w:tcW w:w="851"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0.813</w:t>
            </w:r>
          </w:p>
        </w:tc>
      </w:tr>
      <w:tr w:rsidR="00D61FE6" w:rsidRPr="00B45043" w:rsidTr="00A37349">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560" w:type="dxa"/>
          </w:tcPr>
          <w:p w:rsidR="00D61FE6" w:rsidRPr="00B45043" w:rsidRDefault="00D61FE6" w:rsidP="00107E6C">
            <w:pPr>
              <w:spacing w:after="0" w:line="240" w:lineRule="auto"/>
              <w:rPr>
                <w:rFonts w:ascii="Times New Roman" w:hAnsi="Times New Roman"/>
                <w:b w:val="0"/>
                <w:sz w:val="20"/>
                <w:szCs w:val="20"/>
              </w:rPr>
            </w:pPr>
            <w:r w:rsidRPr="00B45043">
              <w:rPr>
                <w:rFonts w:ascii="Times New Roman" w:hAnsi="Times New Roman"/>
                <w:b w:val="0"/>
                <w:sz w:val="20"/>
                <w:szCs w:val="20"/>
              </w:rPr>
              <w:t>Tempat program (dewan/bilik kuliah/padang)</w:t>
            </w:r>
          </w:p>
        </w:tc>
        <w:tc>
          <w:tcPr>
            <w:tcW w:w="1275"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10</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(1.4%)</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23</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(3.2%)</w:t>
            </w:r>
          </w:p>
        </w:tc>
        <w:tc>
          <w:tcPr>
            <w:tcW w:w="1134"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125</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(17.3%)</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336</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(46.5)</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229</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(31.7)</w:t>
            </w:r>
          </w:p>
        </w:tc>
        <w:tc>
          <w:tcPr>
            <w:tcW w:w="708"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4.04</w:t>
            </w:r>
          </w:p>
        </w:tc>
        <w:tc>
          <w:tcPr>
            <w:tcW w:w="851"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0.861</w:t>
            </w:r>
          </w:p>
        </w:tc>
      </w:tr>
      <w:tr w:rsidR="00D61FE6" w:rsidRPr="00B45043" w:rsidTr="00A37349">
        <w:trPr>
          <w:trHeight w:val="479"/>
          <w:jc w:val="center"/>
        </w:trPr>
        <w:tc>
          <w:tcPr>
            <w:cnfStyle w:val="001000000000" w:firstRow="0" w:lastRow="0" w:firstColumn="1" w:lastColumn="0" w:oddVBand="0" w:evenVBand="0" w:oddHBand="0" w:evenHBand="0" w:firstRowFirstColumn="0" w:firstRowLastColumn="0" w:lastRowFirstColumn="0" w:lastRowLastColumn="0"/>
            <w:tcW w:w="1560" w:type="dxa"/>
          </w:tcPr>
          <w:p w:rsidR="00D61FE6" w:rsidRPr="00B45043" w:rsidRDefault="00D61FE6" w:rsidP="00107E6C">
            <w:pPr>
              <w:spacing w:after="0" w:line="240" w:lineRule="auto"/>
              <w:rPr>
                <w:rFonts w:ascii="Times New Roman" w:hAnsi="Times New Roman"/>
                <w:b w:val="0"/>
                <w:sz w:val="20"/>
                <w:szCs w:val="20"/>
              </w:rPr>
            </w:pPr>
            <w:r w:rsidRPr="00B45043">
              <w:rPr>
                <w:rFonts w:ascii="Times New Roman" w:hAnsi="Times New Roman"/>
                <w:b w:val="0"/>
                <w:sz w:val="20"/>
                <w:szCs w:val="20"/>
              </w:rPr>
              <w:t>Penggunaan media/LCD</w:t>
            </w:r>
          </w:p>
        </w:tc>
        <w:tc>
          <w:tcPr>
            <w:tcW w:w="1275"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5</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(0.7%)</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18</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(2.5%)</w:t>
            </w:r>
          </w:p>
        </w:tc>
        <w:tc>
          <w:tcPr>
            <w:tcW w:w="1134"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115</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(15.9%)</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274</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(37.9%)</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311</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(43.0%)</w:t>
            </w:r>
          </w:p>
        </w:tc>
        <w:tc>
          <w:tcPr>
            <w:tcW w:w="708"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4.20</w:t>
            </w:r>
          </w:p>
        </w:tc>
        <w:tc>
          <w:tcPr>
            <w:tcW w:w="851"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0.844</w:t>
            </w:r>
          </w:p>
        </w:tc>
      </w:tr>
      <w:tr w:rsidR="00D61FE6" w:rsidRPr="00B45043" w:rsidTr="00A37349">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560" w:type="dxa"/>
          </w:tcPr>
          <w:p w:rsidR="00D61FE6" w:rsidRPr="00B45043" w:rsidRDefault="00D61FE6" w:rsidP="00107E6C">
            <w:pPr>
              <w:spacing w:after="0" w:line="240" w:lineRule="auto"/>
              <w:rPr>
                <w:rFonts w:ascii="Times New Roman" w:hAnsi="Times New Roman"/>
                <w:b w:val="0"/>
                <w:sz w:val="20"/>
                <w:szCs w:val="20"/>
              </w:rPr>
            </w:pPr>
            <w:r w:rsidRPr="00B45043">
              <w:rPr>
                <w:rFonts w:ascii="Times New Roman" w:hAnsi="Times New Roman"/>
                <w:b w:val="0"/>
                <w:sz w:val="20"/>
                <w:szCs w:val="20"/>
              </w:rPr>
              <w:t>Kandungan program</w:t>
            </w:r>
          </w:p>
        </w:tc>
        <w:tc>
          <w:tcPr>
            <w:tcW w:w="1275"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(0.4%)</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8</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(1.1%)</w:t>
            </w:r>
          </w:p>
        </w:tc>
        <w:tc>
          <w:tcPr>
            <w:tcW w:w="1134"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111</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(15.4%)</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365</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(50.5%)</w:t>
            </w:r>
          </w:p>
        </w:tc>
        <w:tc>
          <w:tcPr>
            <w:tcW w:w="1276"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236</w:t>
            </w:r>
          </w:p>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(32.6%)</w:t>
            </w:r>
          </w:p>
        </w:tc>
        <w:tc>
          <w:tcPr>
            <w:tcW w:w="708"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4.14</w:t>
            </w:r>
          </w:p>
        </w:tc>
        <w:tc>
          <w:tcPr>
            <w:tcW w:w="851" w:type="dxa"/>
          </w:tcPr>
          <w:p w:rsidR="00D61FE6" w:rsidRPr="00B45043"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0.737</w:t>
            </w:r>
          </w:p>
        </w:tc>
      </w:tr>
      <w:tr w:rsidR="00D61FE6" w:rsidRPr="00B45043" w:rsidTr="00A37349">
        <w:trPr>
          <w:trHeight w:val="391"/>
          <w:jc w:val="center"/>
        </w:trPr>
        <w:tc>
          <w:tcPr>
            <w:cnfStyle w:val="001000000000" w:firstRow="0" w:lastRow="0" w:firstColumn="1" w:lastColumn="0" w:oddVBand="0" w:evenVBand="0" w:oddHBand="0" w:evenHBand="0" w:firstRowFirstColumn="0" w:firstRowLastColumn="0" w:lastRowFirstColumn="0" w:lastRowLastColumn="0"/>
            <w:tcW w:w="1560" w:type="dxa"/>
          </w:tcPr>
          <w:p w:rsidR="00D61FE6" w:rsidRPr="00B45043" w:rsidRDefault="00D61FE6" w:rsidP="00107E6C">
            <w:pPr>
              <w:spacing w:after="0" w:line="240" w:lineRule="auto"/>
              <w:rPr>
                <w:rFonts w:ascii="Times New Roman" w:hAnsi="Times New Roman"/>
                <w:b w:val="0"/>
                <w:sz w:val="20"/>
                <w:szCs w:val="20"/>
              </w:rPr>
            </w:pPr>
            <w:r w:rsidRPr="00B45043">
              <w:rPr>
                <w:rFonts w:ascii="Times New Roman" w:hAnsi="Times New Roman"/>
                <w:b w:val="0"/>
                <w:sz w:val="20"/>
                <w:szCs w:val="20"/>
              </w:rPr>
              <w:t>Urusetia/pihak pengurusan program</w:t>
            </w:r>
          </w:p>
        </w:tc>
        <w:tc>
          <w:tcPr>
            <w:tcW w:w="1275"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8</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(1.1%)</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14</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(1.9%)</w:t>
            </w:r>
          </w:p>
        </w:tc>
        <w:tc>
          <w:tcPr>
            <w:tcW w:w="1134"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121</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(16.7%)</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308</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(42.6%)</w:t>
            </w:r>
          </w:p>
        </w:tc>
        <w:tc>
          <w:tcPr>
            <w:tcW w:w="1276"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272</w:t>
            </w:r>
          </w:p>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(37.6%)</w:t>
            </w:r>
          </w:p>
        </w:tc>
        <w:tc>
          <w:tcPr>
            <w:tcW w:w="708"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4.14</w:t>
            </w:r>
          </w:p>
        </w:tc>
        <w:tc>
          <w:tcPr>
            <w:tcW w:w="851" w:type="dxa"/>
          </w:tcPr>
          <w:p w:rsidR="00D61FE6" w:rsidRPr="00B45043"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45043">
              <w:rPr>
                <w:rFonts w:ascii="Times New Roman" w:hAnsi="Times New Roman"/>
                <w:sz w:val="20"/>
                <w:szCs w:val="20"/>
              </w:rPr>
              <w:t>0.838</w:t>
            </w:r>
          </w:p>
        </w:tc>
      </w:tr>
    </w:tbl>
    <w:p w:rsidR="00D61FE6" w:rsidRPr="00B45043" w:rsidRDefault="00D61FE6"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i/>
          <w:sz w:val="24"/>
          <w:szCs w:val="24"/>
        </w:rPr>
      </w:pPr>
      <w:r w:rsidRPr="00B45043">
        <w:rPr>
          <w:rFonts w:ascii="Times New Roman" w:eastAsia="MS Mincho" w:hAnsi="Times New Roman"/>
          <w:i/>
          <w:sz w:val="24"/>
          <w:szCs w:val="24"/>
        </w:rPr>
        <w:t xml:space="preserve">Pembelajaran </w:t>
      </w:r>
    </w:p>
    <w:p w:rsidR="00D61FE6" w:rsidRPr="00476D3E" w:rsidRDefault="00D61FE6"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Jadual 3 menunjukkan nilai skor min bagi setiap item pemboleh ubah pembelajaran yang melibatkan item pengetahuan, kemahiran dan sikap. Hasil kajian mendapati nilai skor min tertinggi bagi item pengetahuan (M=4.65, SD=0.582) ialah “</w:t>
      </w:r>
      <w:r w:rsidRPr="00B45043">
        <w:rPr>
          <w:rFonts w:ascii="Times New Roman" w:eastAsia="MS Mincho" w:hAnsi="Times New Roman"/>
          <w:i/>
          <w:sz w:val="24"/>
          <w:szCs w:val="24"/>
        </w:rPr>
        <w:t xml:space="preserve">program ini meningkatkan pengetahuan untuk bertindak sekiranya berlaku bencana”. </w:t>
      </w:r>
      <w:r w:rsidRPr="00B45043">
        <w:rPr>
          <w:rFonts w:ascii="Times New Roman" w:eastAsia="MS Mincho" w:hAnsi="Times New Roman"/>
          <w:sz w:val="24"/>
          <w:szCs w:val="24"/>
        </w:rPr>
        <w:t>Seramai</w:t>
      </w:r>
      <w:r w:rsidRPr="00B45043">
        <w:rPr>
          <w:rFonts w:ascii="Times New Roman" w:eastAsia="MS Mincho" w:hAnsi="Times New Roman"/>
          <w:i/>
          <w:sz w:val="24"/>
          <w:szCs w:val="24"/>
        </w:rPr>
        <w:t xml:space="preserve"> </w:t>
      </w:r>
      <w:r w:rsidRPr="00B45043">
        <w:rPr>
          <w:rFonts w:ascii="Times New Roman" w:eastAsia="MS Mincho" w:hAnsi="Times New Roman"/>
          <w:sz w:val="24"/>
          <w:szCs w:val="24"/>
        </w:rPr>
        <w:t xml:space="preserve">505 responden (69.8%) menyatakan sangat setuju, 185 responden (25.6%) menyatakan setuju, 31 responden (4.3%) menyatakan kurang setuju dan seorang responden (0.1%) masing-masing menyatakan tidak setuju dan sangat tidak setuju dengan item ini. Didapati bahawa faktor yang menyebabkan nilai min skor tertinggi bagi item ini adalah menerusi aktiviti </w:t>
      </w:r>
      <w:r w:rsidRPr="00B45043">
        <w:rPr>
          <w:rFonts w:ascii="Times New Roman" w:eastAsia="MS Mincho" w:hAnsi="Times New Roman"/>
          <w:i/>
          <w:sz w:val="24"/>
          <w:szCs w:val="24"/>
        </w:rPr>
        <w:t>Disaster Ilustration Games</w:t>
      </w:r>
      <w:r w:rsidRPr="00B45043">
        <w:rPr>
          <w:rFonts w:ascii="Times New Roman" w:eastAsia="MS Mincho" w:hAnsi="Times New Roman"/>
          <w:sz w:val="24"/>
          <w:szCs w:val="24"/>
        </w:rPr>
        <w:t xml:space="preserve"> (DIG) yang mana responden dilihat cekap dalam membuat keputusan untuk melakar peta laluan kecemasan dan mengenalpasti infrastruktur di sepanjang laluan kecemasan tersebut serta mencadangkan penambahbaikan laluan supaya lebih efisyen. Ini menunjukkan mereka sangat peka dengan keadaan sekeliling di kawasan penempatan mereka. </w:t>
      </w:r>
    </w:p>
    <w:p w:rsidR="00D61FE6" w:rsidRPr="00B45043" w:rsidRDefault="00D61FE6" w:rsidP="00DE1C10">
      <w:pPr>
        <w:spacing w:after="0" w:line="240" w:lineRule="auto"/>
        <w:ind w:firstLine="720"/>
        <w:jc w:val="both"/>
        <w:rPr>
          <w:rFonts w:ascii="Times New Roman" w:eastAsia="MS Mincho" w:hAnsi="Times New Roman"/>
          <w:sz w:val="24"/>
          <w:szCs w:val="24"/>
        </w:rPr>
      </w:pPr>
    </w:p>
    <w:p w:rsidR="00D61FE6" w:rsidRPr="00476D3E" w:rsidRDefault="00D61FE6" w:rsidP="00D61FE6">
      <w:pPr>
        <w:spacing w:after="0" w:line="240" w:lineRule="auto"/>
        <w:jc w:val="center"/>
        <w:rPr>
          <w:rFonts w:ascii="Times New Roman" w:eastAsia="MS Mincho" w:hAnsi="Times New Roman"/>
          <w:b/>
          <w:sz w:val="20"/>
          <w:szCs w:val="20"/>
        </w:rPr>
      </w:pPr>
      <w:r w:rsidRPr="00476D3E">
        <w:rPr>
          <w:rFonts w:ascii="Times New Roman" w:eastAsia="MS Mincho" w:hAnsi="Times New Roman"/>
          <w:b/>
          <w:sz w:val="20"/>
          <w:szCs w:val="20"/>
        </w:rPr>
        <w:t>Jadual 3</w:t>
      </w:r>
      <w:r w:rsidR="00F90700">
        <w:rPr>
          <w:rFonts w:ascii="Times New Roman" w:eastAsia="MS Mincho" w:hAnsi="Times New Roman"/>
          <w:b/>
          <w:sz w:val="20"/>
          <w:szCs w:val="20"/>
        </w:rPr>
        <w:t>.</w:t>
      </w:r>
      <w:r w:rsidRPr="00476D3E">
        <w:rPr>
          <w:rFonts w:ascii="Times New Roman" w:eastAsia="MS Mincho" w:hAnsi="Times New Roman"/>
          <w:b/>
          <w:sz w:val="20"/>
          <w:szCs w:val="20"/>
        </w:rPr>
        <w:t xml:space="preserve"> </w:t>
      </w:r>
      <w:r w:rsidRPr="00476D3E">
        <w:rPr>
          <w:rFonts w:ascii="Times New Roman" w:eastAsia="MS Mincho" w:hAnsi="Times New Roman"/>
          <w:sz w:val="20"/>
          <w:szCs w:val="20"/>
        </w:rPr>
        <w:t>Nilai skor min bagi pemboleh ubah pembelajaran (n=723)</w:t>
      </w:r>
    </w:p>
    <w:p w:rsidR="00D61FE6" w:rsidRPr="00476D3E" w:rsidRDefault="00D61FE6" w:rsidP="00D61FE6">
      <w:pPr>
        <w:spacing w:after="0" w:line="240" w:lineRule="auto"/>
        <w:jc w:val="center"/>
        <w:rPr>
          <w:rFonts w:ascii="Times New Roman" w:eastAsia="MS Mincho" w:hAnsi="Times New Roman"/>
          <w:sz w:val="20"/>
          <w:szCs w:val="20"/>
        </w:rPr>
      </w:pPr>
    </w:p>
    <w:tbl>
      <w:tblPr>
        <w:tblStyle w:val="PlainTable21"/>
        <w:tblW w:w="9356" w:type="dxa"/>
        <w:tblLook w:val="04A0" w:firstRow="1" w:lastRow="0" w:firstColumn="1" w:lastColumn="0" w:noHBand="0" w:noVBand="1"/>
      </w:tblPr>
      <w:tblGrid>
        <w:gridCol w:w="3665"/>
        <w:gridCol w:w="806"/>
        <w:gridCol w:w="766"/>
        <w:gridCol w:w="883"/>
        <w:gridCol w:w="866"/>
        <w:gridCol w:w="919"/>
        <w:gridCol w:w="612"/>
        <w:gridCol w:w="839"/>
      </w:tblGrid>
      <w:tr w:rsidR="00D61FE6" w:rsidRPr="00476D3E" w:rsidTr="00F31767">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3665" w:type="dxa"/>
            <w:shd w:val="clear" w:color="auto" w:fill="BDD6EE" w:themeFill="accent1" w:themeFillTint="66"/>
          </w:tcPr>
          <w:p w:rsidR="00D61FE6" w:rsidRPr="00476D3E" w:rsidRDefault="00D61FE6" w:rsidP="00107E6C">
            <w:pPr>
              <w:spacing w:after="0" w:line="240" w:lineRule="auto"/>
              <w:rPr>
                <w:rFonts w:ascii="Times New Roman" w:hAnsi="Times New Roman"/>
                <w:sz w:val="20"/>
                <w:szCs w:val="20"/>
              </w:rPr>
            </w:pPr>
            <w:r w:rsidRPr="00476D3E">
              <w:rPr>
                <w:rFonts w:ascii="Times New Roman" w:hAnsi="Times New Roman"/>
                <w:sz w:val="20"/>
                <w:szCs w:val="20"/>
              </w:rPr>
              <w:t>Item</w:t>
            </w:r>
          </w:p>
        </w:tc>
        <w:tc>
          <w:tcPr>
            <w:tcW w:w="806"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Sangat tidak setuju</w:t>
            </w:r>
          </w:p>
        </w:tc>
        <w:tc>
          <w:tcPr>
            <w:tcW w:w="766"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Tidak setuju</w:t>
            </w:r>
          </w:p>
        </w:tc>
        <w:tc>
          <w:tcPr>
            <w:tcW w:w="883"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 xml:space="preserve">Kurang setuju </w:t>
            </w:r>
          </w:p>
        </w:tc>
        <w:tc>
          <w:tcPr>
            <w:tcW w:w="866"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Setuju</w:t>
            </w:r>
          </w:p>
        </w:tc>
        <w:tc>
          <w:tcPr>
            <w:tcW w:w="919"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Sangat setuju</w:t>
            </w:r>
          </w:p>
        </w:tc>
        <w:tc>
          <w:tcPr>
            <w:tcW w:w="612"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Min</w:t>
            </w:r>
          </w:p>
        </w:tc>
        <w:tc>
          <w:tcPr>
            <w:tcW w:w="839" w:type="dxa"/>
            <w:shd w:val="clear" w:color="auto" w:fill="BDD6EE" w:themeFill="accent1" w:themeFillTint="66"/>
          </w:tcPr>
          <w:p w:rsidR="00D61FE6" w:rsidRPr="00476D3E" w:rsidRDefault="00D61FE6" w:rsidP="00107E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Sisihan Piawai</w:t>
            </w:r>
          </w:p>
        </w:tc>
      </w:tr>
      <w:tr w:rsidR="00D61FE6" w:rsidRPr="00476D3E" w:rsidTr="00476D3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665" w:type="dxa"/>
          </w:tcPr>
          <w:p w:rsidR="00D61FE6" w:rsidRPr="00476D3E" w:rsidRDefault="00D61FE6" w:rsidP="00107E6C">
            <w:pPr>
              <w:spacing w:after="0" w:line="240" w:lineRule="auto"/>
              <w:rPr>
                <w:rFonts w:ascii="Times New Roman" w:hAnsi="Times New Roman"/>
                <w:b w:val="0"/>
                <w:sz w:val="20"/>
                <w:szCs w:val="20"/>
              </w:rPr>
            </w:pPr>
            <w:r w:rsidRPr="00476D3E">
              <w:rPr>
                <w:rFonts w:ascii="Times New Roman" w:hAnsi="Times New Roman"/>
                <w:b w:val="0"/>
                <w:sz w:val="20"/>
                <w:szCs w:val="20"/>
              </w:rPr>
              <w:t xml:space="preserve">Pengetahuan </w:t>
            </w:r>
          </w:p>
          <w:p w:rsidR="00D61FE6" w:rsidRPr="00476D3E" w:rsidRDefault="00D61FE6" w:rsidP="00107E6C">
            <w:pPr>
              <w:numPr>
                <w:ilvl w:val="0"/>
                <w:numId w:val="37"/>
              </w:numPr>
              <w:spacing w:after="0" w:line="240" w:lineRule="auto"/>
              <w:ind w:left="880" w:hanging="562"/>
              <w:rPr>
                <w:rFonts w:ascii="Times New Roman" w:hAnsi="Times New Roman"/>
                <w:b w:val="0"/>
                <w:sz w:val="20"/>
                <w:szCs w:val="20"/>
              </w:rPr>
            </w:pPr>
            <w:r w:rsidRPr="00476D3E">
              <w:rPr>
                <w:rFonts w:ascii="Times New Roman" w:hAnsi="Times New Roman"/>
                <w:b w:val="0"/>
                <w:sz w:val="20"/>
                <w:szCs w:val="20"/>
              </w:rPr>
              <w:t xml:space="preserve">Program ini memberi pengetahuan baru </w:t>
            </w:r>
          </w:p>
          <w:p w:rsidR="00D61FE6" w:rsidRPr="00476D3E" w:rsidRDefault="00D61FE6" w:rsidP="00107E6C">
            <w:pPr>
              <w:numPr>
                <w:ilvl w:val="0"/>
                <w:numId w:val="37"/>
              </w:numPr>
              <w:spacing w:after="0" w:line="240" w:lineRule="auto"/>
              <w:ind w:left="885" w:hanging="567"/>
              <w:rPr>
                <w:rFonts w:ascii="Times New Roman" w:hAnsi="Times New Roman"/>
                <w:b w:val="0"/>
                <w:sz w:val="20"/>
                <w:szCs w:val="20"/>
              </w:rPr>
            </w:pPr>
            <w:r w:rsidRPr="00476D3E">
              <w:rPr>
                <w:rFonts w:ascii="Times New Roman" w:hAnsi="Times New Roman"/>
                <w:b w:val="0"/>
                <w:sz w:val="20"/>
                <w:szCs w:val="20"/>
              </w:rPr>
              <w:lastRenderedPageBreak/>
              <w:t>Program ini meningkatkan pengetahuan untuk bertindak sekiranya berlaku bencana</w:t>
            </w:r>
          </w:p>
          <w:p w:rsidR="00D61FE6" w:rsidRPr="00476D3E" w:rsidRDefault="00D61FE6" w:rsidP="00107E6C">
            <w:pPr>
              <w:numPr>
                <w:ilvl w:val="0"/>
                <w:numId w:val="37"/>
              </w:numPr>
              <w:spacing w:after="0" w:line="240" w:lineRule="auto"/>
              <w:ind w:left="880" w:hanging="562"/>
              <w:rPr>
                <w:rFonts w:ascii="Times New Roman" w:hAnsi="Times New Roman"/>
                <w:b w:val="0"/>
                <w:sz w:val="20"/>
                <w:szCs w:val="20"/>
              </w:rPr>
            </w:pPr>
            <w:r w:rsidRPr="00476D3E">
              <w:rPr>
                <w:rFonts w:ascii="Times New Roman" w:hAnsi="Times New Roman"/>
                <w:b w:val="0"/>
                <w:sz w:val="20"/>
                <w:szCs w:val="20"/>
              </w:rPr>
              <w:t xml:space="preserve">Program ini memberi faedah dan membantu dalam persediaan menghadapi bencana </w:t>
            </w:r>
          </w:p>
        </w:tc>
        <w:tc>
          <w:tcPr>
            <w:tcW w:w="806"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(0.1%)</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766"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(0.1%)</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(0.3%)</w:t>
            </w:r>
          </w:p>
        </w:tc>
        <w:tc>
          <w:tcPr>
            <w:tcW w:w="883"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(5.9%)</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31</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(4.6%)</w:t>
            </w:r>
          </w:p>
        </w:tc>
        <w:tc>
          <w:tcPr>
            <w:tcW w:w="866"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293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(40.5%)</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185</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(25.6%)</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251</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(34.7%)</w:t>
            </w:r>
          </w:p>
        </w:tc>
        <w:tc>
          <w:tcPr>
            <w:tcW w:w="919"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383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(53%)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505</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(69.8%)</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437</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(60.4%)</w:t>
            </w:r>
          </w:p>
        </w:tc>
        <w:tc>
          <w:tcPr>
            <w:tcW w:w="612"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4.46</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4.65</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4.55</w:t>
            </w:r>
          </w:p>
        </w:tc>
        <w:tc>
          <w:tcPr>
            <w:tcW w:w="839"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0.646</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0.582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0.596</w:t>
            </w:r>
          </w:p>
        </w:tc>
      </w:tr>
      <w:tr w:rsidR="00D61FE6" w:rsidRPr="00476D3E" w:rsidTr="00476D3E">
        <w:trPr>
          <w:trHeight w:val="699"/>
        </w:trPr>
        <w:tc>
          <w:tcPr>
            <w:cnfStyle w:val="001000000000" w:firstRow="0" w:lastRow="0" w:firstColumn="1" w:lastColumn="0" w:oddVBand="0" w:evenVBand="0" w:oddHBand="0" w:evenHBand="0" w:firstRowFirstColumn="0" w:firstRowLastColumn="0" w:lastRowFirstColumn="0" w:lastRowLastColumn="0"/>
            <w:tcW w:w="3665" w:type="dxa"/>
          </w:tcPr>
          <w:p w:rsidR="00D61FE6" w:rsidRPr="00476D3E" w:rsidRDefault="00D61FE6" w:rsidP="00107E6C">
            <w:pPr>
              <w:spacing w:after="0" w:line="240" w:lineRule="auto"/>
              <w:rPr>
                <w:rFonts w:ascii="Times New Roman" w:hAnsi="Times New Roman"/>
                <w:b w:val="0"/>
                <w:sz w:val="20"/>
                <w:szCs w:val="20"/>
              </w:rPr>
            </w:pPr>
            <w:r w:rsidRPr="00476D3E">
              <w:rPr>
                <w:rFonts w:ascii="Times New Roman" w:hAnsi="Times New Roman"/>
                <w:b w:val="0"/>
                <w:sz w:val="20"/>
                <w:szCs w:val="20"/>
              </w:rPr>
              <w:lastRenderedPageBreak/>
              <w:t xml:space="preserve">Kemahiran </w:t>
            </w:r>
          </w:p>
          <w:p w:rsidR="00D61FE6" w:rsidRPr="00476D3E" w:rsidRDefault="00D61FE6" w:rsidP="00107E6C">
            <w:pPr>
              <w:numPr>
                <w:ilvl w:val="0"/>
                <w:numId w:val="38"/>
              </w:numPr>
              <w:spacing w:after="0" w:line="240" w:lineRule="auto"/>
              <w:ind w:left="880" w:hanging="520"/>
              <w:rPr>
                <w:rFonts w:ascii="Times New Roman" w:hAnsi="Times New Roman"/>
                <w:b w:val="0"/>
                <w:sz w:val="20"/>
                <w:szCs w:val="20"/>
              </w:rPr>
            </w:pPr>
            <w:r w:rsidRPr="00476D3E">
              <w:rPr>
                <w:rFonts w:ascii="Times New Roman" w:hAnsi="Times New Roman"/>
                <w:b w:val="0"/>
                <w:sz w:val="20"/>
                <w:szCs w:val="20"/>
              </w:rPr>
              <w:t>Program ini memberikan kemahiran yang releven pada diri saya</w:t>
            </w:r>
          </w:p>
          <w:p w:rsidR="00D61FE6" w:rsidRPr="00476D3E" w:rsidRDefault="00D61FE6" w:rsidP="00107E6C">
            <w:pPr>
              <w:numPr>
                <w:ilvl w:val="0"/>
                <w:numId w:val="38"/>
              </w:numPr>
              <w:spacing w:after="0" w:line="240" w:lineRule="auto"/>
              <w:ind w:left="880" w:hanging="520"/>
              <w:rPr>
                <w:rFonts w:ascii="Times New Roman" w:hAnsi="Times New Roman"/>
                <w:b w:val="0"/>
                <w:sz w:val="20"/>
                <w:szCs w:val="20"/>
              </w:rPr>
            </w:pPr>
            <w:r w:rsidRPr="00476D3E">
              <w:rPr>
                <w:rFonts w:ascii="Times New Roman" w:hAnsi="Times New Roman"/>
                <w:b w:val="0"/>
                <w:sz w:val="20"/>
                <w:szCs w:val="20"/>
              </w:rPr>
              <w:t>Program ini meningkatkan keyakinan diri dan keupayaan saya</w:t>
            </w:r>
          </w:p>
          <w:p w:rsidR="00D61FE6" w:rsidRPr="00476D3E" w:rsidRDefault="00D61FE6" w:rsidP="00107E6C">
            <w:pPr>
              <w:numPr>
                <w:ilvl w:val="0"/>
                <w:numId w:val="38"/>
              </w:numPr>
              <w:spacing w:after="0" w:line="240" w:lineRule="auto"/>
              <w:ind w:left="880" w:hanging="520"/>
              <w:rPr>
                <w:rFonts w:ascii="Times New Roman" w:hAnsi="Times New Roman"/>
                <w:b w:val="0"/>
                <w:sz w:val="20"/>
                <w:szCs w:val="20"/>
              </w:rPr>
            </w:pPr>
            <w:r w:rsidRPr="00476D3E">
              <w:rPr>
                <w:rFonts w:ascii="Times New Roman" w:hAnsi="Times New Roman"/>
                <w:b w:val="0"/>
                <w:sz w:val="20"/>
                <w:szCs w:val="20"/>
              </w:rPr>
              <w:t xml:space="preserve">Program ini membantu saya melakukan tindakan yang lebih cekap terhadap diri sendiri, organisasi dan masyarakat sekeliling </w:t>
            </w:r>
          </w:p>
        </w:tc>
        <w:tc>
          <w:tcPr>
            <w:tcW w:w="806"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(0.1%)</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(0.1%)</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(0.1%)</w:t>
            </w:r>
          </w:p>
        </w:tc>
        <w:tc>
          <w:tcPr>
            <w:tcW w:w="766"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(0.4%)</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(0.4%)</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5</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(0.7%)</w:t>
            </w:r>
          </w:p>
        </w:tc>
        <w:tc>
          <w:tcPr>
            <w:tcW w:w="883"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83</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(11.5%)</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75</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(10.4%)</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68</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(9.4%)</w:t>
            </w:r>
          </w:p>
        </w:tc>
        <w:tc>
          <w:tcPr>
            <w:tcW w:w="866"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424</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(58.6%)</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339</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(46.9%)</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306</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(42.3%)</w:t>
            </w:r>
          </w:p>
        </w:tc>
        <w:tc>
          <w:tcPr>
            <w:tcW w:w="919"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212</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(29.3%)</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305</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(42.2%)</w:t>
            </w: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343</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(47.4%)</w:t>
            </w:r>
          </w:p>
        </w:tc>
        <w:tc>
          <w:tcPr>
            <w:tcW w:w="612"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4.17</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4.31</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4.36</w:t>
            </w:r>
          </w:p>
        </w:tc>
        <w:tc>
          <w:tcPr>
            <w:tcW w:w="839" w:type="dxa"/>
          </w:tcPr>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0.640</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0.677</w:t>
            </w: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0.691</w:t>
            </w:r>
          </w:p>
        </w:tc>
      </w:tr>
      <w:tr w:rsidR="00D61FE6" w:rsidRPr="00476D3E" w:rsidTr="00476D3E">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665" w:type="dxa"/>
          </w:tcPr>
          <w:p w:rsidR="00D61FE6" w:rsidRPr="00476D3E" w:rsidRDefault="00D61FE6" w:rsidP="00107E6C">
            <w:pPr>
              <w:spacing w:after="0" w:line="240" w:lineRule="auto"/>
              <w:rPr>
                <w:rFonts w:ascii="Times New Roman" w:hAnsi="Times New Roman"/>
                <w:b w:val="0"/>
                <w:sz w:val="20"/>
                <w:szCs w:val="20"/>
              </w:rPr>
            </w:pPr>
            <w:r w:rsidRPr="00476D3E">
              <w:rPr>
                <w:rFonts w:ascii="Times New Roman" w:hAnsi="Times New Roman"/>
                <w:b w:val="0"/>
                <w:sz w:val="20"/>
                <w:szCs w:val="20"/>
              </w:rPr>
              <w:t xml:space="preserve">Sikap </w:t>
            </w:r>
          </w:p>
          <w:p w:rsidR="00D61FE6" w:rsidRPr="00476D3E" w:rsidRDefault="00D61FE6" w:rsidP="00107E6C">
            <w:pPr>
              <w:numPr>
                <w:ilvl w:val="0"/>
                <w:numId w:val="39"/>
              </w:numPr>
              <w:spacing w:after="0" w:line="240" w:lineRule="auto"/>
              <w:rPr>
                <w:rFonts w:ascii="Times New Roman" w:hAnsi="Times New Roman"/>
                <w:b w:val="0"/>
                <w:sz w:val="20"/>
                <w:szCs w:val="20"/>
              </w:rPr>
            </w:pPr>
            <w:r w:rsidRPr="00476D3E">
              <w:rPr>
                <w:rFonts w:ascii="Times New Roman" w:hAnsi="Times New Roman"/>
                <w:b w:val="0"/>
                <w:sz w:val="20"/>
                <w:szCs w:val="20"/>
              </w:rPr>
              <w:t>Pembelajaran dalam program ini membuka minda positif kepada diri saya</w:t>
            </w:r>
          </w:p>
          <w:p w:rsidR="00D61FE6" w:rsidRPr="00476D3E" w:rsidRDefault="00D61FE6" w:rsidP="00107E6C">
            <w:pPr>
              <w:numPr>
                <w:ilvl w:val="0"/>
                <w:numId w:val="39"/>
              </w:numPr>
              <w:spacing w:after="0" w:line="240" w:lineRule="auto"/>
              <w:rPr>
                <w:rFonts w:ascii="Times New Roman" w:hAnsi="Times New Roman"/>
                <w:b w:val="0"/>
                <w:sz w:val="20"/>
                <w:szCs w:val="20"/>
              </w:rPr>
            </w:pPr>
            <w:r w:rsidRPr="00476D3E">
              <w:rPr>
                <w:rFonts w:ascii="Times New Roman" w:hAnsi="Times New Roman"/>
                <w:b w:val="0"/>
                <w:sz w:val="20"/>
                <w:szCs w:val="20"/>
              </w:rPr>
              <w:t>Program ini membantu saya menjadi lebih peka dan produktif</w:t>
            </w:r>
          </w:p>
          <w:p w:rsidR="00D61FE6" w:rsidRPr="00476D3E" w:rsidRDefault="00D61FE6" w:rsidP="00107E6C">
            <w:pPr>
              <w:numPr>
                <w:ilvl w:val="0"/>
                <w:numId w:val="39"/>
              </w:numPr>
              <w:spacing w:after="0" w:line="240" w:lineRule="auto"/>
              <w:rPr>
                <w:rFonts w:ascii="Times New Roman" w:hAnsi="Times New Roman"/>
                <w:b w:val="0"/>
                <w:sz w:val="20"/>
                <w:szCs w:val="20"/>
              </w:rPr>
            </w:pPr>
            <w:r w:rsidRPr="00476D3E">
              <w:rPr>
                <w:rFonts w:ascii="Times New Roman" w:hAnsi="Times New Roman"/>
                <w:b w:val="0"/>
                <w:sz w:val="20"/>
                <w:szCs w:val="20"/>
              </w:rPr>
              <w:t>Program ini meningkatkan kerjasama dan komitmen kepada diri saya terhadap organisasi dan masyarakat sekeliling</w:t>
            </w:r>
          </w:p>
        </w:tc>
        <w:tc>
          <w:tcPr>
            <w:tcW w:w="806"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(0.3%)</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 xml:space="preserve"> -</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1</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(0.1%)</w:t>
            </w:r>
          </w:p>
        </w:tc>
        <w:tc>
          <w:tcPr>
            <w:tcW w:w="766"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(0.3%)</w:t>
            </w:r>
          </w:p>
        </w:tc>
        <w:tc>
          <w:tcPr>
            <w:tcW w:w="883"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64</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(8.9%)</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68</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(9.4%)</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62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(8.6%)</w:t>
            </w:r>
          </w:p>
        </w:tc>
        <w:tc>
          <w:tcPr>
            <w:tcW w:w="866"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339</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(46.9%)</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344</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(47.6%)</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286</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(39.6%)</w:t>
            </w:r>
          </w:p>
        </w:tc>
        <w:tc>
          <w:tcPr>
            <w:tcW w:w="919"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314</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(43.4%)</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307</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(42.5%)</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372</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(51.5%)</w:t>
            </w:r>
          </w:p>
        </w:tc>
        <w:tc>
          <w:tcPr>
            <w:tcW w:w="612"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4.32</w:t>
            </w: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4.42</w:t>
            </w:r>
          </w:p>
        </w:tc>
        <w:tc>
          <w:tcPr>
            <w:tcW w:w="839" w:type="dxa"/>
          </w:tcPr>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0.681</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0.663</w:t>
            </w: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rsidR="00D61FE6" w:rsidRPr="00476D3E" w:rsidRDefault="00D61FE6" w:rsidP="00107E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76D3E">
              <w:rPr>
                <w:rFonts w:ascii="Times New Roman" w:hAnsi="Times New Roman"/>
                <w:sz w:val="20"/>
                <w:szCs w:val="20"/>
              </w:rPr>
              <w:t>0.670</w:t>
            </w:r>
          </w:p>
        </w:tc>
      </w:tr>
    </w:tbl>
    <w:p w:rsidR="00D61FE6" w:rsidRPr="00B45043" w:rsidRDefault="00D61FE6" w:rsidP="00D61FE6">
      <w:pPr>
        <w:spacing w:after="0" w:line="240" w:lineRule="auto"/>
        <w:jc w:val="both"/>
        <w:rPr>
          <w:rFonts w:ascii="Times New Roman" w:eastAsia="Times New Roman" w:hAnsi="Times New Roman"/>
          <w:i/>
          <w:sz w:val="24"/>
          <w:szCs w:val="24"/>
        </w:rPr>
      </w:pPr>
    </w:p>
    <w:p w:rsidR="00DE1C10" w:rsidRPr="00B45043" w:rsidRDefault="00DE1C10" w:rsidP="00DE1C10">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Bagi item kemahiran pula, nilai skor min tertinggi ialah item “</w:t>
      </w:r>
      <w:r w:rsidRPr="00B45043">
        <w:rPr>
          <w:rFonts w:ascii="Times New Roman" w:eastAsia="MS Mincho" w:hAnsi="Times New Roman"/>
          <w:i/>
          <w:sz w:val="24"/>
          <w:szCs w:val="24"/>
        </w:rPr>
        <w:t>program ini membantu saya melakukan tindakan dengan lebih cekap terhadap diri sendiri, organisasi dan masyarakat sekeliling</w:t>
      </w:r>
      <w:r w:rsidRPr="00B45043">
        <w:rPr>
          <w:rFonts w:ascii="Times New Roman" w:eastAsia="MS Mincho" w:hAnsi="Times New Roman"/>
          <w:sz w:val="24"/>
          <w:szCs w:val="24"/>
        </w:rPr>
        <w:t>” (M=4.36, SD=0.691), iaitu 343 responden (47.4%) menyatakan sangat setuju, 306 responden (42.3%) menyatakan setuju, 68 responden (9.4%) menyatakan kurang setuju, 5 responden (0.7%) menyatakan tidak setuju dan seorang responden (0.1%) menyatakan sangat tidak setuju. Kemahiran bertindak semasa menjalani latihan simulasi menjadi faktor nilai skor min item ini tinggi. Penyelidik mendapati bahawa semasa responden tiba di pusat evakuasi, wujudnya tindakan yang cekap dalam kalangan responden semasa mengenalpasti kawasan berkumpul mengikut kategori peringkat umur. Responden juga peka dengan rakan-rakan lain yang menghadapi kesulitan seperti masalah kesihatan terus dirujuk ke khemah pertolongan cemas untuk mendapatkan rawatan serta membantu menunjukkan arah kepada rakan-rakan lain untuk menuju ke kawasan berkumpul.</w:t>
      </w:r>
    </w:p>
    <w:p w:rsidR="00DE1C10" w:rsidRPr="00B45043" w:rsidRDefault="00DE1C10" w:rsidP="00DE1C10">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Nilai skor min tertinggi bagi item sikap ialah “</w:t>
      </w:r>
      <w:r w:rsidRPr="00B45043">
        <w:rPr>
          <w:rFonts w:ascii="Times New Roman" w:eastAsia="MS Mincho" w:hAnsi="Times New Roman"/>
          <w:i/>
          <w:sz w:val="24"/>
          <w:szCs w:val="24"/>
        </w:rPr>
        <w:t xml:space="preserve">program ini meningkatkan semangat kerjasama dan komitmen kepada diri saya terhadap organisasi dan masyarakat sekeliling” </w:t>
      </w:r>
      <w:r w:rsidRPr="00B45043">
        <w:rPr>
          <w:rFonts w:ascii="Times New Roman" w:eastAsia="MS Mincho" w:hAnsi="Times New Roman"/>
          <w:sz w:val="24"/>
          <w:szCs w:val="24"/>
        </w:rPr>
        <w:t xml:space="preserve">(M=4.42, SD=0.670), iaitu seramai 372 responden (51.5%) menyatakan sangat bersetuju, 286 responden (39.6%) menyatakan setuju, 62 responden (8.6%) menyatakan kurang setuju, 2 responden (0.3%) menyatakan tidak setuju dan seorang responden (0.1%) menyatakan sangat tidak setuju. Penyelidik melihat bahawa program ini sememangnya meningkatkan kerjasama antara sesama responden dalam pelbagai aspek aktiviti yang dianjurkan. </w:t>
      </w:r>
    </w:p>
    <w:p w:rsidR="00D61FE6" w:rsidRPr="00DE1C10" w:rsidRDefault="00D61FE6"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jc w:val="both"/>
        <w:rPr>
          <w:rFonts w:ascii="Times New Roman" w:eastAsia="MS Mincho" w:hAnsi="Times New Roman"/>
          <w:i/>
          <w:sz w:val="24"/>
          <w:szCs w:val="24"/>
        </w:rPr>
      </w:pPr>
      <w:r w:rsidRPr="00B45043">
        <w:rPr>
          <w:rFonts w:ascii="Times New Roman" w:eastAsia="MS Mincho" w:hAnsi="Times New Roman"/>
          <w:i/>
          <w:sz w:val="24"/>
          <w:szCs w:val="24"/>
        </w:rPr>
        <w:t xml:space="preserve">Hubung kait antara Reaksi dan Pembelajaran </w:t>
      </w:r>
    </w:p>
    <w:p w:rsidR="00D61FE6" w:rsidRPr="00B45043" w:rsidRDefault="00D61FE6" w:rsidP="00D61FE6">
      <w:pPr>
        <w:spacing w:after="0" w:line="240" w:lineRule="auto"/>
        <w:jc w:val="both"/>
        <w:rPr>
          <w:rFonts w:ascii="Times New Roman" w:eastAsia="MS Mincho" w:hAnsi="Times New Roman"/>
          <w:i/>
          <w:sz w:val="24"/>
          <w:szCs w:val="24"/>
        </w:rPr>
      </w:pPr>
    </w:p>
    <w:p w:rsidR="00D61FE6" w:rsidRPr="00B45043" w:rsidRDefault="00D61FE6" w:rsidP="00D61FE6">
      <w:pPr>
        <w:autoSpaceDE w:val="0"/>
        <w:autoSpaceDN w:val="0"/>
        <w:adjustRightInd w:val="0"/>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 xml:space="preserve">Jadual </w:t>
      </w:r>
      <w:r w:rsidR="00DE1C10">
        <w:rPr>
          <w:rFonts w:ascii="Times New Roman" w:eastAsia="MS Mincho" w:hAnsi="Times New Roman"/>
          <w:sz w:val="24"/>
          <w:szCs w:val="24"/>
        </w:rPr>
        <w:t>4 m</w:t>
      </w:r>
      <w:r w:rsidRPr="00B45043">
        <w:rPr>
          <w:rFonts w:ascii="Times New Roman" w:eastAsia="MS Mincho" w:hAnsi="Times New Roman"/>
          <w:sz w:val="24"/>
          <w:szCs w:val="24"/>
        </w:rPr>
        <w:t xml:space="preserve">enunjukkan </w:t>
      </w:r>
      <w:r w:rsidR="00DE1C10">
        <w:rPr>
          <w:rFonts w:ascii="Times New Roman" w:eastAsia="MS Mincho" w:hAnsi="Times New Roman"/>
          <w:sz w:val="24"/>
          <w:szCs w:val="24"/>
        </w:rPr>
        <w:t xml:space="preserve">statistik deskriptif </w:t>
      </w:r>
      <w:r w:rsidRPr="00B45043">
        <w:rPr>
          <w:rFonts w:ascii="Times New Roman" w:eastAsia="MS Mincho" w:hAnsi="Times New Roman"/>
          <w:sz w:val="24"/>
          <w:szCs w:val="24"/>
        </w:rPr>
        <w:t xml:space="preserve">analisis terhadap </w:t>
      </w:r>
      <w:r w:rsidR="00DE1C10" w:rsidRPr="00B45043">
        <w:rPr>
          <w:rFonts w:ascii="Times New Roman" w:eastAsia="MS Mincho" w:hAnsi="Times New Roman"/>
          <w:sz w:val="24"/>
          <w:szCs w:val="24"/>
        </w:rPr>
        <w:t xml:space="preserve">reaksi responden </w:t>
      </w:r>
      <w:r w:rsidR="00DE1C10">
        <w:rPr>
          <w:rFonts w:ascii="Times New Roman" w:eastAsia="MS Mincho" w:hAnsi="Times New Roman"/>
          <w:sz w:val="24"/>
          <w:szCs w:val="24"/>
        </w:rPr>
        <w:t xml:space="preserve">ke atas </w:t>
      </w:r>
      <w:r w:rsidRPr="00B45043">
        <w:rPr>
          <w:rFonts w:ascii="Times New Roman" w:eastAsia="MS Mincho" w:hAnsi="Times New Roman"/>
          <w:sz w:val="24"/>
          <w:szCs w:val="24"/>
        </w:rPr>
        <w:t>program latih amal tsunami (M=4.11, SD=0.55) dengan pembelajaran (M=4.40, SD=0.44)</w:t>
      </w:r>
      <w:r w:rsidR="00DE1C10">
        <w:rPr>
          <w:rFonts w:ascii="Times New Roman" w:eastAsia="MS Mincho" w:hAnsi="Times New Roman"/>
          <w:sz w:val="24"/>
          <w:szCs w:val="24"/>
        </w:rPr>
        <w:t xml:space="preserve"> dan jadual 5 menunjukkan</w:t>
      </w:r>
      <w:r w:rsidRPr="00B45043">
        <w:rPr>
          <w:rFonts w:ascii="Times New Roman" w:eastAsia="MS Mincho" w:hAnsi="Times New Roman"/>
          <w:sz w:val="24"/>
          <w:szCs w:val="24"/>
        </w:rPr>
        <w:t xml:space="preserve"> </w:t>
      </w:r>
      <w:r w:rsidR="00DE1C10" w:rsidRPr="00B45043">
        <w:rPr>
          <w:rFonts w:ascii="Times New Roman" w:eastAsia="MS Mincho" w:hAnsi="Times New Roman"/>
          <w:sz w:val="24"/>
          <w:szCs w:val="24"/>
        </w:rPr>
        <w:t>korelasi antara</w:t>
      </w:r>
      <w:r w:rsidR="00DE1C10">
        <w:rPr>
          <w:rFonts w:ascii="Times New Roman" w:eastAsia="MS Mincho" w:hAnsi="Times New Roman"/>
          <w:sz w:val="24"/>
          <w:szCs w:val="24"/>
        </w:rPr>
        <w:t xml:space="preserve"> pemboleh</w:t>
      </w:r>
      <w:r w:rsidR="000C0D8D">
        <w:rPr>
          <w:rFonts w:ascii="Times New Roman" w:eastAsia="MS Mincho" w:hAnsi="Times New Roman"/>
          <w:sz w:val="24"/>
          <w:szCs w:val="24"/>
        </w:rPr>
        <w:t xml:space="preserve"> </w:t>
      </w:r>
      <w:r w:rsidR="00DE1C10">
        <w:rPr>
          <w:rFonts w:ascii="Times New Roman" w:eastAsia="MS Mincho" w:hAnsi="Times New Roman"/>
          <w:sz w:val="24"/>
          <w:szCs w:val="24"/>
        </w:rPr>
        <w:t>ubah</w:t>
      </w:r>
      <w:r w:rsidR="00DE1C10" w:rsidRPr="00B45043">
        <w:rPr>
          <w:rFonts w:ascii="Times New Roman" w:eastAsia="MS Mincho" w:hAnsi="Times New Roman"/>
          <w:sz w:val="24"/>
          <w:szCs w:val="24"/>
        </w:rPr>
        <w:t xml:space="preserve"> </w:t>
      </w:r>
      <w:r w:rsidR="000C0D8D">
        <w:rPr>
          <w:rFonts w:ascii="Times New Roman" w:eastAsia="MS Mincho" w:hAnsi="Times New Roman"/>
          <w:sz w:val="24"/>
          <w:szCs w:val="24"/>
        </w:rPr>
        <w:t>r</w:t>
      </w:r>
      <w:r w:rsidR="00DE1C10">
        <w:rPr>
          <w:rFonts w:ascii="Times New Roman" w:eastAsia="MS Mincho" w:hAnsi="Times New Roman"/>
          <w:sz w:val="24"/>
          <w:szCs w:val="24"/>
        </w:rPr>
        <w:t xml:space="preserve">eaksi dan </w:t>
      </w:r>
      <w:r w:rsidR="000C0D8D">
        <w:rPr>
          <w:rFonts w:ascii="Times New Roman" w:eastAsia="MS Mincho" w:hAnsi="Times New Roman"/>
          <w:sz w:val="24"/>
          <w:szCs w:val="24"/>
        </w:rPr>
        <w:t>p</w:t>
      </w:r>
      <w:r w:rsidR="00DE1C10">
        <w:rPr>
          <w:rFonts w:ascii="Times New Roman" w:eastAsia="MS Mincho" w:hAnsi="Times New Roman"/>
          <w:sz w:val="24"/>
          <w:szCs w:val="24"/>
        </w:rPr>
        <w:t>embelajaran di mana wujud</w:t>
      </w:r>
      <w:r w:rsidRPr="00B45043">
        <w:rPr>
          <w:rFonts w:ascii="Times New Roman" w:eastAsia="MS Mincho" w:hAnsi="Times New Roman"/>
          <w:sz w:val="24"/>
          <w:szCs w:val="24"/>
        </w:rPr>
        <w:t xml:space="preserve"> </w:t>
      </w:r>
      <w:r w:rsidRPr="00B45043">
        <w:rPr>
          <w:rFonts w:ascii="Times New Roman" w:eastAsia="MS Mincho" w:hAnsi="Times New Roman"/>
          <w:sz w:val="24"/>
          <w:szCs w:val="24"/>
        </w:rPr>
        <w:lastRenderedPageBreak/>
        <w:t xml:space="preserve">hubungan yang sederhana dan signifikan, r(723) = .567 , p = .000. Nilai skor min yang tinggi disebabkan oleh tahap persetujuan yang tinggi dalam kalangan responden. Justeru, dapat disimpulkan bahawa apabila reaksi dalam kalangan responden meningkat sekali gus mempengaruhi tahap peningkatan pembelajaran yang diperoleh.  </w:t>
      </w:r>
    </w:p>
    <w:p w:rsidR="00D61FE6" w:rsidRPr="00B45043" w:rsidRDefault="00D61FE6" w:rsidP="00D61FE6">
      <w:pPr>
        <w:spacing w:after="0" w:line="240" w:lineRule="auto"/>
        <w:jc w:val="both"/>
        <w:rPr>
          <w:rFonts w:ascii="Times New Roman" w:eastAsia="Times New Roman" w:hAnsi="Times New Roman"/>
          <w:i/>
          <w:sz w:val="24"/>
          <w:szCs w:val="24"/>
        </w:rPr>
      </w:pPr>
    </w:p>
    <w:p w:rsidR="00D61FE6" w:rsidRPr="00B45043" w:rsidRDefault="00D61FE6" w:rsidP="00D61FE6">
      <w:pPr>
        <w:autoSpaceDE w:val="0"/>
        <w:autoSpaceDN w:val="0"/>
        <w:adjustRightInd w:val="0"/>
        <w:spacing w:after="0" w:line="360" w:lineRule="auto"/>
        <w:jc w:val="center"/>
        <w:rPr>
          <w:rFonts w:ascii="Times New Roman" w:eastAsia="MS Mincho" w:hAnsi="Times New Roman"/>
          <w:sz w:val="20"/>
          <w:szCs w:val="20"/>
        </w:rPr>
      </w:pPr>
      <w:r w:rsidRPr="00B45043">
        <w:rPr>
          <w:rFonts w:ascii="Times New Roman" w:eastAsia="MS Mincho" w:hAnsi="Times New Roman"/>
          <w:b/>
          <w:sz w:val="20"/>
          <w:szCs w:val="20"/>
        </w:rPr>
        <w:t>Jadual 4</w:t>
      </w:r>
      <w:r w:rsidR="00DE1C10">
        <w:rPr>
          <w:rFonts w:ascii="Times New Roman" w:eastAsia="MS Mincho" w:hAnsi="Times New Roman"/>
          <w:b/>
          <w:sz w:val="20"/>
          <w:szCs w:val="20"/>
        </w:rPr>
        <w:t>.</w:t>
      </w:r>
      <w:r w:rsidRPr="00B45043">
        <w:rPr>
          <w:rFonts w:ascii="Times New Roman" w:eastAsia="MS Mincho" w:hAnsi="Times New Roman"/>
          <w:sz w:val="20"/>
          <w:szCs w:val="20"/>
        </w:rPr>
        <w:t xml:space="preserve"> Statistik deskriptif (n=723)</w:t>
      </w:r>
    </w:p>
    <w:tbl>
      <w:tblPr>
        <w:tblStyle w:val="PlainTable21"/>
        <w:tblW w:w="0" w:type="auto"/>
        <w:jc w:val="center"/>
        <w:tblLook w:val="04A0" w:firstRow="1" w:lastRow="0" w:firstColumn="1" w:lastColumn="0" w:noHBand="0" w:noVBand="1"/>
      </w:tblPr>
      <w:tblGrid>
        <w:gridCol w:w="1843"/>
        <w:gridCol w:w="870"/>
        <w:gridCol w:w="1256"/>
        <w:gridCol w:w="851"/>
      </w:tblGrid>
      <w:tr w:rsidR="00D61FE6" w:rsidRPr="00DE1C10" w:rsidTr="00F31767">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rPr>
                <w:rFonts w:ascii="Times New Roman" w:eastAsia="MS Mincho" w:hAnsi="Times New Roman"/>
                <w:sz w:val="20"/>
                <w:szCs w:val="20"/>
              </w:rPr>
            </w:pPr>
          </w:p>
        </w:tc>
        <w:tc>
          <w:tcPr>
            <w:tcW w:w="870"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DE1C10">
              <w:rPr>
                <w:rFonts w:ascii="Times New Roman" w:eastAsia="MS Mincho" w:hAnsi="Times New Roman"/>
                <w:sz w:val="20"/>
                <w:szCs w:val="20"/>
              </w:rPr>
              <w:t>Min</w:t>
            </w:r>
          </w:p>
        </w:tc>
        <w:tc>
          <w:tcPr>
            <w:tcW w:w="1256"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DE1C10">
              <w:rPr>
                <w:rFonts w:ascii="Times New Roman" w:eastAsia="MS Mincho" w:hAnsi="Times New Roman"/>
                <w:sz w:val="20"/>
                <w:szCs w:val="20"/>
              </w:rPr>
              <w:t>Sisihan Piawaian</w:t>
            </w:r>
          </w:p>
        </w:tc>
        <w:tc>
          <w:tcPr>
            <w:tcW w:w="851"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DE1C10">
              <w:rPr>
                <w:rFonts w:ascii="Times New Roman" w:eastAsia="MS Mincho" w:hAnsi="Times New Roman"/>
                <w:sz w:val="20"/>
                <w:szCs w:val="20"/>
              </w:rPr>
              <w:t>N</w:t>
            </w:r>
          </w:p>
        </w:tc>
      </w:tr>
      <w:tr w:rsidR="00D61FE6" w:rsidRPr="00B45043" w:rsidTr="00A37349">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843" w:type="dxa"/>
          </w:tcPr>
          <w:p w:rsidR="00D61FE6" w:rsidRPr="00B45043" w:rsidRDefault="00D61FE6" w:rsidP="00107E6C">
            <w:pPr>
              <w:autoSpaceDE w:val="0"/>
              <w:autoSpaceDN w:val="0"/>
              <w:adjustRightInd w:val="0"/>
              <w:spacing w:after="0" w:line="240" w:lineRule="auto"/>
              <w:jc w:val="both"/>
              <w:rPr>
                <w:rFonts w:ascii="Times New Roman" w:eastAsia="MS Mincho" w:hAnsi="Times New Roman"/>
                <w:b w:val="0"/>
                <w:sz w:val="20"/>
                <w:szCs w:val="20"/>
              </w:rPr>
            </w:pPr>
            <w:r w:rsidRPr="00B45043">
              <w:rPr>
                <w:rFonts w:ascii="Times New Roman" w:eastAsia="MS Mincho" w:hAnsi="Times New Roman"/>
                <w:b w:val="0"/>
                <w:sz w:val="20"/>
                <w:szCs w:val="20"/>
              </w:rPr>
              <w:t>Reaksi</w:t>
            </w:r>
          </w:p>
        </w:tc>
        <w:tc>
          <w:tcPr>
            <w:tcW w:w="870"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4.1097</w:t>
            </w:r>
          </w:p>
        </w:tc>
        <w:tc>
          <w:tcPr>
            <w:tcW w:w="125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.54551</w:t>
            </w:r>
          </w:p>
        </w:tc>
        <w:tc>
          <w:tcPr>
            <w:tcW w:w="851"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723</w:t>
            </w:r>
          </w:p>
        </w:tc>
      </w:tr>
      <w:tr w:rsidR="00D61FE6" w:rsidRPr="00B45043" w:rsidTr="00A37349">
        <w:trPr>
          <w:trHeight w:val="365"/>
          <w:jc w:val="center"/>
        </w:trPr>
        <w:tc>
          <w:tcPr>
            <w:cnfStyle w:val="001000000000" w:firstRow="0" w:lastRow="0" w:firstColumn="1" w:lastColumn="0" w:oddVBand="0" w:evenVBand="0" w:oddHBand="0" w:evenHBand="0" w:firstRowFirstColumn="0" w:firstRowLastColumn="0" w:lastRowFirstColumn="0" w:lastRowLastColumn="0"/>
            <w:tcW w:w="1843" w:type="dxa"/>
          </w:tcPr>
          <w:p w:rsidR="00D61FE6" w:rsidRPr="00B45043" w:rsidRDefault="00D61FE6" w:rsidP="00107E6C">
            <w:pPr>
              <w:autoSpaceDE w:val="0"/>
              <w:autoSpaceDN w:val="0"/>
              <w:adjustRightInd w:val="0"/>
              <w:spacing w:after="0" w:line="240" w:lineRule="auto"/>
              <w:jc w:val="both"/>
              <w:rPr>
                <w:rFonts w:ascii="Times New Roman" w:eastAsia="MS Mincho" w:hAnsi="Times New Roman"/>
                <w:b w:val="0"/>
                <w:sz w:val="20"/>
                <w:szCs w:val="20"/>
              </w:rPr>
            </w:pPr>
            <w:r w:rsidRPr="00B45043">
              <w:rPr>
                <w:rFonts w:ascii="Times New Roman" w:eastAsia="MS Mincho" w:hAnsi="Times New Roman"/>
                <w:b w:val="0"/>
                <w:sz w:val="20"/>
                <w:szCs w:val="20"/>
              </w:rPr>
              <w:t>Pembelajaran</w:t>
            </w:r>
          </w:p>
        </w:tc>
        <w:tc>
          <w:tcPr>
            <w:tcW w:w="870"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4.3959</w:t>
            </w:r>
          </w:p>
        </w:tc>
        <w:tc>
          <w:tcPr>
            <w:tcW w:w="1256"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.44093</w:t>
            </w:r>
          </w:p>
        </w:tc>
        <w:tc>
          <w:tcPr>
            <w:tcW w:w="851"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723</w:t>
            </w:r>
          </w:p>
        </w:tc>
      </w:tr>
    </w:tbl>
    <w:p w:rsidR="00D61FE6" w:rsidRPr="00B45043" w:rsidRDefault="00D61FE6" w:rsidP="00D61FE6">
      <w:pPr>
        <w:autoSpaceDE w:val="0"/>
        <w:autoSpaceDN w:val="0"/>
        <w:adjustRightInd w:val="0"/>
        <w:spacing w:after="0" w:line="360" w:lineRule="auto"/>
        <w:jc w:val="both"/>
        <w:rPr>
          <w:rFonts w:ascii="Times New Roman" w:eastAsia="MS Mincho" w:hAnsi="Times New Roman"/>
          <w:sz w:val="20"/>
          <w:szCs w:val="20"/>
        </w:rPr>
      </w:pPr>
    </w:p>
    <w:p w:rsidR="00D61FE6" w:rsidRPr="00B45043" w:rsidRDefault="00D61FE6" w:rsidP="00D61FE6">
      <w:pPr>
        <w:autoSpaceDE w:val="0"/>
        <w:autoSpaceDN w:val="0"/>
        <w:adjustRightInd w:val="0"/>
        <w:spacing w:after="0" w:line="360" w:lineRule="auto"/>
        <w:jc w:val="center"/>
        <w:rPr>
          <w:rFonts w:ascii="Times New Roman" w:eastAsia="MS Mincho" w:hAnsi="Times New Roman"/>
          <w:sz w:val="20"/>
          <w:szCs w:val="20"/>
        </w:rPr>
      </w:pPr>
      <w:r w:rsidRPr="00B45043">
        <w:rPr>
          <w:rFonts w:ascii="Times New Roman" w:eastAsia="MS Mincho" w:hAnsi="Times New Roman"/>
          <w:b/>
          <w:sz w:val="20"/>
          <w:szCs w:val="20"/>
        </w:rPr>
        <w:t>Jadual 5</w:t>
      </w:r>
      <w:r w:rsidR="00DE1C10">
        <w:rPr>
          <w:rFonts w:ascii="Times New Roman" w:eastAsia="MS Mincho" w:hAnsi="Times New Roman"/>
          <w:b/>
          <w:sz w:val="20"/>
          <w:szCs w:val="20"/>
        </w:rPr>
        <w:t>.</w:t>
      </w:r>
      <w:r w:rsidRPr="00B45043">
        <w:rPr>
          <w:rFonts w:ascii="Times New Roman" w:eastAsia="MS Mincho" w:hAnsi="Times New Roman"/>
          <w:sz w:val="20"/>
          <w:szCs w:val="20"/>
        </w:rPr>
        <w:t xml:space="preserve"> Korelasi (n=723)</w:t>
      </w:r>
    </w:p>
    <w:tbl>
      <w:tblPr>
        <w:tblStyle w:val="PlainTable21"/>
        <w:tblW w:w="0" w:type="auto"/>
        <w:jc w:val="center"/>
        <w:tblLook w:val="04A0" w:firstRow="1" w:lastRow="0" w:firstColumn="1" w:lastColumn="0" w:noHBand="0" w:noVBand="1"/>
      </w:tblPr>
      <w:tblGrid>
        <w:gridCol w:w="1559"/>
        <w:gridCol w:w="2126"/>
        <w:gridCol w:w="1205"/>
        <w:gridCol w:w="1416"/>
      </w:tblGrid>
      <w:tr w:rsidR="00D61FE6" w:rsidRPr="00DE1C10" w:rsidTr="00F31767">
        <w:trPr>
          <w:cnfStyle w:val="100000000000" w:firstRow="1" w:lastRow="0" w:firstColumn="0" w:lastColumn="0" w:oddVBand="0" w:evenVBand="0" w:oddHBand="0"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BDD6EE" w:themeFill="accent1" w:themeFillTint="66"/>
          </w:tcPr>
          <w:p w:rsidR="00D61FE6" w:rsidRPr="00DE1C10" w:rsidRDefault="00D61FE6" w:rsidP="00107E6C">
            <w:pPr>
              <w:autoSpaceDE w:val="0"/>
              <w:autoSpaceDN w:val="0"/>
              <w:adjustRightInd w:val="0"/>
              <w:spacing w:after="0" w:line="240" w:lineRule="auto"/>
              <w:jc w:val="center"/>
              <w:rPr>
                <w:rFonts w:ascii="Times New Roman" w:eastAsia="MS Mincho" w:hAnsi="Times New Roman"/>
                <w:sz w:val="20"/>
                <w:szCs w:val="20"/>
              </w:rPr>
            </w:pPr>
          </w:p>
        </w:tc>
        <w:tc>
          <w:tcPr>
            <w:tcW w:w="2126"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20"/>
                <w:szCs w:val="20"/>
              </w:rPr>
            </w:pPr>
          </w:p>
        </w:tc>
        <w:tc>
          <w:tcPr>
            <w:tcW w:w="1205"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DE1C10">
              <w:rPr>
                <w:rFonts w:ascii="Times New Roman" w:eastAsia="MS Mincho" w:hAnsi="Times New Roman"/>
                <w:sz w:val="20"/>
                <w:szCs w:val="20"/>
              </w:rPr>
              <w:t>Reaksi</w:t>
            </w:r>
          </w:p>
        </w:tc>
        <w:tc>
          <w:tcPr>
            <w:tcW w:w="1416" w:type="dxa"/>
            <w:shd w:val="clear" w:color="auto" w:fill="BDD6EE" w:themeFill="accent1" w:themeFillTint="66"/>
          </w:tcPr>
          <w:p w:rsidR="00D61FE6" w:rsidRPr="00DE1C10" w:rsidRDefault="00D61FE6" w:rsidP="00107E6C">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DE1C10">
              <w:rPr>
                <w:rFonts w:ascii="Times New Roman" w:eastAsia="MS Mincho" w:hAnsi="Times New Roman"/>
                <w:sz w:val="20"/>
                <w:szCs w:val="20"/>
              </w:rPr>
              <w:t>Pembelajaran</w:t>
            </w:r>
          </w:p>
        </w:tc>
      </w:tr>
      <w:tr w:rsidR="00D61FE6" w:rsidRPr="00B45043" w:rsidTr="00DE1C10">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559" w:type="dxa"/>
            <w:tcBorders>
              <w:bottom w:val="nil"/>
            </w:tcBorders>
          </w:tcPr>
          <w:p w:rsidR="00D61FE6" w:rsidRPr="00B45043" w:rsidRDefault="00D61FE6" w:rsidP="00107E6C">
            <w:pPr>
              <w:autoSpaceDE w:val="0"/>
              <w:autoSpaceDN w:val="0"/>
              <w:adjustRightInd w:val="0"/>
              <w:spacing w:after="0" w:line="240" w:lineRule="auto"/>
              <w:jc w:val="both"/>
              <w:rPr>
                <w:rFonts w:ascii="Times New Roman" w:eastAsia="MS Mincho" w:hAnsi="Times New Roman"/>
                <w:b w:val="0"/>
                <w:sz w:val="20"/>
                <w:szCs w:val="20"/>
              </w:rPr>
            </w:pPr>
            <w:r w:rsidRPr="00B45043">
              <w:rPr>
                <w:rFonts w:ascii="Times New Roman" w:eastAsia="MS Mincho" w:hAnsi="Times New Roman"/>
                <w:b w:val="0"/>
                <w:sz w:val="20"/>
                <w:szCs w:val="20"/>
              </w:rPr>
              <w:t>Reaksi</w:t>
            </w:r>
          </w:p>
        </w:tc>
        <w:tc>
          <w:tcPr>
            <w:tcW w:w="212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 xml:space="preserve">Pearson Correlation </w:t>
            </w:r>
          </w:p>
        </w:tc>
        <w:tc>
          <w:tcPr>
            <w:tcW w:w="1205"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1</w:t>
            </w:r>
          </w:p>
        </w:tc>
        <w:tc>
          <w:tcPr>
            <w:tcW w:w="141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.567**</w:t>
            </w:r>
          </w:p>
        </w:tc>
      </w:tr>
      <w:tr w:rsidR="00D61FE6" w:rsidRPr="00B45043" w:rsidTr="00A37349">
        <w:trPr>
          <w:trHeight w:val="408"/>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bottom w:val="single" w:sz="4" w:space="0" w:color="auto"/>
            </w:tcBorders>
          </w:tcPr>
          <w:p w:rsidR="00D61FE6" w:rsidRPr="00B45043" w:rsidRDefault="00D61FE6" w:rsidP="00107E6C">
            <w:pPr>
              <w:autoSpaceDE w:val="0"/>
              <w:autoSpaceDN w:val="0"/>
              <w:adjustRightInd w:val="0"/>
              <w:spacing w:after="0" w:line="240" w:lineRule="auto"/>
              <w:jc w:val="both"/>
              <w:rPr>
                <w:rFonts w:ascii="Times New Roman" w:eastAsia="MS Mincho" w:hAnsi="Times New Roman"/>
                <w:b w:val="0"/>
                <w:sz w:val="20"/>
                <w:szCs w:val="20"/>
              </w:rPr>
            </w:pPr>
          </w:p>
        </w:tc>
        <w:tc>
          <w:tcPr>
            <w:tcW w:w="2126"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Sig. (2-tailed)</w:t>
            </w:r>
          </w:p>
        </w:tc>
        <w:tc>
          <w:tcPr>
            <w:tcW w:w="1205"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p>
        </w:tc>
        <w:tc>
          <w:tcPr>
            <w:tcW w:w="1416"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.000</w:t>
            </w:r>
          </w:p>
        </w:tc>
      </w:tr>
      <w:tr w:rsidR="00D61FE6" w:rsidRPr="00B45043" w:rsidTr="00A37349">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nil"/>
            </w:tcBorders>
          </w:tcPr>
          <w:p w:rsidR="00D61FE6" w:rsidRPr="00B45043" w:rsidRDefault="00D61FE6" w:rsidP="00107E6C">
            <w:pPr>
              <w:autoSpaceDE w:val="0"/>
              <w:autoSpaceDN w:val="0"/>
              <w:adjustRightInd w:val="0"/>
              <w:spacing w:after="0" w:line="240" w:lineRule="auto"/>
              <w:jc w:val="both"/>
              <w:rPr>
                <w:rFonts w:ascii="Times New Roman" w:eastAsia="MS Mincho" w:hAnsi="Times New Roman"/>
                <w:b w:val="0"/>
                <w:sz w:val="20"/>
                <w:szCs w:val="20"/>
              </w:rPr>
            </w:pPr>
            <w:r w:rsidRPr="00B45043">
              <w:rPr>
                <w:rFonts w:ascii="Times New Roman" w:eastAsia="MS Mincho" w:hAnsi="Times New Roman"/>
                <w:b w:val="0"/>
                <w:sz w:val="20"/>
                <w:szCs w:val="20"/>
              </w:rPr>
              <w:t>Pembelajaran</w:t>
            </w:r>
          </w:p>
        </w:tc>
        <w:tc>
          <w:tcPr>
            <w:tcW w:w="212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Pearson Correlation</w:t>
            </w:r>
          </w:p>
        </w:tc>
        <w:tc>
          <w:tcPr>
            <w:tcW w:w="1205"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.567**</w:t>
            </w:r>
          </w:p>
        </w:tc>
        <w:tc>
          <w:tcPr>
            <w:tcW w:w="141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1</w:t>
            </w:r>
          </w:p>
        </w:tc>
      </w:tr>
      <w:tr w:rsidR="00D61FE6" w:rsidRPr="00B45043" w:rsidTr="00DE1C10">
        <w:trPr>
          <w:trHeight w:val="331"/>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rsidR="00D61FE6" w:rsidRPr="00B45043" w:rsidRDefault="00D61FE6" w:rsidP="00107E6C">
            <w:pPr>
              <w:autoSpaceDE w:val="0"/>
              <w:autoSpaceDN w:val="0"/>
              <w:adjustRightInd w:val="0"/>
              <w:spacing w:after="0" w:line="240" w:lineRule="auto"/>
              <w:jc w:val="both"/>
              <w:rPr>
                <w:rFonts w:ascii="Times New Roman" w:eastAsia="MS Mincho" w:hAnsi="Times New Roman"/>
                <w:b w:val="0"/>
                <w:sz w:val="20"/>
                <w:szCs w:val="20"/>
              </w:rPr>
            </w:pPr>
          </w:p>
        </w:tc>
        <w:tc>
          <w:tcPr>
            <w:tcW w:w="2126"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Sig. (2-tailed)</w:t>
            </w:r>
          </w:p>
        </w:tc>
        <w:tc>
          <w:tcPr>
            <w:tcW w:w="1205"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.000</w:t>
            </w:r>
          </w:p>
        </w:tc>
        <w:tc>
          <w:tcPr>
            <w:tcW w:w="1416" w:type="dxa"/>
          </w:tcPr>
          <w:p w:rsidR="00D61FE6" w:rsidRPr="00B45043" w:rsidRDefault="00D61FE6" w:rsidP="00107E6C">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sz w:val="20"/>
                <w:szCs w:val="20"/>
              </w:rPr>
            </w:pPr>
          </w:p>
        </w:tc>
      </w:tr>
      <w:tr w:rsidR="00D61FE6" w:rsidRPr="00B45043" w:rsidTr="00DE1C10">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tcBorders>
          </w:tcPr>
          <w:p w:rsidR="00D61FE6" w:rsidRPr="00B45043" w:rsidRDefault="00D61FE6" w:rsidP="00107E6C">
            <w:pPr>
              <w:autoSpaceDE w:val="0"/>
              <w:autoSpaceDN w:val="0"/>
              <w:adjustRightInd w:val="0"/>
              <w:spacing w:after="0" w:line="240" w:lineRule="auto"/>
              <w:jc w:val="both"/>
              <w:rPr>
                <w:rFonts w:ascii="Times New Roman" w:eastAsia="MS Mincho" w:hAnsi="Times New Roman"/>
                <w:sz w:val="20"/>
                <w:szCs w:val="20"/>
              </w:rPr>
            </w:pPr>
          </w:p>
        </w:tc>
        <w:tc>
          <w:tcPr>
            <w:tcW w:w="212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N</w:t>
            </w:r>
          </w:p>
        </w:tc>
        <w:tc>
          <w:tcPr>
            <w:tcW w:w="1205"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723</w:t>
            </w:r>
          </w:p>
        </w:tc>
        <w:tc>
          <w:tcPr>
            <w:tcW w:w="1416" w:type="dxa"/>
          </w:tcPr>
          <w:p w:rsidR="00D61FE6" w:rsidRPr="00B45043" w:rsidRDefault="00D61FE6" w:rsidP="00107E6C">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sz w:val="20"/>
                <w:szCs w:val="20"/>
              </w:rPr>
            </w:pPr>
            <w:r w:rsidRPr="00B45043">
              <w:rPr>
                <w:rFonts w:ascii="Times New Roman" w:eastAsia="MS Mincho" w:hAnsi="Times New Roman"/>
                <w:sz w:val="20"/>
                <w:szCs w:val="20"/>
              </w:rPr>
              <w:t>723</w:t>
            </w:r>
          </w:p>
        </w:tc>
      </w:tr>
    </w:tbl>
    <w:p w:rsidR="00D61FE6" w:rsidRPr="00B45043" w:rsidRDefault="00DE1C10" w:rsidP="00DE1C10">
      <w:pPr>
        <w:autoSpaceDE w:val="0"/>
        <w:autoSpaceDN w:val="0"/>
        <w:adjustRightInd w:val="0"/>
        <w:spacing w:after="0" w:line="360" w:lineRule="auto"/>
        <w:ind w:left="720" w:firstLine="720"/>
        <w:jc w:val="both"/>
        <w:rPr>
          <w:rFonts w:ascii="Times New Roman" w:eastAsia="MS Mincho" w:hAnsi="Times New Roman"/>
          <w:sz w:val="20"/>
          <w:szCs w:val="20"/>
        </w:rPr>
      </w:pPr>
      <w:r>
        <w:rPr>
          <w:rFonts w:ascii="Times New Roman" w:eastAsia="MS Mincho" w:hAnsi="Times New Roman"/>
          <w:sz w:val="20"/>
          <w:szCs w:val="20"/>
        </w:rPr>
        <w:t xml:space="preserve">  **</w:t>
      </w:r>
      <w:r w:rsidR="00D61FE6" w:rsidRPr="00B45043">
        <w:rPr>
          <w:rFonts w:ascii="Times New Roman" w:eastAsia="MS Mincho" w:hAnsi="Times New Roman"/>
          <w:sz w:val="20"/>
          <w:szCs w:val="20"/>
        </w:rPr>
        <w:t>Correlation is significant at the 0.01 level (2-tailed)</w:t>
      </w:r>
    </w:p>
    <w:p w:rsidR="00D61FE6" w:rsidRDefault="00D61FE6" w:rsidP="00D61FE6">
      <w:pPr>
        <w:autoSpaceDE w:val="0"/>
        <w:autoSpaceDN w:val="0"/>
        <w:adjustRightInd w:val="0"/>
        <w:spacing w:after="0" w:line="240" w:lineRule="auto"/>
        <w:contextualSpacing/>
        <w:jc w:val="both"/>
        <w:rPr>
          <w:rFonts w:ascii="Times New Roman" w:eastAsia="MS Gothic" w:hAnsi="Times New Roman"/>
          <w:b/>
          <w:bCs/>
          <w:sz w:val="24"/>
          <w:szCs w:val="28"/>
        </w:rPr>
      </w:pPr>
    </w:p>
    <w:p w:rsidR="00D61FE6" w:rsidRPr="00B45043" w:rsidRDefault="00D61FE6" w:rsidP="00D61FE6">
      <w:pPr>
        <w:autoSpaceDE w:val="0"/>
        <w:autoSpaceDN w:val="0"/>
        <w:adjustRightInd w:val="0"/>
        <w:spacing w:after="0" w:line="240" w:lineRule="auto"/>
        <w:contextualSpacing/>
        <w:jc w:val="both"/>
        <w:rPr>
          <w:rFonts w:ascii="Times New Roman" w:eastAsia="MS Gothic" w:hAnsi="Times New Roman"/>
          <w:b/>
          <w:bCs/>
          <w:sz w:val="24"/>
          <w:szCs w:val="28"/>
        </w:rPr>
      </w:pPr>
      <w:r w:rsidRPr="00B45043">
        <w:rPr>
          <w:rFonts w:ascii="Times New Roman" w:eastAsia="MS Gothic" w:hAnsi="Times New Roman"/>
          <w:b/>
          <w:bCs/>
          <w:sz w:val="24"/>
          <w:szCs w:val="28"/>
        </w:rPr>
        <w:t>Perbincangan</w:t>
      </w:r>
    </w:p>
    <w:p w:rsidR="00D61FE6" w:rsidRPr="00B45043" w:rsidRDefault="00D61FE6" w:rsidP="00D61FE6">
      <w:pPr>
        <w:autoSpaceDE w:val="0"/>
        <w:autoSpaceDN w:val="0"/>
        <w:adjustRightInd w:val="0"/>
        <w:spacing w:after="0" w:line="240" w:lineRule="auto"/>
        <w:contextualSpacing/>
        <w:jc w:val="both"/>
        <w:rPr>
          <w:rFonts w:ascii="Times New Roman" w:eastAsia="MS Gothic" w:hAnsi="Times New Roman"/>
          <w:bCs/>
          <w:sz w:val="24"/>
          <w:szCs w:val="28"/>
        </w:rPr>
      </w:pPr>
    </w:p>
    <w:p w:rsidR="00D61FE6" w:rsidRPr="00B45043" w:rsidRDefault="00D61FE6" w:rsidP="00D61FE6">
      <w:pPr>
        <w:autoSpaceDE w:val="0"/>
        <w:autoSpaceDN w:val="0"/>
        <w:adjustRightInd w:val="0"/>
        <w:spacing w:after="0" w:line="240" w:lineRule="auto"/>
        <w:jc w:val="both"/>
        <w:rPr>
          <w:rFonts w:ascii="Times New Roman" w:eastAsia="MS Gothic" w:hAnsi="Times New Roman"/>
          <w:bCs/>
          <w:sz w:val="24"/>
          <w:szCs w:val="28"/>
        </w:rPr>
      </w:pPr>
      <w:r w:rsidRPr="00B45043">
        <w:rPr>
          <w:rFonts w:ascii="Times New Roman" w:eastAsia="MS Gothic" w:hAnsi="Times New Roman"/>
          <w:bCs/>
          <w:sz w:val="24"/>
          <w:szCs w:val="28"/>
        </w:rPr>
        <w:t xml:space="preserve">Latihan simulasi adalah kaedah yang terbaik untuk memberi pendidikan kepada masyarakat tentang gambaran fenomena sebenar yang akan berlaku. Walaupun latihan simulasi menerusi kajian ini dilakukan setelah berlakunya tragedi tsunami, namun masih belum terlambat untuk memberi pendedahan kepada penduduk setempat. </w:t>
      </w:r>
      <w:r w:rsidRPr="00B45043">
        <w:rPr>
          <w:rFonts w:ascii="Times New Roman" w:eastAsia="MS Gothic" w:hAnsi="Times New Roman"/>
          <w:bCs/>
          <w:sz w:val="24"/>
          <w:szCs w:val="28"/>
        </w:rPr>
        <w:fldChar w:fldCharType="begin" w:fldLock="1"/>
      </w:r>
      <w:r w:rsidRPr="00B45043">
        <w:rPr>
          <w:rFonts w:ascii="Times New Roman" w:eastAsia="MS Gothic" w:hAnsi="Times New Roman"/>
          <w:bCs/>
          <w:sz w:val="24"/>
          <w:szCs w:val="28"/>
        </w:rPr>
        <w:instrText>ADDIN CSL_CITATION {"citationItems":[{"id":"ITEM-1","itemData":{"DOI":"10.1111/1468-5973.00057","ISSN":"09660879","abstract":"This paper briefly reviews the classic and more recent literature on crisis simulations. After discussing the essence of simulations, as opposed to scenarios and games, five functions of simulations are highlighted: a research tool; a teaching and training instrument; a planning method; a tool for designing decision support systems; and a personnel selection method. Different design dimensions of educational and research simulations are brought to the fore.","author":[{"dropping-particle":"","family":"Kleiboer","given":"Marieke","non-dropping-particle":"","parse-names":false,"suffix":""}],"container-title":"Journal of Contingencies and Crisis Management","id":"ITEM-1","issue":"4","issued":{"date-parts":[["1997"]]},"page":"198-206","title":"Simulation methodology for crisis management support","type":"article-journal","volume":"5"},"uris":["http://www.mendeley.com/documents/?uuid=5ec20c97-b896-4017-8146-917026e9390f"]}],"mendeley":{"formattedCitation":"(Kleiboer, 1997)","manualFormatting":"Kleiboer (1997)","plainTextFormattedCitation":"(Kleiboer, 1997)","previouslyFormattedCitation":"(Kleiboer, 1997)"},"properties":{"noteIndex":0},"schema":"https://github.com/citation-style-language/schema/raw/master/csl-citation.json"}</w:instrText>
      </w:r>
      <w:r w:rsidRPr="00B45043">
        <w:rPr>
          <w:rFonts w:ascii="Times New Roman" w:eastAsia="MS Gothic" w:hAnsi="Times New Roman"/>
          <w:bCs/>
          <w:sz w:val="24"/>
          <w:szCs w:val="28"/>
        </w:rPr>
        <w:fldChar w:fldCharType="separate"/>
      </w:r>
      <w:r w:rsidRPr="00B45043">
        <w:rPr>
          <w:rFonts w:ascii="Times New Roman" w:eastAsia="MS Gothic" w:hAnsi="Times New Roman"/>
          <w:bCs/>
          <w:noProof/>
          <w:sz w:val="24"/>
          <w:szCs w:val="28"/>
        </w:rPr>
        <w:t>Kleiboer (1997)</w:t>
      </w:r>
      <w:r w:rsidRPr="00B45043">
        <w:rPr>
          <w:rFonts w:ascii="Times New Roman" w:eastAsia="MS Gothic" w:hAnsi="Times New Roman"/>
          <w:bCs/>
          <w:sz w:val="24"/>
          <w:szCs w:val="28"/>
        </w:rPr>
        <w:fldChar w:fldCharType="end"/>
      </w:r>
      <w:r w:rsidRPr="00B45043">
        <w:rPr>
          <w:rFonts w:ascii="Times New Roman" w:eastAsia="MS Gothic" w:hAnsi="Times New Roman"/>
          <w:bCs/>
          <w:sz w:val="24"/>
          <w:szCs w:val="28"/>
        </w:rPr>
        <w:t xml:space="preserve"> berpendapat simulasi adalah kombinasi antara sesuatu yang kebolehpercayaan (</w:t>
      </w:r>
      <w:r w:rsidRPr="00B45043">
        <w:rPr>
          <w:rFonts w:ascii="Times New Roman" w:eastAsia="MS Gothic" w:hAnsi="Times New Roman"/>
          <w:bCs/>
          <w:i/>
          <w:sz w:val="24"/>
          <w:szCs w:val="28"/>
        </w:rPr>
        <w:t>plausibility</w:t>
      </w:r>
      <w:r w:rsidRPr="00B45043">
        <w:rPr>
          <w:rFonts w:ascii="Times New Roman" w:eastAsia="MS Gothic" w:hAnsi="Times New Roman"/>
          <w:bCs/>
          <w:sz w:val="24"/>
          <w:szCs w:val="28"/>
        </w:rPr>
        <w:t>) dan keinginan (</w:t>
      </w:r>
      <w:r w:rsidRPr="00B45043">
        <w:rPr>
          <w:rFonts w:ascii="Times New Roman" w:eastAsia="MS Gothic" w:hAnsi="Times New Roman"/>
          <w:bCs/>
          <w:i/>
          <w:sz w:val="24"/>
          <w:szCs w:val="28"/>
        </w:rPr>
        <w:t>desirability</w:t>
      </w:r>
      <w:r w:rsidRPr="00B45043">
        <w:rPr>
          <w:rFonts w:ascii="Times New Roman" w:eastAsia="MS Gothic" w:hAnsi="Times New Roman"/>
          <w:bCs/>
          <w:sz w:val="24"/>
          <w:szCs w:val="28"/>
        </w:rPr>
        <w:t xml:space="preserve">). Kebolehpercayaan merupakan faktor utama yang mendorong kepada simulasi itu dilakukan. Justeru, kumpulan sasaran mestilah yakin bahawa pelan kontingensi yang diatur oleh pihak berkuasa adalah bermanfaat. Keinginan pula merujuk kepada hasil yang diinginkan pada masa hadapan. Pereka atau pihak berkuasa yang melaksanakan latihan simulasi akan mempertimbangkan nilai-nilai sosial tertentu serta meramal keadaan pada masa hadapan </w:t>
      </w:r>
      <w:r w:rsidRPr="00B45043">
        <w:rPr>
          <w:rFonts w:ascii="Times New Roman" w:eastAsia="MS Gothic" w:hAnsi="Times New Roman"/>
          <w:bCs/>
          <w:sz w:val="24"/>
          <w:szCs w:val="28"/>
        </w:rPr>
        <w:fldChar w:fldCharType="begin" w:fldLock="1"/>
      </w:r>
      <w:r w:rsidRPr="00B45043">
        <w:rPr>
          <w:rFonts w:ascii="Times New Roman" w:eastAsia="MS Gothic" w:hAnsi="Times New Roman"/>
          <w:bCs/>
          <w:sz w:val="24"/>
          <w:szCs w:val="28"/>
        </w:rPr>
        <w:instrText>ADDIN CSL_CITATION {"citationItems":[{"id":"ITEM-1","itemData":{"DOI":"10.1111/1468-5973.00057","ISSN":"09660879","abstract":"This paper briefly reviews the classic and more recent literature on crisis simulations. After discussing the essence of simulations, as opposed to scenarios and games, five functions of simulations are highlighted: a research tool; a teaching and training instrument; a planning method; a tool for designing decision support systems; and a personnel selection method. Different design dimensions of educational and research simulations are brought to the fore.","author":[{"dropping-particle":"","family":"Kleiboer","given":"Marieke","non-dropping-particle":"","parse-names":false,"suffix":""}],"container-title":"Journal of Contingencies and Crisis Management","id":"ITEM-1","issue":"4","issued":{"date-parts":[["1997"]]},"page":"198-206","title":"Simulation methodology for crisis management support","type":"article-journal","volume":"5"},"uris":["http://www.mendeley.com/documents/?uuid=5ec20c97-b896-4017-8146-917026e9390f"]}],"mendeley":{"formattedCitation":"(Kleiboer, 1997)","plainTextFormattedCitation":"(Kleiboer, 1997)","previouslyFormattedCitation":"(Kleiboer, 1997)"},"properties":{"noteIndex":0},"schema":"https://github.com/citation-style-language/schema/raw/master/csl-citation.json"}</w:instrText>
      </w:r>
      <w:r w:rsidRPr="00B45043">
        <w:rPr>
          <w:rFonts w:ascii="Times New Roman" w:eastAsia="MS Gothic" w:hAnsi="Times New Roman"/>
          <w:bCs/>
          <w:sz w:val="24"/>
          <w:szCs w:val="28"/>
        </w:rPr>
        <w:fldChar w:fldCharType="separate"/>
      </w:r>
      <w:r w:rsidRPr="00B45043">
        <w:rPr>
          <w:rFonts w:ascii="Times New Roman" w:eastAsia="MS Gothic" w:hAnsi="Times New Roman"/>
          <w:bCs/>
          <w:noProof/>
          <w:sz w:val="24"/>
          <w:szCs w:val="28"/>
        </w:rPr>
        <w:t>(Kleiboer, 1997)</w:t>
      </w:r>
      <w:r w:rsidRPr="00B45043">
        <w:rPr>
          <w:rFonts w:ascii="Times New Roman" w:eastAsia="MS Gothic" w:hAnsi="Times New Roman"/>
          <w:bCs/>
          <w:sz w:val="24"/>
          <w:szCs w:val="28"/>
        </w:rPr>
        <w:fldChar w:fldCharType="end"/>
      </w:r>
      <w:r w:rsidRPr="00B45043">
        <w:rPr>
          <w:rFonts w:ascii="Times New Roman" w:eastAsia="MS Gothic" w:hAnsi="Times New Roman"/>
          <w:bCs/>
          <w:sz w:val="24"/>
          <w:szCs w:val="28"/>
        </w:rPr>
        <w:t>.</w:t>
      </w:r>
    </w:p>
    <w:p w:rsidR="00D61FE6" w:rsidRPr="00B45043" w:rsidRDefault="00D61FE6" w:rsidP="00D61FE6">
      <w:pPr>
        <w:autoSpaceDE w:val="0"/>
        <w:autoSpaceDN w:val="0"/>
        <w:adjustRightInd w:val="0"/>
        <w:spacing w:after="0" w:line="240" w:lineRule="auto"/>
        <w:jc w:val="both"/>
        <w:rPr>
          <w:rFonts w:ascii="Times New Roman" w:eastAsia="MS Gothic" w:hAnsi="Times New Roman"/>
          <w:bCs/>
          <w:sz w:val="24"/>
          <w:szCs w:val="28"/>
        </w:rPr>
      </w:pPr>
      <w:r w:rsidRPr="00B45043">
        <w:rPr>
          <w:rFonts w:ascii="Times New Roman" w:eastAsia="MS Gothic" w:hAnsi="Times New Roman"/>
          <w:bCs/>
          <w:sz w:val="24"/>
          <w:szCs w:val="28"/>
        </w:rPr>
        <w:tab/>
        <w:t xml:space="preserve">Kajian jelas menunjukkan bahawa secara keseluruhannya nilai skor min yang tinggi bagi pemboleh ubah reaksi dan pembelajaran. Ini bermakna program latihan simulasi yang dijalankan berjaya memberi impak positif kepada responden. Penyelidik berpendapat bahawa teknik penyampaian merupakan salah satu kunci utama dalam memastikan program yang dijalankan berjaya difahami dan diminati oleh peserta. Hal ini disokong menerusi kajian </w:t>
      </w:r>
      <w:r w:rsidRPr="00B45043">
        <w:rPr>
          <w:rFonts w:ascii="Times New Roman" w:eastAsia="MS Mincho" w:hAnsi="Times New Roman"/>
          <w:sz w:val="24"/>
          <w:szCs w:val="24"/>
        </w:rPr>
        <w:t xml:space="preserve">Vizeshfar et al. (2018) yang menyatakan bahawa keupayaan penceramah dalam proses menyampaikan maklumat (M=3.40, SD=0.86) mencapai tahap yang paling memuaskan dan menarik minat peserta program. Di samping itu, menerusi kajian </w:t>
      </w:r>
      <w:r w:rsidRPr="00D61FE6">
        <w:rPr>
          <w:rFonts w:ascii="Times New Roman" w:eastAsia="MS Mincho" w:hAnsi="Times New Roman"/>
          <w:sz w:val="24"/>
          <w:szCs w:val="24"/>
          <w:shd w:val="clear" w:color="auto" w:fill="FFFFFF"/>
        </w:rPr>
        <w:fldChar w:fldCharType="begin" w:fldLock="1"/>
      </w:r>
      <w:r w:rsidRPr="00D61FE6">
        <w:rPr>
          <w:rFonts w:ascii="Times New Roman" w:eastAsia="MS Mincho" w:hAnsi="Times New Roman"/>
          <w:sz w:val="24"/>
          <w:szCs w:val="24"/>
          <w:shd w:val="clear" w:color="auto" w:fill="FFFFFF"/>
        </w:rPr>
        <w:instrText>ADDIN CSL_CITATION {"citationItems":[{"id":"ITEM-1","itemData":{"author":[{"dropping-particle":"","family":"Ali","given":"Azlah Md","non-dropping-particle":"","parse-names":false,"suffix":""},{"dropping-particle":"","family":"Omar","given":"Thuaibah Rozeyta","non-dropping-particle":"","parse-names":false,"suffix":""},{"dropping-particle":"","family":"Noor Ella Mohamad Zip","given":"","non-dropping-particle":"","parse-names":false,"suffix":""},{"dropping-particle":"","family":"Nor Suziani Ismail","given":"","non-dropping-particle":"","parse-names":false,"suffix":""},{"dropping-particle":"","family":"Zulkifli","given":"Thahiroh","non-dropping-particle":"","parse-names":false,"suffix":""}],"container-title":"Amalan latihan dan pembangunan sumber manusia di Malaysia","id":"ITEM-1","issued":{"date-parts":[["2009"]]},"page":"56-81","title":"Keberkesanan latihan di kalangan kakitangan kumpulan sokongan di Pejabat Setiausaha Kerajaan Negeri Kedah Darul Aman","type":"chapter"},"uris":["http://www.mendeley.com/documents/?uuid=2220b607-f3bf-4c3c-9625-1babce303cf3"]}],"mendeley":{"formattedCitation":"(Ali et al., 2009)","manualFormatting":"Ali et al. (2009)","plainTextFormattedCitation":"(Ali et al., 2009)","previouslyFormattedCitation":"(Ali et al., 2009)"},"properties":{"noteIndex":0},"schema":"https://github.com/citation-style-language/schema/raw/master/csl-citation.json"}</w:instrText>
      </w:r>
      <w:r w:rsidRPr="00D61FE6">
        <w:rPr>
          <w:rFonts w:ascii="Times New Roman" w:eastAsia="MS Mincho" w:hAnsi="Times New Roman"/>
          <w:sz w:val="24"/>
          <w:szCs w:val="24"/>
          <w:shd w:val="clear" w:color="auto" w:fill="FFFFFF"/>
        </w:rPr>
        <w:fldChar w:fldCharType="separate"/>
      </w:r>
      <w:r w:rsidRPr="00D61FE6">
        <w:rPr>
          <w:rFonts w:ascii="Times New Roman" w:eastAsia="MS Mincho" w:hAnsi="Times New Roman"/>
          <w:noProof/>
          <w:sz w:val="24"/>
          <w:szCs w:val="24"/>
          <w:shd w:val="clear" w:color="auto" w:fill="FFFFFF"/>
        </w:rPr>
        <w:t>Ali et al. (2009)</w:t>
      </w:r>
      <w:r w:rsidRPr="00D61FE6">
        <w:rPr>
          <w:rFonts w:ascii="Times New Roman" w:eastAsia="MS Mincho" w:hAnsi="Times New Roman"/>
          <w:sz w:val="24"/>
          <w:szCs w:val="24"/>
          <w:shd w:val="clear" w:color="auto" w:fill="FFFFFF"/>
        </w:rPr>
        <w:fldChar w:fldCharType="end"/>
      </w:r>
      <w:r w:rsidRPr="00B45043">
        <w:rPr>
          <w:rFonts w:ascii="Times New Roman" w:eastAsia="MS Mincho" w:hAnsi="Times New Roman"/>
          <w:sz w:val="24"/>
          <w:szCs w:val="24"/>
        </w:rPr>
        <w:t xml:space="preserve"> </w:t>
      </w:r>
      <w:r w:rsidR="000C0D8D">
        <w:rPr>
          <w:rFonts w:ascii="Times New Roman" w:eastAsia="MS Mincho" w:hAnsi="Times New Roman"/>
          <w:sz w:val="24"/>
          <w:szCs w:val="24"/>
        </w:rPr>
        <w:t>di</w:t>
      </w:r>
      <w:r w:rsidRPr="00B45043">
        <w:rPr>
          <w:rFonts w:ascii="Times New Roman" w:eastAsia="MS Mincho" w:hAnsi="Times New Roman"/>
          <w:sz w:val="24"/>
          <w:szCs w:val="24"/>
        </w:rPr>
        <w:t xml:space="preserve">dapati reaksi responden terhadap penggunaan alat bantu mengajar adalah tinggi (M=3.91, SD =0.504), iaitu menunjukkan bahawa kandungan latihan dan nota yang dibekalkan semasa program adalah relevan dan mudah difahami. Selain itu, Allen dan Tynan (2000) berpendapat bahawa tahap reaksi keyakinan peserta yang mengikuti program latihan dilihat lebih berkeyakinan selepas mengikuti program berbanding kumpulan yang tidak mengikuti program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{"citationItems":[{"id":"ITEM-1","itemData":{"DOI":"10.1080/13668250903093125","ISSN":"13668250","abstract":"AbstractBackground Services employing staff to support people with disability usually provide training in a range of areas including communication and managing challenging behaviour. Given that such training can be costly and time-consuming, it is important to evaluate the evidence presented in support of such programs. Efficacy in clinical practice is measured using evidence-based practice. However, there is currently no model that is widely used to compare and evaluate training programs despite the large number of training programs reported each year.Method Six studies published in the last decade that reported the outcomes of communication-based training and six that reported on the outcomes of challenging behaviour training were evaluated using the 4-level Kirkpatrick model.Results Comparison of the levels of evidence is made for these 12 studies.Conclusion The Kirkpatrick model provides one technique for appraisal of the evidence for any reported training program and could be used to evaluate whether a training program is likely to meet the needs and requirements of both the organisation implementing the training and the staff who will participate.","author":[{"dropping-particle":"","family":"Smidt","given":"Andy","non-dropping-particle":"","parse-names":false,"suffix":""},{"dropping-particle":"","family":"Balandin","given":"Susan","non-dropping-particle":"","parse-names":false,"suffix":""},{"dropping-particle":"","family":"Sigafoos","given":"Jeff","non-dropping-particle":"","parse-names":false,"suffix":""},{"dropping-particle":"","family":"Reed","given":"Vicki A.","non-dropping-particle":"","parse-names":false,"suffix":""}],"container-title":"Journal of Intellectual and Developmental Disability","id":"ITEM-1","issue":"3","issued":{"date-parts":[["2009"]]},"page":"266-274","title":"The Kirkpatrick model: A useful tool for evaluating training outcomes","type":"article-journal","volume":"34"},"uris":["http://www.mendeley.com/documents/?uuid=1e153bae-3aa1-43eb-ac89-ea6c8c40769b"]}],"mendeley":{"formattedCitation":"(Smidt et al., 2009)","plainTextFormattedCitation":"(Smidt et al., 2009)","previouslyFormattedCitation":"(Smidt et al., 2009)"},"properties":{"noteIndex":0},"schema":"https://github.com/citation-style-language/schema/raw/master/csl-citation.json"}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(Smidt et al., 2009)</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w:t>
      </w:r>
    </w:p>
    <w:p w:rsidR="00D61FE6" w:rsidRPr="00B45043" w:rsidRDefault="00D61FE6" w:rsidP="00D61FE6">
      <w:pPr>
        <w:autoSpaceDE w:val="0"/>
        <w:autoSpaceDN w:val="0"/>
        <w:adjustRightInd w:val="0"/>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lastRenderedPageBreak/>
        <w:t xml:space="preserve">Penyelidik mengakui bahawa semasa pemerhatian turut serta dijalankan, didapati bahawa responden kajian menjalankan latihan simulasi dengan bersungguh-sungguh seperti kejadian bencana tersebut benar-benar berlaku. Di samping itu, peranan penceramah dalam menyuntik semangat tidak dinafikan mampu menjadikan peserta lebih bermotivasi. Misalnya, semasa program latihan simulasi ini dijalankan terdapat slot ceramah untuk penceramah jemputan dari Jepun, iaitu Dr Matsura. Beliau telah berkongsi satu tayangan video sebenar kejadian banjir di Jepun dan secara tidak langsung telah membuka minda responden tentang bahaya bencana bukanlah perkara yang boleh dipandang remeh. Menerusi video ini, aspek keselamatan dan tindakan yang perlu dilakukan semasa bencana berlaku perlu diambil tahu oleh semua pihak. Di samping itu, menerusi tayangan video tersebut jelas menunjukkan peranan pihak sekolah di Jepun dalam melaksanakan latih amal secara kerap mampu menyelamatkan sejumlah nyawa pelajar daripada terkorban menjadi mangsa tsunami. Jelaslah bahawa inisiatif pihak penganjur menjemput penceramah luar telah memberikan keputusan yang memberangsangkan terhadap pemboleh ubah reaksi. Hal ini disokong oleh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{"citationItems":[{"id":"ITEM-1","itemData":{"DOI":"10.1186/s12909-015-0320-7","ISBN":"1290901503","ISSN":"14726920","abstract":"© 2015 Frantz et al.; licensee BioMed Central. Background: In 2008 the sub-Saharan FAIMER Regional Institute launched a faculty development programme aimed at enhancing the academic and research capacity of health professions educators working in sub-Saharan Africa. This two-year programme, a combination of residential and distance learning activities, focuses on developing the leadership, project management and programme evaluation skills of participants as well as teaching the key principles of health professions education-curriculum design, teaching and learning and assessment. Participants also gain first-hand research experience by designing and conducting an education innovation project in their home institutions. This study was conducted to determine the perceptions of participants regarding the personal and professional impact of the SAFRI programme. Methods: A retrospective document review, which included data about fellows who completed the programme between 2008 and 2011, was performed. Data included fellows' descriptions of their expectations, reflections on achievements and information shared on an online discussion forum. Data were analysed using Kirkpatrick's evaluation framework. Results: Participants (n=61) came from 10 African countries and included a wide range of health professions educators. Five key themes about the impact of the SAFRI programme were identified: (1) belonging to a community of practice, (2) personal development, (3) professional development, (4) capacity development, and (5) tools/strategies for project management and/or advancement. Conclusion: The SAFRI programme has a positive developmental impact on both participants and their respective institutions.","author":[{"dropping-particle":"","family":"Frantz","given":"José M.","non-dropping-particle":"","parse-names":false,"suffix":""},{"dropping-particle":"","family":"Bezuidenhout","given":"Juanita","non-dropping-particle":"","parse-names":false,"suffix":""},{"dropping-particle":"","family":"Burch","given":"Vanessa C.","non-dropping-particle":"","parse-names":false,"suffix":""},{"dropping-particle":"","family":"Mthembu","given":"Sindi","non-dropping-particle":"","parse-names":false,"suffix":""},{"dropping-particle":"","family":"Rowe","given":"Michael","non-dropping-particle":"","parse-names":false,"suffix":""},{"dropping-particle":"","family":"Tan","given":"Christina","non-dropping-particle":"","parse-names":false,"suffix":""},{"dropping-particle":"","family":"Wyk","given":"Jacqueline","non-dropping-particle":"Van","parse-names":false,"suffix":""},{"dropping-particle":"","family":"Heerden","given":"Ben","non-dropping-particle":"Van","parse-names":false,"suffix":""}],"container-title":"BMC Medical Education","id":"ITEM-1","issue":"1","issued":{"date-parts":[["2015"]]},"title":"The impact of a faculty development programme for health professions educators in sub-Saharan Africa: An archival study","type":"article-journal","volume":"15"},"uris":["http://www.mendeley.com/documents/?uuid=5956d93a-883a-4bf0-9f10-8fb692d54094"]}],"mendeley":{"formattedCitation":"(Frantz et al., 2015)","manualFormatting":"Frantz et al., (2015)","plainTextFormattedCitation":"(Frantz et al., 2015)","previouslyFormattedCitation":"(Frantz et al., 2015)"},"properties":{"noteIndex":0},"schema":"https://github.com/citation-style-language/schema/raw/master/csl-citation.json"}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Frantz et al., (2015)</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yang menyatakan kepelbagaian bidang kepakaran, nasionaliti, profesion serta kehadiran peserta dalam suatu program latihan memberikan impak yang positif terhadap pembangunan sahsiah dan identiti dalam kumpulan sasaran. </w:t>
      </w: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ab/>
      </w:r>
      <w:r w:rsidRPr="00D61FE6">
        <w:rPr>
          <w:rFonts w:ascii="Times New Roman" w:eastAsia="MS Mincho" w:hAnsi="Times New Roman"/>
          <w:sz w:val="24"/>
          <w:szCs w:val="24"/>
          <w:shd w:val="clear" w:color="auto" w:fill="FFFFFF"/>
        </w:rPr>
        <w:fldChar w:fldCharType="begin" w:fldLock="1"/>
      </w:r>
      <w:r w:rsidRPr="00D61FE6">
        <w:rPr>
          <w:rFonts w:ascii="Times New Roman" w:eastAsia="MS Mincho" w:hAnsi="Times New Roman"/>
          <w:sz w:val="24"/>
          <w:szCs w:val="24"/>
          <w:shd w:val="clear" w:color="auto" w:fill="FFFFFF"/>
        </w:rPr>
        <w:instrText>ADDIN CSL_CITATION {"citationItems":[{"id":"ITEM-1","itemData":{"author":[{"dropping-particle":"","family":"Kirkpatrick","given":"D. L","non-dropping-particle":"","parse-names":false,"suffix":""}],"edition":"2","id":"ITEM-1","issued":{"date-parts":[["1998"]]},"publisher":"Berrett-Koehler Publishers, Inc, San Fancisco, CA","title":"Evaluating Trainning Programs : The four level","type":"book"},"uris":["http://www.mendeley.com/documents/?uuid=40683517-c0d3-4350-ba64-f92cb7338fa2"]}],"mendeley":{"formattedCitation":"(Kirkpatrick, 1998)","manualFormatting":"Kirkpatrick (1998)","plainTextFormattedCitation":"(Kirkpatrick, 1998)","previouslyFormattedCitation":"(Kirkpatrick, 1998)"},"properties":{"noteIndex":0},"schema":"https://github.com/citation-style-language/schema/raw/master/csl-citation.json"}</w:instrText>
      </w:r>
      <w:r w:rsidRPr="00D61FE6">
        <w:rPr>
          <w:rFonts w:ascii="Times New Roman" w:eastAsia="MS Mincho" w:hAnsi="Times New Roman"/>
          <w:sz w:val="24"/>
          <w:szCs w:val="24"/>
          <w:shd w:val="clear" w:color="auto" w:fill="FFFFFF"/>
        </w:rPr>
        <w:fldChar w:fldCharType="separate"/>
      </w:r>
      <w:r w:rsidRPr="00D61FE6">
        <w:rPr>
          <w:rFonts w:ascii="Times New Roman" w:eastAsia="MS Mincho" w:hAnsi="Times New Roman"/>
          <w:noProof/>
          <w:sz w:val="24"/>
          <w:szCs w:val="24"/>
          <w:shd w:val="clear" w:color="auto" w:fill="FFFFFF"/>
        </w:rPr>
        <w:t>Kirkpatrick (1998)</w:t>
      </w:r>
      <w:r w:rsidRPr="00D61FE6">
        <w:rPr>
          <w:rFonts w:ascii="Times New Roman" w:eastAsia="MS Mincho" w:hAnsi="Times New Roman"/>
          <w:sz w:val="24"/>
          <w:szCs w:val="24"/>
          <w:shd w:val="clear" w:color="auto" w:fill="FFFFFF"/>
        </w:rPr>
        <w:fldChar w:fldCharType="end"/>
      </w:r>
      <w:r w:rsidRPr="00D61FE6">
        <w:rPr>
          <w:rFonts w:ascii="Times New Roman" w:eastAsia="MS Mincho" w:hAnsi="Times New Roman"/>
          <w:sz w:val="24"/>
          <w:szCs w:val="24"/>
          <w:shd w:val="clear" w:color="auto" w:fill="FFFFFF"/>
        </w:rPr>
        <w:t xml:space="preserve"> </w:t>
      </w:r>
      <w:r w:rsidRPr="00B45043">
        <w:rPr>
          <w:rFonts w:ascii="Times New Roman" w:eastAsia="MS Mincho" w:hAnsi="Times New Roman"/>
          <w:sz w:val="24"/>
          <w:szCs w:val="24"/>
        </w:rPr>
        <w:t xml:space="preserve">menyatakan bahawa tanpa pembelajaran tiada perubahan tingkah laku yang akan berlaku. Justeru, kajian ini mendapati aspek pembelajaran dinilai menerusi pengetahuan, kemahiran dan sikap menunjukkan keputusan yang memuaskan. Responden mengakui bahawa hasil penyertaan program ini menjadikan mereka lebih faham tentang tindakan yang perlu dilakukan sekiranya berlaku bencana. Di samping itu, program ini dapat meningkatkan tahap kemahiran diri serta memupuk sikap kerjasama responden untuk membantu sesama masyarakat. </w:t>
      </w:r>
      <w:r w:rsidRPr="00D61FE6">
        <w:rPr>
          <w:rFonts w:ascii="Times New Roman" w:eastAsia="MS Mincho" w:hAnsi="Times New Roman"/>
          <w:sz w:val="24"/>
          <w:szCs w:val="24"/>
          <w:shd w:val="clear" w:color="auto" w:fill="FFFFFF"/>
        </w:rPr>
        <w:fldChar w:fldCharType="begin" w:fldLock="1"/>
      </w:r>
      <w:r w:rsidRPr="00D61FE6">
        <w:rPr>
          <w:rFonts w:ascii="Times New Roman" w:eastAsia="MS Mincho" w:hAnsi="Times New Roman"/>
          <w:sz w:val="24"/>
          <w:szCs w:val="24"/>
          <w:shd w:val="clear" w:color="auto" w:fill="FFFFFF"/>
        </w:rPr>
        <w:instrText>ADDIN CSL_CITATION {"citationItems":[{"id":"ITEM-1","itemData":{"DOI":"10.14246/irspsd.4.2_3","abstract":"Due to its intrinsic scenery, many tourism destinations are located in areas that are exposed to various natural hazards such as tsunamis, volcanic eruptions, and high winds. In particular, coastal tourism presents numerous risks unique to the tourism sector due to differences in the type of vulnerabilities faced by tourists compared to other types of communities. Tourists are transient, may lack knowledge of local hazards, perceive risks differently, and may present various communication barriers. Physical mitigation may also be limited as local communities rely on the preservation of the area's natural assets. Research on the effects of disasters in tourism destinations have generally fallen into the categories of emergency management, which is focused on the preparedness and response phases, or solutions, adopting a structural engineering approach. Long-term solutions that utilize non-structural approaches have been acknowledged as vital towards mitigation in various literatures, but in reality, have been scarcely applied. As disasters can constitute a wicked rather than tame problem, long-term solutions should include the input of multiple stakeholders striving towards a working solution that is constantly updated through feedback loops. Urban planning can provide such theoretical backgrounds that are missing from tourism planning studies, but have thus far, been limited to the needs of the permanent communities and not the transient community. This paper examines literature on disaster management planning in coastal destinations and bridges the gap between the fields of urban planning, disaster management and tourism planning, by suggesting the utilization of social learning to address disaster management gaps found in existing literature. © SPSD Press from 2010, SPSD Press, Kanazawa.","author":[{"dropping-particle":"","family":"Nguyen","given":"David","non-dropping-particle":"","parse-names":false,"suffix":""},{"dropping-particle":"","family":"Imamura","given":"Fumihiko","non-dropping-particle":"","parse-names":false,"suffix":""},{"dropping-particle":"","family":"Luchi","given":"Kanako","non-dropping-particle":"","parse-names":false,"suffix":""}],"container-title":"International Review for Spatial Planning and Sustainable Development","id":"ITEM-1","issue":"2","issued":{"date-parts":[["2016"]]},"page":"3-17","title":"Disaster management in coastal tourism destinations: The case for transactive planning and social learning","type":"article-journal","volume":"4"},"uris":["http://www.mendeley.com/documents/?uuid=f43f28fb-d273-44be-9270-4dd35e8b8dcf"]}],"mendeley":{"formattedCitation":"(Nguyen et al., 2016)","manualFormatting":"Nguyen et al. (2016)","plainTextFormattedCitation":"(Nguyen et al., 2016)","previouslyFormattedCitation":"(Nguyen et al., 2016)"},"properties":{"noteIndex":0},"schema":"https://github.com/citation-style-language/schema/raw/master/csl-citation.json"}</w:instrText>
      </w:r>
      <w:r w:rsidRPr="00D61FE6">
        <w:rPr>
          <w:rFonts w:ascii="Times New Roman" w:eastAsia="MS Mincho" w:hAnsi="Times New Roman"/>
          <w:sz w:val="24"/>
          <w:szCs w:val="24"/>
          <w:shd w:val="clear" w:color="auto" w:fill="FFFFFF"/>
        </w:rPr>
        <w:fldChar w:fldCharType="separate"/>
      </w:r>
      <w:r w:rsidRPr="00D61FE6">
        <w:rPr>
          <w:rFonts w:ascii="Times New Roman" w:eastAsia="MS Mincho" w:hAnsi="Times New Roman"/>
          <w:noProof/>
          <w:sz w:val="24"/>
          <w:szCs w:val="24"/>
          <w:shd w:val="clear" w:color="auto" w:fill="FFFFFF"/>
        </w:rPr>
        <w:t>Nguyen et al. (2016)</w:t>
      </w:r>
      <w:r w:rsidRPr="00D61FE6">
        <w:rPr>
          <w:rFonts w:ascii="Times New Roman" w:eastAsia="MS Mincho" w:hAnsi="Times New Roman"/>
          <w:sz w:val="24"/>
          <w:szCs w:val="24"/>
          <w:shd w:val="clear" w:color="auto" w:fill="FFFFFF"/>
        </w:rPr>
        <w:fldChar w:fldCharType="end"/>
      </w:r>
      <w:r w:rsidRPr="00D61FE6">
        <w:rPr>
          <w:rFonts w:ascii="Times New Roman" w:eastAsia="MS Mincho" w:hAnsi="Times New Roman"/>
          <w:sz w:val="24"/>
          <w:szCs w:val="24"/>
          <w:shd w:val="clear" w:color="auto" w:fill="FFFFFF"/>
        </w:rPr>
        <w:t xml:space="preserve"> </w:t>
      </w:r>
      <w:r w:rsidRPr="00B45043">
        <w:rPr>
          <w:rFonts w:ascii="Times New Roman" w:eastAsia="MS Mincho" w:hAnsi="Times New Roman"/>
          <w:sz w:val="24"/>
          <w:szCs w:val="24"/>
        </w:rPr>
        <w:t xml:space="preserve">berpendapat bahawa proses pembelajaran berlaku apabila individu terlibat dapat berkongsi perspektif dan pengalaman mereka untuk membangunkan rangka kerja pemahaman dan asas untuk tindakan bersama. Ali et al. (2009) turut menyatakan bahawa penerimaan pengetahuan dan kemahiran baru dalam program latihan dapat meningkatkan motivasi dalam melaksanakan tugasan dengan sistematik. Chen (2004) juga menyatakan bahawa tahap pemahaman peserta adalah berbeza, ia bergantung sekiranya peserta itu baru mengetahui pembelajaran tersebut maka mereka lebih cenderung untuk fokus dan mempraktikkan pembelajaran tersebut berbanding dengan mereka yang telah mengetahuinya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{"citationItems":[{"id":"ITEM-1","itemData":{"URL":"http://eric.ed.gov/ERICWebPortal/recordDetail?accno=ED492750","abstract":"Because of perceived advantages, simulations are increasingly being used for performance-based training. This is a review of computer simulation as a learning tool, and its application within the context of disaster preparedness. Concepts from established learning theory are examined and research verifiable by empirical data is referenced. To summarize, this review found, despite a lack of empirical evidence, there exists wide support for computer simulation as a preferred tool in disaster preparedness. (Contains 1 figure and 1 table.) (Author)","accessed":{"date-parts":[["2019","5","7"]]},"author":[{"dropping-particle":"","family":"Reilly","given":"Daniel J. O'","non-dropping-particle":"","parse-names":false,"suffix":""},{"dropping-particle":"","family":"Brandenburg","given":"Dale C.","non-dropping-particle":"","parse-names":false,"suffix":""}],"container-title":"Information Analyses; Reports - Evaluative","id":"ITEM-1","issued":{"date-parts":[["2006"]]},"page":"763-770","title":"Simulation and learning in disaster preparedness: A research and theory review.","type":"webpage"},"uris":["http://www.mendeley.com/documents/?uuid=4d4b9736-0dab-4973-8213-1d3b6573a37b"]}],"mendeley":{"formattedCitation":"(Reilly &amp; Brandenburg, 2006)","plainTextFormattedCitation":"(Reilly &amp; Brandenburg, 2006)","previouslyFormattedCitation":"(Reilly &amp; Brandenburg, 2006)"},"properties":{"noteIndex":0},"schema":"https://github.com/citation-style-language/schema/raw/master/csl-citation.json"}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(Reilly &amp; Brandenburg, 2006)</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Hasil kajian mendapati hubung kait antara pemboleh ubah reaksi dan pembelajaran menunjukkan tahap yang sederhana dan signifikan. Aryadoust (2017) menyatakan bahawa pengetahuan dan kemahiran merupakan konsep yang berbeza. Pengetahuan dalam konteks kajian ini merujuk kepada pengetahuan tentang bencana tsunami termasuklah faktor tsunami terjadi, persediaan dan pengurusan (sebelum, semasa dan selepas) berlaku bencana, manakala kemahiran merujuk kepada tindakan yang akan dilakukan pengetahuan tersebut. Justeru, signifikan kajian ini boleh dikaitkan dengan keberkesanan program yang dijalankan. Misalnya, terdapat segmen kuiz ringkas yang diselitkan setelah habis setiap sesi ceramah. Kuiz ini dijalankan untuk menguji tahap kefahaman peserta terhadap maklumat yang disampaikan. Hal ini secara tidak langsung menyumbang kepada signifikan antara reaksi dan pembelajaran yang dikaji. Kaedah ini disokong oleh </w:t>
      </w:r>
      <w:r w:rsidRPr="00D61FE6">
        <w:rPr>
          <w:rFonts w:ascii="Times New Roman" w:eastAsia="MS Mincho" w:hAnsi="Times New Roman"/>
          <w:sz w:val="24"/>
          <w:szCs w:val="24"/>
          <w:shd w:val="clear" w:color="auto" w:fill="FFFFFF"/>
        </w:rPr>
        <w:fldChar w:fldCharType="begin" w:fldLock="1"/>
      </w:r>
      <w:r w:rsidRPr="00D61FE6">
        <w:rPr>
          <w:rFonts w:ascii="Times New Roman" w:eastAsia="MS Mincho" w:hAnsi="Times New Roman"/>
          <w:sz w:val="24"/>
          <w:szCs w:val="24"/>
          <w:shd w:val="clear" w:color="auto" w:fill="FFFFFF"/>
        </w:rPr>
        <w:instrText>ADDIN CSL_CITATION {"citationItems":[{"id":"ITEM-1","itemData":{"author":[{"dropping-particle":"","family":"Engelhard, G.","given":"Jr.","non-dropping-particle":"","parse-names":false,"suffix":""}],"id":"ITEM-1","issued":{"date-parts":[["2012"]]},"publisher":"Routledge","publisher-place":"New York, NY","title":"Invariant measurement : Using Rasch model in the social, behavioral and health sciences","type":"book"},"uris":["http://www.mendeley.com/documents/?uuid=65241571-087c-41ec-beaf-51ed20084e71"]}],"mendeley":{"formattedCitation":"(Engelhard, G., 2012)","manualFormatting":"Engelhard (2012)","plainTextFormattedCitation":"(Engelhard, G., 2012)","previouslyFormattedCitation":"(Engelhard, G., 2012)"},"properties":{"noteIndex":0},"schema":"https://github.com/citation-style-language/schema/raw/master/csl-citation.json"}</w:instrText>
      </w:r>
      <w:r w:rsidRPr="00D61FE6">
        <w:rPr>
          <w:rFonts w:ascii="Times New Roman" w:eastAsia="MS Mincho" w:hAnsi="Times New Roman"/>
          <w:sz w:val="24"/>
          <w:szCs w:val="24"/>
          <w:shd w:val="clear" w:color="auto" w:fill="FFFFFF"/>
        </w:rPr>
        <w:fldChar w:fldCharType="separate"/>
      </w:r>
      <w:r w:rsidRPr="00D61FE6">
        <w:rPr>
          <w:rFonts w:ascii="Times New Roman" w:eastAsia="MS Mincho" w:hAnsi="Times New Roman"/>
          <w:noProof/>
          <w:sz w:val="24"/>
          <w:szCs w:val="24"/>
          <w:shd w:val="clear" w:color="auto" w:fill="FFFFFF"/>
        </w:rPr>
        <w:t>Engelhard (2012)</w:t>
      </w:r>
      <w:r w:rsidRPr="00D61FE6">
        <w:rPr>
          <w:rFonts w:ascii="Times New Roman" w:eastAsia="MS Mincho" w:hAnsi="Times New Roman"/>
          <w:sz w:val="24"/>
          <w:szCs w:val="24"/>
          <w:shd w:val="clear" w:color="auto" w:fill="FFFFFF"/>
        </w:rPr>
        <w:fldChar w:fldCharType="end"/>
      </w:r>
      <w:r w:rsidRPr="00B45043">
        <w:rPr>
          <w:rFonts w:ascii="Times New Roman" w:eastAsia="MS Mincho" w:hAnsi="Times New Roman"/>
          <w:sz w:val="24"/>
          <w:szCs w:val="24"/>
        </w:rPr>
        <w:t xml:space="preserve"> dan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{"citationItems":[{"id":"ITEM-1","itemData":{"DOI":"10.1080/1554480X.2016.1242426","ISSN":"15544818","abstract":"This study adapts Levels 1 and 2 of Kirkpatrick's model of training evaluation to evaluate learning outcomes of an English as a second language (ESL) paragraph writing course offered by a major Asian university. The study uses a combination of surveys and writing tests administered at the beginning and end of the course. The survey evaluated changes in students' perception of their skills, attitude, and knowledge (SAK), and the writing tests measured their writing ability. Rasch measurement was applied to examine the psychometric validity of the instruments. The measured abilities were successively subjected to path modeling to evaluate Levels 1 and 2 of the model. The students reported that the module was enjoyable and useful. In addition, their self-perceived level of skills and knowledge developed across time alongside their writing scores but their attitude remained unchanged. Limitations of Kirkpatrick's model as well as lack of solid frameworks for evaluating educational effectiveness in applied linguistics are discussed.","author":[{"dropping-particle":"","family":"Aryadoust","given":"Vahid","non-dropping-particle":"","parse-names":false,"suffix":""}],"container-title":"Pedagogies","id":"ITEM-1","issue":"2","issued":{"date-parts":[["2017"]]},"page":"151-179","publisher":"Routledge","title":"Adapting levels 1 and 2 of Kirkpatrick’s model of training evaluation to examine the effectiveness of a tertiary-level writing course","type":"article-journal","volume":"12"},"uris":["http://www.mendeley.com/documents/?uuid=9a8f519e-242e-4302-8bd4-6980e52c4582"]}],"mendeley":{"formattedCitation":"(Aryadoust, 2017)","manualFormatting":"Aryadoust (2017)","plainTextFormattedCitation":"(Aryadoust, 2017)","previouslyFormattedCitation":"(Aryadoust, 2017)"},"properties":{"noteIndex":0},"schema":"https://github.com/citation-style-language/schema/raw/master/csl-citation.json"}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Aryadoust (2017)</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yang turut menilai pengetahuan dan kemahiran dengan memberi ujian kepada responden dalam kajian mereka. </w:t>
      </w:r>
      <w:r w:rsidRPr="00D61FE6">
        <w:rPr>
          <w:rFonts w:ascii="Times New Roman" w:eastAsia="MS Mincho" w:hAnsi="Times New Roman"/>
          <w:sz w:val="24"/>
          <w:szCs w:val="24"/>
          <w:shd w:val="clear" w:color="auto" w:fill="FFFFFF"/>
        </w:rPr>
        <w:fldChar w:fldCharType="begin" w:fldLock="1"/>
      </w:r>
      <w:r w:rsidRPr="00D61FE6">
        <w:rPr>
          <w:rFonts w:ascii="Times New Roman" w:eastAsia="MS Mincho" w:hAnsi="Times New Roman"/>
          <w:sz w:val="24"/>
          <w:szCs w:val="24"/>
          <w:shd w:val="clear" w:color="auto" w:fill="FFFFFF"/>
        </w:rPr>
        <w:instrText>ADDIN CSL_CITATION {"citationItems":[{"id":"ITEM-1","itemData":{"author":[{"dropping-particle":"","family":"Engelhard, G.","given":"Jr.","non-dropping-particle":"","parse-names":false,"suffix":""}],"id":"ITEM-1","issued":{"date-parts":[["2012"]]},"publisher":"Routledge","publisher-place":"New York, NY","title":"Invariant measurement : Using Rasch model in the social, behavioral and health sciences","type":"book"},"uris":["http://www.mendeley.com/documents/?uuid=65241571-087c-41ec-beaf-51ed20084e71"]}],"mendeley":{"formattedCitation":"(Engelhard, G., 2012)","manualFormatting":"Engelhard (2012)","plainTextFormattedCitation":"(Engelhard, G., 2012)","previouslyFormattedCitation":"(Engelhard, G., 2012)"},"properties":{"noteIndex":0},"schema":"https://github.com/citation-style-language/schema/raw/master/csl-citation.json"}</w:instrText>
      </w:r>
      <w:r w:rsidRPr="00D61FE6">
        <w:rPr>
          <w:rFonts w:ascii="Times New Roman" w:eastAsia="MS Mincho" w:hAnsi="Times New Roman"/>
          <w:sz w:val="24"/>
          <w:szCs w:val="24"/>
          <w:shd w:val="clear" w:color="auto" w:fill="FFFFFF"/>
        </w:rPr>
        <w:fldChar w:fldCharType="separate"/>
      </w:r>
      <w:r w:rsidRPr="00D61FE6">
        <w:rPr>
          <w:rFonts w:ascii="Times New Roman" w:eastAsia="MS Mincho" w:hAnsi="Times New Roman"/>
          <w:noProof/>
          <w:sz w:val="24"/>
          <w:szCs w:val="24"/>
          <w:shd w:val="clear" w:color="auto" w:fill="FFFFFF"/>
        </w:rPr>
        <w:t>Engelhard (2012)</w:t>
      </w:r>
      <w:r w:rsidRPr="00D61FE6">
        <w:rPr>
          <w:rFonts w:ascii="Times New Roman" w:eastAsia="MS Mincho" w:hAnsi="Times New Roman"/>
          <w:sz w:val="24"/>
          <w:szCs w:val="24"/>
          <w:shd w:val="clear" w:color="auto" w:fill="FFFFFF"/>
        </w:rPr>
        <w:fldChar w:fldCharType="end"/>
      </w:r>
      <w:r w:rsidRPr="00B45043">
        <w:rPr>
          <w:rFonts w:ascii="Times New Roman" w:eastAsia="MS Mincho" w:hAnsi="Times New Roman"/>
          <w:sz w:val="24"/>
          <w:szCs w:val="24"/>
        </w:rPr>
        <w:t xml:space="preserve"> berpendapat bahawa memberi ujian adalah salah satu pendekatan yang boleh dilaksanakan dan dipercayai untuk menyokong kaji selidik aspek kemahiran dan pengetahuan. </w:t>
      </w:r>
    </w:p>
    <w:p w:rsidR="00D61FE6" w:rsidRPr="00B45043" w:rsidRDefault="00D61FE6" w:rsidP="00D61FE6">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Oleh itu, kajian ini berjaya memberi impak positif kepada penduduk setempat dari segi daya tahan terhadap sebarang kemungkinan bencana yang akan berlaku. Langkah siapsiagaan dapat dilakukan dengan lebih sistematik dan efisyen. Penyelidik mengakui </w:t>
      </w:r>
      <w:r w:rsidRPr="00B45043">
        <w:rPr>
          <w:rFonts w:ascii="Times New Roman" w:eastAsia="MS Mincho" w:hAnsi="Times New Roman"/>
          <w:sz w:val="24"/>
          <w:szCs w:val="24"/>
        </w:rPr>
        <w:lastRenderedPageBreak/>
        <w:t xml:space="preserve">bahawa di Malaysia, latihan simulasi tsunami ini jarang dilakukan kerana kos untuk melaksanakan secara besar-besaran adalah tinggi. Namun, sekiranya ia dilaksanakan secara berjadual, ia mampu untuk meningkatkan kesedaran dan melatih masyarakat dengan lebih cekap. </w:t>
      </w:r>
      <w:r w:rsidRPr="00B45043">
        <w:rPr>
          <w:rFonts w:ascii="Times New Roman" w:eastAsia="MS Mincho" w:hAnsi="Times New Roman"/>
          <w:sz w:val="24"/>
          <w:szCs w:val="24"/>
        </w:rPr>
        <w:fldChar w:fldCharType="begin" w:fldLock="1"/>
      </w:r>
      <w:r w:rsidRPr="00B45043">
        <w:rPr>
          <w:rFonts w:ascii="Times New Roman" w:eastAsia="MS Mincho" w:hAnsi="Times New Roman"/>
          <w:sz w:val="24"/>
          <w:szCs w:val="24"/>
        </w:rPr>
        <w:instrText>ADDIN CSL_CITATION {"citationItems":[{"id":"ITEM-1","itemData":{"DOI":"10.1108/09653561311301961","ISSN":"0965-3562","abstract":"Improving simulation exercises in Korea for disaster preparedness","author":[{"dropping-particle":"","family":"Kim","given":"Hakkyong","non-dropping-particle":"","parse-names":false,"suffix":""}],"container-title":"Disaster Prevention and Management: An International Journal","id":"ITEM-1","issue":"1","issued":{"date-parts":[["2013","2","22"]]},"page":"38-47","title":"Improving simulation exercises in Korea for disaster preparedness","type":"article-journal","volume":"22"},"uris":["http://www.mendeley.com/documents/?uuid=d24ed780-3dcb-4dee-bba9-87a24ed5c8dd"]}],"mendeley":{"formattedCitation":"(Kim, 2013)","manualFormatting":"Kim (2013)","plainTextFormattedCitation":"(Kim, 2013)","previouslyFormattedCitation":"(Kim, 2013)"},"properties":{"noteIndex":0},"schema":"https://github.com/citation-style-language/schema/raw/master/csl-citation.json"}</w:instrText>
      </w:r>
      <w:r w:rsidRPr="00B45043">
        <w:rPr>
          <w:rFonts w:ascii="Times New Roman" w:eastAsia="MS Mincho" w:hAnsi="Times New Roman"/>
          <w:sz w:val="24"/>
          <w:szCs w:val="24"/>
        </w:rPr>
        <w:fldChar w:fldCharType="separate"/>
      </w:r>
      <w:r w:rsidRPr="00B45043">
        <w:rPr>
          <w:rFonts w:ascii="Times New Roman" w:eastAsia="MS Mincho" w:hAnsi="Times New Roman"/>
          <w:noProof/>
          <w:sz w:val="24"/>
          <w:szCs w:val="24"/>
        </w:rPr>
        <w:t>Kim (2013)</w:t>
      </w:r>
      <w:r w:rsidRPr="00B45043">
        <w:rPr>
          <w:rFonts w:ascii="Times New Roman" w:eastAsia="MS Mincho" w:hAnsi="Times New Roman"/>
          <w:sz w:val="24"/>
          <w:szCs w:val="24"/>
        </w:rPr>
        <w:fldChar w:fldCharType="end"/>
      </w:r>
      <w:r w:rsidRPr="00B45043">
        <w:rPr>
          <w:rFonts w:ascii="Times New Roman" w:eastAsia="MS Mincho" w:hAnsi="Times New Roman"/>
          <w:sz w:val="24"/>
          <w:szCs w:val="24"/>
        </w:rPr>
        <w:t xml:space="preserve"> berpendapat bahawa sekiranya latihan simulasi dijalankan secara berulang-ulang, ia dapat meminimakan kesilapan yang kerap dilakukan dan hasil latihan akan dilihat lebih optimum. Pendekatan </w:t>
      </w:r>
      <w:r w:rsidRPr="00B45043">
        <w:rPr>
          <w:rFonts w:ascii="Times New Roman" w:eastAsia="MS Mincho" w:hAnsi="Times New Roman"/>
          <w:i/>
          <w:sz w:val="24"/>
          <w:szCs w:val="24"/>
        </w:rPr>
        <w:t>bottom up</w:t>
      </w:r>
      <w:r w:rsidRPr="00B45043">
        <w:rPr>
          <w:rFonts w:ascii="Times New Roman" w:eastAsia="MS Mincho" w:hAnsi="Times New Roman"/>
          <w:sz w:val="24"/>
          <w:szCs w:val="24"/>
        </w:rPr>
        <w:t xml:space="preserve"> boleh dipraktikkan dengan meletakkan peranan pihak sekolah untuk menjalankan latihan simulasi ini secara berkala. Sememangnya pendidikan di sekolah mampu membantu dalam meningkatkan pengetahuan dan penyebaran maklumat tentang bencana secara berkesan menerusi pelajar kepada keluarga. Hal ini secara tidak langsung dapat melahirkan masyarakat yang peka dengan keadaan sekeliling.</w:t>
      </w:r>
    </w:p>
    <w:p w:rsidR="00D61FE6" w:rsidRDefault="00D61FE6" w:rsidP="00D61FE6">
      <w:pPr>
        <w:spacing w:after="0" w:line="240" w:lineRule="auto"/>
        <w:jc w:val="both"/>
        <w:rPr>
          <w:rFonts w:ascii="Times New Roman" w:eastAsia="Times New Roman" w:hAnsi="Times New Roman"/>
          <w:sz w:val="24"/>
          <w:szCs w:val="24"/>
        </w:rPr>
      </w:pPr>
    </w:p>
    <w:p w:rsidR="000C0D8D" w:rsidRPr="000C0D8D" w:rsidRDefault="000C0D8D" w:rsidP="00D61FE6">
      <w:pPr>
        <w:spacing w:after="0" w:line="240" w:lineRule="auto"/>
        <w:jc w:val="both"/>
        <w:rPr>
          <w:rFonts w:ascii="Times New Roman" w:eastAsia="Times New Roman" w:hAnsi="Times New Roman"/>
          <w:sz w:val="24"/>
          <w:szCs w:val="24"/>
        </w:rPr>
      </w:pPr>
    </w:p>
    <w:p w:rsidR="00D61FE6" w:rsidRPr="00B45043" w:rsidRDefault="00D61FE6" w:rsidP="00D61FE6">
      <w:pPr>
        <w:spacing w:after="0" w:line="240" w:lineRule="auto"/>
        <w:contextualSpacing/>
        <w:jc w:val="both"/>
        <w:rPr>
          <w:rFonts w:ascii="Times New Roman" w:eastAsia="MS Mincho" w:hAnsi="Times New Roman"/>
          <w:b/>
          <w:sz w:val="24"/>
          <w:szCs w:val="24"/>
        </w:rPr>
      </w:pPr>
      <w:r w:rsidRPr="00B45043">
        <w:rPr>
          <w:rFonts w:ascii="Times New Roman" w:eastAsia="MS Mincho" w:hAnsi="Times New Roman"/>
          <w:b/>
          <w:sz w:val="24"/>
          <w:szCs w:val="24"/>
        </w:rPr>
        <w:t>Kesimpulan</w:t>
      </w:r>
    </w:p>
    <w:p w:rsidR="00D61FE6" w:rsidRPr="00B45043" w:rsidRDefault="00D61FE6" w:rsidP="00D61FE6">
      <w:pPr>
        <w:spacing w:after="0" w:line="240" w:lineRule="auto"/>
        <w:contextualSpacing/>
        <w:jc w:val="both"/>
        <w:rPr>
          <w:rFonts w:ascii="Times New Roman" w:eastAsia="MS Mincho" w:hAnsi="Times New Roman"/>
          <w:b/>
          <w:sz w:val="24"/>
          <w:szCs w:val="24"/>
        </w:rPr>
      </w:pPr>
    </w:p>
    <w:p w:rsidR="00D61FE6" w:rsidRPr="00B45043" w:rsidRDefault="00D61FE6" w:rsidP="00D61FE6">
      <w:pPr>
        <w:spacing w:after="0" w:line="240" w:lineRule="auto"/>
        <w:contextualSpacing/>
        <w:jc w:val="both"/>
        <w:rPr>
          <w:rFonts w:ascii="Times New Roman" w:eastAsia="MS Mincho" w:hAnsi="Times New Roman"/>
          <w:b/>
          <w:sz w:val="24"/>
          <w:szCs w:val="24"/>
        </w:rPr>
      </w:pPr>
      <w:r w:rsidRPr="00B45043">
        <w:rPr>
          <w:rFonts w:ascii="Times New Roman" w:eastAsia="MS Mincho" w:hAnsi="Times New Roman"/>
          <w:sz w:val="24"/>
          <w:szCs w:val="24"/>
        </w:rPr>
        <w:t>Secara keseluruhannya, program simulasi yang dijalankan mampu meningkatkan kesedaran tentang bencana dalam kalangan responden. Inisiatif pihak penganjur juga untuk menambahbaik pusat evakuasi serta penambahan infrastruktur awam seperti pembaikan jalan raya yang lebih lebar dan luas serta meletakkan papan tanda kecemasan di kawasan kajian adalah suatu tindakan proaktif.</w:t>
      </w:r>
    </w:p>
    <w:p w:rsidR="00D61FE6" w:rsidRPr="00B45043" w:rsidRDefault="00D61FE6" w:rsidP="000C0D8D">
      <w:pPr>
        <w:spacing w:after="0" w:line="240" w:lineRule="auto"/>
        <w:ind w:firstLine="720"/>
        <w:jc w:val="both"/>
        <w:rPr>
          <w:rFonts w:ascii="Times New Roman" w:eastAsia="MS Mincho" w:hAnsi="Times New Roman"/>
          <w:sz w:val="24"/>
          <w:szCs w:val="24"/>
        </w:rPr>
      </w:pPr>
      <w:r w:rsidRPr="00B45043">
        <w:rPr>
          <w:rFonts w:ascii="Times New Roman" w:eastAsia="MS Mincho" w:hAnsi="Times New Roman"/>
          <w:sz w:val="24"/>
          <w:szCs w:val="24"/>
        </w:rPr>
        <w:t xml:space="preserve">Selain itu, cadangan menambah baik sistem pendidikan di Malaysia adalah diperlukan melalui penambahan aspek pengurusan bencana dalam silibus pembelajaran di peringkat sekolah. Peranan pihak kementerian pendidikan adalah perlu dalam usaha mengkaji semula silibus pembelajaran di sekolah rendah dan menengah bagi subjek geografi. Usaha ini secara tidak langsung dapat memberi pendedahan kepada pelajar tentang fenomena bencana alam yang berlaku sama ada dalam negara mahupun luar negara. Kerjasama dengan NGO juga adalah penting. Penyelidik mendapati bahawa pihak NGO lebih bergiat aktif dalam membantu masyarakat untuk memupuk kesedaran alam sekitar. Oleh yang demikian, kerjasama pihak sekolah dan NGO boleh dipertingkatkan. Pihak sekolah boleh menjemput mereka untuk mengadakan aktiviti yang bermanfaat seperti pertunjukkan pameran, ceramah kesedaran alam sekitar, kuiz dan sebagainya. Hal ini secara tidak langsung membantu perkembangan ilmu baru dan mewujudkan suasana pembelajaran dua hala yang berbeza berbanding pembelajaran di dalam kelas.  </w:t>
      </w:r>
    </w:p>
    <w:p w:rsidR="00D61FE6" w:rsidRDefault="00D61FE6" w:rsidP="00D61FE6">
      <w:pPr>
        <w:spacing w:after="0" w:line="240" w:lineRule="auto"/>
        <w:jc w:val="both"/>
        <w:rPr>
          <w:rFonts w:ascii="Times New Roman" w:eastAsia="MS Mincho" w:hAnsi="Times New Roman"/>
          <w:sz w:val="24"/>
          <w:szCs w:val="24"/>
        </w:rPr>
      </w:pPr>
    </w:p>
    <w:p w:rsidR="000C0D8D" w:rsidRPr="00B45043" w:rsidRDefault="000C0D8D" w:rsidP="00D61FE6">
      <w:pPr>
        <w:spacing w:after="0" w:line="240" w:lineRule="auto"/>
        <w:jc w:val="both"/>
        <w:rPr>
          <w:rFonts w:ascii="Times New Roman" w:eastAsia="MS Mincho" w:hAnsi="Times New Roman"/>
          <w:sz w:val="24"/>
          <w:szCs w:val="24"/>
        </w:rPr>
      </w:pPr>
    </w:p>
    <w:p w:rsidR="00D61FE6" w:rsidRPr="00B45043" w:rsidRDefault="00D61FE6" w:rsidP="00D61FE6">
      <w:pPr>
        <w:spacing w:after="0" w:line="240" w:lineRule="auto"/>
        <w:jc w:val="both"/>
        <w:rPr>
          <w:rFonts w:ascii="Times New Roman" w:eastAsia="MS Mincho" w:hAnsi="Times New Roman"/>
          <w:b/>
          <w:sz w:val="24"/>
          <w:szCs w:val="24"/>
        </w:rPr>
      </w:pPr>
      <w:r w:rsidRPr="00B45043">
        <w:rPr>
          <w:rFonts w:ascii="Times New Roman" w:eastAsia="MS Mincho" w:hAnsi="Times New Roman"/>
          <w:b/>
          <w:sz w:val="24"/>
          <w:szCs w:val="24"/>
        </w:rPr>
        <w:t>Penghargaan</w:t>
      </w:r>
    </w:p>
    <w:p w:rsidR="00D61FE6" w:rsidRPr="00B45043" w:rsidRDefault="00D61FE6" w:rsidP="00D61FE6">
      <w:pPr>
        <w:spacing w:after="0" w:line="240" w:lineRule="auto"/>
        <w:jc w:val="both"/>
        <w:rPr>
          <w:rFonts w:ascii="Times New Roman" w:eastAsia="MS Mincho" w:hAnsi="Times New Roman"/>
          <w:b/>
          <w:sz w:val="24"/>
          <w:szCs w:val="24"/>
        </w:rPr>
      </w:pPr>
    </w:p>
    <w:p w:rsidR="00D61FE6" w:rsidRPr="00B45043" w:rsidRDefault="00D61FE6" w:rsidP="00D61FE6">
      <w:pPr>
        <w:spacing w:after="0" w:line="240" w:lineRule="auto"/>
        <w:jc w:val="both"/>
        <w:rPr>
          <w:rFonts w:ascii="Times New Roman" w:eastAsia="MS Mincho" w:hAnsi="Times New Roman"/>
          <w:sz w:val="24"/>
          <w:szCs w:val="24"/>
        </w:rPr>
      </w:pPr>
      <w:r w:rsidRPr="00B45043">
        <w:rPr>
          <w:rFonts w:ascii="Times New Roman" w:eastAsia="MS Mincho" w:hAnsi="Times New Roman"/>
          <w:sz w:val="24"/>
          <w:szCs w:val="24"/>
        </w:rPr>
        <w:t xml:space="preserve">Kajian ini adalah sumbangan daripada Geran Penyelidikan Bridging bernombor 304.PJJAUH.6316192 Universiti Sains Malaysia (USM). </w:t>
      </w:r>
    </w:p>
    <w:p w:rsidR="00D61FE6" w:rsidRDefault="00D61FE6" w:rsidP="000C0D8D">
      <w:pPr>
        <w:spacing w:after="0" w:line="240" w:lineRule="auto"/>
        <w:rPr>
          <w:rFonts w:ascii="Times New Roman" w:hAnsi="Times New Roman"/>
          <w:b/>
          <w:sz w:val="24"/>
          <w:szCs w:val="24"/>
        </w:rPr>
      </w:pPr>
    </w:p>
    <w:p w:rsidR="000C0D8D" w:rsidRPr="00B45043" w:rsidRDefault="000C0D8D" w:rsidP="000C0D8D">
      <w:pPr>
        <w:spacing w:after="0" w:line="240" w:lineRule="auto"/>
        <w:rPr>
          <w:rFonts w:ascii="Times New Roman" w:hAnsi="Times New Roman"/>
          <w:b/>
          <w:sz w:val="24"/>
          <w:szCs w:val="24"/>
        </w:rPr>
      </w:pPr>
    </w:p>
    <w:p w:rsidR="00D61FE6" w:rsidRDefault="00D61FE6" w:rsidP="000C0D8D">
      <w:pPr>
        <w:spacing w:after="0" w:line="240" w:lineRule="auto"/>
        <w:rPr>
          <w:rFonts w:ascii="Times New Roman" w:hAnsi="Times New Roman"/>
          <w:b/>
          <w:sz w:val="24"/>
          <w:szCs w:val="24"/>
        </w:rPr>
      </w:pPr>
      <w:r w:rsidRPr="00B45043">
        <w:rPr>
          <w:rFonts w:ascii="Times New Roman" w:hAnsi="Times New Roman"/>
          <w:b/>
          <w:sz w:val="24"/>
          <w:szCs w:val="24"/>
        </w:rPr>
        <w:t>Rujukan</w:t>
      </w:r>
    </w:p>
    <w:p w:rsidR="00426305" w:rsidRPr="00B45043" w:rsidRDefault="00426305" w:rsidP="000C0D8D">
      <w:pPr>
        <w:spacing w:after="0" w:line="240" w:lineRule="auto"/>
        <w:rPr>
          <w:rFonts w:ascii="Times New Roman" w:hAnsi="Times New Roman"/>
          <w:b/>
          <w:sz w:val="24"/>
          <w:szCs w:val="24"/>
        </w:rPr>
      </w:pP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B45043">
        <w:rPr>
          <w:rFonts w:ascii="Times New Roman" w:eastAsia="MS Mincho" w:hAnsi="Times New Roman"/>
          <w:b/>
          <w:sz w:val="24"/>
          <w:szCs w:val="24"/>
        </w:rPr>
        <w:fldChar w:fldCharType="begin" w:fldLock="1"/>
      </w:r>
      <w:r w:rsidRPr="00B45043">
        <w:rPr>
          <w:rFonts w:ascii="Times New Roman" w:eastAsia="MS Mincho" w:hAnsi="Times New Roman"/>
          <w:b/>
          <w:sz w:val="24"/>
          <w:szCs w:val="24"/>
        </w:rPr>
        <w:instrText xml:space="preserve">ADDIN Mendeley Bibliography CSL_BIBLIOGRAPHY </w:instrText>
      </w:r>
      <w:r w:rsidRPr="00B45043">
        <w:rPr>
          <w:rFonts w:ascii="Times New Roman" w:eastAsia="MS Mincho" w:hAnsi="Times New Roman"/>
          <w:b/>
          <w:sz w:val="24"/>
          <w:szCs w:val="24"/>
        </w:rPr>
        <w:fldChar w:fldCharType="separate"/>
      </w:r>
      <w:r w:rsidRPr="003F120D">
        <w:rPr>
          <w:rFonts w:ascii="Times New Roman" w:hAnsi="Times New Roman"/>
          <w:noProof/>
          <w:sz w:val="24"/>
          <w:szCs w:val="24"/>
        </w:rPr>
        <w:t xml:space="preserve">Ahmadun, F. R., Wong, M. M. R., &amp; Mat Said, A. (2019). Consequences of the 2004 Indian Ocean Tsunami in Malaysia. </w:t>
      </w:r>
      <w:r w:rsidRPr="003F120D">
        <w:rPr>
          <w:rFonts w:ascii="Times New Roman" w:hAnsi="Times New Roman"/>
          <w:i/>
          <w:iCs/>
          <w:noProof/>
          <w:sz w:val="24"/>
          <w:szCs w:val="24"/>
        </w:rPr>
        <w:t>Safety Science</w:t>
      </w:r>
      <w:r w:rsidRPr="003F120D">
        <w:rPr>
          <w:rFonts w:ascii="Times New Roman" w:hAnsi="Times New Roman"/>
          <w:noProof/>
          <w:sz w:val="24"/>
          <w:szCs w:val="24"/>
        </w:rPr>
        <w:t xml:space="preserve">, </w:t>
      </w:r>
      <w:r w:rsidRPr="003F120D">
        <w:rPr>
          <w:rFonts w:ascii="Times New Roman" w:hAnsi="Times New Roman"/>
          <w:i/>
          <w:iCs/>
          <w:noProof/>
          <w:sz w:val="24"/>
          <w:szCs w:val="24"/>
        </w:rPr>
        <w:t>121</w:t>
      </w:r>
      <w:r w:rsidRPr="003F120D">
        <w:rPr>
          <w:rFonts w:ascii="Times New Roman" w:hAnsi="Times New Roman"/>
          <w:noProof/>
          <w:sz w:val="24"/>
          <w:szCs w:val="24"/>
        </w:rPr>
        <w:t>(May 2019), 619–631. https://doi.org/10.1016/</w:t>
      </w:r>
      <w:r w:rsidR="00426305">
        <w:rPr>
          <w:rFonts w:ascii="Times New Roman" w:hAnsi="Times New Roman"/>
          <w:noProof/>
          <w:sz w:val="24"/>
          <w:szCs w:val="24"/>
        </w:rPr>
        <w:t xml:space="preserve"> </w:t>
      </w:r>
      <w:r w:rsidRPr="003F120D">
        <w:rPr>
          <w:rFonts w:ascii="Times New Roman" w:hAnsi="Times New Roman"/>
          <w:noProof/>
          <w:sz w:val="24"/>
          <w:szCs w:val="24"/>
        </w:rPr>
        <w:t>j.ssci.2019.05.016</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Ali, A. M., Omar, T. R., Noor Ella Mohamad Zip, Nor Suziani Ismail, &amp; Zulkifli, T. (2009). Keberkesanan latihan di kalangan kakitangan kumpulan sokongan di Pejabat Setiausaha Kerajaan Negeri Kedah Darul Aman. In </w:t>
      </w:r>
      <w:r w:rsidRPr="003F120D">
        <w:rPr>
          <w:rFonts w:ascii="Times New Roman" w:hAnsi="Times New Roman"/>
          <w:i/>
          <w:iCs/>
          <w:noProof/>
          <w:sz w:val="24"/>
          <w:szCs w:val="24"/>
        </w:rPr>
        <w:t>Amalan latihan dan pembangunan sumber manusia di Malaysia</w:t>
      </w:r>
      <w:r w:rsidRPr="003F120D">
        <w:rPr>
          <w:rFonts w:ascii="Times New Roman" w:hAnsi="Times New Roman"/>
          <w:noProof/>
          <w:sz w:val="24"/>
          <w:szCs w:val="24"/>
        </w:rPr>
        <w:t xml:space="preserve"> (pp. 56–81).</w:t>
      </w:r>
      <w:r w:rsidR="00426305">
        <w:rPr>
          <w:rFonts w:ascii="Times New Roman" w:hAnsi="Times New Roman"/>
          <w:noProof/>
          <w:sz w:val="24"/>
          <w:szCs w:val="24"/>
        </w:rPr>
        <w:t xml:space="preserve"> </w:t>
      </w:r>
      <w:r w:rsidR="00426305" w:rsidRPr="00426305">
        <w:rPr>
          <w:rFonts w:ascii="Times New Roman" w:hAnsi="Times New Roman"/>
          <w:noProof/>
          <w:sz w:val="24"/>
          <w:szCs w:val="24"/>
        </w:rPr>
        <w:t>Skudai, Johor</w:t>
      </w:r>
      <w:r w:rsidR="00426305">
        <w:rPr>
          <w:rFonts w:ascii="Times New Roman" w:hAnsi="Times New Roman"/>
          <w:noProof/>
          <w:sz w:val="24"/>
          <w:szCs w:val="24"/>
        </w:rPr>
        <w:t>,</w:t>
      </w:r>
      <w:r w:rsidR="00426305" w:rsidRPr="00426305">
        <w:rPr>
          <w:rFonts w:ascii="Times New Roman" w:hAnsi="Times New Roman"/>
          <w:noProof/>
          <w:sz w:val="24"/>
          <w:szCs w:val="24"/>
        </w:rPr>
        <w:t xml:space="preserve"> </w:t>
      </w:r>
      <w:r w:rsidR="00426305">
        <w:rPr>
          <w:rFonts w:ascii="Times New Roman" w:hAnsi="Times New Roman"/>
          <w:noProof/>
          <w:sz w:val="24"/>
          <w:szCs w:val="24"/>
        </w:rPr>
        <w:t>Penerbit UTM Press.</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Aryadoust, V. (2017). Adapting levels 1 and 2 of Kirkpatrick’s model of training evaluation </w:t>
      </w:r>
      <w:r w:rsidRPr="003F120D">
        <w:rPr>
          <w:rFonts w:ascii="Times New Roman" w:hAnsi="Times New Roman"/>
          <w:noProof/>
          <w:sz w:val="24"/>
          <w:szCs w:val="24"/>
        </w:rPr>
        <w:lastRenderedPageBreak/>
        <w:t xml:space="preserve">to examine the effectiveness of a tertiary-level writing course. </w:t>
      </w:r>
      <w:r w:rsidRPr="003F120D">
        <w:rPr>
          <w:rFonts w:ascii="Times New Roman" w:hAnsi="Times New Roman"/>
          <w:i/>
          <w:iCs/>
          <w:noProof/>
          <w:sz w:val="24"/>
          <w:szCs w:val="24"/>
        </w:rPr>
        <w:t>Pedagogies</w:t>
      </w:r>
      <w:r w:rsidRPr="003F120D">
        <w:rPr>
          <w:rFonts w:ascii="Times New Roman" w:hAnsi="Times New Roman"/>
          <w:noProof/>
          <w:sz w:val="24"/>
          <w:szCs w:val="24"/>
        </w:rPr>
        <w:t xml:space="preserve">, </w:t>
      </w:r>
      <w:r w:rsidRPr="003F120D">
        <w:rPr>
          <w:rFonts w:ascii="Times New Roman" w:hAnsi="Times New Roman"/>
          <w:i/>
          <w:iCs/>
          <w:noProof/>
          <w:sz w:val="24"/>
          <w:szCs w:val="24"/>
        </w:rPr>
        <w:t>12</w:t>
      </w:r>
      <w:r w:rsidRPr="003F120D">
        <w:rPr>
          <w:rFonts w:ascii="Times New Roman" w:hAnsi="Times New Roman"/>
          <w:noProof/>
          <w:sz w:val="24"/>
          <w:szCs w:val="24"/>
        </w:rPr>
        <w:t>(2), 151–179. https://doi.org/10.1080/1554480X.2016.1242426</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Asmawi, M. Z., &amp; Ibrahim, A. N. (2013). The impacts of tsunami on the well-being of the affected community in Kuala Muda, Kedah, Malaysia. </w:t>
      </w:r>
      <w:r w:rsidRPr="003F120D">
        <w:rPr>
          <w:rFonts w:ascii="Times New Roman" w:hAnsi="Times New Roman"/>
          <w:i/>
          <w:iCs/>
          <w:noProof/>
          <w:sz w:val="24"/>
          <w:szCs w:val="24"/>
        </w:rPr>
        <w:t>Journal of Clean Energy Technologies</w:t>
      </w:r>
      <w:r w:rsidRPr="003F120D">
        <w:rPr>
          <w:rFonts w:ascii="Times New Roman" w:hAnsi="Times New Roman"/>
          <w:noProof/>
          <w:sz w:val="24"/>
          <w:szCs w:val="24"/>
        </w:rPr>
        <w:t xml:space="preserve">, </w:t>
      </w:r>
      <w:r w:rsidRPr="003F120D">
        <w:rPr>
          <w:rFonts w:ascii="Times New Roman" w:hAnsi="Times New Roman"/>
          <w:i/>
          <w:iCs/>
          <w:noProof/>
          <w:sz w:val="24"/>
          <w:szCs w:val="24"/>
        </w:rPr>
        <w:t>1</w:t>
      </w:r>
      <w:r w:rsidRPr="003F120D">
        <w:rPr>
          <w:rFonts w:ascii="Times New Roman" w:hAnsi="Times New Roman"/>
          <w:noProof/>
          <w:sz w:val="24"/>
          <w:szCs w:val="24"/>
        </w:rPr>
        <w:t>(3), 246–250. https://doi.org/10.7763/jocet.2013.v1.56</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Cha, L. S., Noor Asmawati Naraman @ </w:t>
      </w:r>
      <w:r w:rsidR="00426305">
        <w:rPr>
          <w:rFonts w:ascii="Times New Roman" w:hAnsi="Times New Roman"/>
          <w:noProof/>
          <w:sz w:val="24"/>
          <w:szCs w:val="24"/>
        </w:rPr>
        <w:t>K</w:t>
      </w:r>
      <w:r w:rsidRPr="003F120D">
        <w:rPr>
          <w:rFonts w:ascii="Times New Roman" w:hAnsi="Times New Roman"/>
          <w:noProof/>
          <w:sz w:val="24"/>
          <w:szCs w:val="24"/>
        </w:rPr>
        <w:t xml:space="preserve">amarul Zaman, Nurfatin Alea Azmi, &amp; Nurul Aini Mohmad Nordin. (2017). </w:t>
      </w:r>
      <w:r w:rsidRPr="003F120D">
        <w:rPr>
          <w:rFonts w:ascii="Times New Roman" w:hAnsi="Times New Roman"/>
          <w:i/>
          <w:iCs/>
          <w:noProof/>
          <w:sz w:val="24"/>
          <w:szCs w:val="24"/>
        </w:rPr>
        <w:t>Revitalisasi warisan budaya di Kg. Sg Emas, Kota Kuala Muda (Past, Present &amp; Future)</w:t>
      </w:r>
      <w:r w:rsidRPr="003F120D">
        <w:rPr>
          <w:rFonts w:ascii="Times New Roman" w:hAnsi="Times New Roman"/>
          <w:noProof/>
          <w:sz w:val="24"/>
          <w:szCs w:val="24"/>
        </w:rPr>
        <w:t>.</w:t>
      </w:r>
      <w:r>
        <w:rPr>
          <w:rFonts w:ascii="Times New Roman" w:hAnsi="Times New Roman"/>
          <w:noProof/>
          <w:sz w:val="24"/>
          <w:szCs w:val="24"/>
        </w:rPr>
        <w:t xml:space="preserve"> </w:t>
      </w:r>
      <w:r w:rsidRPr="00D93232">
        <w:rPr>
          <w:rFonts w:ascii="Times New Roman" w:hAnsi="Times New Roman"/>
          <w:noProof/>
          <w:sz w:val="24"/>
          <w:szCs w:val="24"/>
        </w:rPr>
        <w:t>School of Housing</w:t>
      </w:r>
      <w:r w:rsidR="00D14E23">
        <w:rPr>
          <w:rFonts w:ascii="Times New Roman" w:hAnsi="Times New Roman"/>
          <w:noProof/>
          <w:sz w:val="24"/>
          <w:szCs w:val="24"/>
        </w:rPr>
        <w:t>,</w:t>
      </w:r>
      <w:r w:rsidRPr="00D93232">
        <w:rPr>
          <w:rFonts w:ascii="Times New Roman" w:hAnsi="Times New Roman"/>
          <w:noProof/>
          <w:sz w:val="24"/>
          <w:szCs w:val="24"/>
        </w:rPr>
        <w:t xml:space="preserve"> Building and Planning, Universiti Sains Malaysia</w:t>
      </w:r>
      <w:r w:rsidR="00D14E23">
        <w:rPr>
          <w:rFonts w:ascii="Times New Roman" w:hAnsi="Times New Roman"/>
          <w:noProof/>
          <w:sz w:val="24"/>
          <w:szCs w:val="24"/>
        </w:rPr>
        <w:t xml:space="preserve">. Retreived from </w:t>
      </w:r>
      <w:r w:rsidR="00D14E23" w:rsidRPr="00D14E23">
        <w:rPr>
          <w:rFonts w:ascii="Times New Roman" w:hAnsi="Times New Roman"/>
          <w:noProof/>
          <w:sz w:val="24"/>
          <w:szCs w:val="24"/>
        </w:rPr>
        <w:t>https://www.academia.edu/35689837/Revitalasi_Warisan_</w:t>
      </w:r>
      <w:r w:rsidR="00D14E23">
        <w:rPr>
          <w:rFonts w:ascii="Times New Roman" w:hAnsi="Times New Roman"/>
          <w:noProof/>
          <w:sz w:val="24"/>
          <w:szCs w:val="24"/>
        </w:rPr>
        <w:t xml:space="preserve"> </w:t>
      </w:r>
      <w:r w:rsidR="00D14E23" w:rsidRPr="00D14E23">
        <w:rPr>
          <w:rFonts w:ascii="Times New Roman" w:hAnsi="Times New Roman"/>
          <w:noProof/>
          <w:sz w:val="24"/>
          <w:szCs w:val="24"/>
        </w:rPr>
        <w:t>Budaya_Kpg_Sungai_Udang_SBP_Pulau_Pinang</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Engelhard, G., J. (2012). </w:t>
      </w:r>
      <w:r w:rsidRPr="003F120D">
        <w:rPr>
          <w:rFonts w:ascii="Times New Roman" w:hAnsi="Times New Roman"/>
          <w:i/>
          <w:iCs/>
          <w:noProof/>
          <w:sz w:val="24"/>
          <w:szCs w:val="24"/>
        </w:rPr>
        <w:t>Invariant measurement : Using Rasch model in the social, behavioral and health sciences</w:t>
      </w:r>
      <w:r w:rsidRPr="003F120D">
        <w:rPr>
          <w:rFonts w:ascii="Times New Roman" w:hAnsi="Times New Roman"/>
          <w:noProof/>
          <w:sz w:val="24"/>
          <w:szCs w:val="24"/>
        </w:rPr>
        <w:t xml:space="preserve">. </w:t>
      </w:r>
      <w:r w:rsidR="00D14E23">
        <w:rPr>
          <w:rFonts w:ascii="Times New Roman" w:hAnsi="Times New Roman"/>
          <w:noProof/>
          <w:sz w:val="24"/>
          <w:szCs w:val="24"/>
        </w:rPr>
        <w:t xml:space="preserve">London, </w:t>
      </w:r>
      <w:r w:rsidRPr="003F120D">
        <w:rPr>
          <w:rFonts w:ascii="Times New Roman" w:hAnsi="Times New Roman"/>
          <w:noProof/>
          <w:sz w:val="24"/>
          <w:szCs w:val="24"/>
        </w:rPr>
        <w:t>Routledge.</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Fauzi Hussin, Jamal Ali, &amp; Mohd Saifoul Zamzuri Noor. (2014). Analisis faktor dan kebolehpercayaan intrumen. In </w:t>
      </w:r>
      <w:r w:rsidRPr="003F120D">
        <w:rPr>
          <w:rFonts w:ascii="Times New Roman" w:hAnsi="Times New Roman"/>
          <w:i/>
          <w:iCs/>
          <w:noProof/>
          <w:sz w:val="24"/>
          <w:szCs w:val="24"/>
        </w:rPr>
        <w:t>Kaedah Penyelidikan dan analisis data SPSS</w:t>
      </w:r>
      <w:r w:rsidRPr="003F120D">
        <w:rPr>
          <w:rFonts w:ascii="Times New Roman" w:hAnsi="Times New Roman"/>
          <w:noProof/>
          <w:sz w:val="24"/>
          <w:szCs w:val="24"/>
        </w:rPr>
        <w:t xml:space="preserve"> (6th ed.). </w:t>
      </w:r>
      <w:r w:rsidR="00D14E23">
        <w:rPr>
          <w:rFonts w:ascii="Times New Roman" w:hAnsi="Times New Roman"/>
          <w:noProof/>
          <w:sz w:val="24"/>
          <w:szCs w:val="24"/>
        </w:rPr>
        <w:t xml:space="preserve">Sintok, Kedah, </w:t>
      </w:r>
      <w:r w:rsidRPr="003F120D">
        <w:rPr>
          <w:rFonts w:ascii="Times New Roman" w:hAnsi="Times New Roman"/>
          <w:noProof/>
          <w:sz w:val="24"/>
          <w:szCs w:val="24"/>
        </w:rPr>
        <w:t>UUM Press.</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Frantz, J. M., Bezuidenhout, J., Burch, V. C., Mthembu, S., Rowe, M., Tan, C., Van Wyk, J., &amp; Van Heerden, B. (2015). The impact of a faculty development programme for health professions educators in sub-Saharan Africa: An archival study. </w:t>
      </w:r>
      <w:r w:rsidRPr="003F120D">
        <w:rPr>
          <w:rFonts w:ascii="Times New Roman" w:hAnsi="Times New Roman"/>
          <w:i/>
          <w:iCs/>
          <w:noProof/>
          <w:sz w:val="24"/>
          <w:szCs w:val="24"/>
        </w:rPr>
        <w:t>BMC Medical Education</w:t>
      </w:r>
      <w:r w:rsidRPr="003F120D">
        <w:rPr>
          <w:rFonts w:ascii="Times New Roman" w:hAnsi="Times New Roman"/>
          <w:noProof/>
          <w:sz w:val="24"/>
          <w:szCs w:val="24"/>
        </w:rPr>
        <w:t xml:space="preserve">, </w:t>
      </w:r>
      <w:r w:rsidRPr="003F120D">
        <w:rPr>
          <w:rFonts w:ascii="Times New Roman" w:hAnsi="Times New Roman"/>
          <w:i/>
          <w:iCs/>
          <w:noProof/>
          <w:sz w:val="24"/>
          <w:szCs w:val="24"/>
        </w:rPr>
        <w:t>15</w:t>
      </w:r>
      <w:r w:rsidRPr="003F120D">
        <w:rPr>
          <w:rFonts w:ascii="Times New Roman" w:hAnsi="Times New Roman"/>
          <w:noProof/>
          <w:sz w:val="24"/>
          <w:szCs w:val="24"/>
        </w:rPr>
        <w:t>(</w:t>
      </w:r>
      <w:r w:rsidR="00D14E23">
        <w:rPr>
          <w:rFonts w:ascii="Times New Roman" w:hAnsi="Times New Roman"/>
          <w:noProof/>
          <w:sz w:val="24"/>
          <w:szCs w:val="24"/>
        </w:rPr>
        <w:t>28</w:t>
      </w:r>
      <w:r w:rsidRPr="003F120D">
        <w:rPr>
          <w:rFonts w:ascii="Times New Roman" w:hAnsi="Times New Roman"/>
          <w:noProof/>
          <w:sz w:val="24"/>
          <w:szCs w:val="24"/>
        </w:rPr>
        <w:t>). https://doi.org/10.1186/s12909-015-0320-7</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Galeri Tsunami Kota Kuala Muda, K. (2018). </w:t>
      </w:r>
      <w:r w:rsidRPr="003F120D">
        <w:rPr>
          <w:rFonts w:ascii="Times New Roman" w:hAnsi="Times New Roman"/>
          <w:i/>
          <w:iCs/>
          <w:noProof/>
          <w:sz w:val="24"/>
          <w:szCs w:val="24"/>
        </w:rPr>
        <w:t>Kajian Lapangan</w:t>
      </w:r>
      <w:r w:rsidRPr="003F120D">
        <w:rPr>
          <w:rFonts w:ascii="Times New Roman" w:hAnsi="Times New Roman"/>
          <w:noProof/>
          <w:sz w:val="24"/>
          <w:szCs w:val="24"/>
        </w:rPr>
        <w:t>.</w:t>
      </w:r>
      <w:r>
        <w:rPr>
          <w:rFonts w:ascii="Times New Roman" w:hAnsi="Times New Roman"/>
          <w:noProof/>
          <w:sz w:val="24"/>
          <w:szCs w:val="24"/>
        </w:rPr>
        <w:t xml:space="preserve"> 6 August 2018</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Gao, P., Xiang, H., Liu, S., Liu, Y., Dong, S., Liu, F., Yu, W., Li, X., Guan, L., Chu, Y., Mao, Z., Chen, S., &amp; Tang, S. (2018). Evaluation of a consulting training course for international development assistance for health. </w:t>
      </w:r>
      <w:r w:rsidRPr="003F120D">
        <w:rPr>
          <w:rFonts w:ascii="Times New Roman" w:hAnsi="Times New Roman"/>
          <w:i/>
          <w:iCs/>
          <w:noProof/>
          <w:sz w:val="24"/>
          <w:szCs w:val="24"/>
        </w:rPr>
        <w:t>BMC Medical Education</w:t>
      </w:r>
      <w:r w:rsidRPr="003F120D">
        <w:rPr>
          <w:rFonts w:ascii="Times New Roman" w:hAnsi="Times New Roman"/>
          <w:noProof/>
          <w:sz w:val="24"/>
          <w:szCs w:val="24"/>
        </w:rPr>
        <w:t xml:space="preserve">, </w:t>
      </w:r>
      <w:r w:rsidRPr="003F120D">
        <w:rPr>
          <w:rFonts w:ascii="Times New Roman" w:hAnsi="Times New Roman"/>
          <w:i/>
          <w:iCs/>
          <w:noProof/>
          <w:sz w:val="24"/>
          <w:szCs w:val="24"/>
        </w:rPr>
        <w:t>18</w:t>
      </w:r>
      <w:r w:rsidRPr="003F120D">
        <w:rPr>
          <w:rFonts w:ascii="Times New Roman" w:hAnsi="Times New Roman"/>
          <w:noProof/>
          <w:sz w:val="24"/>
          <w:szCs w:val="24"/>
        </w:rPr>
        <w:t>(1), 1–10. https://doi.org/10.1186/s12909-018-1339-3</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Jones, C., Fraser, J., &amp; Randall, S. (2018). The evaluation of a home-based paediatric nursing service: concept and design development using the Kirkpatrick model. </w:t>
      </w:r>
      <w:r w:rsidRPr="003F120D">
        <w:rPr>
          <w:rFonts w:ascii="Times New Roman" w:hAnsi="Times New Roman"/>
          <w:i/>
          <w:iCs/>
          <w:noProof/>
          <w:sz w:val="24"/>
          <w:szCs w:val="24"/>
        </w:rPr>
        <w:t>Journal of Research in Nursing</w:t>
      </w:r>
      <w:r w:rsidRPr="003F120D">
        <w:rPr>
          <w:rFonts w:ascii="Times New Roman" w:hAnsi="Times New Roman"/>
          <w:noProof/>
          <w:sz w:val="24"/>
          <w:szCs w:val="24"/>
        </w:rPr>
        <w:t xml:space="preserve">, </w:t>
      </w:r>
      <w:r w:rsidRPr="003F120D">
        <w:rPr>
          <w:rFonts w:ascii="Times New Roman" w:hAnsi="Times New Roman"/>
          <w:i/>
          <w:iCs/>
          <w:noProof/>
          <w:sz w:val="24"/>
          <w:szCs w:val="24"/>
        </w:rPr>
        <w:t>23</w:t>
      </w:r>
      <w:r w:rsidRPr="003F120D">
        <w:rPr>
          <w:rFonts w:ascii="Times New Roman" w:hAnsi="Times New Roman"/>
          <w:noProof/>
          <w:sz w:val="24"/>
          <w:szCs w:val="24"/>
        </w:rPr>
        <w:t>(6), 492–501. https://doi.org/10.1177/1744987118786019</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Jr, W. A., Tubre, T., Paul, D. S., &amp; Edens, P. S. (2003). Teaching Effectiveness: The relationship between reaction and learning evaluation criteria. </w:t>
      </w:r>
      <w:r w:rsidRPr="003F120D">
        <w:rPr>
          <w:rFonts w:ascii="Times New Roman" w:hAnsi="Times New Roman"/>
          <w:i/>
          <w:iCs/>
          <w:noProof/>
          <w:sz w:val="24"/>
          <w:szCs w:val="24"/>
        </w:rPr>
        <w:t>Educational Psychology</w:t>
      </w:r>
      <w:r w:rsidRPr="003F120D">
        <w:rPr>
          <w:rFonts w:ascii="Times New Roman" w:hAnsi="Times New Roman"/>
          <w:noProof/>
          <w:sz w:val="24"/>
          <w:szCs w:val="24"/>
        </w:rPr>
        <w:t xml:space="preserve">, </w:t>
      </w:r>
      <w:r w:rsidRPr="003F120D">
        <w:rPr>
          <w:rFonts w:ascii="Times New Roman" w:hAnsi="Times New Roman"/>
          <w:i/>
          <w:iCs/>
          <w:noProof/>
          <w:sz w:val="24"/>
          <w:szCs w:val="24"/>
        </w:rPr>
        <w:t>23</w:t>
      </w:r>
      <w:r w:rsidRPr="003F120D">
        <w:rPr>
          <w:rFonts w:ascii="Times New Roman" w:hAnsi="Times New Roman"/>
          <w:noProof/>
          <w:sz w:val="24"/>
          <w:szCs w:val="24"/>
        </w:rPr>
        <w:t>(3), 275–285. https://doi.org/10.1080/0144341032000060110</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Kim, H. (2013). Improving simulation exercises in Korea for disaster preparedness. </w:t>
      </w:r>
      <w:r w:rsidRPr="003F120D">
        <w:rPr>
          <w:rFonts w:ascii="Times New Roman" w:hAnsi="Times New Roman"/>
          <w:i/>
          <w:iCs/>
          <w:noProof/>
          <w:sz w:val="24"/>
          <w:szCs w:val="24"/>
        </w:rPr>
        <w:t>Disaster Prevention and Management: An International Journal</w:t>
      </w:r>
      <w:r w:rsidRPr="003F120D">
        <w:rPr>
          <w:rFonts w:ascii="Times New Roman" w:hAnsi="Times New Roman"/>
          <w:noProof/>
          <w:sz w:val="24"/>
          <w:szCs w:val="24"/>
        </w:rPr>
        <w:t xml:space="preserve">, </w:t>
      </w:r>
      <w:r w:rsidRPr="003F120D">
        <w:rPr>
          <w:rFonts w:ascii="Times New Roman" w:hAnsi="Times New Roman"/>
          <w:i/>
          <w:iCs/>
          <w:noProof/>
          <w:sz w:val="24"/>
          <w:szCs w:val="24"/>
        </w:rPr>
        <w:t>22</w:t>
      </w:r>
      <w:r w:rsidRPr="003F120D">
        <w:rPr>
          <w:rFonts w:ascii="Times New Roman" w:hAnsi="Times New Roman"/>
          <w:noProof/>
          <w:sz w:val="24"/>
          <w:szCs w:val="24"/>
        </w:rPr>
        <w:t>(1), 38–47. https://doi.org/10.1108/09653561311301961</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Kirkpatrick, D. L. (1998). </w:t>
      </w:r>
      <w:r w:rsidRPr="003F120D">
        <w:rPr>
          <w:rFonts w:ascii="Times New Roman" w:hAnsi="Times New Roman"/>
          <w:i/>
          <w:iCs/>
          <w:noProof/>
          <w:sz w:val="24"/>
          <w:szCs w:val="24"/>
        </w:rPr>
        <w:t>Evaluating Trainning Programs : The four level</w:t>
      </w:r>
      <w:r w:rsidRPr="003F120D">
        <w:rPr>
          <w:rFonts w:ascii="Times New Roman" w:hAnsi="Times New Roman"/>
          <w:noProof/>
          <w:sz w:val="24"/>
          <w:szCs w:val="24"/>
        </w:rPr>
        <w:t xml:space="preserve"> (2nd ed.). </w:t>
      </w:r>
      <w:r w:rsidR="00D14E23" w:rsidRPr="003F120D">
        <w:rPr>
          <w:rFonts w:ascii="Times New Roman" w:hAnsi="Times New Roman"/>
          <w:noProof/>
          <w:sz w:val="24"/>
          <w:szCs w:val="24"/>
        </w:rPr>
        <w:t>San Fancisco, CA</w:t>
      </w:r>
      <w:r w:rsidR="00D14E23">
        <w:rPr>
          <w:rFonts w:ascii="Times New Roman" w:hAnsi="Times New Roman"/>
          <w:noProof/>
          <w:sz w:val="24"/>
          <w:szCs w:val="24"/>
        </w:rPr>
        <w:t>,</w:t>
      </w:r>
      <w:r w:rsidR="00D14E23" w:rsidRPr="003F120D">
        <w:rPr>
          <w:rFonts w:ascii="Times New Roman" w:hAnsi="Times New Roman"/>
          <w:noProof/>
          <w:sz w:val="24"/>
          <w:szCs w:val="24"/>
        </w:rPr>
        <w:t xml:space="preserve"> </w:t>
      </w:r>
      <w:r w:rsidRPr="003F120D">
        <w:rPr>
          <w:rFonts w:ascii="Times New Roman" w:hAnsi="Times New Roman"/>
          <w:noProof/>
          <w:sz w:val="24"/>
          <w:szCs w:val="24"/>
        </w:rPr>
        <w:t>Berrett-Koehler Publishers, Inc.</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Kleiboer, M. (1997). Simulation methodology for crisis management support. </w:t>
      </w:r>
      <w:r w:rsidRPr="003F120D">
        <w:rPr>
          <w:rFonts w:ascii="Times New Roman" w:hAnsi="Times New Roman"/>
          <w:i/>
          <w:iCs/>
          <w:noProof/>
          <w:sz w:val="24"/>
          <w:szCs w:val="24"/>
        </w:rPr>
        <w:t>Journal of Contingencies and Crisis Management</w:t>
      </w:r>
      <w:r w:rsidRPr="003F120D">
        <w:rPr>
          <w:rFonts w:ascii="Times New Roman" w:hAnsi="Times New Roman"/>
          <w:noProof/>
          <w:sz w:val="24"/>
          <w:szCs w:val="24"/>
        </w:rPr>
        <w:t xml:space="preserve">, </w:t>
      </w:r>
      <w:r w:rsidRPr="003F120D">
        <w:rPr>
          <w:rFonts w:ascii="Times New Roman" w:hAnsi="Times New Roman"/>
          <w:i/>
          <w:iCs/>
          <w:noProof/>
          <w:sz w:val="24"/>
          <w:szCs w:val="24"/>
        </w:rPr>
        <w:t>5</w:t>
      </w:r>
      <w:r w:rsidRPr="003F120D">
        <w:rPr>
          <w:rFonts w:ascii="Times New Roman" w:hAnsi="Times New Roman"/>
          <w:noProof/>
          <w:sz w:val="24"/>
          <w:szCs w:val="24"/>
        </w:rPr>
        <w:t>(4), 198–206. https://doi.org/10.1111/1468-5973.00057</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Krishnaswamy, S., Subramaniam, K., Indran, T., &amp; Low, W.-Y. (2012). The 2004 Tsunami in Penang, Malaysia. </w:t>
      </w:r>
      <w:r w:rsidRPr="003F120D">
        <w:rPr>
          <w:rFonts w:ascii="Times New Roman" w:hAnsi="Times New Roman"/>
          <w:i/>
          <w:iCs/>
          <w:noProof/>
          <w:sz w:val="24"/>
          <w:szCs w:val="24"/>
        </w:rPr>
        <w:t>Asia Pacific Journal of Public Health</w:t>
      </w:r>
      <w:r w:rsidRPr="003F120D">
        <w:rPr>
          <w:rFonts w:ascii="Times New Roman" w:hAnsi="Times New Roman"/>
          <w:noProof/>
          <w:sz w:val="24"/>
          <w:szCs w:val="24"/>
        </w:rPr>
        <w:t xml:space="preserve">, </w:t>
      </w:r>
      <w:r w:rsidRPr="003F120D">
        <w:rPr>
          <w:rFonts w:ascii="Times New Roman" w:hAnsi="Times New Roman"/>
          <w:i/>
          <w:iCs/>
          <w:noProof/>
          <w:sz w:val="24"/>
          <w:szCs w:val="24"/>
        </w:rPr>
        <w:t>24</w:t>
      </w:r>
      <w:r w:rsidRPr="003F120D">
        <w:rPr>
          <w:rFonts w:ascii="Times New Roman" w:hAnsi="Times New Roman"/>
          <w:noProof/>
          <w:sz w:val="24"/>
          <w:szCs w:val="24"/>
        </w:rPr>
        <w:t>(4), 710–718. https://doi.org/10.1177/1010539512453261</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Mahmud, A. (2012). Konsep dan model penilaian dalam pelaksanaan kurikulum. </w:t>
      </w:r>
      <w:r w:rsidRPr="003F120D">
        <w:rPr>
          <w:rFonts w:ascii="Times New Roman" w:hAnsi="Times New Roman"/>
          <w:i/>
          <w:iCs/>
          <w:noProof/>
          <w:sz w:val="24"/>
          <w:szCs w:val="24"/>
        </w:rPr>
        <w:t>Prosiding Seminar Penyelidikan Pendidikan Dan Pembangunan Sumber Manusia (PPPSM 2013)</w:t>
      </w:r>
      <w:r w:rsidRPr="003F120D">
        <w:rPr>
          <w:rFonts w:ascii="Times New Roman" w:hAnsi="Times New Roman"/>
          <w:noProof/>
          <w:sz w:val="24"/>
          <w:szCs w:val="24"/>
        </w:rPr>
        <w:t xml:space="preserve">, </w:t>
      </w:r>
      <w:r w:rsidRPr="003F120D">
        <w:rPr>
          <w:rFonts w:ascii="Times New Roman" w:hAnsi="Times New Roman"/>
          <w:i/>
          <w:iCs/>
          <w:noProof/>
          <w:sz w:val="24"/>
          <w:szCs w:val="24"/>
        </w:rPr>
        <w:t>28</w:t>
      </w:r>
      <w:r w:rsidRPr="003F120D">
        <w:rPr>
          <w:rFonts w:ascii="Times New Roman" w:hAnsi="Times New Roman"/>
          <w:noProof/>
          <w:sz w:val="24"/>
          <w:szCs w:val="24"/>
        </w:rPr>
        <w:t>-</w:t>
      </w:r>
      <w:r w:rsidRPr="003F120D">
        <w:rPr>
          <w:rFonts w:ascii="Times New Roman" w:hAnsi="Times New Roman"/>
          <w:i/>
          <w:iCs/>
          <w:noProof/>
          <w:sz w:val="24"/>
          <w:szCs w:val="24"/>
        </w:rPr>
        <w:t>29 Februari</w:t>
      </w:r>
      <w:r w:rsidRPr="003F120D">
        <w:rPr>
          <w:rFonts w:ascii="Times New Roman" w:hAnsi="Times New Roman"/>
          <w:noProof/>
          <w:sz w:val="24"/>
          <w:szCs w:val="24"/>
        </w:rPr>
        <w:t>, 1–12. https://doi.org/10.13140/RG.2.1.1752.2000</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Nguyen, D., Imamura, F., &amp; Luchi, K. (2016). Disaster management in coastal tourism destinations: The case for transactive planning and social learning. </w:t>
      </w:r>
      <w:r w:rsidRPr="003F120D">
        <w:rPr>
          <w:rFonts w:ascii="Times New Roman" w:hAnsi="Times New Roman"/>
          <w:i/>
          <w:iCs/>
          <w:noProof/>
          <w:sz w:val="24"/>
          <w:szCs w:val="24"/>
        </w:rPr>
        <w:t>International Review for Spatial Planning and Sustainable Development</w:t>
      </w:r>
      <w:r w:rsidRPr="003F120D">
        <w:rPr>
          <w:rFonts w:ascii="Times New Roman" w:hAnsi="Times New Roman"/>
          <w:noProof/>
          <w:sz w:val="24"/>
          <w:szCs w:val="24"/>
        </w:rPr>
        <w:t xml:space="preserve">, </w:t>
      </w:r>
      <w:r w:rsidRPr="003F120D">
        <w:rPr>
          <w:rFonts w:ascii="Times New Roman" w:hAnsi="Times New Roman"/>
          <w:i/>
          <w:iCs/>
          <w:noProof/>
          <w:sz w:val="24"/>
          <w:szCs w:val="24"/>
        </w:rPr>
        <w:t>4</w:t>
      </w:r>
      <w:r w:rsidRPr="003F120D">
        <w:rPr>
          <w:rFonts w:ascii="Times New Roman" w:hAnsi="Times New Roman"/>
          <w:noProof/>
          <w:sz w:val="24"/>
          <w:szCs w:val="24"/>
        </w:rPr>
        <w:t>(2), 3–17. https://doi.org/10.14246/irspsd.4.2_3</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Park, J. W. (2017). Planning the Evaluation. In </w:t>
      </w:r>
      <w:r w:rsidRPr="003F120D">
        <w:rPr>
          <w:rFonts w:ascii="Times New Roman" w:hAnsi="Times New Roman"/>
          <w:i/>
          <w:iCs/>
          <w:noProof/>
          <w:sz w:val="24"/>
          <w:szCs w:val="24"/>
        </w:rPr>
        <w:t>Evaluating Organization Development</w:t>
      </w:r>
      <w:r w:rsidRPr="003F120D">
        <w:rPr>
          <w:rFonts w:ascii="Times New Roman" w:hAnsi="Times New Roman"/>
          <w:noProof/>
          <w:sz w:val="24"/>
          <w:szCs w:val="24"/>
        </w:rPr>
        <w:t xml:space="preserve"> (Issue </w:t>
      </w:r>
      <w:r w:rsidRPr="003F120D">
        <w:rPr>
          <w:rFonts w:ascii="Times New Roman" w:hAnsi="Times New Roman"/>
          <w:noProof/>
          <w:sz w:val="24"/>
          <w:szCs w:val="24"/>
        </w:rPr>
        <w:lastRenderedPageBreak/>
        <w:t>November, pp. 75–88). Productivity Press. https://doi.org/10.1201/b21877-4</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Reilly, D. J. O., &amp; Brandenburg, D. C. (2006). </w:t>
      </w:r>
      <w:r w:rsidRPr="003F120D">
        <w:rPr>
          <w:rFonts w:ascii="Times New Roman" w:hAnsi="Times New Roman"/>
          <w:i/>
          <w:iCs/>
          <w:noProof/>
          <w:sz w:val="24"/>
          <w:szCs w:val="24"/>
        </w:rPr>
        <w:t>Simulation and learning in disaster preparedness: A research and theory review.</w:t>
      </w:r>
      <w:r w:rsidRPr="003F120D">
        <w:rPr>
          <w:rFonts w:ascii="Times New Roman" w:hAnsi="Times New Roman"/>
          <w:noProof/>
          <w:sz w:val="24"/>
          <w:szCs w:val="24"/>
        </w:rPr>
        <w:t xml:space="preserve"> Information Analyses; Reports - Evaluative. http://eric.ed.gov/ERICWebPortal/recordDetail?accno=ED492750</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Rostam, K., Herman, I., &amp; Nor, A. B. M. (2009). Kawasan penempatan semula mangsa tsunami di Malaysia: Analisis kualiti kejiranan dan kesejahteraan isi rumah. </w:t>
      </w:r>
      <w:r w:rsidR="00B30B6E" w:rsidRPr="00B30B6E">
        <w:rPr>
          <w:rFonts w:ascii="Times New Roman" w:hAnsi="Times New Roman"/>
          <w:i/>
          <w:noProof/>
          <w:sz w:val="24"/>
          <w:szCs w:val="24"/>
        </w:rPr>
        <w:t>Geografia-</w:t>
      </w:r>
      <w:r w:rsidR="00D14E23">
        <w:rPr>
          <w:rFonts w:ascii="Times New Roman" w:hAnsi="Times New Roman"/>
          <w:i/>
          <w:iCs/>
          <w:noProof/>
          <w:sz w:val="24"/>
          <w:szCs w:val="24"/>
        </w:rPr>
        <w:t xml:space="preserve">Malaysian </w:t>
      </w:r>
      <w:r w:rsidRPr="003F120D">
        <w:rPr>
          <w:rFonts w:ascii="Times New Roman" w:hAnsi="Times New Roman"/>
          <w:i/>
          <w:iCs/>
          <w:noProof/>
          <w:sz w:val="24"/>
          <w:szCs w:val="24"/>
        </w:rPr>
        <w:t>Journal of Society and Space</w:t>
      </w:r>
      <w:r w:rsidRPr="003F120D">
        <w:rPr>
          <w:rFonts w:ascii="Times New Roman" w:hAnsi="Times New Roman"/>
          <w:noProof/>
          <w:sz w:val="24"/>
          <w:szCs w:val="24"/>
        </w:rPr>
        <w:t xml:space="preserve">, </w:t>
      </w:r>
      <w:r w:rsidRPr="003F120D">
        <w:rPr>
          <w:rFonts w:ascii="Times New Roman" w:hAnsi="Times New Roman"/>
          <w:i/>
          <w:iCs/>
          <w:noProof/>
          <w:sz w:val="24"/>
          <w:szCs w:val="24"/>
        </w:rPr>
        <w:t>5</w:t>
      </w:r>
      <w:r w:rsidRPr="003F120D">
        <w:rPr>
          <w:rFonts w:ascii="Times New Roman" w:hAnsi="Times New Roman"/>
          <w:noProof/>
          <w:sz w:val="24"/>
          <w:szCs w:val="24"/>
        </w:rPr>
        <w:t>(1), 33–43.</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Smidt, A., Balandin, S., Sigafoos, J., &amp; Reed, V. A. (2009). The Kirkpatrick model: A useful tool for evaluating training outcomes. </w:t>
      </w:r>
      <w:r w:rsidRPr="003F120D">
        <w:rPr>
          <w:rFonts w:ascii="Times New Roman" w:hAnsi="Times New Roman"/>
          <w:i/>
          <w:iCs/>
          <w:noProof/>
          <w:sz w:val="24"/>
          <w:szCs w:val="24"/>
        </w:rPr>
        <w:t>Journal of Intellectual and Developmental Disability</w:t>
      </w:r>
      <w:r w:rsidRPr="003F120D">
        <w:rPr>
          <w:rFonts w:ascii="Times New Roman" w:hAnsi="Times New Roman"/>
          <w:noProof/>
          <w:sz w:val="24"/>
          <w:szCs w:val="24"/>
        </w:rPr>
        <w:t xml:space="preserve">, </w:t>
      </w:r>
      <w:r w:rsidRPr="003F120D">
        <w:rPr>
          <w:rFonts w:ascii="Times New Roman" w:hAnsi="Times New Roman"/>
          <w:i/>
          <w:iCs/>
          <w:noProof/>
          <w:sz w:val="24"/>
          <w:szCs w:val="24"/>
        </w:rPr>
        <w:t>34</w:t>
      </w:r>
      <w:r w:rsidRPr="003F120D">
        <w:rPr>
          <w:rFonts w:ascii="Times New Roman" w:hAnsi="Times New Roman"/>
          <w:noProof/>
          <w:sz w:val="24"/>
          <w:szCs w:val="24"/>
        </w:rPr>
        <w:t>(3), 266–274. https://doi.org/10.1080/13668250903093125</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ULUM, Ö. G. (2015). Program evaluation through Kirkpatrick’s framework. </w:t>
      </w:r>
      <w:r w:rsidRPr="003F120D">
        <w:rPr>
          <w:rFonts w:ascii="Times New Roman" w:hAnsi="Times New Roman"/>
          <w:i/>
          <w:iCs/>
          <w:noProof/>
          <w:sz w:val="24"/>
          <w:szCs w:val="24"/>
        </w:rPr>
        <w:t>Pacific Business Review International Journal</w:t>
      </w:r>
      <w:r w:rsidRPr="003F120D">
        <w:rPr>
          <w:rFonts w:ascii="Times New Roman" w:hAnsi="Times New Roman"/>
          <w:noProof/>
          <w:sz w:val="24"/>
          <w:szCs w:val="24"/>
        </w:rPr>
        <w:t xml:space="preserve">, </w:t>
      </w:r>
      <w:r w:rsidRPr="003F120D">
        <w:rPr>
          <w:rFonts w:ascii="Times New Roman" w:hAnsi="Times New Roman"/>
          <w:i/>
          <w:iCs/>
          <w:noProof/>
          <w:sz w:val="24"/>
          <w:szCs w:val="24"/>
        </w:rPr>
        <w:t>8</w:t>
      </w:r>
      <w:r w:rsidRPr="003F120D">
        <w:rPr>
          <w:rFonts w:ascii="Times New Roman" w:hAnsi="Times New Roman"/>
          <w:noProof/>
          <w:sz w:val="24"/>
          <w:szCs w:val="24"/>
        </w:rPr>
        <w:t>(1), 106–111.</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UNISDR. (2017). </w:t>
      </w:r>
      <w:r w:rsidRPr="003F120D">
        <w:rPr>
          <w:rFonts w:ascii="Times New Roman" w:hAnsi="Times New Roman"/>
          <w:i/>
          <w:iCs/>
          <w:noProof/>
          <w:sz w:val="24"/>
          <w:szCs w:val="24"/>
        </w:rPr>
        <w:t>Concise guide on design and conduct of simulation exercises</w:t>
      </w:r>
      <w:r w:rsidRPr="003F120D">
        <w:rPr>
          <w:rFonts w:ascii="Times New Roman" w:hAnsi="Times New Roman"/>
          <w:noProof/>
          <w:sz w:val="24"/>
          <w:szCs w:val="24"/>
        </w:rPr>
        <w:t xml:space="preserve"> (Issue May). </w:t>
      </w:r>
      <w:r w:rsidR="00B30B6E">
        <w:rPr>
          <w:rFonts w:ascii="Times New Roman" w:hAnsi="Times New Roman"/>
          <w:noProof/>
          <w:sz w:val="24"/>
          <w:szCs w:val="24"/>
        </w:rPr>
        <w:t xml:space="preserve">Retrieved from </w:t>
      </w:r>
      <w:r w:rsidRPr="003F120D">
        <w:rPr>
          <w:rFonts w:ascii="Times New Roman" w:hAnsi="Times New Roman"/>
          <w:noProof/>
          <w:sz w:val="24"/>
          <w:szCs w:val="24"/>
        </w:rPr>
        <w:t>https://www.unisdr.org/files/53348_simulation.pdf</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szCs w:val="24"/>
        </w:rPr>
      </w:pPr>
      <w:r w:rsidRPr="003F120D">
        <w:rPr>
          <w:rFonts w:ascii="Times New Roman" w:hAnsi="Times New Roman"/>
          <w:noProof/>
          <w:sz w:val="24"/>
          <w:szCs w:val="24"/>
        </w:rPr>
        <w:t xml:space="preserve">Yeh, H., Barbosa, A., &amp; Mason, B. H. (2015). Tsunamis effects in man-made environment. In R. A. Meyers (Ed.), </w:t>
      </w:r>
      <w:r w:rsidRPr="003F120D">
        <w:rPr>
          <w:rFonts w:ascii="Times New Roman" w:hAnsi="Times New Roman"/>
          <w:i/>
          <w:iCs/>
          <w:noProof/>
          <w:sz w:val="24"/>
          <w:szCs w:val="24"/>
        </w:rPr>
        <w:t>Encyclopedia of Complexity and Systems Science</w:t>
      </w:r>
      <w:r w:rsidRPr="003F120D">
        <w:rPr>
          <w:rFonts w:ascii="Times New Roman" w:hAnsi="Times New Roman"/>
          <w:noProof/>
          <w:sz w:val="24"/>
          <w:szCs w:val="24"/>
        </w:rPr>
        <w:t xml:space="preserve"> (pp. 1–27). Springer Berlin Heidelberg. https://doi.org/10.1007/978-3-642-27737-5_623-1</w:t>
      </w:r>
    </w:p>
    <w:p w:rsidR="00D61FE6" w:rsidRPr="003F120D" w:rsidRDefault="00D61FE6" w:rsidP="00426305">
      <w:pPr>
        <w:widowControl w:val="0"/>
        <w:autoSpaceDE w:val="0"/>
        <w:autoSpaceDN w:val="0"/>
        <w:adjustRightInd w:val="0"/>
        <w:spacing w:after="0" w:line="240" w:lineRule="auto"/>
        <w:ind w:left="480" w:hanging="480"/>
        <w:jc w:val="both"/>
        <w:rPr>
          <w:rFonts w:ascii="Times New Roman" w:hAnsi="Times New Roman"/>
          <w:noProof/>
          <w:sz w:val="24"/>
        </w:rPr>
      </w:pPr>
      <w:r w:rsidRPr="003F120D">
        <w:rPr>
          <w:rFonts w:ascii="Times New Roman" w:hAnsi="Times New Roman"/>
          <w:noProof/>
          <w:sz w:val="24"/>
          <w:szCs w:val="24"/>
        </w:rPr>
        <w:t xml:space="preserve">Zahari, R. K., Ariffin, R. N. R., Asmawi, M. Z., &amp; Ibrahim, A. N. (2013). Impacts of the 2004 Tsunami: Preparedness of the Malaysian coastal communities. </w:t>
      </w:r>
      <w:r w:rsidRPr="003F120D">
        <w:rPr>
          <w:rFonts w:ascii="Times New Roman" w:hAnsi="Times New Roman"/>
          <w:i/>
          <w:iCs/>
          <w:noProof/>
          <w:sz w:val="24"/>
          <w:szCs w:val="24"/>
        </w:rPr>
        <w:t>Procedia - Social and Behavioral Sciences</w:t>
      </w:r>
      <w:r w:rsidRPr="003F120D">
        <w:rPr>
          <w:rFonts w:ascii="Times New Roman" w:hAnsi="Times New Roman"/>
          <w:noProof/>
          <w:sz w:val="24"/>
          <w:szCs w:val="24"/>
        </w:rPr>
        <w:t xml:space="preserve">, </w:t>
      </w:r>
      <w:r w:rsidRPr="003F120D">
        <w:rPr>
          <w:rFonts w:ascii="Times New Roman" w:hAnsi="Times New Roman"/>
          <w:i/>
          <w:iCs/>
          <w:noProof/>
          <w:sz w:val="24"/>
          <w:szCs w:val="24"/>
        </w:rPr>
        <w:t>105</w:t>
      </w:r>
      <w:r w:rsidRPr="003F120D">
        <w:rPr>
          <w:rFonts w:ascii="Times New Roman" w:hAnsi="Times New Roman"/>
          <w:noProof/>
          <w:sz w:val="24"/>
          <w:szCs w:val="24"/>
        </w:rPr>
        <w:t>, 569–576. https://doi.org/10.1016/j.sbspro.2013.11.060</w:t>
      </w:r>
    </w:p>
    <w:p w:rsidR="00E20DF5" w:rsidRDefault="00D61FE6" w:rsidP="00426305">
      <w:pPr>
        <w:pStyle w:val="NoSpacing"/>
        <w:jc w:val="both"/>
        <w:rPr>
          <w:rFonts w:ascii="Times New Roman" w:hAnsi="Times New Roman"/>
          <w:b/>
        </w:rPr>
      </w:pPr>
      <w:r w:rsidRPr="00B45043">
        <w:rPr>
          <w:rFonts w:ascii="Times New Roman" w:eastAsia="MS Mincho" w:hAnsi="Times New Roman"/>
          <w:b/>
          <w:sz w:val="24"/>
          <w:szCs w:val="24"/>
        </w:rPr>
        <w:fldChar w:fldCharType="end"/>
      </w:r>
    </w:p>
    <w:sectPr w:rsidR="00E20DF5" w:rsidSect="00F75F4B">
      <w:headerReference w:type="default" r:id="rId10"/>
      <w:pgSz w:w="11907" w:h="16839" w:code="9"/>
      <w:pgMar w:top="1440" w:right="1440" w:bottom="1440" w:left="1440"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D37" w:rsidRDefault="00CE0D37">
      <w:pPr>
        <w:spacing w:after="0" w:line="240" w:lineRule="auto"/>
      </w:pPr>
      <w:r>
        <w:separator/>
      </w:r>
    </w:p>
  </w:endnote>
  <w:endnote w:type="continuationSeparator" w:id="0">
    <w:p w:rsidR="00CE0D37" w:rsidRDefault="00CE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D37" w:rsidRDefault="00CE0D37">
      <w:pPr>
        <w:spacing w:after="0" w:line="240" w:lineRule="auto"/>
      </w:pPr>
      <w:r>
        <w:separator/>
      </w:r>
    </w:p>
  </w:footnote>
  <w:footnote w:type="continuationSeparator" w:id="0">
    <w:p w:rsidR="00CE0D37" w:rsidRDefault="00CE0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9B" w:rsidRPr="0092669B" w:rsidRDefault="0092669B" w:rsidP="0092669B">
    <w:pPr>
      <w:tabs>
        <w:tab w:val="left" w:pos="720"/>
        <w:tab w:val="center" w:pos="4680"/>
        <w:tab w:val="right" w:pos="9360"/>
      </w:tabs>
      <w:spacing w:after="0" w:line="240" w:lineRule="auto"/>
      <w:ind w:hanging="2"/>
      <w:jc w:val="both"/>
      <w:rPr>
        <w:rFonts w:ascii="Times New Roman" w:hAnsi="Times New Roman"/>
        <w:sz w:val="18"/>
        <w:szCs w:val="18"/>
      </w:rPr>
    </w:pPr>
    <w:r w:rsidRPr="0092669B">
      <w:rPr>
        <w:rFonts w:ascii="Times New Roman" w:hAnsi="Times New Roman"/>
        <w:sz w:val="18"/>
        <w:szCs w:val="18"/>
      </w:rPr>
      <w:t>GEOGRAFIA Online</w:t>
    </w:r>
    <w:r w:rsidRPr="0092669B">
      <w:rPr>
        <w:rFonts w:ascii="Times New Roman" w:hAnsi="Times New Roman"/>
        <w:sz w:val="18"/>
        <w:szCs w:val="18"/>
        <w:vertAlign w:val="superscript"/>
      </w:rPr>
      <w:t>TM</w:t>
    </w:r>
    <w:r w:rsidRPr="0092669B">
      <w:rPr>
        <w:rFonts w:ascii="Times New Roman" w:hAnsi="Times New Roman"/>
        <w:sz w:val="18"/>
        <w:szCs w:val="18"/>
      </w:rPr>
      <w:t xml:space="preserve"> Malaysian Journal of Society and Space</w:t>
    </w:r>
    <w:r w:rsidRPr="0092669B">
      <w:rPr>
        <w:rFonts w:ascii="Times New Roman" w:hAnsi="Times New Roman"/>
        <w:b/>
        <w:sz w:val="18"/>
        <w:szCs w:val="18"/>
      </w:rPr>
      <w:t xml:space="preserve"> </w:t>
    </w:r>
    <w:r w:rsidRPr="0092669B">
      <w:rPr>
        <w:rFonts w:ascii="Times New Roman" w:hAnsi="Times New Roman"/>
        <w:sz w:val="18"/>
        <w:szCs w:val="18"/>
      </w:rPr>
      <w:t>16 issue</w:t>
    </w:r>
    <w:r w:rsidRPr="0092669B">
      <w:rPr>
        <w:rFonts w:ascii="Times New Roman" w:hAnsi="Times New Roman"/>
        <w:b/>
        <w:sz w:val="18"/>
        <w:szCs w:val="18"/>
      </w:rPr>
      <w:t xml:space="preserve"> </w:t>
    </w:r>
    <w:r w:rsidRPr="0092669B">
      <w:rPr>
        <w:rFonts w:ascii="Times New Roman" w:hAnsi="Times New Roman"/>
        <w:sz w:val="18"/>
        <w:szCs w:val="18"/>
      </w:rPr>
      <w:t>2</w:t>
    </w:r>
    <w:r w:rsidRPr="0092669B">
      <w:rPr>
        <w:rFonts w:ascii="Times New Roman" w:hAnsi="Times New Roman"/>
        <w:b/>
        <w:sz w:val="18"/>
        <w:szCs w:val="18"/>
      </w:rPr>
      <w:t xml:space="preserve"> </w:t>
    </w:r>
    <w:r w:rsidRPr="0092669B">
      <w:rPr>
        <w:rFonts w:ascii="Times New Roman" w:hAnsi="Times New Roman"/>
        <w:sz w:val="18"/>
        <w:szCs w:val="18"/>
      </w:rPr>
      <w:t>(</w:t>
    </w:r>
    <w:r>
      <w:rPr>
        <w:rFonts w:ascii="Times New Roman" w:hAnsi="Times New Roman"/>
        <w:sz w:val="18"/>
        <w:szCs w:val="18"/>
      </w:rPr>
      <w:t>6</w:t>
    </w:r>
    <w:r w:rsidR="00F75F4B">
      <w:rPr>
        <w:rFonts w:ascii="Times New Roman" w:hAnsi="Times New Roman"/>
        <w:sz w:val="18"/>
        <w:szCs w:val="18"/>
      </w:rPr>
      <w:t>6</w:t>
    </w:r>
    <w:r w:rsidRPr="0092669B">
      <w:rPr>
        <w:rFonts w:ascii="Times New Roman" w:hAnsi="Times New Roman"/>
        <w:sz w:val="18"/>
        <w:szCs w:val="18"/>
      </w:rPr>
      <w:t>-</w:t>
    </w:r>
    <w:r w:rsidR="00F75F4B">
      <w:rPr>
        <w:rFonts w:ascii="Times New Roman" w:hAnsi="Times New Roman"/>
        <w:sz w:val="18"/>
        <w:szCs w:val="18"/>
      </w:rPr>
      <w:t>79</w:t>
    </w:r>
    <w:r w:rsidRPr="0092669B">
      <w:rPr>
        <w:rFonts w:ascii="Times New Roman" w:hAnsi="Times New Roman"/>
        <w:sz w:val="18"/>
        <w:szCs w:val="18"/>
      </w:rPr>
      <w:t>)</w:t>
    </w:r>
    <w:r w:rsidRPr="0092669B">
      <w:rPr>
        <w:rFonts w:ascii="Times New Roman" w:hAnsi="Times New Roman"/>
        <w:sz w:val="18"/>
        <w:szCs w:val="18"/>
      </w:rPr>
      <w:tab/>
    </w:r>
  </w:p>
  <w:p w:rsidR="0092669B" w:rsidRPr="0092669B" w:rsidRDefault="0092669B" w:rsidP="0092669B">
    <w:pPr>
      <w:pStyle w:val="Header"/>
      <w:rPr>
        <w:rFonts w:ascii="Times New Roman" w:hAnsi="Times New Roman"/>
        <w:sz w:val="18"/>
        <w:szCs w:val="18"/>
      </w:rPr>
    </w:pPr>
    <w:r w:rsidRPr="0092669B">
      <w:rPr>
        <w:rFonts w:ascii="Times New Roman" w:hAnsi="Times New Roman"/>
        <w:sz w:val="18"/>
        <w:szCs w:val="18"/>
      </w:rPr>
      <w:t xml:space="preserve">© 2020, e-ISSN 2682-7727   </w:t>
    </w:r>
    <w:hyperlink r:id="rId1" w:history="1">
      <w:r w:rsidRPr="00B438C9">
        <w:rPr>
          <w:rStyle w:val="Hyperlink"/>
          <w:rFonts w:ascii="Times New Roman" w:hAnsi="Times New Roman"/>
          <w:color w:val="auto"/>
          <w:sz w:val="18"/>
          <w:szCs w:val="18"/>
          <w:u w:val="none"/>
        </w:rPr>
        <w:t>https://doi.org/10.17576/geo-2020-1602-06</w:t>
      </w:r>
    </w:hyperlink>
    <w:sdt>
      <w:sdtPr>
        <w:rPr>
          <w:rFonts w:ascii="Times New Roman" w:hAnsi="Times New Roman"/>
          <w:sz w:val="18"/>
          <w:szCs w:val="18"/>
        </w:rPr>
        <w:id w:val="1844896479"/>
        <w:docPartObj>
          <w:docPartGallery w:val="Page Numbers (Top of Page)"/>
          <w:docPartUnique/>
        </w:docPartObj>
      </w:sdtPr>
      <w:sdtEndPr>
        <w:rPr>
          <w:noProof/>
        </w:rPr>
      </w:sdtEndPr>
      <w:sdtContent>
        <w:r>
          <w:rPr>
            <w:rFonts w:ascii="Times New Roman" w:hAnsi="Times New Roman"/>
            <w:sz w:val="18"/>
            <w:szCs w:val="18"/>
          </w:rPr>
          <w:tab/>
        </w:r>
        <w:r w:rsidRPr="0092669B">
          <w:rPr>
            <w:rFonts w:ascii="Times New Roman" w:hAnsi="Times New Roman"/>
            <w:sz w:val="18"/>
            <w:szCs w:val="18"/>
          </w:rPr>
          <w:fldChar w:fldCharType="begin"/>
        </w:r>
        <w:r w:rsidRPr="0092669B">
          <w:rPr>
            <w:rFonts w:ascii="Times New Roman" w:hAnsi="Times New Roman"/>
            <w:sz w:val="18"/>
            <w:szCs w:val="18"/>
          </w:rPr>
          <w:instrText xml:space="preserve"> PAGE   \* MERGEFORMAT </w:instrText>
        </w:r>
        <w:r w:rsidRPr="0092669B">
          <w:rPr>
            <w:rFonts w:ascii="Times New Roman" w:hAnsi="Times New Roman"/>
            <w:sz w:val="18"/>
            <w:szCs w:val="18"/>
          </w:rPr>
          <w:fldChar w:fldCharType="separate"/>
        </w:r>
        <w:r w:rsidR="00E5254A">
          <w:rPr>
            <w:rFonts w:ascii="Times New Roman" w:hAnsi="Times New Roman"/>
            <w:noProof/>
            <w:sz w:val="18"/>
            <w:szCs w:val="18"/>
          </w:rPr>
          <w:t>66</w:t>
        </w:r>
        <w:r w:rsidRPr="0092669B">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24D6BF6"/>
    <w:multiLevelType w:val="hybridMultilevel"/>
    <w:tmpl w:val="05A27838"/>
    <w:lvl w:ilvl="0" w:tplc="4409001B">
      <w:start w:val="1"/>
      <w:numFmt w:val="lowerRoman"/>
      <w:lvlText w:val="%1."/>
      <w:lvlJc w:val="right"/>
      <w:pPr>
        <w:ind w:left="1174" w:hanging="360"/>
      </w:p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2"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1"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E22A7"/>
    <w:multiLevelType w:val="hybridMultilevel"/>
    <w:tmpl w:val="1526C6F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1111A"/>
    <w:multiLevelType w:val="hybridMultilevel"/>
    <w:tmpl w:val="B07AC73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2"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3" w15:restartNumberingAfterBreak="0">
    <w:nsid w:val="73AD7867"/>
    <w:multiLevelType w:val="multilevel"/>
    <w:tmpl w:val="BAF60A0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7"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0"/>
  </w:num>
  <w:num w:numId="2">
    <w:abstractNumId w:val="24"/>
  </w:num>
  <w:num w:numId="3">
    <w:abstractNumId w:val="29"/>
  </w:num>
  <w:num w:numId="4">
    <w:abstractNumId w:val="32"/>
  </w:num>
  <w:num w:numId="5">
    <w:abstractNumId w:val="4"/>
  </w:num>
  <w:num w:numId="6">
    <w:abstractNumId w:val="12"/>
  </w:num>
  <w:num w:numId="7">
    <w:abstractNumId w:val="35"/>
  </w:num>
  <w:num w:numId="8">
    <w:abstractNumId w:val="18"/>
  </w:num>
  <w:num w:numId="9">
    <w:abstractNumId w:val="30"/>
  </w:num>
  <w:num w:numId="10">
    <w:abstractNumId w:val="2"/>
  </w:num>
  <w:num w:numId="11">
    <w:abstractNumId w:val="37"/>
  </w:num>
  <w:num w:numId="12">
    <w:abstractNumId w:val="21"/>
  </w:num>
  <w:num w:numId="13">
    <w:abstractNumId w:val="10"/>
  </w:num>
  <w:num w:numId="14">
    <w:abstractNumId w:val="23"/>
  </w:num>
  <w:num w:numId="15">
    <w:abstractNumId w:val="7"/>
  </w:num>
  <w:num w:numId="16">
    <w:abstractNumId w:val="17"/>
  </w:num>
  <w:num w:numId="17">
    <w:abstractNumId w:val="22"/>
  </w:num>
  <w:num w:numId="18">
    <w:abstractNumId w:val="6"/>
  </w:num>
  <w:num w:numId="19">
    <w:abstractNumId w:val="3"/>
  </w:num>
  <w:num w:numId="20">
    <w:abstractNumId w:val="28"/>
  </w:num>
  <w:num w:numId="21">
    <w:abstractNumId w:val="13"/>
  </w:num>
  <w:num w:numId="22">
    <w:abstractNumId w:val="5"/>
  </w:num>
  <w:num w:numId="23">
    <w:abstractNumId w:val="9"/>
  </w:num>
  <w:num w:numId="24">
    <w:abstractNumId w:val="8"/>
  </w:num>
  <w:num w:numId="25">
    <w:abstractNumId w:val="26"/>
  </w:num>
  <w:num w:numId="26">
    <w:abstractNumId w:val="11"/>
  </w:num>
  <w:num w:numId="27">
    <w:abstractNumId w:val="34"/>
  </w:num>
  <w:num w:numId="28">
    <w:abstractNumId w:val="27"/>
  </w:num>
  <w:num w:numId="29">
    <w:abstractNumId w:val="31"/>
  </w:num>
  <w:num w:numId="30">
    <w:abstractNumId w:val="19"/>
  </w:num>
  <w:num w:numId="31">
    <w:abstractNumId w:val="38"/>
  </w:num>
  <w:num w:numId="32">
    <w:abstractNumId w:val="0"/>
  </w:num>
  <w:num w:numId="33">
    <w:abstractNumId w:val="16"/>
  </w:num>
  <w:num w:numId="34">
    <w:abstractNumId w:val="36"/>
  </w:num>
  <w:num w:numId="35">
    <w:abstractNumId w:val="15"/>
  </w:num>
  <w:num w:numId="36">
    <w:abstractNumId w:val="33"/>
  </w:num>
  <w:num w:numId="37">
    <w:abstractNumId w:val="1"/>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7E"/>
    <w:rsid w:val="00010016"/>
    <w:rsid w:val="00037D46"/>
    <w:rsid w:val="00041A8D"/>
    <w:rsid w:val="0004531B"/>
    <w:rsid w:val="00047206"/>
    <w:rsid w:val="000625EB"/>
    <w:rsid w:val="00064D91"/>
    <w:rsid w:val="00072AF9"/>
    <w:rsid w:val="00074EDF"/>
    <w:rsid w:val="00080D84"/>
    <w:rsid w:val="00091447"/>
    <w:rsid w:val="000A0C0A"/>
    <w:rsid w:val="000A26C0"/>
    <w:rsid w:val="000B6E26"/>
    <w:rsid w:val="000C0D8D"/>
    <w:rsid w:val="000C781D"/>
    <w:rsid w:val="000D1639"/>
    <w:rsid w:val="000D5C62"/>
    <w:rsid w:val="000F1434"/>
    <w:rsid w:val="00100046"/>
    <w:rsid w:val="00102748"/>
    <w:rsid w:val="00102CAF"/>
    <w:rsid w:val="001063AE"/>
    <w:rsid w:val="00107E6C"/>
    <w:rsid w:val="00111D03"/>
    <w:rsid w:val="00116E9D"/>
    <w:rsid w:val="00131F91"/>
    <w:rsid w:val="0014319B"/>
    <w:rsid w:val="00150E14"/>
    <w:rsid w:val="0015739C"/>
    <w:rsid w:val="00160C06"/>
    <w:rsid w:val="001868FD"/>
    <w:rsid w:val="00191DFF"/>
    <w:rsid w:val="001A510D"/>
    <w:rsid w:val="001A74FB"/>
    <w:rsid w:val="001D1962"/>
    <w:rsid w:val="001E2410"/>
    <w:rsid w:val="001F6127"/>
    <w:rsid w:val="002045CF"/>
    <w:rsid w:val="002049FB"/>
    <w:rsid w:val="00211E15"/>
    <w:rsid w:val="00213D93"/>
    <w:rsid w:val="00214522"/>
    <w:rsid w:val="002243F1"/>
    <w:rsid w:val="00226C20"/>
    <w:rsid w:val="002326D5"/>
    <w:rsid w:val="00246AAC"/>
    <w:rsid w:val="00250D14"/>
    <w:rsid w:val="00252B50"/>
    <w:rsid w:val="00256626"/>
    <w:rsid w:val="002616CA"/>
    <w:rsid w:val="00262CD8"/>
    <w:rsid w:val="00265C24"/>
    <w:rsid w:val="0027045E"/>
    <w:rsid w:val="00276419"/>
    <w:rsid w:val="002771E5"/>
    <w:rsid w:val="002801A8"/>
    <w:rsid w:val="00283279"/>
    <w:rsid w:val="00294BF3"/>
    <w:rsid w:val="002A64C9"/>
    <w:rsid w:val="002A6DB5"/>
    <w:rsid w:val="002C6652"/>
    <w:rsid w:val="002D0620"/>
    <w:rsid w:val="002D5BD1"/>
    <w:rsid w:val="002D6494"/>
    <w:rsid w:val="002D6B89"/>
    <w:rsid w:val="00302B00"/>
    <w:rsid w:val="00312AD7"/>
    <w:rsid w:val="003242E3"/>
    <w:rsid w:val="00343362"/>
    <w:rsid w:val="00351F64"/>
    <w:rsid w:val="003556DB"/>
    <w:rsid w:val="00356880"/>
    <w:rsid w:val="00357CC4"/>
    <w:rsid w:val="003849B2"/>
    <w:rsid w:val="00386506"/>
    <w:rsid w:val="003946ED"/>
    <w:rsid w:val="003C45C5"/>
    <w:rsid w:val="003D054A"/>
    <w:rsid w:val="003D41F4"/>
    <w:rsid w:val="003E5092"/>
    <w:rsid w:val="003F54F0"/>
    <w:rsid w:val="0040629C"/>
    <w:rsid w:val="0042403C"/>
    <w:rsid w:val="004243A7"/>
    <w:rsid w:val="00424D2B"/>
    <w:rsid w:val="00426305"/>
    <w:rsid w:val="004522B2"/>
    <w:rsid w:val="00455066"/>
    <w:rsid w:val="004623B7"/>
    <w:rsid w:val="00463A7F"/>
    <w:rsid w:val="004732DE"/>
    <w:rsid w:val="00473569"/>
    <w:rsid w:val="00476D3E"/>
    <w:rsid w:val="00482F4D"/>
    <w:rsid w:val="00486E70"/>
    <w:rsid w:val="004907F8"/>
    <w:rsid w:val="00492336"/>
    <w:rsid w:val="00492551"/>
    <w:rsid w:val="004A6204"/>
    <w:rsid w:val="004B0773"/>
    <w:rsid w:val="004B607D"/>
    <w:rsid w:val="004C44DD"/>
    <w:rsid w:val="004D1C0A"/>
    <w:rsid w:val="004D7F68"/>
    <w:rsid w:val="004E010C"/>
    <w:rsid w:val="004E1B1A"/>
    <w:rsid w:val="004E5971"/>
    <w:rsid w:val="004F2C18"/>
    <w:rsid w:val="00531BC3"/>
    <w:rsid w:val="005379A1"/>
    <w:rsid w:val="0056207D"/>
    <w:rsid w:val="00563635"/>
    <w:rsid w:val="005743FC"/>
    <w:rsid w:val="00585660"/>
    <w:rsid w:val="00590DFB"/>
    <w:rsid w:val="0059559E"/>
    <w:rsid w:val="005C6252"/>
    <w:rsid w:val="005D3661"/>
    <w:rsid w:val="005D46F3"/>
    <w:rsid w:val="005E1429"/>
    <w:rsid w:val="005E4177"/>
    <w:rsid w:val="005E6785"/>
    <w:rsid w:val="00600CC4"/>
    <w:rsid w:val="00604E2A"/>
    <w:rsid w:val="0060550B"/>
    <w:rsid w:val="0061517A"/>
    <w:rsid w:val="00621D34"/>
    <w:rsid w:val="0062427D"/>
    <w:rsid w:val="006245F2"/>
    <w:rsid w:val="006343D5"/>
    <w:rsid w:val="006419CE"/>
    <w:rsid w:val="00643B5E"/>
    <w:rsid w:val="006445ED"/>
    <w:rsid w:val="00651814"/>
    <w:rsid w:val="00652110"/>
    <w:rsid w:val="0065255A"/>
    <w:rsid w:val="00653848"/>
    <w:rsid w:val="00663D4B"/>
    <w:rsid w:val="00665D83"/>
    <w:rsid w:val="00680D7D"/>
    <w:rsid w:val="00684C49"/>
    <w:rsid w:val="006902D1"/>
    <w:rsid w:val="00690B87"/>
    <w:rsid w:val="00691A0C"/>
    <w:rsid w:val="006926EE"/>
    <w:rsid w:val="006A18A3"/>
    <w:rsid w:val="006A2998"/>
    <w:rsid w:val="006B0E21"/>
    <w:rsid w:val="006B1C2A"/>
    <w:rsid w:val="006B4E94"/>
    <w:rsid w:val="006E197E"/>
    <w:rsid w:val="006E75DB"/>
    <w:rsid w:val="006F432D"/>
    <w:rsid w:val="0071083C"/>
    <w:rsid w:val="007121D4"/>
    <w:rsid w:val="007144ED"/>
    <w:rsid w:val="007370F7"/>
    <w:rsid w:val="00741068"/>
    <w:rsid w:val="0074147E"/>
    <w:rsid w:val="007416E6"/>
    <w:rsid w:val="00741A16"/>
    <w:rsid w:val="00755BA6"/>
    <w:rsid w:val="00757AC7"/>
    <w:rsid w:val="007616DD"/>
    <w:rsid w:val="0077237D"/>
    <w:rsid w:val="00781600"/>
    <w:rsid w:val="00785F99"/>
    <w:rsid w:val="0079089B"/>
    <w:rsid w:val="00790AFF"/>
    <w:rsid w:val="00795492"/>
    <w:rsid w:val="007B4BF8"/>
    <w:rsid w:val="007C09A8"/>
    <w:rsid w:val="007C5467"/>
    <w:rsid w:val="007E3800"/>
    <w:rsid w:val="007E691B"/>
    <w:rsid w:val="007F0B08"/>
    <w:rsid w:val="007F6A91"/>
    <w:rsid w:val="0081075F"/>
    <w:rsid w:val="008350E6"/>
    <w:rsid w:val="00836FEE"/>
    <w:rsid w:val="008433EE"/>
    <w:rsid w:val="008622B4"/>
    <w:rsid w:val="00863F94"/>
    <w:rsid w:val="008721CD"/>
    <w:rsid w:val="0088264B"/>
    <w:rsid w:val="00885F26"/>
    <w:rsid w:val="00890FD7"/>
    <w:rsid w:val="0089440D"/>
    <w:rsid w:val="008A076B"/>
    <w:rsid w:val="008B12F1"/>
    <w:rsid w:val="008B7AD1"/>
    <w:rsid w:val="008D3A9C"/>
    <w:rsid w:val="008E764D"/>
    <w:rsid w:val="008F68EE"/>
    <w:rsid w:val="00900AAC"/>
    <w:rsid w:val="0090489C"/>
    <w:rsid w:val="009052F1"/>
    <w:rsid w:val="009074DD"/>
    <w:rsid w:val="00911213"/>
    <w:rsid w:val="0092626C"/>
    <w:rsid w:val="0092669B"/>
    <w:rsid w:val="00927BDC"/>
    <w:rsid w:val="00934A09"/>
    <w:rsid w:val="00942762"/>
    <w:rsid w:val="00945EA1"/>
    <w:rsid w:val="0095217A"/>
    <w:rsid w:val="00952415"/>
    <w:rsid w:val="0096630A"/>
    <w:rsid w:val="00973BFA"/>
    <w:rsid w:val="00991629"/>
    <w:rsid w:val="0099296A"/>
    <w:rsid w:val="009972E8"/>
    <w:rsid w:val="009A025B"/>
    <w:rsid w:val="009A04A5"/>
    <w:rsid w:val="009A04C6"/>
    <w:rsid w:val="009A1094"/>
    <w:rsid w:val="009B72E4"/>
    <w:rsid w:val="009C2774"/>
    <w:rsid w:val="009D530F"/>
    <w:rsid w:val="009E16B7"/>
    <w:rsid w:val="009E62D5"/>
    <w:rsid w:val="009F287E"/>
    <w:rsid w:val="009F5860"/>
    <w:rsid w:val="009F6808"/>
    <w:rsid w:val="00A11DC4"/>
    <w:rsid w:val="00A31FC8"/>
    <w:rsid w:val="00A37349"/>
    <w:rsid w:val="00A37DAD"/>
    <w:rsid w:val="00A4064D"/>
    <w:rsid w:val="00A51839"/>
    <w:rsid w:val="00A52883"/>
    <w:rsid w:val="00A610B5"/>
    <w:rsid w:val="00A61C11"/>
    <w:rsid w:val="00A65846"/>
    <w:rsid w:val="00A7528E"/>
    <w:rsid w:val="00A8201F"/>
    <w:rsid w:val="00A8639D"/>
    <w:rsid w:val="00A960AC"/>
    <w:rsid w:val="00AA5525"/>
    <w:rsid w:val="00AB0F04"/>
    <w:rsid w:val="00AC38CE"/>
    <w:rsid w:val="00AC6E9F"/>
    <w:rsid w:val="00AD073D"/>
    <w:rsid w:val="00AD5D98"/>
    <w:rsid w:val="00AD6753"/>
    <w:rsid w:val="00AE4668"/>
    <w:rsid w:val="00AF6AF0"/>
    <w:rsid w:val="00B0379D"/>
    <w:rsid w:val="00B03A1C"/>
    <w:rsid w:val="00B06D72"/>
    <w:rsid w:val="00B11877"/>
    <w:rsid w:val="00B12402"/>
    <w:rsid w:val="00B14726"/>
    <w:rsid w:val="00B30B6E"/>
    <w:rsid w:val="00B31F93"/>
    <w:rsid w:val="00B32C0A"/>
    <w:rsid w:val="00B35CF3"/>
    <w:rsid w:val="00B37A83"/>
    <w:rsid w:val="00B40439"/>
    <w:rsid w:val="00B438C9"/>
    <w:rsid w:val="00B6609F"/>
    <w:rsid w:val="00B70E47"/>
    <w:rsid w:val="00B747A6"/>
    <w:rsid w:val="00B80D0D"/>
    <w:rsid w:val="00B8704E"/>
    <w:rsid w:val="00BB4060"/>
    <w:rsid w:val="00BB4AA3"/>
    <w:rsid w:val="00BB55BA"/>
    <w:rsid w:val="00BB7717"/>
    <w:rsid w:val="00BB772E"/>
    <w:rsid w:val="00BC0C24"/>
    <w:rsid w:val="00BC27B3"/>
    <w:rsid w:val="00BD30E2"/>
    <w:rsid w:val="00BD3951"/>
    <w:rsid w:val="00BD7DB1"/>
    <w:rsid w:val="00BE29EC"/>
    <w:rsid w:val="00C10088"/>
    <w:rsid w:val="00C23013"/>
    <w:rsid w:val="00C24405"/>
    <w:rsid w:val="00C33912"/>
    <w:rsid w:val="00C40200"/>
    <w:rsid w:val="00C41FD1"/>
    <w:rsid w:val="00C50F68"/>
    <w:rsid w:val="00C561EB"/>
    <w:rsid w:val="00C64754"/>
    <w:rsid w:val="00C72579"/>
    <w:rsid w:val="00C87F5D"/>
    <w:rsid w:val="00C94990"/>
    <w:rsid w:val="00CB3B72"/>
    <w:rsid w:val="00CD4DCD"/>
    <w:rsid w:val="00CE0D37"/>
    <w:rsid w:val="00CE7840"/>
    <w:rsid w:val="00CE7BAA"/>
    <w:rsid w:val="00CF663D"/>
    <w:rsid w:val="00D06BB4"/>
    <w:rsid w:val="00D06E22"/>
    <w:rsid w:val="00D10850"/>
    <w:rsid w:val="00D12AB7"/>
    <w:rsid w:val="00D14E23"/>
    <w:rsid w:val="00D20F3A"/>
    <w:rsid w:val="00D24E1B"/>
    <w:rsid w:val="00D445E2"/>
    <w:rsid w:val="00D515C9"/>
    <w:rsid w:val="00D5792C"/>
    <w:rsid w:val="00D61FE6"/>
    <w:rsid w:val="00D6367E"/>
    <w:rsid w:val="00D706F2"/>
    <w:rsid w:val="00D74632"/>
    <w:rsid w:val="00D800AD"/>
    <w:rsid w:val="00D80A34"/>
    <w:rsid w:val="00D84E29"/>
    <w:rsid w:val="00D95C75"/>
    <w:rsid w:val="00D9735B"/>
    <w:rsid w:val="00DA2772"/>
    <w:rsid w:val="00DA6893"/>
    <w:rsid w:val="00DB162F"/>
    <w:rsid w:val="00DB1D4E"/>
    <w:rsid w:val="00DB318A"/>
    <w:rsid w:val="00DC0163"/>
    <w:rsid w:val="00DD441D"/>
    <w:rsid w:val="00DD489A"/>
    <w:rsid w:val="00DE1C10"/>
    <w:rsid w:val="00DF1D98"/>
    <w:rsid w:val="00E05546"/>
    <w:rsid w:val="00E13A09"/>
    <w:rsid w:val="00E149E8"/>
    <w:rsid w:val="00E20DF5"/>
    <w:rsid w:val="00E27FDE"/>
    <w:rsid w:val="00E3088C"/>
    <w:rsid w:val="00E43CA7"/>
    <w:rsid w:val="00E45550"/>
    <w:rsid w:val="00E5254A"/>
    <w:rsid w:val="00E53A1B"/>
    <w:rsid w:val="00E557E3"/>
    <w:rsid w:val="00E70CF7"/>
    <w:rsid w:val="00E745C3"/>
    <w:rsid w:val="00E75292"/>
    <w:rsid w:val="00E83F8B"/>
    <w:rsid w:val="00E84770"/>
    <w:rsid w:val="00E8584B"/>
    <w:rsid w:val="00E93BA3"/>
    <w:rsid w:val="00E94A1A"/>
    <w:rsid w:val="00EA52DA"/>
    <w:rsid w:val="00ED3152"/>
    <w:rsid w:val="00ED4157"/>
    <w:rsid w:val="00ED6EF2"/>
    <w:rsid w:val="00EE0A66"/>
    <w:rsid w:val="00EE330A"/>
    <w:rsid w:val="00EE50A0"/>
    <w:rsid w:val="00EE67A6"/>
    <w:rsid w:val="00EE7449"/>
    <w:rsid w:val="00EF65B8"/>
    <w:rsid w:val="00F05042"/>
    <w:rsid w:val="00F16C82"/>
    <w:rsid w:val="00F2014E"/>
    <w:rsid w:val="00F207E6"/>
    <w:rsid w:val="00F252C3"/>
    <w:rsid w:val="00F25EAC"/>
    <w:rsid w:val="00F31767"/>
    <w:rsid w:val="00F43E83"/>
    <w:rsid w:val="00F50C5B"/>
    <w:rsid w:val="00F53569"/>
    <w:rsid w:val="00F62836"/>
    <w:rsid w:val="00F64C8A"/>
    <w:rsid w:val="00F75F4B"/>
    <w:rsid w:val="00F90700"/>
    <w:rsid w:val="00F95FD7"/>
    <w:rsid w:val="00FA0435"/>
    <w:rsid w:val="00FA0517"/>
    <w:rsid w:val="00FA1C4A"/>
    <w:rsid w:val="00FA4E29"/>
    <w:rsid w:val="00FB047D"/>
    <w:rsid w:val="00FB4837"/>
    <w:rsid w:val="00FC2A0C"/>
    <w:rsid w:val="00FC60FF"/>
    <w:rsid w:val="00FD039F"/>
    <w:rsid w:val="00FF0864"/>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8BAB"/>
  <w15:docId w15:val="{EE0AE755-EA3A-4006-AA5A-C9129DFF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paragraph" w:styleId="Subtitle">
    <w:name w:val="Subtitle"/>
    <w:basedOn w:val="Normal"/>
    <w:next w:val="Normal"/>
    <w:link w:val="SubtitleChar"/>
    <w:autoRedefine/>
    <w:uiPriority w:val="11"/>
    <w:qFormat/>
    <w:rsid w:val="00D61FE6"/>
    <w:pPr>
      <w:numPr>
        <w:ilvl w:val="1"/>
      </w:numPr>
      <w:spacing w:after="160"/>
    </w:pPr>
    <w:rPr>
      <w:spacing w:val="15"/>
      <w:szCs w:val="24"/>
      <w:lang w:val="en-MY"/>
    </w:rPr>
  </w:style>
  <w:style w:type="character" w:customStyle="1" w:styleId="SubtitleChar">
    <w:name w:val="Subtitle Char"/>
    <w:basedOn w:val="DefaultParagraphFont"/>
    <w:link w:val="Subtitle"/>
    <w:uiPriority w:val="11"/>
    <w:rsid w:val="00D61FE6"/>
    <w:rPr>
      <w:rFonts w:ascii="Calibri" w:eastAsia="Calibri" w:hAnsi="Calibri"/>
      <w:spacing w:val="15"/>
      <w:sz w:val="22"/>
      <w:szCs w:val="24"/>
      <w:lang w:eastAsia="en-US"/>
    </w:rPr>
  </w:style>
  <w:style w:type="table" w:customStyle="1" w:styleId="PlainTable21">
    <w:name w:val="Plain Table 21"/>
    <w:basedOn w:val="TableNormal"/>
    <w:next w:val="TableNormal"/>
    <w:uiPriority w:val="42"/>
    <w:rsid w:val="00D61FE6"/>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2669B"/>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0861">
      <w:bodyDiv w:val="1"/>
      <w:marLeft w:val="0"/>
      <w:marRight w:val="0"/>
      <w:marTop w:val="0"/>
      <w:marBottom w:val="0"/>
      <w:divBdr>
        <w:top w:val="none" w:sz="0" w:space="0" w:color="auto"/>
        <w:left w:val="none" w:sz="0" w:space="0" w:color="auto"/>
        <w:bottom w:val="none" w:sz="0" w:space="0" w:color="auto"/>
        <w:right w:val="none" w:sz="0" w:space="0" w:color="auto"/>
      </w:divBdr>
    </w:div>
    <w:div w:id="159002064">
      <w:bodyDiv w:val="1"/>
      <w:marLeft w:val="0"/>
      <w:marRight w:val="0"/>
      <w:marTop w:val="0"/>
      <w:marBottom w:val="0"/>
      <w:divBdr>
        <w:top w:val="none" w:sz="0" w:space="0" w:color="auto"/>
        <w:left w:val="none" w:sz="0" w:space="0" w:color="auto"/>
        <w:bottom w:val="none" w:sz="0" w:space="0" w:color="auto"/>
        <w:right w:val="none" w:sz="0" w:space="0" w:color="auto"/>
      </w:divBdr>
    </w:div>
    <w:div w:id="178276954">
      <w:bodyDiv w:val="1"/>
      <w:marLeft w:val="0"/>
      <w:marRight w:val="0"/>
      <w:marTop w:val="0"/>
      <w:marBottom w:val="0"/>
      <w:divBdr>
        <w:top w:val="none" w:sz="0" w:space="0" w:color="auto"/>
        <w:left w:val="none" w:sz="0" w:space="0" w:color="auto"/>
        <w:bottom w:val="none" w:sz="0" w:space="0" w:color="auto"/>
        <w:right w:val="none" w:sz="0" w:space="0" w:color="auto"/>
      </w:divBdr>
    </w:div>
    <w:div w:id="216548746">
      <w:bodyDiv w:val="1"/>
      <w:marLeft w:val="0"/>
      <w:marRight w:val="0"/>
      <w:marTop w:val="0"/>
      <w:marBottom w:val="0"/>
      <w:divBdr>
        <w:top w:val="none" w:sz="0" w:space="0" w:color="auto"/>
        <w:left w:val="none" w:sz="0" w:space="0" w:color="auto"/>
        <w:bottom w:val="none" w:sz="0" w:space="0" w:color="auto"/>
        <w:right w:val="none" w:sz="0" w:space="0" w:color="auto"/>
      </w:divBdr>
    </w:div>
    <w:div w:id="337271069">
      <w:bodyDiv w:val="1"/>
      <w:marLeft w:val="0"/>
      <w:marRight w:val="0"/>
      <w:marTop w:val="0"/>
      <w:marBottom w:val="0"/>
      <w:divBdr>
        <w:top w:val="none" w:sz="0" w:space="0" w:color="auto"/>
        <w:left w:val="none" w:sz="0" w:space="0" w:color="auto"/>
        <w:bottom w:val="none" w:sz="0" w:space="0" w:color="auto"/>
        <w:right w:val="none" w:sz="0" w:space="0" w:color="auto"/>
      </w:divBdr>
    </w:div>
    <w:div w:id="376441742">
      <w:bodyDiv w:val="1"/>
      <w:marLeft w:val="0"/>
      <w:marRight w:val="0"/>
      <w:marTop w:val="0"/>
      <w:marBottom w:val="0"/>
      <w:divBdr>
        <w:top w:val="none" w:sz="0" w:space="0" w:color="auto"/>
        <w:left w:val="none" w:sz="0" w:space="0" w:color="auto"/>
        <w:bottom w:val="none" w:sz="0" w:space="0" w:color="auto"/>
        <w:right w:val="none" w:sz="0" w:space="0" w:color="auto"/>
      </w:divBdr>
    </w:div>
    <w:div w:id="380255627">
      <w:bodyDiv w:val="1"/>
      <w:marLeft w:val="0"/>
      <w:marRight w:val="0"/>
      <w:marTop w:val="0"/>
      <w:marBottom w:val="0"/>
      <w:divBdr>
        <w:top w:val="none" w:sz="0" w:space="0" w:color="auto"/>
        <w:left w:val="none" w:sz="0" w:space="0" w:color="auto"/>
        <w:bottom w:val="none" w:sz="0" w:space="0" w:color="auto"/>
        <w:right w:val="none" w:sz="0" w:space="0" w:color="auto"/>
      </w:divBdr>
    </w:div>
    <w:div w:id="469827707">
      <w:bodyDiv w:val="1"/>
      <w:marLeft w:val="0"/>
      <w:marRight w:val="0"/>
      <w:marTop w:val="0"/>
      <w:marBottom w:val="0"/>
      <w:divBdr>
        <w:top w:val="none" w:sz="0" w:space="0" w:color="auto"/>
        <w:left w:val="none" w:sz="0" w:space="0" w:color="auto"/>
        <w:bottom w:val="none" w:sz="0" w:space="0" w:color="auto"/>
        <w:right w:val="none" w:sz="0" w:space="0" w:color="auto"/>
      </w:divBdr>
    </w:div>
    <w:div w:id="474883122">
      <w:bodyDiv w:val="1"/>
      <w:marLeft w:val="0"/>
      <w:marRight w:val="0"/>
      <w:marTop w:val="0"/>
      <w:marBottom w:val="0"/>
      <w:divBdr>
        <w:top w:val="none" w:sz="0" w:space="0" w:color="auto"/>
        <w:left w:val="none" w:sz="0" w:space="0" w:color="auto"/>
        <w:bottom w:val="none" w:sz="0" w:space="0" w:color="auto"/>
        <w:right w:val="none" w:sz="0" w:space="0" w:color="auto"/>
      </w:divBdr>
    </w:div>
    <w:div w:id="489713948">
      <w:bodyDiv w:val="1"/>
      <w:marLeft w:val="0"/>
      <w:marRight w:val="0"/>
      <w:marTop w:val="0"/>
      <w:marBottom w:val="0"/>
      <w:divBdr>
        <w:top w:val="none" w:sz="0" w:space="0" w:color="auto"/>
        <w:left w:val="none" w:sz="0" w:space="0" w:color="auto"/>
        <w:bottom w:val="none" w:sz="0" w:space="0" w:color="auto"/>
        <w:right w:val="none" w:sz="0" w:space="0" w:color="auto"/>
      </w:divBdr>
    </w:div>
    <w:div w:id="594826054">
      <w:bodyDiv w:val="1"/>
      <w:marLeft w:val="0"/>
      <w:marRight w:val="0"/>
      <w:marTop w:val="0"/>
      <w:marBottom w:val="0"/>
      <w:divBdr>
        <w:top w:val="none" w:sz="0" w:space="0" w:color="auto"/>
        <w:left w:val="none" w:sz="0" w:space="0" w:color="auto"/>
        <w:bottom w:val="none" w:sz="0" w:space="0" w:color="auto"/>
        <w:right w:val="none" w:sz="0" w:space="0" w:color="auto"/>
      </w:divBdr>
    </w:div>
    <w:div w:id="624197412">
      <w:bodyDiv w:val="1"/>
      <w:marLeft w:val="0"/>
      <w:marRight w:val="0"/>
      <w:marTop w:val="0"/>
      <w:marBottom w:val="0"/>
      <w:divBdr>
        <w:top w:val="none" w:sz="0" w:space="0" w:color="auto"/>
        <w:left w:val="none" w:sz="0" w:space="0" w:color="auto"/>
        <w:bottom w:val="none" w:sz="0" w:space="0" w:color="auto"/>
        <w:right w:val="none" w:sz="0" w:space="0" w:color="auto"/>
      </w:divBdr>
    </w:div>
    <w:div w:id="746272254">
      <w:bodyDiv w:val="1"/>
      <w:marLeft w:val="0"/>
      <w:marRight w:val="0"/>
      <w:marTop w:val="0"/>
      <w:marBottom w:val="0"/>
      <w:divBdr>
        <w:top w:val="none" w:sz="0" w:space="0" w:color="auto"/>
        <w:left w:val="none" w:sz="0" w:space="0" w:color="auto"/>
        <w:bottom w:val="none" w:sz="0" w:space="0" w:color="auto"/>
        <w:right w:val="none" w:sz="0" w:space="0" w:color="auto"/>
      </w:divBdr>
    </w:div>
    <w:div w:id="1166090745">
      <w:bodyDiv w:val="1"/>
      <w:marLeft w:val="0"/>
      <w:marRight w:val="0"/>
      <w:marTop w:val="0"/>
      <w:marBottom w:val="0"/>
      <w:divBdr>
        <w:top w:val="none" w:sz="0" w:space="0" w:color="auto"/>
        <w:left w:val="none" w:sz="0" w:space="0" w:color="auto"/>
        <w:bottom w:val="none" w:sz="0" w:space="0" w:color="auto"/>
        <w:right w:val="none" w:sz="0" w:space="0" w:color="auto"/>
      </w:divBdr>
    </w:div>
    <w:div w:id="1179932231">
      <w:bodyDiv w:val="1"/>
      <w:marLeft w:val="0"/>
      <w:marRight w:val="0"/>
      <w:marTop w:val="0"/>
      <w:marBottom w:val="0"/>
      <w:divBdr>
        <w:top w:val="none" w:sz="0" w:space="0" w:color="auto"/>
        <w:left w:val="none" w:sz="0" w:space="0" w:color="auto"/>
        <w:bottom w:val="none" w:sz="0" w:space="0" w:color="auto"/>
        <w:right w:val="none" w:sz="0" w:space="0" w:color="auto"/>
      </w:divBdr>
    </w:div>
    <w:div w:id="1325088484">
      <w:bodyDiv w:val="1"/>
      <w:marLeft w:val="0"/>
      <w:marRight w:val="0"/>
      <w:marTop w:val="0"/>
      <w:marBottom w:val="0"/>
      <w:divBdr>
        <w:top w:val="none" w:sz="0" w:space="0" w:color="auto"/>
        <w:left w:val="none" w:sz="0" w:space="0" w:color="auto"/>
        <w:bottom w:val="none" w:sz="0" w:space="0" w:color="auto"/>
        <w:right w:val="none" w:sz="0" w:space="0" w:color="auto"/>
      </w:divBdr>
    </w:div>
    <w:div w:id="1400445908">
      <w:bodyDiv w:val="1"/>
      <w:marLeft w:val="0"/>
      <w:marRight w:val="0"/>
      <w:marTop w:val="0"/>
      <w:marBottom w:val="0"/>
      <w:divBdr>
        <w:top w:val="none" w:sz="0" w:space="0" w:color="auto"/>
        <w:left w:val="none" w:sz="0" w:space="0" w:color="auto"/>
        <w:bottom w:val="none" w:sz="0" w:space="0" w:color="auto"/>
        <w:right w:val="none" w:sz="0" w:space="0" w:color="auto"/>
      </w:divBdr>
    </w:div>
    <w:div w:id="1671327590">
      <w:bodyDiv w:val="1"/>
      <w:marLeft w:val="0"/>
      <w:marRight w:val="0"/>
      <w:marTop w:val="0"/>
      <w:marBottom w:val="0"/>
      <w:divBdr>
        <w:top w:val="none" w:sz="0" w:space="0" w:color="auto"/>
        <w:left w:val="none" w:sz="0" w:space="0" w:color="auto"/>
        <w:bottom w:val="none" w:sz="0" w:space="0" w:color="auto"/>
        <w:right w:val="none" w:sz="0" w:space="0" w:color="auto"/>
      </w:divBdr>
    </w:div>
    <w:div w:id="1876035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7A0CE-2FCF-4F5E-B3A3-A9AEA933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15483</Words>
  <Characters>88254</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allyaasafiaa@gmail.com</cp:lastModifiedBy>
  <cp:revision>13</cp:revision>
  <cp:lastPrinted>2020-05-29T05:35:00Z</cp:lastPrinted>
  <dcterms:created xsi:type="dcterms:W3CDTF">2020-05-29T04:44:00Z</dcterms:created>
  <dcterms:modified xsi:type="dcterms:W3CDTF">2020-05-29T15:47:00Z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